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E4D09D" w14:textId="77777777" w:rsidR="00F57189" w:rsidRDefault="00F57189" w:rsidP="00332CFE">
      <w:pPr>
        <w:jc w:val="center"/>
        <w:rPr>
          <w:sz w:val="44"/>
        </w:rPr>
      </w:pPr>
    </w:p>
    <w:p w14:paraId="5235BDE2" w14:textId="5B6880BC" w:rsidR="00D21E34" w:rsidRPr="00000849" w:rsidRDefault="00096BC4" w:rsidP="00332CFE">
      <w:pPr>
        <w:jc w:val="center"/>
        <w:rPr>
          <w:sz w:val="52"/>
        </w:rPr>
      </w:pPr>
      <w:r w:rsidRPr="00000849">
        <w:rPr>
          <w:sz w:val="52"/>
        </w:rPr>
        <w:t xml:space="preserve">Prevalence and </w:t>
      </w:r>
      <w:r w:rsidR="00F13C31" w:rsidRPr="00000849">
        <w:rPr>
          <w:sz w:val="52"/>
        </w:rPr>
        <w:t>Determinants of Hypertension in Older Adults in Ghana</w:t>
      </w:r>
      <w:r w:rsidR="000F399E" w:rsidRPr="00000849">
        <w:rPr>
          <w:sz w:val="52"/>
        </w:rPr>
        <w:t xml:space="preserve">: </w:t>
      </w:r>
      <w:r w:rsidR="002F1CBD" w:rsidRPr="00000849">
        <w:rPr>
          <w:sz w:val="52"/>
        </w:rPr>
        <w:t xml:space="preserve">a Systematic Review and </w:t>
      </w:r>
      <w:r w:rsidRPr="00000849">
        <w:rPr>
          <w:sz w:val="52"/>
        </w:rPr>
        <w:t>Analysis of a Longitudinal Study</w:t>
      </w:r>
    </w:p>
    <w:p w14:paraId="72C25B78" w14:textId="77777777" w:rsidR="00D21E34" w:rsidRPr="00000849" w:rsidRDefault="00D21E34" w:rsidP="00D21E34">
      <w:pPr>
        <w:spacing w:line="240" w:lineRule="auto"/>
        <w:jc w:val="both"/>
        <w:rPr>
          <w:rFonts w:cs="Arabic Typesetting"/>
          <w:sz w:val="36"/>
          <w:szCs w:val="36"/>
        </w:rPr>
      </w:pPr>
    </w:p>
    <w:p w14:paraId="253BF8AA" w14:textId="77777777" w:rsidR="00D21E34" w:rsidRPr="00000849" w:rsidRDefault="00D21E34" w:rsidP="00D21E34">
      <w:pPr>
        <w:spacing w:line="240" w:lineRule="auto"/>
        <w:jc w:val="both"/>
        <w:rPr>
          <w:rFonts w:cs="Arabic Typesetting"/>
          <w:sz w:val="36"/>
          <w:szCs w:val="36"/>
        </w:rPr>
      </w:pPr>
    </w:p>
    <w:p w14:paraId="08BF6528" w14:textId="77777777" w:rsidR="00D21E34" w:rsidRPr="00000849" w:rsidRDefault="00981A0F" w:rsidP="00D21E34">
      <w:pPr>
        <w:spacing w:line="240" w:lineRule="auto"/>
        <w:jc w:val="center"/>
        <w:rPr>
          <w:rFonts w:cs="Arabic Typesetting"/>
          <w:sz w:val="36"/>
          <w:szCs w:val="36"/>
        </w:rPr>
      </w:pPr>
      <w:r w:rsidRPr="00000849">
        <w:rPr>
          <w:rFonts w:cs="Arabic Typesetting"/>
          <w:sz w:val="36"/>
          <w:szCs w:val="36"/>
        </w:rPr>
        <w:t>William Kofi Bosu</w:t>
      </w:r>
    </w:p>
    <w:p w14:paraId="3F0F6A68" w14:textId="0F1B1F79" w:rsidR="00D21E34" w:rsidRPr="00920AA1" w:rsidRDefault="00D21E34" w:rsidP="007530A8">
      <w:pPr>
        <w:spacing w:line="240" w:lineRule="auto"/>
        <w:jc w:val="center"/>
        <w:rPr>
          <w:rFonts w:cs="Arabic Typesetting"/>
          <w:sz w:val="32"/>
          <w:szCs w:val="32"/>
        </w:rPr>
      </w:pPr>
    </w:p>
    <w:p w14:paraId="4D71EC26" w14:textId="5E1B0807" w:rsidR="00D21E34" w:rsidRDefault="00D21E34" w:rsidP="00D21E34">
      <w:pPr>
        <w:spacing w:line="240" w:lineRule="auto"/>
        <w:jc w:val="both"/>
        <w:rPr>
          <w:rFonts w:cs="Arabic Typesetting"/>
          <w:sz w:val="36"/>
          <w:szCs w:val="36"/>
        </w:rPr>
      </w:pPr>
    </w:p>
    <w:p w14:paraId="4E0FDFC4" w14:textId="77777777" w:rsidR="00B411EA" w:rsidRPr="00000849" w:rsidRDefault="00B411EA" w:rsidP="00D21E34">
      <w:pPr>
        <w:spacing w:line="240" w:lineRule="auto"/>
        <w:jc w:val="both"/>
        <w:rPr>
          <w:rFonts w:cs="Arabic Typesetting"/>
          <w:sz w:val="36"/>
          <w:szCs w:val="36"/>
        </w:rPr>
      </w:pPr>
    </w:p>
    <w:p w14:paraId="323A73B2" w14:textId="77777777" w:rsidR="00D21E34" w:rsidRPr="00000849" w:rsidRDefault="00D21E34" w:rsidP="00D21E34">
      <w:pPr>
        <w:jc w:val="center"/>
        <w:rPr>
          <w:sz w:val="36"/>
          <w:szCs w:val="36"/>
        </w:rPr>
      </w:pPr>
      <w:r w:rsidRPr="00000849">
        <w:rPr>
          <w:sz w:val="36"/>
          <w:szCs w:val="36"/>
        </w:rPr>
        <w:t xml:space="preserve">This thesis is submitted in partial fulfilment of the requirements for the degree of Doctor of Philosophy. </w:t>
      </w:r>
      <w:r w:rsidR="00E70836" w:rsidRPr="00000849">
        <w:rPr>
          <w:sz w:val="36"/>
          <w:szCs w:val="36"/>
        </w:rPr>
        <w:t xml:space="preserve"> </w:t>
      </w:r>
      <w:r w:rsidRPr="00000849">
        <w:rPr>
          <w:sz w:val="36"/>
          <w:szCs w:val="36"/>
        </w:rPr>
        <w:t>The candidate has already achieved 180 credits for assessment of taught modules within the blended learning PhD programme</w:t>
      </w:r>
    </w:p>
    <w:p w14:paraId="3A142092" w14:textId="77777777" w:rsidR="00D21E34" w:rsidRPr="00000849" w:rsidRDefault="00D21E34" w:rsidP="00D21E34">
      <w:pPr>
        <w:spacing w:line="240" w:lineRule="auto"/>
        <w:jc w:val="both"/>
        <w:rPr>
          <w:rFonts w:cs="Arabic Typesetting"/>
          <w:sz w:val="36"/>
          <w:szCs w:val="36"/>
        </w:rPr>
      </w:pPr>
    </w:p>
    <w:p w14:paraId="31325509" w14:textId="357C8CBF" w:rsidR="00D21E34" w:rsidRPr="00000849" w:rsidRDefault="00325C86" w:rsidP="005E631C">
      <w:pPr>
        <w:spacing w:line="240" w:lineRule="auto"/>
        <w:jc w:val="center"/>
        <w:rPr>
          <w:rFonts w:cs="Arabic Typesetting"/>
          <w:sz w:val="36"/>
          <w:szCs w:val="36"/>
        </w:rPr>
      </w:pPr>
      <w:r>
        <w:rPr>
          <w:rFonts w:cs="Arabic Typesetting"/>
          <w:sz w:val="36"/>
          <w:szCs w:val="36"/>
        </w:rPr>
        <w:t>Nov</w:t>
      </w:r>
      <w:r w:rsidR="00290D25" w:rsidRPr="00000849">
        <w:rPr>
          <w:rFonts w:cs="Arabic Typesetting"/>
          <w:sz w:val="36"/>
          <w:szCs w:val="36"/>
        </w:rPr>
        <w:t xml:space="preserve">ember </w:t>
      </w:r>
      <w:r w:rsidR="005E631C" w:rsidRPr="00000849">
        <w:rPr>
          <w:rFonts w:cs="Arabic Typesetting"/>
          <w:sz w:val="36"/>
          <w:szCs w:val="36"/>
        </w:rPr>
        <w:t>20</w:t>
      </w:r>
      <w:r w:rsidR="004B01DA" w:rsidRPr="00000849">
        <w:rPr>
          <w:rFonts w:cs="Arabic Typesetting"/>
          <w:sz w:val="36"/>
          <w:szCs w:val="36"/>
        </w:rPr>
        <w:t>20</w:t>
      </w:r>
    </w:p>
    <w:p w14:paraId="72F5057F" w14:textId="77777777" w:rsidR="00D21E34" w:rsidRPr="00000849" w:rsidRDefault="00D21E34" w:rsidP="00D21E34"/>
    <w:p w14:paraId="3CE0C110" w14:textId="77777777" w:rsidR="00D21E34" w:rsidRPr="00000849" w:rsidRDefault="00D21E34" w:rsidP="00D21E34">
      <w:pPr>
        <w:jc w:val="center"/>
        <w:rPr>
          <w:sz w:val="28"/>
        </w:rPr>
      </w:pPr>
      <w:r w:rsidRPr="00000849">
        <w:rPr>
          <w:sz w:val="28"/>
        </w:rPr>
        <w:t>Faculty of Health and Medicine</w:t>
      </w:r>
    </w:p>
    <w:p w14:paraId="155B5A42" w14:textId="77777777" w:rsidR="00D21E34" w:rsidRPr="00000849" w:rsidRDefault="00D21E34" w:rsidP="00D21E34">
      <w:pPr>
        <w:jc w:val="center"/>
        <w:rPr>
          <w:sz w:val="28"/>
        </w:rPr>
      </w:pPr>
      <w:r w:rsidRPr="00000849">
        <w:rPr>
          <w:sz w:val="28"/>
        </w:rPr>
        <w:t>Lancaster University</w:t>
      </w:r>
    </w:p>
    <w:p w14:paraId="28C35A7F" w14:textId="77777777" w:rsidR="009E605B" w:rsidRPr="00000849" w:rsidRDefault="009E605B" w:rsidP="009E605B">
      <w:pPr>
        <w:jc w:val="both"/>
        <w:rPr>
          <w:sz w:val="23"/>
          <w:szCs w:val="23"/>
        </w:rPr>
      </w:pPr>
    </w:p>
    <w:p w14:paraId="69737C72" w14:textId="77777777" w:rsidR="005E631C" w:rsidRPr="00000849" w:rsidRDefault="005E631C" w:rsidP="009E605B">
      <w:pPr>
        <w:jc w:val="both"/>
        <w:rPr>
          <w:sz w:val="23"/>
          <w:szCs w:val="23"/>
        </w:rPr>
        <w:sectPr w:rsidR="005E631C" w:rsidRPr="00000849" w:rsidSect="0082545F">
          <w:footerReference w:type="even" r:id="rId8"/>
          <w:footerReference w:type="default" r:id="rId9"/>
          <w:pgSz w:w="11906" w:h="16838"/>
          <w:pgMar w:top="1440" w:right="1440" w:bottom="1440" w:left="2155" w:header="708" w:footer="708" w:gutter="0"/>
          <w:cols w:space="708"/>
          <w:titlePg/>
          <w:docGrid w:linePitch="360"/>
        </w:sectPr>
      </w:pPr>
    </w:p>
    <w:p w14:paraId="0E7A181B" w14:textId="77777777" w:rsidR="00DC5300" w:rsidRPr="00000849" w:rsidRDefault="00D90F65">
      <w:pPr>
        <w:pStyle w:val="Heading1"/>
      </w:pPr>
      <w:bookmarkStart w:id="0" w:name="_Toc51472061"/>
      <w:r w:rsidRPr="00000849">
        <w:lastRenderedPageBreak/>
        <w:t>Declaration</w:t>
      </w:r>
      <w:bookmarkEnd w:id="0"/>
      <w:r w:rsidRPr="00000849">
        <w:t xml:space="preserve"> </w:t>
      </w:r>
    </w:p>
    <w:p w14:paraId="7CFB6C7E" w14:textId="77777777" w:rsidR="00137FB8" w:rsidRPr="00000849" w:rsidRDefault="00137FB8" w:rsidP="005C05B1">
      <w:pPr>
        <w:spacing w:line="480" w:lineRule="auto"/>
        <w:jc w:val="both"/>
        <w:rPr>
          <w:rFonts w:cstheme="minorHAnsi"/>
          <w:sz w:val="24"/>
          <w:szCs w:val="24"/>
        </w:rPr>
      </w:pPr>
    </w:p>
    <w:p w14:paraId="547E0FD0" w14:textId="77777777" w:rsidR="00137FB8" w:rsidRPr="00000849" w:rsidRDefault="00137FB8" w:rsidP="005C05B1">
      <w:pPr>
        <w:autoSpaceDE w:val="0"/>
        <w:autoSpaceDN w:val="0"/>
        <w:adjustRightInd w:val="0"/>
        <w:spacing w:after="0" w:line="480" w:lineRule="auto"/>
        <w:jc w:val="both"/>
        <w:rPr>
          <w:rFonts w:cstheme="minorHAnsi"/>
          <w:sz w:val="24"/>
          <w:szCs w:val="24"/>
        </w:rPr>
      </w:pPr>
      <w:r w:rsidRPr="00000849">
        <w:rPr>
          <w:rFonts w:cstheme="minorHAnsi"/>
          <w:sz w:val="24"/>
          <w:szCs w:val="24"/>
        </w:rPr>
        <w:t>I declare that the content of this thesis is my own work, except were clearly stated, and has not been submitted in substantially the same form for the award of a higher degree elsewhere.</w:t>
      </w:r>
    </w:p>
    <w:p w14:paraId="03318A17" w14:textId="77777777" w:rsidR="00137FB8" w:rsidRPr="00000849" w:rsidRDefault="00137FB8" w:rsidP="005C05B1">
      <w:pPr>
        <w:autoSpaceDE w:val="0"/>
        <w:autoSpaceDN w:val="0"/>
        <w:adjustRightInd w:val="0"/>
        <w:spacing w:after="0" w:line="480" w:lineRule="auto"/>
        <w:jc w:val="both"/>
        <w:rPr>
          <w:rFonts w:cstheme="minorHAnsi"/>
          <w:sz w:val="24"/>
          <w:szCs w:val="24"/>
        </w:rPr>
      </w:pPr>
    </w:p>
    <w:p w14:paraId="1E8B3A92" w14:textId="77777777" w:rsidR="00137FB8" w:rsidRPr="00000849" w:rsidRDefault="00137FB8" w:rsidP="005C05B1">
      <w:pPr>
        <w:autoSpaceDE w:val="0"/>
        <w:autoSpaceDN w:val="0"/>
        <w:adjustRightInd w:val="0"/>
        <w:spacing w:after="0" w:line="480" w:lineRule="auto"/>
        <w:jc w:val="both"/>
        <w:rPr>
          <w:rFonts w:cstheme="minorHAnsi"/>
          <w:sz w:val="24"/>
          <w:szCs w:val="24"/>
        </w:rPr>
      </w:pPr>
    </w:p>
    <w:p w14:paraId="5E52BEF1" w14:textId="77777777" w:rsidR="00137FB8" w:rsidRPr="00000849" w:rsidRDefault="00137FB8">
      <w:pPr>
        <w:spacing w:after="160" w:line="259" w:lineRule="auto"/>
        <w:rPr>
          <w:rFonts w:ascii="Calibri" w:eastAsia="Times New Roman" w:hAnsi="Calibri" w:cs="Times New Roman"/>
          <w:b/>
          <w:bCs/>
          <w:kern w:val="36"/>
          <w:sz w:val="28"/>
          <w:szCs w:val="48"/>
          <w:lang w:eastAsia="en-GB"/>
        </w:rPr>
      </w:pPr>
      <w:r w:rsidRPr="00000849">
        <w:br w:type="page"/>
      </w:r>
    </w:p>
    <w:p w14:paraId="27741478" w14:textId="144A6E4C" w:rsidR="00CD75DE" w:rsidRPr="00000849" w:rsidRDefault="00CD75DE">
      <w:pPr>
        <w:pStyle w:val="Heading1"/>
      </w:pPr>
      <w:bookmarkStart w:id="1" w:name="_Toc51472062"/>
      <w:r w:rsidRPr="00000849">
        <w:lastRenderedPageBreak/>
        <w:t>Abstract</w:t>
      </w:r>
      <w:bookmarkEnd w:id="1"/>
      <w:r w:rsidRPr="00000849">
        <w:t xml:space="preserve"> </w:t>
      </w:r>
    </w:p>
    <w:p w14:paraId="2B420F2B" w14:textId="0B3758FF" w:rsidR="00137FB8" w:rsidRPr="00000849" w:rsidRDefault="00137FB8"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655DEF13" w14:textId="5BE95923" w:rsidR="00772AEA" w:rsidRPr="00000849" w:rsidRDefault="001169E4" w:rsidP="009F3E10">
      <w:pPr>
        <w:pStyle w:val="NormalWeb"/>
        <w:shd w:val="clear" w:color="auto" w:fill="FFFFFF"/>
        <w:spacing w:before="0" w:beforeAutospacing="0" w:after="165" w:afterAutospacing="0" w:line="480" w:lineRule="auto"/>
        <w:rPr>
          <w:rFonts w:asciiTheme="minorHAnsi" w:hAnsiTheme="minorHAnsi" w:cstheme="minorHAnsi"/>
          <w:b/>
          <w:color w:val="383838"/>
        </w:rPr>
      </w:pPr>
      <w:r w:rsidRPr="00000849">
        <w:rPr>
          <w:rFonts w:asciiTheme="minorHAnsi" w:hAnsiTheme="minorHAnsi" w:cstheme="minorHAnsi"/>
          <w:b/>
          <w:color w:val="383838"/>
        </w:rPr>
        <w:t>Introduction</w:t>
      </w:r>
    </w:p>
    <w:p w14:paraId="1D6819F8" w14:textId="7E471300" w:rsidR="00772AEA" w:rsidRPr="00000849" w:rsidRDefault="003C3C65" w:rsidP="003C3C65">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Ghana is undergoing</w:t>
      </w:r>
      <w:r w:rsidR="00311E43" w:rsidRPr="00000849">
        <w:rPr>
          <w:rFonts w:asciiTheme="minorHAnsi" w:hAnsiTheme="minorHAnsi" w:cstheme="minorHAnsi"/>
          <w:color w:val="383838"/>
        </w:rPr>
        <w:t xml:space="preserve"> </w:t>
      </w:r>
      <w:r w:rsidRPr="00000849">
        <w:rPr>
          <w:rFonts w:asciiTheme="minorHAnsi" w:hAnsiTheme="minorHAnsi" w:cstheme="minorHAnsi"/>
          <w:color w:val="383838"/>
        </w:rPr>
        <w:t>rapid epidemiological and demographic transition</w:t>
      </w:r>
      <w:r w:rsidR="00311E43" w:rsidRPr="00000849">
        <w:rPr>
          <w:rFonts w:asciiTheme="minorHAnsi" w:hAnsiTheme="minorHAnsi" w:cstheme="minorHAnsi"/>
          <w:color w:val="383838"/>
        </w:rPr>
        <w:t>s</w:t>
      </w:r>
      <w:r w:rsidRPr="00000849">
        <w:rPr>
          <w:rFonts w:asciiTheme="minorHAnsi" w:hAnsiTheme="minorHAnsi" w:cstheme="minorHAnsi"/>
          <w:color w:val="383838"/>
        </w:rPr>
        <w:t xml:space="preserve">.  The proportion of the population aged 60 years </w:t>
      </w:r>
      <w:r w:rsidR="008A0308" w:rsidRPr="00000849">
        <w:rPr>
          <w:rFonts w:asciiTheme="minorHAnsi" w:hAnsiTheme="minorHAnsi" w:cstheme="minorHAnsi"/>
          <w:color w:val="383838"/>
        </w:rPr>
        <w:t xml:space="preserve">and older </w:t>
      </w:r>
      <w:r w:rsidRPr="00000849">
        <w:rPr>
          <w:rFonts w:asciiTheme="minorHAnsi" w:hAnsiTheme="minorHAnsi" w:cstheme="minorHAnsi"/>
          <w:color w:val="383838"/>
        </w:rPr>
        <w:t xml:space="preserve">is projected to reach </w:t>
      </w:r>
      <w:r w:rsidR="00FD01AA" w:rsidRPr="00000849">
        <w:rPr>
          <w:rFonts w:asciiTheme="minorHAnsi" w:hAnsiTheme="minorHAnsi" w:cstheme="minorHAnsi"/>
          <w:color w:val="383838"/>
        </w:rPr>
        <w:t>12.6</w:t>
      </w:r>
      <w:r w:rsidRPr="00000849">
        <w:rPr>
          <w:rFonts w:asciiTheme="minorHAnsi" w:hAnsiTheme="minorHAnsi" w:cstheme="minorHAnsi"/>
          <w:color w:val="383838"/>
        </w:rPr>
        <w:t>% in 2050</w:t>
      </w:r>
      <w:r w:rsidR="00311E43" w:rsidRPr="00000849">
        <w:rPr>
          <w:rFonts w:asciiTheme="minorHAnsi" w:hAnsiTheme="minorHAnsi" w:cstheme="minorHAnsi"/>
          <w:color w:val="383838"/>
        </w:rPr>
        <w:t xml:space="preserve"> </w:t>
      </w:r>
      <w:r w:rsidR="00C272D7" w:rsidRPr="00000849">
        <w:rPr>
          <w:rFonts w:asciiTheme="minorHAnsi" w:hAnsiTheme="minorHAnsi" w:cstheme="minorHAnsi"/>
          <w:color w:val="383838"/>
        </w:rPr>
        <w:t xml:space="preserve">from 5.4% in 2010 </w:t>
      </w:r>
      <w:r w:rsidR="00311E43" w:rsidRPr="00000849">
        <w:rPr>
          <w:rFonts w:asciiTheme="minorHAnsi" w:hAnsiTheme="minorHAnsi" w:cstheme="minorHAnsi"/>
          <w:color w:val="383838"/>
        </w:rPr>
        <w:t>while</w:t>
      </w:r>
      <w:r w:rsidRPr="00000849">
        <w:rPr>
          <w:rFonts w:asciiTheme="minorHAnsi" w:hAnsiTheme="minorHAnsi" w:cstheme="minorHAnsi"/>
          <w:color w:val="383838"/>
        </w:rPr>
        <w:t xml:space="preserve"> </w:t>
      </w:r>
      <w:r w:rsidR="00311E43" w:rsidRPr="00000849">
        <w:rPr>
          <w:rFonts w:asciiTheme="minorHAnsi" w:hAnsiTheme="minorHAnsi" w:cstheme="minorHAnsi"/>
          <w:color w:val="383838"/>
        </w:rPr>
        <w:t>t</w:t>
      </w:r>
      <w:r w:rsidRPr="00000849">
        <w:rPr>
          <w:rFonts w:asciiTheme="minorHAnsi" w:hAnsiTheme="minorHAnsi" w:cstheme="minorHAnsi"/>
          <w:color w:val="383838"/>
        </w:rPr>
        <w:t>he urban population increase</w:t>
      </w:r>
      <w:r w:rsidR="00FD01AA" w:rsidRPr="00000849">
        <w:rPr>
          <w:rFonts w:asciiTheme="minorHAnsi" w:hAnsiTheme="minorHAnsi" w:cstheme="minorHAnsi"/>
          <w:color w:val="383838"/>
        </w:rPr>
        <w:t>d</w:t>
      </w:r>
      <w:r w:rsidRPr="00000849">
        <w:rPr>
          <w:rFonts w:asciiTheme="minorHAnsi" w:hAnsiTheme="minorHAnsi" w:cstheme="minorHAnsi"/>
          <w:color w:val="383838"/>
        </w:rPr>
        <w:t xml:space="preserve"> from </w:t>
      </w:r>
      <w:r w:rsidR="00FD01AA" w:rsidRPr="00000849">
        <w:rPr>
          <w:rFonts w:asciiTheme="minorHAnsi" w:hAnsiTheme="minorHAnsi" w:cstheme="minorHAnsi"/>
          <w:color w:val="383838"/>
        </w:rPr>
        <w:t>23.3</w:t>
      </w:r>
      <w:r w:rsidR="00E65898" w:rsidRPr="00000849">
        <w:rPr>
          <w:rFonts w:asciiTheme="minorHAnsi" w:hAnsiTheme="minorHAnsi" w:cstheme="minorHAnsi"/>
          <w:color w:val="383838"/>
        </w:rPr>
        <w:t xml:space="preserve">% in </w:t>
      </w:r>
      <w:r w:rsidR="00FD01AA" w:rsidRPr="00000849">
        <w:rPr>
          <w:rFonts w:asciiTheme="minorHAnsi" w:hAnsiTheme="minorHAnsi" w:cstheme="minorHAnsi"/>
          <w:color w:val="383838"/>
        </w:rPr>
        <w:t xml:space="preserve">1960 </w:t>
      </w:r>
      <w:r w:rsidR="00E65898" w:rsidRPr="00000849">
        <w:rPr>
          <w:rFonts w:asciiTheme="minorHAnsi" w:hAnsiTheme="minorHAnsi" w:cstheme="minorHAnsi"/>
          <w:color w:val="383838"/>
        </w:rPr>
        <w:t xml:space="preserve">to </w:t>
      </w:r>
      <w:r w:rsidR="00FE2305">
        <w:rPr>
          <w:rFonts w:asciiTheme="minorHAnsi" w:hAnsiTheme="minorHAnsi" w:cstheme="minorHAnsi"/>
          <w:color w:val="383838"/>
        </w:rPr>
        <w:t>50.9</w:t>
      </w:r>
      <w:r w:rsidR="00E65898" w:rsidRPr="00000849">
        <w:rPr>
          <w:rFonts w:asciiTheme="minorHAnsi" w:hAnsiTheme="minorHAnsi" w:cstheme="minorHAnsi"/>
          <w:color w:val="383838"/>
        </w:rPr>
        <w:t xml:space="preserve">% in </w:t>
      </w:r>
      <w:r w:rsidR="00FD01AA" w:rsidRPr="00000849">
        <w:rPr>
          <w:rFonts w:asciiTheme="minorHAnsi" w:hAnsiTheme="minorHAnsi" w:cstheme="minorHAnsi"/>
          <w:color w:val="383838"/>
        </w:rPr>
        <w:t>2010</w:t>
      </w:r>
      <w:r w:rsidR="00E65898" w:rsidRPr="00000849">
        <w:rPr>
          <w:rFonts w:asciiTheme="minorHAnsi" w:hAnsiTheme="minorHAnsi" w:cstheme="minorHAnsi"/>
          <w:color w:val="383838"/>
        </w:rPr>
        <w:t>. These developments have co</w:t>
      </w:r>
      <w:r w:rsidRPr="00000849">
        <w:rPr>
          <w:rFonts w:asciiTheme="minorHAnsi" w:hAnsiTheme="minorHAnsi" w:cstheme="minorHAnsi"/>
          <w:color w:val="383838"/>
        </w:rPr>
        <w:t>ntribute</w:t>
      </w:r>
      <w:r w:rsidR="00E65898" w:rsidRPr="00000849">
        <w:rPr>
          <w:rFonts w:asciiTheme="minorHAnsi" w:hAnsiTheme="minorHAnsi" w:cstheme="minorHAnsi"/>
          <w:color w:val="383838"/>
        </w:rPr>
        <w:t xml:space="preserve">d to </w:t>
      </w:r>
      <w:r w:rsidR="00646699" w:rsidRPr="00000849">
        <w:rPr>
          <w:rFonts w:asciiTheme="minorHAnsi" w:hAnsiTheme="minorHAnsi" w:cstheme="minorHAnsi"/>
          <w:color w:val="383838"/>
        </w:rPr>
        <w:t xml:space="preserve">a changing disease profile </w:t>
      </w:r>
      <w:r w:rsidR="00C272D7" w:rsidRPr="00000849">
        <w:rPr>
          <w:rFonts w:asciiTheme="minorHAnsi" w:hAnsiTheme="minorHAnsi" w:cstheme="minorHAnsi"/>
          <w:color w:val="383838"/>
        </w:rPr>
        <w:t xml:space="preserve">with </w:t>
      </w:r>
      <w:r w:rsidR="00E65898" w:rsidRPr="00000849">
        <w:rPr>
          <w:rFonts w:asciiTheme="minorHAnsi" w:hAnsiTheme="minorHAnsi" w:cstheme="minorHAnsi"/>
          <w:color w:val="383838"/>
        </w:rPr>
        <w:t>a</w:t>
      </w:r>
      <w:r w:rsidR="00646699" w:rsidRPr="00000849">
        <w:rPr>
          <w:rFonts w:asciiTheme="minorHAnsi" w:hAnsiTheme="minorHAnsi" w:cstheme="minorHAnsi"/>
          <w:color w:val="383838"/>
        </w:rPr>
        <w:t>n</w:t>
      </w:r>
      <w:r w:rsidR="00E65898" w:rsidRPr="00000849">
        <w:rPr>
          <w:rFonts w:asciiTheme="minorHAnsi" w:hAnsiTheme="minorHAnsi" w:cstheme="minorHAnsi"/>
          <w:color w:val="383838"/>
        </w:rPr>
        <w:t xml:space="preserve"> increasing burden of </w:t>
      </w:r>
      <w:r w:rsidR="00646699" w:rsidRPr="00000849">
        <w:rPr>
          <w:rFonts w:asciiTheme="minorHAnsi" w:hAnsiTheme="minorHAnsi" w:cstheme="minorHAnsi"/>
          <w:color w:val="383838"/>
        </w:rPr>
        <w:t>chronic noncommunicable diseases</w:t>
      </w:r>
      <w:r w:rsidR="00AF69A3" w:rsidRPr="00000849">
        <w:rPr>
          <w:rFonts w:asciiTheme="minorHAnsi" w:hAnsiTheme="minorHAnsi" w:cstheme="minorHAnsi"/>
          <w:color w:val="383838"/>
        </w:rPr>
        <w:t xml:space="preserve"> (NCDs)</w:t>
      </w:r>
      <w:r w:rsidR="00E65898" w:rsidRPr="00000849">
        <w:rPr>
          <w:rFonts w:asciiTheme="minorHAnsi" w:hAnsiTheme="minorHAnsi" w:cstheme="minorHAnsi"/>
          <w:color w:val="383838"/>
        </w:rPr>
        <w:t xml:space="preserve">.  </w:t>
      </w:r>
      <w:r w:rsidR="00C272D7" w:rsidRPr="00000849">
        <w:rPr>
          <w:rFonts w:asciiTheme="minorHAnsi" w:hAnsiTheme="minorHAnsi" w:cstheme="minorHAnsi"/>
          <w:color w:val="383838"/>
        </w:rPr>
        <w:t>T</w:t>
      </w:r>
      <w:r w:rsidRPr="00000849">
        <w:rPr>
          <w:rFonts w:asciiTheme="minorHAnsi" w:hAnsiTheme="minorHAnsi" w:cstheme="minorHAnsi"/>
          <w:color w:val="383838"/>
        </w:rPr>
        <w:t>he share of total deaths</w:t>
      </w:r>
      <w:r w:rsidR="00E65898" w:rsidRPr="00000849">
        <w:rPr>
          <w:rFonts w:asciiTheme="minorHAnsi" w:hAnsiTheme="minorHAnsi" w:cstheme="minorHAnsi"/>
          <w:color w:val="383838"/>
        </w:rPr>
        <w:t xml:space="preserve"> </w:t>
      </w:r>
      <w:r w:rsidR="009E0BF7" w:rsidRPr="00000849">
        <w:rPr>
          <w:rFonts w:asciiTheme="minorHAnsi" w:hAnsiTheme="minorHAnsi" w:cstheme="minorHAnsi"/>
          <w:color w:val="383838"/>
        </w:rPr>
        <w:t xml:space="preserve">in all ages </w:t>
      </w:r>
      <w:r w:rsidR="00E65898" w:rsidRPr="00000849">
        <w:rPr>
          <w:rFonts w:asciiTheme="minorHAnsi" w:hAnsiTheme="minorHAnsi" w:cstheme="minorHAnsi"/>
          <w:color w:val="383838"/>
        </w:rPr>
        <w:t xml:space="preserve">due to cardiovascular diseases </w:t>
      </w:r>
      <w:r w:rsidR="004730E9" w:rsidRPr="00000849">
        <w:rPr>
          <w:rFonts w:asciiTheme="minorHAnsi" w:hAnsiTheme="minorHAnsi" w:cstheme="minorHAnsi"/>
          <w:color w:val="383838"/>
        </w:rPr>
        <w:t>almost doubled</w:t>
      </w:r>
      <w:r w:rsidRPr="00000849">
        <w:rPr>
          <w:rFonts w:asciiTheme="minorHAnsi" w:hAnsiTheme="minorHAnsi" w:cstheme="minorHAnsi"/>
          <w:color w:val="383838"/>
        </w:rPr>
        <w:t xml:space="preserve"> from </w:t>
      </w:r>
      <w:r w:rsidR="004730E9" w:rsidRPr="00000849">
        <w:rPr>
          <w:rFonts w:asciiTheme="minorHAnsi" w:hAnsiTheme="minorHAnsi" w:cstheme="minorHAnsi"/>
          <w:color w:val="383838"/>
        </w:rPr>
        <w:t>10.8%</w:t>
      </w:r>
      <w:r w:rsidRPr="00000849">
        <w:rPr>
          <w:rFonts w:asciiTheme="minorHAnsi" w:hAnsiTheme="minorHAnsi" w:cstheme="minorHAnsi"/>
          <w:color w:val="383838"/>
        </w:rPr>
        <w:t xml:space="preserve"> in 1990 to </w:t>
      </w:r>
      <w:r w:rsidR="004730E9" w:rsidRPr="00000849">
        <w:rPr>
          <w:rFonts w:asciiTheme="minorHAnsi" w:hAnsiTheme="minorHAnsi" w:cstheme="minorHAnsi"/>
          <w:color w:val="383838"/>
        </w:rPr>
        <w:t>18.2%</w:t>
      </w:r>
      <w:r w:rsidRPr="00000849">
        <w:rPr>
          <w:rFonts w:asciiTheme="minorHAnsi" w:hAnsiTheme="minorHAnsi" w:cstheme="minorHAnsi"/>
          <w:color w:val="383838"/>
        </w:rPr>
        <w:t xml:space="preserve"> in 2017.  </w:t>
      </w:r>
      <w:r w:rsidR="00646699" w:rsidRPr="00000849">
        <w:rPr>
          <w:rFonts w:asciiTheme="minorHAnsi" w:hAnsiTheme="minorHAnsi" w:cstheme="minorHAnsi"/>
          <w:color w:val="383838"/>
        </w:rPr>
        <w:t>Although h</w:t>
      </w:r>
      <w:r w:rsidRPr="00000849">
        <w:rPr>
          <w:rFonts w:asciiTheme="minorHAnsi" w:hAnsiTheme="minorHAnsi" w:cstheme="minorHAnsi"/>
          <w:color w:val="383838"/>
        </w:rPr>
        <w:t xml:space="preserve">ypertension </w:t>
      </w:r>
      <w:r w:rsidR="00E65898" w:rsidRPr="00000849">
        <w:rPr>
          <w:rFonts w:asciiTheme="minorHAnsi" w:hAnsiTheme="minorHAnsi" w:cstheme="minorHAnsi"/>
          <w:color w:val="383838"/>
        </w:rPr>
        <w:t xml:space="preserve">is a major risk factor for </w:t>
      </w:r>
      <w:r w:rsidR="00FC1318" w:rsidRPr="00000849">
        <w:rPr>
          <w:rFonts w:asciiTheme="minorHAnsi" w:hAnsiTheme="minorHAnsi" w:cstheme="minorHAnsi"/>
          <w:color w:val="383838"/>
        </w:rPr>
        <w:t>cardiovascular diseases</w:t>
      </w:r>
      <w:r w:rsidR="00E65898" w:rsidRPr="00000849">
        <w:rPr>
          <w:rFonts w:asciiTheme="minorHAnsi" w:hAnsiTheme="minorHAnsi" w:cstheme="minorHAnsi"/>
          <w:color w:val="383838"/>
        </w:rPr>
        <w:t xml:space="preserve">, </w:t>
      </w:r>
      <w:r w:rsidR="00646699" w:rsidRPr="00000849">
        <w:rPr>
          <w:rFonts w:asciiTheme="minorHAnsi" w:hAnsiTheme="minorHAnsi" w:cstheme="minorHAnsi"/>
          <w:color w:val="383838"/>
        </w:rPr>
        <w:t>its determinants have</w:t>
      </w:r>
      <w:r w:rsidR="00E65898" w:rsidRPr="00000849">
        <w:rPr>
          <w:rFonts w:asciiTheme="minorHAnsi" w:hAnsiTheme="minorHAnsi" w:cstheme="minorHAnsi"/>
          <w:color w:val="383838"/>
        </w:rPr>
        <w:t xml:space="preserve"> not been adequately </w:t>
      </w:r>
      <w:r w:rsidR="00646699" w:rsidRPr="00000849">
        <w:rPr>
          <w:rFonts w:asciiTheme="minorHAnsi" w:hAnsiTheme="minorHAnsi" w:cstheme="minorHAnsi"/>
          <w:color w:val="383838"/>
        </w:rPr>
        <w:t>explored</w:t>
      </w:r>
      <w:r w:rsidR="00E65898" w:rsidRPr="00000849">
        <w:rPr>
          <w:rFonts w:asciiTheme="minorHAnsi" w:hAnsiTheme="minorHAnsi" w:cstheme="minorHAnsi"/>
          <w:color w:val="383838"/>
        </w:rPr>
        <w:t xml:space="preserve"> in adults aged 50 years </w:t>
      </w:r>
      <w:r w:rsidR="00646699" w:rsidRPr="00000849">
        <w:rPr>
          <w:rFonts w:asciiTheme="minorHAnsi" w:hAnsiTheme="minorHAnsi" w:cstheme="minorHAnsi"/>
          <w:color w:val="383838"/>
        </w:rPr>
        <w:t xml:space="preserve">and older </w:t>
      </w:r>
      <w:r w:rsidR="00E65898" w:rsidRPr="00000849">
        <w:rPr>
          <w:rFonts w:asciiTheme="minorHAnsi" w:hAnsiTheme="minorHAnsi" w:cstheme="minorHAnsi"/>
          <w:color w:val="383838"/>
        </w:rPr>
        <w:t>in Ghana.</w:t>
      </w:r>
      <w:r w:rsidRPr="00000849">
        <w:rPr>
          <w:rFonts w:asciiTheme="minorHAnsi" w:hAnsiTheme="minorHAnsi" w:cstheme="minorHAnsi"/>
          <w:color w:val="383838"/>
        </w:rPr>
        <w:t xml:space="preserve">  </w:t>
      </w:r>
    </w:p>
    <w:p w14:paraId="7475CBA8" w14:textId="77777777" w:rsidR="003C3C65" w:rsidRPr="00000849" w:rsidRDefault="003C3C65" w:rsidP="00BB751E">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ECDD3B6" w14:textId="1B1B7A4B" w:rsidR="00772AEA" w:rsidRPr="00000849" w:rsidRDefault="00772AEA" w:rsidP="00BB751E">
      <w:pPr>
        <w:pStyle w:val="NormalWeb"/>
        <w:shd w:val="clear" w:color="auto" w:fill="FFFFFF"/>
        <w:spacing w:before="0" w:beforeAutospacing="0" w:after="165" w:afterAutospacing="0" w:line="480" w:lineRule="auto"/>
        <w:jc w:val="both"/>
        <w:rPr>
          <w:rFonts w:asciiTheme="minorHAnsi" w:hAnsiTheme="minorHAnsi" w:cstheme="minorHAnsi"/>
          <w:b/>
          <w:color w:val="383838"/>
        </w:rPr>
      </w:pPr>
      <w:r w:rsidRPr="00000849">
        <w:rPr>
          <w:rFonts w:asciiTheme="minorHAnsi" w:hAnsiTheme="minorHAnsi" w:cstheme="minorHAnsi"/>
          <w:b/>
          <w:color w:val="383838"/>
        </w:rPr>
        <w:t>Objective</w:t>
      </w:r>
      <w:r w:rsidR="00B05360" w:rsidRPr="00000849">
        <w:rPr>
          <w:rFonts w:asciiTheme="minorHAnsi" w:hAnsiTheme="minorHAnsi" w:cstheme="minorHAnsi"/>
          <w:b/>
          <w:color w:val="383838"/>
        </w:rPr>
        <w:t>s</w:t>
      </w:r>
    </w:p>
    <w:p w14:paraId="5C035A12" w14:textId="01432D03" w:rsidR="00772AEA" w:rsidRPr="00000849" w:rsidRDefault="00E65898" w:rsidP="00BB751E">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study sought to </w:t>
      </w:r>
      <w:r w:rsidR="00BB751E" w:rsidRPr="00000849">
        <w:rPr>
          <w:rFonts w:asciiTheme="minorHAnsi" w:hAnsiTheme="minorHAnsi" w:cstheme="minorHAnsi"/>
          <w:color w:val="383838"/>
        </w:rPr>
        <w:t>assess</w:t>
      </w:r>
      <w:r w:rsidRPr="00000849">
        <w:rPr>
          <w:rFonts w:asciiTheme="minorHAnsi" w:hAnsiTheme="minorHAnsi" w:cstheme="minorHAnsi"/>
          <w:color w:val="383838"/>
        </w:rPr>
        <w:t xml:space="preserve"> th</w:t>
      </w:r>
      <w:r w:rsidR="00BB751E" w:rsidRPr="00000849">
        <w:rPr>
          <w:rFonts w:asciiTheme="minorHAnsi" w:hAnsiTheme="minorHAnsi" w:cstheme="minorHAnsi"/>
          <w:color w:val="383838"/>
        </w:rPr>
        <w:t xml:space="preserve">e </w:t>
      </w:r>
      <w:r w:rsidR="00B70CCC" w:rsidRPr="00000849">
        <w:rPr>
          <w:rFonts w:asciiTheme="minorHAnsi" w:hAnsiTheme="minorHAnsi" w:cstheme="minorHAnsi"/>
          <w:color w:val="383838"/>
        </w:rPr>
        <w:t>prevalence</w:t>
      </w:r>
      <w:r w:rsidR="00BB751E" w:rsidRPr="00000849">
        <w:rPr>
          <w:rFonts w:asciiTheme="minorHAnsi" w:hAnsiTheme="minorHAnsi" w:cstheme="minorHAnsi"/>
          <w:color w:val="383838"/>
        </w:rPr>
        <w:t xml:space="preserve"> </w:t>
      </w:r>
      <w:r w:rsidR="00096BC4" w:rsidRPr="00000849">
        <w:rPr>
          <w:rFonts w:asciiTheme="minorHAnsi" w:hAnsiTheme="minorHAnsi" w:cstheme="minorHAnsi"/>
          <w:color w:val="383838"/>
        </w:rPr>
        <w:t>of</w:t>
      </w:r>
      <w:r w:rsidR="00BB751E" w:rsidRPr="00000849">
        <w:rPr>
          <w:rFonts w:asciiTheme="minorHAnsi" w:hAnsiTheme="minorHAnsi" w:cstheme="minorHAnsi"/>
          <w:color w:val="383838"/>
        </w:rPr>
        <w:t xml:space="preserve"> hypertension</w:t>
      </w:r>
      <w:r w:rsidR="005439E9" w:rsidRPr="00000849">
        <w:rPr>
          <w:rFonts w:asciiTheme="minorHAnsi" w:hAnsiTheme="minorHAnsi" w:cstheme="minorHAnsi"/>
          <w:color w:val="383838"/>
        </w:rPr>
        <w:t>,</w:t>
      </w:r>
      <w:r w:rsidR="00BB751E" w:rsidRPr="00000849">
        <w:rPr>
          <w:rFonts w:asciiTheme="minorHAnsi" w:hAnsiTheme="minorHAnsi" w:cstheme="minorHAnsi"/>
          <w:color w:val="383838"/>
        </w:rPr>
        <w:t xml:space="preserve"> </w:t>
      </w:r>
      <w:r w:rsidR="005439E9" w:rsidRPr="00000849">
        <w:rPr>
          <w:rFonts w:asciiTheme="minorHAnsi" w:hAnsiTheme="minorHAnsi" w:cstheme="minorHAnsi"/>
          <w:color w:val="383838"/>
        </w:rPr>
        <w:t xml:space="preserve">its severity and its determinants of hypertension </w:t>
      </w:r>
      <w:r w:rsidR="00BB751E" w:rsidRPr="00000849">
        <w:rPr>
          <w:rFonts w:asciiTheme="minorHAnsi" w:hAnsiTheme="minorHAnsi" w:cstheme="minorHAnsi"/>
          <w:color w:val="383838"/>
        </w:rPr>
        <w:t xml:space="preserve">in </w:t>
      </w:r>
      <w:r w:rsidR="00AE02F2" w:rsidRPr="00000849">
        <w:rPr>
          <w:rFonts w:asciiTheme="minorHAnsi" w:hAnsiTheme="minorHAnsi" w:cstheme="minorHAnsi"/>
          <w:color w:val="383838"/>
        </w:rPr>
        <w:t>community-</w:t>
      </w:r>
      <w:r w:rsidR="00FC1318" w:rsidRPr="00000849">
        <w:rPr>
          <w:rFonts w:asciiTheme="minorHAnsi" w:hAnsiTheme="minorHAnsi" w:cstheme="minorHAnsi"/>
          <w:color w:val="383838"/>
        </w:rPr>
        <w:t>dwelling</w:t>
      </w:r>
      <w:r w:rsidR="00AE02F2" w:rsidRPr="00000849">
        <w:rPr>
          <w:rFonts w:asciiTheme="minorHAnsi" w:hAnsiTheme="minorHAnsi" w:cstheme="minorHAnsi"/>
          <w:color w:val="383838"/>
        </w:rPr>
        <w:t xml:space="preserve"> </w:t>
      </w:r>
      <w:r w:rsidR="00BB751E" w:rsidRPr="00000849">
        <w:rPr>
          <w:rFonts w:asciiTheme="minorHAnsi" w:hAnsiTheme="minorHAnsi" w:cstheme="minorHAnsi"/>
          <w:color w:val="383838"/>
        </w:rPr>
        <w:t xml:space="preserve">older adults at </w:t>
      </w:r>
      <w:r w:rsidR="00B40F91" w:rsidRPr="00000849">
        <w:rPr>
          <w:rFonts w:asciiTheme="minorHAnsi" w:hAnsiTheme="minorHAnsi" w:cstheme="minorHAnsi"/>
          <w:color w:val="383838"/>
        </w:rPr>
        <w:t xml:space="preserve">and over </w:t>
      </w:r>
      <w:r w:rsidR="00BB751E" w:rsidRPr="00000849">
        <w:rPr>
          <w:rFonts w:asciiTheme="minorHAnsi" w:hAnsiTheme="minorHAnsi" w:cstheme="minorHAnsi"/>
          <w:color w:val="383838"/>
        </w:rPr>
        <w:t>two time points</w:t>
      </w:r>
      <w:r w:rsidR="00C052D1" w:rsidRPr="00000849">
        <w:rPr>
          <w:rFonts w:asciiTheme="minorHAnsi" w:hAnsiTheme="minorHAnsi" w:cstheme="minorHAnsi"/>
          <w:color w:val="383838"/>
        </w:rPr>
        <w:t xml:space="preserve">.  It also estimated the level of awareness, treatment experience and blood pressure </w:t>
      </w:r>
      <w:r w:rsidR="009266C4" w:rsidRPr="00000849">
        <w:rPr>
          <w:rFonts w:asciiTheme="minorHAnsi" w:hAnsiTheme="minorHAnsi" w:cstheme="minorHAnsi"/>
          <w:color w:val="383838"/>
        </w:rPr>
        <w:t xml:space="preserve">(BP) </w:t>
      </w:r>
      <w:r w:rsidR="00C052D1" w:rsidRPr="00000849">
        <w:rPr>
          <w:rFonts w:asciiTheme="minorHAnsi" w:hAnsiTheme="minorHAnsi" w:cstheme="minorHAnsi"/>
          <w:color w:val="383838"/>
        </w:rPr>
        <w:t xml:space="preserve">control among </w:t>
      </w:r>
      <w:r w:rsidR="00E70525" w:rsidRPr="00000849">
        <w:rPr>
          <w:rFonts w:asciiTheme="minorHAnsi" w:hAnsiTheme="minorHAnsi" w:cstheme="minorHAnsi"/>
          <w:color w:val="383838"/>
        </w:rPr>
        <w:t>people with hypertension</w:t>
      </w:r>
      <w:r w:rsidR="00C052D1" w:rsidRPr="00000849">
        <w:rPr>
          <w:rFonts w:asciiTheme="minorHAnsi" w:hAnsiTheme="minorHAnsi" w:cstheme="minorHAnsi"/>
          <w:color w:val="383838"/>
        </w:rPr>
        <w:t xml:space="preserve"> as well as the clustering of risk factors</w:t>
      </w:r>
      <w:r w:rsidR="00B40F91" w:rsidRPr="00000849">
        <w:rPr>
          <w:rFonts w:asciiTheme="minorHAnsi" w:hAnsiTheme="minorHAnsi" w:cstheme="minorHAnsi"/>
          <w:color w:val="383838"/>
        </w:rPr>
        <w:t xml:space="preserve"> among the study participants</w:t>
      </w:r>
      <w:r w:rsidR="00C052D1" w:rsidRPr="00000849">
        <w:rPr>
          <w:rFonts w:asciiTheme="minorHAnsi" w:hAnsiTheme="minorHAnsi" w:cstheme="minorHAnsi"/>
          <w:color w:val="383838"/>
        </w:rPr>
        <w:t xml:space="preserve">.  </w:t>
      </w:r>
    </w:p>
    <w:p w14:paraId="7776D771" w14:textId="77777777" w:rsidR="00E65898" w:rsidRPr="00000849" w:rsidRDefault="00E65898" w:rsidP="00BB751E">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07E70AFC" w14:textId="1E48AB32" w:rsidR="00772AEA" w:rsidRPr="00000849" w:rsidRDefault="00772AEA" w:rsidP="008733CA">
      <w:pPr>
        <w:pStyle w:val="NormalWeb"/>
        <w:keepNext/>
        <w:keepLines/>
        <w:shd w:val="clear" w:color="auto" w:fill="FFFFFF"/>
        <w:spacing w:before="0" w:beforeAutospacing="0" w:after="165" w:afterAutospacing="0" w:line="480" w:lineRule="auto"/>
        <w:jc w:val="both"/>
        <w:rPr>
          <w:rFonts w:asciiTheme="minorHAnsi" w:hAnsiTheme="minorHAnsi" w:cstheme="minorHAnsi"/>
          <w:b/>
          <w:color w:val="383838"/>
        </w:rPr>
      </w:pPr>
      <w:r w:rsidRPr="00000849">
        <w:rPr>
          <w:rFonts w:asciiTheme="minorHAnsi" w:hAnsiTheme="minorHAnsi" w:cstheme="minorHAnsi"/>
          <w:b/>
          <w:color w:val="383838"/>
        </w:rPr>
        <w:lastRenderedPageBreak/>
        <w:t>Methods</w:t>
      </w:r>
    </w:p>
    <w:p w14:paraId="3B8DD9AC" w14:textId="77777777" w:rsidR="00C516A6" w:rsidRPr="00000849" w:rsidRDefault="009E0BF7" w:rsidP="00BB751E">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study </w:t>
      </w:r>
      <w:r w:rsidR="00B40F91" w:rsidRPr="00000849">
        <w:rPr>
          <w:rFonts w:asciiTheme="minorHAnsi" w:hAnsiTheme="minorHAnsi" w:cstheme="minorHAnsi"/>
          <w:color w:val="383838"/>
        </w:rPr>
        <w:t xml:space="preserve">involved two components.  One component estimated the prevalence of hypertension in older adults in Ghana within the framework of a systematic review and meta-analysis of </w:t>
      </w:r>
      <w:r w:rsidR="006773D2" w:rsidRPr="00000849">
        <w:rPr>
          <w:rFonts w:asciiTheme="minorHAnsi" w:hAnsiTheme="minorHAnsi" w:cstheme="minorHAnsi"/>
          <w:color w:val="383838"/>
        </w:rPr>
        <w:t xml:space="preserve">community-based studies on the prevalence of </w:t>
      </w:r>
      <w:r w:rsidR="00B40F91" w:rsidRPr="00000849">
        <w:rPr>
          <w:rFonts w:asciiTheme="minorHAnsi" w:hAnsiTheme="minorHAnsi" w:cstheme="minorHAnsi"/>
          <w:color w:val="383838"/>
        </w:rPr>
        <w:t>hypertension in older adults in Africa</w:t>
      </w:r>
      <w:r w:rsidR="006773D2" w:rsidRPr="00000849">
        <w:rPr>
          <w:rFonts w:asciiTheme="minorHAnsi" w:hAnsiTheme="minorHAnsi" w:cstheme="minorHAnsi"/>
          <w:color w:val="383838"/>
        </w:rPr>
        <w:t xml:space="preserve"> published between 1980 and May 2018</w:t>
      </w:r>
      <w:r w:rsidR="00B40F91" w:rsidRPr="00000849">
        <w:rPr>
          <w:rFonts w:asciiTheme="minorHAnsi" w:hAnsiTheme="minorHAnsi" w:cstheme="minorHAnsi"/>
          <w:color w:val="383838"/>
        </w:rPr>
        <w:t xml:space="preserve">.  </w:t>
      </w:r>
      <w:r w:rsidR="00A24B5A" w:rsidRPr="00000849">
        <w:rPr>
          <w:rFonts w:asciiTheme="minorHAnsi" w:hAnsiTheme="minorHAnsi" w:cstheme="minorHAnsi"/>
          <w:color w:val="383838"/>
        </w:rPr>
        <w:t xml:space="preserve">The review involved the use of appropriate search terms in major databases to maximise yield.  The pooled prevalence was estimated using a random effects model.  Measures to assess the quality of the results included independent assessment of the risk of bias in the included studies, </w:t>
      </w:r>
      <w:r w:rsidR="00C516A6" w:rsidRPr="00000849">
        <w:rPr>
          <w:rFonts w:asciiTheme="minorHAnsi" w:hAnsiTheme="minorHAnsi" w:cstheme="minorHAnsi"/>
          <w:color w:val="383838"/>
        </w:rPr>
        <w:t xml:space="preserve">sensitivity analysis involving the exclusion of one study at a time to assess its effect on the pooled prevalence and the assessment of the presence of reporting bias. </w:t>
      </w:r>
      <w:r w:rsidR="00A24B5A" w:rsidRPr="00000849">
        <w:rPr>
          <w:rFonts w:asciiTheme="minorHAnsi" w:hAnsiTheme="minorHAnsi" w:cstheme="minorHAnsi"/>
          <w:color w:val="383838"/>
        </w:rPr>
        <w:t xml:space="preserve"> </w:t>
      </w:r>
    </w:p>
    <w:p w14:paraId="1A70ED58" w14:textId="3EDD109F" w:rsidR="009266C4" w:rsidRPr="00000849" w:rsidRDefault="00B40F91" w:rsidP="00143B7E">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The other component </w:t>
      </w:r>
      <w:r w:rsidR="009E0BF7" w:rsidRPr="00000849">
        <w:rPr>
          <w:rFonts w:asciiTheme="minorHAnsi" w:hAnsiTheme="minorHAnsi" w:cstheme="minorHAnsi"/>
          <w:color w:val="383838"/>
        </w:rPr>
        <w:t xml:space="preserve">involved the analysis of </w:t>
      </w:r>
      <w:r w:rsidR="000B7B8D" w:rsidRPr="00000849">
        <w:rPr>
          <w:rFonts w:asciiTheme="minorHAnsi" w:hAnsiTheme="minorHAnsi" w:cstheme="minorHAnsi"/>
          <w:color w:val="383838"/>
        </w:rPr>
        <w:t xml:space="preserve">publicly available datasets of </w:t>
      </w:r>
      <w:r w:rsidR="009E0BF7" w:rsidRPr="00000849">
        <w:rPr>
          <w:rFonts w:asciiTheme="minorHAnsi" w:hAnsiTheme="minorHAnsi" w:cstheme="minorHAnsi"/>
          <w:color w:val="383838"/>
        </w:rPr>
        <w:t>t</w:t>
      </w:r>
      <w:r w:rsidR="00B05360" w:rsidRPr="00000849">
        <w:rPr>
          <w:rFonts w:asciiTheme="minorHAnsi" w:hAnsiTheme="minorHAnsi" w:cstheme="minorHAnsi"/>
          <w:color w:val="383838"/>
        </w:rPr>
        <w:t xml:space="preserve">wo waves of </w:t>
      </w:r>
      <w:r w:rsidR="000B7B8D" w:rsidRPr="00000849">
        <w:rPr>
          <w:rFonts w:asciiTheme="minorHAnsi" w:hAnsiTheme="minorHAnsi" w:cstheme="minorHAnsi"/>
          <w:color w:val="383838"/>
        </w:rPr>
        <w:t>a</w:t>
      </w:r>
      <w:r w:rsidR="00B05360" w:rsidRPr="00000849">
        <w:rPr>
          <w:rFonts w:asciiTheme="minorHAnsi" w:hAnsiTheme="minorHAnsi" w:cstheme="minorHAnsi"/>
          <w:color w:val="383838"/>
        </w:rPr>
        <w:t xml:space="preserve"> </w:t>
      </w:r>
      <w:r w:rsidR="00DA7127" w:rsidRPr="00000849">
        <w:rPr>
          <w:rFonts w:asciiTheme="minorHAnsi" w:hAnsiTheme="minorHAnsi" w:cstheme="minorHAnsi"/>
          <w:color w:val="383838"/>
        </w:rPr>
        <w:t>nationally representative</w:t>
      </w:r>
      <w:r w:rsidR="00B05360" w:rsidRPr="00000849">
        <w:rPr>
          <w:rFonts w:asciiTheme="minorHAnsi" w:hAnsiTheme="minorHAnsi" w:cstheme="minorHAnsi"/>
          <w:color w:val="383838"/>
        </w:rPr>
        <w:t xml:space="preserve"> </w:t>
      </w:r>
      <w:r w:rsidR="00B05360" w:rsidRPr="00000849">
        <w:rPr>
          <w:rFonts w:asciiTheme="minorHAnsi" w:hAnsiTheme="minorHAnsi" w:cstheme="minorHAnsi"/>
          <w:b/>
        </w:rPr>
        <w:t>S</w:t>
      </w:r>
      <w:r w:rsidR="00B05360" w:rsidRPr="00000849">
        <w:rPr>
          <w:rFonts w:asciiTheme="minorHAnsi" w:hAnsiTheme="minorHAnsi" w:cstheme="minorHAnsi"/>
        </w:rPr>
        <w:t xml:space="preserve">tudy on global </w:t>
      </w:r>
      <w:r w:rsidR="00B05360" w:rsidRPr="00000849">
        <w:rPr>
          <w:rFonts w:asciiTheme="minorHAnsi" w:hAnsiTheme="minorHAnsi" w:cstheme="minorHAnsi"/>
          <w:b/>
        </w:rPr>
        <w:t>AGE</w:t>
      </w:r>
      <w:r w:rsidR="00B05360" w:rsidRPr="00000849">
        <w:rPr>
          <w:rFonts w:asciiTheme="minorHAnsi" w:hAnsiTheme="minorHAnsi" w:cstheme="minorHAnsi"/>
        </w:rPr>
        <w:t>ing and adult health (</w:t>
      </w:r>
      <w:r w:rsidR="00B05360" w:rsidRPr="00000849">
        <w:rPr>
          <w:rFonts w:asciiTheme="minorHAnsi" w:hAnsiTheme="minorHAnsi" w:cstheme="minorHAnsi"/>
          <w:color w:val="383838"/>
        </w:rPr>
        <w:t xml:space="preserve">SAGE) in Ghana conducted in 2007/2008 and in 2015 respectively. </w:t>
      </w:r>
      <w:r w:rsidR="00C00613" w:rsidRPr="00000849">
        <w:rPr>
          <w:rFonts w:asciiTheme="minorHAnsi" w:hAnsiTheme="minorHAnsi" w:cstheme="minorHAnsi"/>
          <w:color w:val="383838"/>
        </w:rPr>
        <w:t xml:space="preserve"> A series of </w:t>
      </w:r>
      <w:r w:rsidR="009266C4" w:rsidRPr="00000849">
        <w:rPr>
          <w:rFonts w:asciiTheme="minorHAnsi" w:hAnsiTheme="minorHAnsi" w:cstheme="minorHAnsi"/>
          <w:color w:val="383838"/>
        </w:rPr>
        <w:t>single level (individual)</w:t>
      </w:r>
      <w:r w:rsidR="007533CB" w:rsidRPr="00000849">
        <w:rPr>
          <w:rFonts w:asciiTheme="minorHAnsi" w:hAnsiTheme="minorHAnsi" w:cstheme="minorHAnsi"/>
          <w:color w:val="383838"/>
        </w:rPr>
        <w:t>,</w:t>
      </w:r>
      <w:r w:rsidR="009266C4" w:rsidRPr="00000849">
        <w:rPr>
          <w:rFonts w:asciiTheme="minorHAnsi" w:hAnsiTheme="minorHAnsi" w:cstheme="minorHAnsi"/>
          <w:color w:val="383838"/>
        </w:rPr>
        <w:t xml:space="preserve"> multilevel (individual</w:t>
      </w:r>
      <w:r w:rsidR="000B7B8D" w:rsidRPr="00000849">
        <w:rPr>
          <w:rFonts w:asciiTheme="minorHAnsi" w:hAnsiTheme="minorHAnsi" w:cstheme="minorHAnsi"/>
          <w:color w:val="383838"/>
        </w:rPr>
        <w:t xml:space="preserve">s nested in </w:t>
      </w:r>
      <w:r w:rsidR="009266C4" w:rsidRPr="00000849">
        <w:rPr>
          <w:rFonts w:asciiTheme="minorHAnsi" w:hAnsiTheme="minorHAnsi" w:cstheme="minorHAnsi"/>
          <w:color w:val="383838"/>
        </w:rPr>
        <w:t>household</w:t>
      </w:r>
      <w:r w:rsidR="000B7B8D" w:rsidRPr="00000849">
        <w:rPr>
          <w:rFonts w:asciiTheme="minorHAnsi" w:hAnsiTheme="minorHAnsi" w:cstheme="minorHAnsi"/>
          <w:color w:val="383838"/>
        </w:rPr>
        <w:t xml:space="preserve">s which are in turn nested in </w:t>
      </w:r>
      <w:r w:rsidR="009266C4" w:rsidRPr="00000849">
        <w:rPr>
          <w:rFonts w:asciiTheme="minorHAnsi" w:hAnsiTheme="minorHAnsi" w:cstheme="minorHAnsi"/>
          <w:color w:val="383838"/>
        </w:rPr>
        <w:t xml:space="preserve">enumeration area) </w:t>
      </w:r>
      <w:r w:rsidR="004A7568" w:rsidRPr="00000849">
        <w:rPr>
          <w:rFonts w:asciiTheme="minorHAnsi" w:hAnsiTheme="minorHAnsi" w:cstheme="minorHAnsi"/>
          <w:color w:val="383838"/>
        </w:rPr>
        <w:t xml:space="preserve">as well as ordinal (to capture different grades of </w:t>
      </w:r>
      <w:r w:rsidR="007533CB" w:rsidRPr="00000849">
        <w:rPr>
          <w:rFonts w:asciiTheme="minorHAnsi" w:hAnsiTheme="minorHAnsi" w:cstheme="minorHAnsi"/>
          <w:color w:val="383838"/>
        </w:rPr>
        <w:t>hypertension</w:t>
      </w:r>
      <w:r w:rsidR="004A7568" w:rsidRPr="00000849">
        <w:rPr>
          <w:rFonts w:asciiTheme="minorHAnsi" w:hAnsiTheme="minorHAnsi" w:cstheme="minorHAnsi"/>
          <w:color w:val="383838"/>
        </w:rPr>
        <w:t xml:space="preserve">) </w:t>
      </w:r>
      <w:r w:rsidR="009266C4" w:rsidRPr="00000849">
        <w:rPr>
          <w:rFonts w:asciiTheme="minorHAnsi" w:hAnsiTheme="minorHAnsi" w:cstheme="minorHAnsi"/>
          <w:color w:val="383838"/>
        </w:rPr>
        <w:t xml:space="preserve">regression models were fitted to the data with hypertension </w:t>
      </w:r>
      <w:r w:rsidR="004A7568" w:rsidRPr="00000849">
        <w:rPr>
          <w:rFonts w:asciiTheme="minorHAnsi" w:hAnsiTheme="minorHAnsi" w:cstheme="minorHAnsi"/>
          <w:color w:val="383838"/>
        </w:rPr>
        <w:t xml:space="preserve">defined </w:t>
      </w:r>
      <w:r w:rsidR="007533CB" w:rsidRPr="00000849">
        <w:rPr>
          <w:rFonts w:asciiTheme="minorHAnsi" w:hAnsiTheme="minorHAnsi" w:cstheme="minorHAnsi"/>
          <w:color w:val="383838"/>
        </w:rPr>
        <w:t>alternatively</w:t>
      </w:r>
      <w:r w:rsidR="00646699" w:rsidRPr="00000849">
        <w:rPr>
          <w:rFonts w:asciiTheme="minorHAnsi" w:hAnsiTheme="minorHAnsi" w:cstheme="minorHAnsi"/>
          <w:color w:val="383838"/>
        </w:rPr>
        <w:t xml:space="preserve"> </w:t>
      </w:r>
      <w:r w:rsidR="009266C4" w:rsidRPr="00000849">
        <w:rPr>
          <w:rFonts w:asciiTheme="minorHAnsi" w:hAnsiTheme="minorHAnsi" w:cstheme="minorHAnsi"/>
          <w:color w:val="383838"/>
        </w:rPr>
        <w:t xml:space="preserve">as a binary </w:t>
      </w:r>
      <w:r w:rsidR="00646699" w:rsidRPr="00000849">
        <w:rPr>
          <w:rFonts w:asciiTheme="minorHAnsi" w:hAnsiTheme="minorHAnsi" w:cstheme="minorHAnsi"/>
          <w:color w:val="383838"/>
        </w:rPr>
        <w:t>and</w:t>
      </w:r>
      <w:r w:rsidR="009266C4" w:rsidRPr="00000849">
        <w:rPr>
          <w:rFonts w:asciiTheme="minorHAnsi" w:hAnsiTheme="minorHAnsi" w:cstheme="minorHAnsi"/>
          <w:color w:val="383838"/>
        </w:rPr>
        <w:t xml:space="preserve"> </w:t>
      </w:r>
      <w:r w:rsidR="00646699" w:rsidRPr="00000849">
        <w:rPr>
          <w:rFonts w:asciiTheme="minorHAnsi" w:hAnsiTheme="minorHAnsi" w:cstheme="minorHAnsi"/>
          <w:color w:val="383838"/>
        </w:rPr>
        <w:t>a</w:t>
      </w:r>
      <w:r w:rsidR="00B70CCC" w:rsidRPr="00000849">
        <w:rPr>
          <w:rFonts w:asciiTheme="minorHAnsi" w:hAnsiTheme="minorHAnsi" w:cstheme="minorHAnsi"/>
          <w:color w:val="383838"/>
        </w:rPr>
        <w:t>n</w:t>
      </w:r>
      <w:r w:rsidR="00646699" w:rsidRPr="00000849">
        <w:rPr>
          <w:rFonts w:asciiTheme="minorHAnsi" w:hAnsiTheme="minorHAnsi" w:cstheme="minorHAnsi"/>
          <w:color w:val="383838"/>
        </w:rPr>
        <w:t xml:space="preserve"> </w:t>
      </w:r>
      <w:r w:rsidR="009266C4" w:rsidRPr="00000849">
        <w:rPr>
          <w:rFonts w:asciiTheme="minorHAnsi" w:hAnsiTheme="minorHAnsi" w:cstheme="minorHAnsi"/>
          <w:color w:val="383838"/>
        </w:rPr>
        <w:t xml:space="preserve">ordinal outcome variable.  </w:t>
      </w:r>
      <w:r w:rsidR="006C5379" w:rsidRPr="00000849">
        <w:rPr>
          <w:rFonts w:asciiTheme="minorHAnsi" w:hAnsiTheme="minorHAnsi" w:cstheme="minorHAnsi"/>
          <w:color w:val="383838"/>
        </w:rPr>
        <w:t>T</w:t>
      </w:r>
      <w:r w:rsidR="007533CB" w:rsidRPr="00000849">
        <w:rPr>
          <w:rFonts w:asciiTheme="minorHAnsi" w:hAnsiTheme="minorHAnsi" w:cstheme="minorHAnsi"/>
          <w:color w:val="383838"/>
        </w:rPr>
        <w:t>he different categories</w:t>
      </w:r>
      <w:r w:rsidR="006C5379" w:rsidRPr="00000849">
        <w:rPr>
          <w:rFonts w:asciiTheme="minorHAnsi" w:hAnsiTheme="minorHAnsi" w:cstheme="minorHAnsi"/>
          <w:color w:val="383838"/>
        </w:rPr>
        <w:t xml:space="preserve"> of the ordinal outcome variable</w:t>
      </w:r>
      <w:r w:rsidR="007533CB" w:rsidRPr="00000849">
        <w:rPr>
          <w:rFonts w:asciiTheme="minorHAnsi" w:hAnsiTheme="minorHAnsi" w:cstheme="minorHAnsi"/>
          <w:color w:val="383838"/>
        </w:rPr>
        <w:t xml:space="preserve"> correspond</w:t>
      </w:r>
      <w:r w:rsidR="006C5379" w:rsidRPr="00000849">
        <w:rPr>
          <w:rFonts w:asciiTheme="minorHAnsi" w:hAnsiTheme="minorHAnsi" w:cstheme="minorHAnsi"/>
          <w:color w:val="383838"/>
        </w:rPr>
        <w:t>ed</w:t>
      </w:r>
      <w:r w:rsidR="007533CB" w:rsidRPr="00000849">
        <w:rPr>
          <w:rFonts w:asciiTheme="minorHAnsi" w:hAnsiTheme="minorHAnsi" w:cstheme="minorHAnsi"/>
          <w:color w:val="383838"/>
        </w:rPr>
        <w:t xml:space="preserve"> to increasing levels of hypertension</w:t>
      </w:r>
      <w:r w:rsidR="00DD63C6" w:rsidRPr="00000849">
        <w:rPr>
          <w:rFonts w:asciiTheme="minorHAnsi" w:hAnsiTheme="minorHAnsi" w:cstheme="minorHAnsi"/>
          <w:color w:val="383838"/>
        </w:rPr>
        <w:t xml:space="preserve">.  </w:t>
      </w:r>
      <w:r w:rsidR="00A03E2C" w:rsidRPr="00000849">
        <w:rPr>
          <w:rFonts w:asciiTheme="minorHAnsi" w:hAnsiTheme="minorHAnsi" w:cstheme="minorHAnsi"/>
          <w:color w:val="383838"/>
        </w:rPr>
        <w:t xml:space="preserve">All models included a wide range of </w:t>
      </w:r>
      <w:r w:rsidR="008110A7" w:rsidRPr="00000849">
        <w:rPr>
          <w:rFonts w:asciiTheme="minorHAnsi" w:hAnsiTheme="minorHAnsi" w:cstheme="minorHAnsi"/>
          <w:color w:val="383838"/>
        </w:rPr>
        <w:t>demographic, socioeconomic</w:t>
      </w:r>
      <w:r w:rsidR="00B70CCC" w:rsidRPr="00000849">
        <w:rPr>
          <w:rFonts w:asciiTheme="minorHAnsi" w:hAnsiTheme="minorHAnsi" w:cstheme="minorHAnsi"/>
          <w:color w:val="383838"/>
        </w:rPr>
        <w:t xml:space="preserve"> and</w:t>
      </w:r>
      <w:r w:rsidR="008110A7" w:rsidRPr="00000849">
        <w:rPr>
          <w:rFonts w:asciiTheme="minorHAnsi" w:hAnsiTheme="minorHAnsi" w:cstheme="minorHAnsi"/>
          <w:color w:val="383838"/>
        </w:rPr>
        <w:t xml:space="preserve"> lifestyle</w:t>
      </w:r>
      <w:r w:rsidR="00B70CCC" w:rsidRPr="00000849">
        <w:rPr>
          <w:rFonts w:asciiTheme="minorHAnsi" w:hAnsiTheme="minorHAnsi" w:cstheme="minorHAnsi"/>
          <w:color w:val="383838"/>
        </w:rPr>
        <w:t xml:space="preserve">-related </w:t>
      </w:r>
      <w:r w:rsidR="006C5379" w:rsidRPr="00000849">
        <w:rPr>
          <w:rFonts w:asciiTheme="minorHAnsi" w:hAnsiTheme="minorHAnsi" w:cstheme="minorHAnsi"/>
          <w:color w:val="383838"/>
        </w:rPr>
        <w:t>explanatory variables</w:t>
      </w:r>
      <w:r w:rsidR="008110A7" w:rsidRPr="00000849">
        <w:rPr>
          <w:rFonts w:asciiTheme="minorHAnsi" w:hAnsiTheme="minorHAnsi" w:cstheme="minorHAnsi"/>
          <w:color w:val="383838"/>
        </w:rPr>
        <w:t>.</w:t>
      </w:r>
      <w:r w:rsidR="00A03E2C" w:rsidRPr="00000849">
        <w:rPr>
          <w:rFonts w:asciiTheme="minorHAnsi" w:hAnsiTheme="minorHAnsi" w:cstheme="minorHAnsi"/>
          <w:color w:val="383838"/>
        </w:rPr>
        <w:t xml:space="preserve"> </w:t>
      </w:r>
      <w:r w:rsidR="008110A7" w:rsidRPr="00000849">
        <w:rPr>
          <w:rFonts w:asciiTheme="minorHAnsi" w:hAnsiTheme="minorHAnsi" w:cstheme="minorHAnsi"/>
          <w:color w:val="383838"/>
        </w:rPr>
        <w:t xml:space="preserve"> </w:t>
      </w:r>
      <w:r w:rsidR="00B70CCC" w:rsidRPr="00000849">
        <w:rPr>
          <w:rFonts w:asciiTheme="minorHAnsi" w:hAnsiTheme="minorHAnsi" w:cstheme="minorHAnsi"/>
          <w:color w:val="383838"/>
        </w:rPr>
        <w:t xml:space="preserve">Statistical analyses were </w:t>
      </w:r>
      <w:r w:rsidR="00790084" w:rsidRPr="00000849">
        <w:rPr>
          <w:rFonts w:asciiTheme="minorHAnsi" w:hAnsiTheme="minorHAnsi" w:cstheme="minorHAnsi"/>
          <w:color w:val="383838"/>
        </w:rPr>
        <w:t xml:space="preserve">first </w:t>
      </w:r>
      <w:r w:rsidR="00FC1318" w:rsidRPr="00000849">
        <w:rPr>
          <w:rFonts w:asciiTheme="minorHAnsi" w:hAnsiTheme="minorHAnsi" w:cstheme="minorHAnsi"/>
          <w:color w:val="383838"/>
        </w:rPr>
        <w:t xml:space="preserve">conducted </w:t>
      </w:r>
      <w:r w:rsidR="008D09C7" w:rsidRPr="00000849">
        <w:rPr>
          <w:rFonts w:asciiTheme="minorHAnsi" w:hAnsiTheme="minorHAnsi" w:cstheme="minorHAnsi"/>
          <w:color w:val="383838"/>
        </w:rPr>
        <w:t xml:space="preserve">separately </w:t>
      </w:r>
      <w:r w:rsidR="00FC1318" w:rsidRPr="00000849">
        <w:rPr>
          <w:rFonts w:asciiTheme="minorHAnsi" w:hAnsiTheme="minorHAnsi" w:cstheme="minorHAnsi"/>
          <w:color w:val="383838"/>
        </w:rPr>
        <w:t xml:space="preserve">for Wave 1 (W1) </w:t>
      </w:r>
      <w:r w:rsidR="00B70CCC" w:rsidRPr="00000849">
        <w:rPr>
          <w:rFonts w:asciiTheme="minorHAnsi" w:hAnsiTheme="minorHAnsi" w:cstheme="minorHAnsi"/>
          <w:color w:val="383838"/>
        </w:rPr>
        <w:t>and</w:t>
      </w:r>
      <w:r w:rsidR="008D09C7" w:rsidRPr="00000849">
        <w:rPr>
          <w:rFonts w:asciiTheme="minorHAnsi" w:hAnsiTheme="minorHAnsi" w:cstheme="minorHAnsi"/>
          <w:color w:val="383838"/>
        </w:rPr>
        <w:t xml:space="preserve"> </w:t>
      </w:r>
      <w:r w:rsidR="00FC1318" w:rsidRPr="00000849">
        <w:rPr>
          <w:rFonts w:asciiTheme="minorHAnsi" w:hAnsiTheme="minorHAnsi" w:cstheme="minorHAnsi"/>
          <w:color w:val="383838"/>
        </w:rPr>
        <w:t xml:space="preserve">Wave 2 (W2) </w:t>
      </w:r>
      <w:r w:rsidR="008D09C7" w:rsidRPr="00000849">
        <w:rPr>
          <w:rFonts w:asciiTheme="minorHAnsi" w:hAnsiTheme="minorHAnsi" w:cstheme="minorHAnsi"/>
          <w:color w:val="383838"/>
        </w:rPr>
        <w:t xml:space="preserve">participants </w:t>
      </w:r>
      <w:r w:rsidR="00790084" w:rsidRPr="00000849">
        <w:rPr>
          <w:rFonts w:asciiTheme="minorHAnsi" w:hAnsiTheme="minorHAnsi" w:cstheme="minorHAnsi"/>
          <w:color w:val="383838"/>
        </w:rPr>
        <w:t>and</w:t>
      </w:r>
      <w:r w:rsidR="00182C69" w:rsidRPr="00000849">
        <w:rPr>
          <w:rFonts w:asciiTheme="minorHAnsi" w:hAnsiTheme="minorHAnsi" w:cstheme="minorHAnsi"/>
          <w:color w:val="383838"/>
        </w:rPr>
        <w:t xml:space="preserve"> </w:t>
      </w:r>
      <w:r w:rsidR="00790084" w:rsidRPr="00000849">
        <w:rPr>
          <w:rFonts w:asciiTheme="minorHAnsi" w:hAnsiTheme="minorHAnsi" w:cstheme="minorHAnsi"/>
          <w:color w:val="383838"/>
        </w:rPr>
        <w:t>then secondly, by pooling together the</w:t>
      </w:r>
      <w:r w:rsidR="00B70CCC" w:rsidRPr="00000849">
        <w:rPr>
          <w:rFonts w:asciiTheme="minorHAnsi" w:hAnsiTheme="minorHAnsi" w:cstheme="minorHAnsi"/>
          <w:color w:val="383838"/>
        </w:rPr>
        <w:t xml:space="preserve"> W1 and W2 datasets</w:t>
      </w:r>
      <w:r w:rsidR="00790084" w:rsidRPr="00000849">
        <w:rPr>
          <w:rFonts w:asciiTheme="minorHAnsi" w:hAnsiTheme="minorHAnsi" w:cstheme="minorHAnsi"/>
          <w:color w:val="383838"/>
        </w:rPr>
        <w:t xml:space="preserve"> for </w:t>
      </w:r>
      <w:r w:rsidR="004D3768" w:rsidRPr="00000849">
        <w:rPr>
          <w:rFonts w:asciiTheme="minorHAnsi" w:hAnsiTheme="minorHAnsi" w:cstheme="minorHAnsi"/>
          <w:color w:val="383838"/>
        </w:rPr>
        <w:t>longitudinal data analysis</w:t>
      </w:r>
      <w:r w:rsidR="00B70CCC" w:rsidRPr="00000849">
        <w:rPr>
          <w:rFonts w:asciiTheme="minorHAnsi" w:hAnsiTheme="minorHAnsi" w:cstheme="minorHAnsi"/>
          <w:color w:val="383838"/>
        </w:rPr>
        <w:t xml:space="preserve">.  </w:t>
      </w:r>
    </w:p>
    <w:p w14:paraId="410565A3" w14:textId="77777777" w:rsidR="009266C4" w:rsidRPr="00000849" w:rsidRDefault="009266C4" w:rsidP="00BB751E">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3E04BCE" w14:textId="63AE43F6" w:rsidR="00772AEA" w:rsidRPr="00000849" w:rsidRDefault="00AF69A3" w:rsidP="00BB751E">
      <w:pPr>
        <w:pStyle w:val="NormalWeb"/>
        <w:shd w:val="clear" w:color="auto" w:fill="FFFFFF"/>
        <w:spacing w:before="0" w:beforeAutospacing="0" w:after="165" w:afterAutospacing="0" w:line="480" w:lineRule="auto"/>
        <w:jc w:val="both"/>
        <w:rPr>
          <w:rFonts w:asciiTheme="minorHAnsi" w:hAnsiTheme="minorHAnsi" w:cstheme="minorHAnsi"/>
          <w:b/>
          <w:color w:val="383838"/>
        </w:rPr>
      </w:pPr>
      <w:r w:rsidRPr="00000849">
        <w:rPr>
          <w:rFonts w:asciiTheme="minorHAnsi" w:hAnsiTheme="minorHAnsi" w:cstheme="minorHAnsi"/>
          <w:b/>
          <w:color w:val="383838"/>
        </w:rPr>
        <w:t>Main f</w:t>
      </w:r>
      <w:r w:rsidR="00772AEA" w:rsidRPr="00000849">
        <w:rPr>
          <w:rFonts w:asciiTheme="minorHAnsi" w:hAnsiTheme="minorHAnsi" w:cstheme="minorHAnsi"/>
          <w:b/>
          <w:color w:val="383838"/>
        </w:rPr>
        <w:t>indings</w:t>
      </w:r>
    </w:p>
    <w:p w14:paraId="44827BB1" w14:textId="793CAF8D" w:rsidR="000A60A5" w:rsidRPr="00000849" w:rsidRDefault="006773D2" w:rsidP="001F3534">
      <w:pPr>
        <w:pStyle w:val="NoSpacing"/>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The systematic review involved 34 studies which enrolled 43,025 individuals from 15 African countries</w:t>
      </w:r>
      <w:r w:rsidR="005334AE" w:rsidRPr="00000849">
        <w:rPr>
          <w:rFonts w:asciiTheme="minorHAnsi" w:hAnsiTheme="minorHAnsi" w:cstheme="minorHAnsi"/>
          <w:sz w:val="24"/>
          <w:szCs w:val="24"/>
        </w:rPr>
        <w:t>.  There were four studies from Ghana involving 10,519 older adults.  The pooled prevalence of hypertension among the older adults from Ghana was 44.0% [</w:t>
      </w:r>
      <w:r w:rsidR="005334AE" w:rsidRPr="00000849">
        <w:rPr>
          <w:rFonts w:cstheme="minorHAnsi"/>
          <w:sz w:val="24"/>
          <w:szCs w:val="24"/>
        </w:rPr>
        <w:t xml:space="preserve">95% </w:t>
      </w:r>
      <w:r w:rsidR="005334AE" w:rsidRPr="00000849">
        <w:rPr>
          <w:rFonts w:asciiTheme="minorHAnsi" w:hAnsiTheme="minorHAnsi" w:cstheme="minorHAnsi"/>
          <w:sz w:val="24"/>
          <w:szCs w:val="24"/>
        </w:rPr>
        <w:t>confidence interval (</w:t>
      </w:r>
      <w:r w:rsidR="005334AE" w:rsidRPr="00000849">
        <w:rPr>
          <w:rFonts w:cstheme="minorHAnsi"/>
          <w:sz w:val="24"/>
          <w:szCs w:val="24"/>
        </w:rPr>
        <w:t>CI) 3</w:t>
      </w:r>
      <w:r w:rsidR="00A9593C" w:rsidRPr="00000849">
        <w:rPr>
          <w:rFonts w:cstheme="minorHAnsi"/>
          <w:sz w:val="24"/>
          <w:szCs w:val="24"/>
        </w:rPr>
        <w:t>4</w:t>
      </w:r>
      <w:r w:rsidR="005334AE" w:rsidRPr="00000849">
        <w:rPr>
          <w:rFonts w:cstheme="minorHAnsi"/>
          <w:sz w:val="24"/>
          <w:szCs w:val="24"/>
        </w:rPr>
        <w:t>.0%-54.0%</w:t>
      </w:r>
      <w:r w:rsidR="00A9593C" w:rsidRPr="00000849">
        <w:rPr>
          <w:rFonts w:cstheme="minorHAnsi"/>
          <w:sz w:val="24"/>
          <w:szCs w:val="24"/>
        </w:rPr>
        <w:t xml:space="preserve">].  In the secondary data analyses, </w:t>
      </w:r>
      <w:r w:rsidR="00AF69A3" w:rsidRPr="00000849">
        <w:rPr>
          <w:rFonts w:asciiTheme="minorHAnsi" w:hAnsiTheme="minorHAnsi" w:cstheme="minorHAnsi"/>
          <w:sz w:val="24"/>
          <w:szCs w:val="24"/>
        </w:rPr>
        <w:t>t</w:t>
      </w:r>
      <w:r w:rsidR="001F3534" w:rsidRPr="00000849">
        <w:rPr>
          <w:rFonts w:asciiTheme="minorHAnsi" w:hAnsiTheme="minorHAnsi" w:cstheme="minorHAnsi"/>
          <w:sz w:val="24"/>
          <w:szCs w:val="24"/>
        </w:rPr>
        <w:t>he prevalence of hypertension declined from 57.1% in W1 to 35.1</w:t>
      </w:r>
      <w:r w:rsidR="00A13249" w:rsidRPr="00000849">
        <w:rPr>
          <w:rFonts w:asciiTheme="minorHAnsi" w:hAnsiTheme="minorHAnsi" w:cstheme="minorHAnsi"/>
          <w:sz w:val="24"/>
          <w:szCs w:val="24"/>
        </w:rPr>
        <w:t>%</w:t>
      </w:r>
      <w:r w:rsidR="001F3534" w:rsidRPr="00000849">
        <w:rPr>
          <w:rFonts w:asciiTheme="minorHAnsi" w:hAnsiTheme="minorHAnsi" w:cstheme="minorHAnsi"/>
          <w:sz w:val="24"/>
          <w:szCs w:val="24"/>
        </w:rPr>
        <w:t xml:space="preserve"> i</w:t>
      </w:r>
      <w:r w:rsidR="00A13249" w:rsidRPr="00000849">
        <w:rPr>
          <w:rFonts w:asciiTheme="minorHAnsi" w:hAnsiTheme="minorHAnsi" w:cstheme="minorHAnsi"/>
          <w:sz w:val="24"/>
          <w:szCs w:val="24"/>
        </w:rPr>
        <w:t xml:space="preserve">n W2.  </w:t>
      </w:r>
      <w:r w:rsidR="00210C7B" w:rsidRPr="00000849">
        <w:rPr>
          <w:rFonts w:asciiTheme="minorHAnsi" w:hAnsiTheme="minorHAnsi" w:cstheme="minorHAnsi"/>
          <w:sz w:val="24"/>
          <w:szCs w:val="24"/>
        </w:rPr>
        <w:t>Of those with hypertension, 25.1% in W1 and 12.5% in</w:t>
      </w:r>
      <w:r w:rsidR="00A13249" w:rsidRPr="00000849">
        <w:rPr>
          <w:rFonts w:asciiTheme="minorHAnsi" w:hAnsiTheme="minorHAnsi" w:cstheme="minorHAnsi"/>
          <w:sz w:val="24"/>
          <w:szCs w:val="24"/>
        </w:rPr>
        <w:t xml:space="preserve"> </w:t>
      </w:r>
      <w:r w:rsidR="00210C7B" w:rsidRPr="00000849">
        <w:rPr>
          <w:rFonts w:asciiTheme="minorHAnsi" w:hAnsiTheme="minorHAnsi" w:cstheme="minorHAnsi"/>
          <w:sz w:val="24"/>
          <w:szCs w:val="24"/>
        </w:rPr>
        <w:t>W2 had severe or</w:t>
      </w:r>
      <w:r w:rsidR="00A13249" w:rsidRPr="00000849">
        <w:rPr>
          <w:rFonts w:asciiTheme="minorHAnsi" w:hAnsiTheme="minorHAnsi" w:cstheme="minorHAnsi"/>
          <w:sz w:val="24"/>
          <w:szCs w:val="24"/>
        </w:rPr>
        <w:t xml:space="preserve"> grade 3 hypertension </w:t>
      </w:r>
      <w:r w:rsidR="00210C7B" w:rsidRPr="00000849">
        <w:rPr>
          <w:rFonts w:asciiTheme="minorHAnsi" w:hAnsiTheme="minorHAnsi" w:cstheme="minorHAnsi"/>
          <w:sz w:val="24"/>
          <w:szCs w:val="24"/>
        </w:rPr>
        <w:t xml:space="preserve">with blood pressure &gt;180/110 mmHg.  </w:t>
      </w:r>
      <w:r w:rsidR="000A60A5" w:rsidRPr="00000849">
        <w:rPr>
          <w:rFonts w:asciiTheme="minorHAnsi" w:hAnsiTheme="minorHAnsi" w:cstheme="minorHAnsi"/>
          <w:sz w:val="24"/>
          <w:szCs w:val="24"/>
        </w:rPr>
        <w:t xml:space="preserve">About 13.2% and 21.6% of the variation in the prevalence of hypertension in W1 and W2 respectively </w:t>
      </w:r>
      <w:r w:rsidR="00FE2305">
        <w:rPr>
          <w:rFonts w:asciiTheme="minorHAnsi" w:hAnsiTheme="minorHAnsi" w:cstheme="minorHAnsi"/>
          <w:sz w:val="24"/>
          <w:szCs w:val="24"/>
        </w:rPr>
        <w:t>could be</w:t>
      </w:r>
      <w:r w:rsidR="00FE2305" w:rsidRPr="00000849">
        <w:rPr>
          <w:rFonts w:asciiTheme="minorHAnsi" w:hAnsiTheme="minorHAnsi" w:cstheme="minorHAnsi"/>
          <w:sz w:val="24"/>
          <w:szCs w:val="24"/>
        </w:rPr>
        <w:t xml:space="preserve"> </w:t>
      </w:r>
      <w:r w:rsidR="00FE2305">
        <w:rPr>
          <w:rFonts w:asciiTheme="minorHAnsi" w:hAnsiTheme="minorHAnsi" w:cstheme="minorHAnsi"/>
          <w:sz w:val="24"/>
          <w:szCs w:val="24"/>
        </w:rPr>
        <w:t xml:space="preserve">attributed to unobserved </w:t>
      </w:r>
      <w:r w:rsidR="000A60A5" w:rsidRPr="00000849">
        <w:rPr>
          <w:rFonts w:asciiTheme="minorHAnsi" w:hAnsiTheme="minorHAnsi" w:cstheme="minorHAnsi"/>
          <w:sz w:val="24"/>
          <w:szCs w:val="24"/>
        </w:rPr>
        <w:t>between-households and between-enumeration area differences</w:t>
      </w:r>
      <w:r w:rsidR="00FE2305">
        <w:rPr>
          <w:rFonts w:asciiTheme="minorHAnsi" w:hAnsiTheme="minorHAnsi" w:cstheme="minorHAnsi"/>
          <w:sz w:val="24"/>
          <w:szCs w:val="24"/>
        </w:rPr>
        <w:t>, after accounting for the predictor variables in the model</w:t>
      </w:r>
      <w:r w:rsidR="000A60A5" w:rsidRPr="00000849">
        <w:rPr>
          <w:rFonts w:asciiTheme="minorHAnsi" w:hAnsiTheme="minorHAnsi" w:cstheme="minorHAnsi"/>
          <w:sz w:val="24"/>
          <w:szCs w:val="24"/>
        </w:rPr>
        <w:t>.</w:t>
      </w:r>
    </w:p>
    <w:p w14:paraId="65FCAE6E" w14:textId="70079679" w:rsidR="00D06105" w:rsidRPr="00000849" w:rsidRDefault="00CC00E0" w:rsidP="00D06105">
      <w:pPr>
        <w:pStyle w:val="NoSpacing"/>
        <w:spacing w:after="200" w:line="480" w:lineRule="auto"/>
        <w:ind w:firstLine="720"/>
        <w:jc w:val="both"/>
        <w:rPr>
          <w:rFonts w:asciiTheme="minorHAnsi" w:hAnsiTheme="minorHAnsi" w:cstheme="minorHAnsi"/>
          <w:color w:val="383838"/>
          <w:sz w:val="24"/>
          <w:szCs w:val="24"/>
        </w:rPr>
      </w:pPr>
      <w:r w:rsidRPr="00000849">
        <w:rPr>
          <w:rFonts w:asciiTheme="minorHAnsi" w:hAnsiTheme="minorHAnsi" w:cstheme="minorHAnsi"/>
          <w:sz w:val="24"/>
          <w:szCs w:val="24"/>
        </w:rPr>
        <w:t>M</w:t>
      </w:r>
      <w:r w:rsidR="00B96422" w:rsidRPr="00000849">
        <w:rPr>
          <w:rFonts w:asciiTheme="minorHAnsi" w:hAnsiTheme="minorHAnsi" w:cstheme="minorHAnsi"/>
          <w:sz w:val="24"/>
          <w:szCs w:val="24"/>
        </w:rPr>
        <w:t>ost of t</w:t>
      </w:r>
      <w:r w:rsidR="00A13249" w:rsidRPr="00000849">
        <w:rPr>
          <w:rFonts w:asciiTheme="minorHAnsi" w:hAnsiTheme="minorHAnsi" w:cstheme="minorHAnsi"/>
          <w:sz w:val="24"/>
          <w:szCs w:val="24"/>
        </w:rPr>
        <w:t>he major determinants that were independently associated with hypertension were also</w:t>
      </w:r>
      <w:r w:rsidR="00B96422" w:rsidRPr="00000849">
        <w:rPr>
          <w:rFonts w:asciiTheme="minorHAnsi" w:hAnsiTheme="minorHAnsi" w:cstheme="minorHAnsi"/>
          <w:sz w:val="24"/>
          <w:szCs w:val="24"/>
        </w:rPr>
        <w:t xml:space="preserve"> </w:t>
      </w:r>
      <w:r w:rsidR="00A13249" w:rsidRPr="00000849">
        <w:rPr>
          <w:rFonts w:asciiTheme="minorHAnsi" w:hAnsiTheme="minorHAnsi" w:cstheme="minorHAnsi"/>
          <w:sz w:val="24"/>
          <w:szCs w:val="24"/>
        </w:rPr>
        <w:t xml:space="preserve">associated with severe hypertension </w:t>
      </w:r>
      <w:r w:rsidR="00EE38C3" w:rsidRPr="00000849">
        <w:rPr>
          <w:rFonts w:asciiTheme="minorHAnsi" w:hAnsiTheme="minorHAnsi" w:cstheme="minorHAnsi"/>
          <w:sz w:val="24"/>
          <w:szCs w:val="24"/>
        </w:rPr>
        <w:t xml:space="preserve">in the separate study wave analyses as well as </w:t>
      </w:r>
      <w:r w:rsidR="00A13249" w:rsidRPr="00000849">
        <w:rPr>
          <w:rFonts w:asciiTheme="minorHAnsi" w:hAnsiTheme="minorHAnsi" w:cstheme="minorHAnsi"/>
          <w:sz w:val="24"/>
          <w:szCs w:val="24"/>
        </w:rPr>
        <w:t xml:space="preserve">in the </w:t>
      </w:r>
      <w:r w:rsidR="00210C7B" w:rsidRPr="00000849">
        <w:rPr>
          <w:rFonts w:asciiTheme="minorHAnsi" w:hAnsiTheme="minorHAnsi" w:cstheme="minorHAnsi"/>
          <w:sz w:val="24"/>
          <w:szCs w:val="24"/>
        </w:rPr>
        <w:t>longitudinal data analyses</w:t>
      </w:r>
      <w:r w:rsidR="00A13249" w:rsidRPr="00000849">
        <w:rPr>
          <w:rFonts w:asciiTheme="minorHAnsi" w:hAnsiTheme="minorHAnsi" w:cstheme="minorHAnsi"/>
          <w:sz w:val="24"/>
          <w:szCs w:val="24"/>
        </w:rPr>
        <w:t xml:space="preserve">.  Residence in the Greater Accra Region (GAR) </w:t>
      </w:r>
      <w:r w:rsidR="003A1C05" w:rsidRPr="00000849">
        <w:rPr>
          <w:rFonts w:asciiTheme="minorHAnsi" w:hAnsiTheme="minorHAnsi" w:cstheme="minorHAnsi"/>
          <w:sz w:val="24"/>
          <w:szCs w:val="24"/>
        </w:rPr>
        <w:t xml:space="preserve">[odds ratio (OR) </w:t>
      </w:r>
      <w:r w:rsidR="00414E57" w:rsidRPr="00000849">
        <w:rPr>
          <w:rFonts w:asciiTheme="minorHAnsi" w:hAnsiTheme="minorHAnsi" w:cstheme="minorHAnsi"/>
          <w:sz w:val="24"/>
          <w:szCs w:val="24"/>
        </w:rPr>
        <w:t>2.94</w:t>
      </w:r>
      <w:r w:rsidR="00B96422" w:rsidRPr="00000849">
        <w:rPr>
          <w:rFonts w:asciiTheme="minorHAnsi" w:hAnsiTheme="minorHAnsi" w:cstheme="minorHAnsi"/>
          <w:sz w:val="24"/>
          <w:szCs w:val="24"/>
        </w:rPr>
        <w:t>, 95% CI 2.04-4.25) relative to residence in the northern regions];</w:t>
      </w:r>
      <w:r w:rsidR="00737647" w:rsidRPr="00000849">
        <w:rPr>
          <w:rFonts w:asciiTheme="minorHAnsi" w:hAnsiTheme="minorHAnsi" w:cstheme="minorHAnsi"/>
          <w:sz w:val="24"/>
          <w:szCs w:val="24"/>
        </w:rPr>
        <w:t xml:space="preserve"> urban residence (OR 1.2</w:t>
      </w:r>
      <w:r w:rsidR="00F8297B" w:rsidRPr="00000849">
        <w:rPr>
          <w:rFonts w:asciiTheme="minorHAnsi" w:hAnsiTheme="minorHAnsi" w:cstheme="minorHAnsi"/>
          <w:sz w:val="24"/>
          <w:szCs w:val="24"/>
        </w:rPr>
        <w:t>4</w:t>
      </w:r>
      <w:r w:rsidR="00D55DE8" w:rsidRPr="00000849">
        <w:rPr>
          <w:rFonts w:asciiTheme="minorHAnsi" w:hAnsiTheme="minorHAnsi" w:cstheme="minorHAnsi"/>
          <w:sz w:val="24"/>
          <w:szCs w:val="24"/>
        </w:rPr>
        <w:t>,</w:t>
      </w:r>
      <w:r w:rsidR="00737647" w:rsidRPr="00000849">
        <w:rPr>
          <w:rFonts w:asciiTheme="minorHAnsi" w:hAnsiTheme="minorHAnsi" w:cstheme="minorHAnsi"/>
          <w:sz w:val="24"/>
          <w:szCs w:val="24"/>
        </w:rPr>
        <w:t xml:space="preserve"> 95% CI 1.0</w:t>
      </w:r>
      <w:r w:rsidR="00F8297B" w:rsidRPr="00000849">
        <w:rPr>
          <w:rFonts w:asciiTheme="minorHAnsi" w:hAnsiTheme="minorHAnsi" w:cstheme="minorHAnsi"/>
          <w:sz w:val="24"/>
          <w:szCs w:val="24"/>
        </w:rPr>
        <w:t>4</w:t>
      </w:r>
      <w:r w:rsidR="00737647" w:rsidRPr="00000849">
        <w:rPr>
          <w:rFonts w:asciiTheme="minorHAnsi" w:hAnsiTheme="minorHAnsi" w:cstheme="minorHAnsi"/>
          <w:sz w:val="24"/>
          <w:szCs w:val="24"/>
        </w:rPr>
        <w:t>-1.</w:t>
      </w:r>
      <w:r w:rsidR="00F8297B" w:rsidRPr="00000849">
        <w:rPr>
          <w:rFonts w:asciiTheme="minorHAnsi" w:hAnsiTheme="minorHAnsi" w:cstheme="minorHAnsi"/>
          <w:sz w:val="24"/>
          <w:szCs w:val="24"/>
        </w:rPr>
        <w:t>48</w:t>
      </w:r>
      <w:r w:rsidR="00737647" w:rsidRPr="00000849">
        <w:rPr>
          <w:rFonts w:asciiTheme="minorHAnsi" w:hAnsiTheme="minorHAnsi" w:cstheme="minorHAnsi"/>
          <w:sz w:val="24"/>
          <w:szCs w:val="24"/>
        </w:rPr>
        <w:t xml:space="preserve"> relative to rural residence);</w:t>
      </w:r>
      <w:r w:rsidR="00A13249" w:rsidRPr="00000849">
        <w:rPr>
          <w:rFonts w:asciiTheme="minorHAnsi" w:hAnsiTheme="minorHAnsi" w:cstheme="minorHAnsi"/>
          <w:sz w:val="24"/>
          <w:szCs w:val="24"/>
        </w:rPr>
        <w:t xml:space="preserve"> being unmarried or </w:t>
      </w:r>
      <w:r w:rsidR="006C5F3A" w:rsidRPr="00000849">
        <w:rPr>
          <w:rFonts w:asciiTheme="minorHAnsi" w:hAnsiTheme="minorHAnsi" w:cstheme="minorHAnsi"/>
          <w:sz w:val="24"/>
          <w:szCs w:val="24"/>
        </w:rPr>
        <w:t xml:space="preserve">having </w:t>
      </w:r>
      <w:r w:rsidR="00A13249" w:rsidRPr="00000849">
        <w:rPr>
          <w:rFonts w:asciiTheme="minorHAnsi" w:hAnsiTheme="minorHAnsi" w:cstheme="minorHAnsi"/>
          <w:sz w:val="24"/>
          <w:szCs w:val="24"/>
        </w:rPr>
        <w:t xml:space="preserve">never </w:t>
      </w:r>
      <w:r w:rsidR="00AF69A3" w:rsidRPr="00000849">
        <w:rPr>
          <w:rFonts w:asciiTheme="minorHAnsi" w:hAnsiTheme="minorHAnsi" w:cstheme="minorHAnsi"/>
          <w:sz w:val="24"/>
          <w:szCs w:val="24"/>
        </w:rPr>
        <w:t>been</w:t>
      </w:r>
      <w:r w:rsidR="00A13249" w:rsidRPr="00000849">
        <w:rPr>
          <w:rFonts w:asciiTheme="minorHAnsi" w:hAnsiTheme="minorHAnsi" w:cstheme="minorHAnsi"/>
          <w:sz w:val="24"/>
          <w:szCs w:val="24"/>
        </w:rPr>
        <w:t xml:space="preserve"> married </w:t>
      </w:r>
      <w:r w:rsidR="00B96422" w:rsidRPr="00000849">
        <w:rPr>
          <w:rFonts w:asciiTheme="minorHAnsi" w:hAnsiTheme="minorHAnsi" w:cstheme="minorHAnsi"/>
          <w:sz w:val="24"/>
          <w:szCs w:val="24"/>
        </w:rPr>
        <w:t>(OR 1.50, 95% CI 1.27-1.78 relative to being currently married); being overweight (OR 2.23</w:t>
      </w:r>
      <w:r w:rsidR="00D55DE8" w:rsidRPr="00000849">
        <w:rPr>
          <w:rFonts w:asciiTheme="minorHAnsi" w:hAnsiTheme="minorHAnsi" w:cstheme="minorHAnsi"/>
          <w:sz w:val="24"/>
          <w:szCs w:val="24"/>
        </w:rPr>
        <w:t>,</w:t>
      </w:r>
      <w:r w:rsidR="00B96422" w:rsidRPr="00000849">
        <w:rPr>
          <w:rFonts w:asciiTheme="minorHAnsi" w:hAnsiTheme="minorHAnsi" w:cstheme="minorHAnsi"/>
          <w:sz w:val="24"/>
          <w:szCs w:val="24"/>
        </w:rPr>
        <w:t xml:space="preserve"> 95% CI 1.67-2.98</w:t>
      </w:r>
      <w:r w:rsidR="00737647" w:rsidRPr="00000849">
        <w:rPr>
          <w:rFonts w:asciiTheme="minorHAnsi" w:hAnsiTheme="minorHAnsi" w:cstheme="minorHAnsi"/>
          <w:sz w:val="24"/>
          <w:szCs w:val="24"/>
        </w:rPr>
        <w:t xml:space="preserve"> relative to underweight</w:t>
      </w:r>
      <w:r w:rsidR="00B96422" w:rsidRPr="00000849">
        <w:rPr>
          <w:rFonts w:asciiTheme="minorHAnsi" w:hAnsiTheme="minorHAnsi" w:cstheme="minorHAnsi"/>
          <w:sz w:val="24"/>
          <w:szCs w:val="24"/>
        </w:rPr>
        <w:t>)</w:t>
      </w:r>
      <w:r w:rsidR="00737647" w:rsidRPr="00000849">
        <w:rPr>
          <w:rFonts w:asciiTheme="minorHAnsi" w:hAnsiTheme="minorHAnsi" w:cstheme="minorHAnsi"/>
          <w:sz w:val="24"/>
          <w:szCs w:val="24"/>
        </w:rPr>
        <w:t xml:space="preserve"> or obese (OR </w:t>
      </w:r>
      <w:r w:rsidR="00876D59" w:rsidRPr="00000849">
        <w:rPr>
          <w:rFonts w:asciiTheme="minorHAnsi" w:hAnsiTheme="minorHAnsi" w:cstheme="minorHAnsi"/>
          <w:sz w:val="24"/>
          <w:szCs w:val="24"/>
        </w:rPr>
        <w:t>2.52</w:t>
      </w:r>
      <w:r w:rsidR="00D55DE8" w:rsidRPr="00000849">
        <w:rPr>
          <w:rFonts w:asciiTheme="minorHAnsi" w:hAnsiTheme="minorHAnsi" w:cstheme="minorHAnsi"/>
          <w:sz w:val="24"/>
          <w:szCs w:val="24"/>
        </w:rPr>
        <w:t>,</w:t>
      </w:r>
      <w:r w:rsidR="00876D59" w:rsidRPr="00000849">
        <w:rPr>
          <w:rFonts w:asciiTheme="minorHAnsi" w:hAnsiTheme="minorHAnsi" w:cstheme="minorHAnsi"/>
          <w:sz w:val="24"/>
          <w:szCs w:val="24"/>
        </w:rPr>
        <w:t xml:space="preserve"> 95% CI 1.77-3.58)</w:t>
      </w:r>
      <w:r w:rsidR="00B96422" w:rsidRPr="00000849">
        <w:rPr>
          <w:rFonts w:asciiTheme="minorHAnsi" w:hAnsiTheme="minorHAnsi" w:cstheme="minorHAnsi"/>
          <w:sz w:val="24"/>
          <w:szCs w:val="24"/>
        </w:rPr>
        <w:t xml:space="preserve"> </w:t>
      </w:r>
      <w:r w:rsidR="00A13249" w:rsidRPr="00000849">
        <w:rPr>
          <w:rFonts w:asciiTheme="minorHAnsi" w:hAnsiTheme="minorHAnsi" w:cstheme="minorHAnsi"/>
          <w:sz w:val="24"/>
          <w:szCs w:val="24"/>
        </w:rPr>
        <w:t xml:space="preserve">were positive </w:t>
      </w:r>
      <w:r w:rsidR="003A1C05" w:rsidRPr="00000849">
        <w:rPr>
          <w:rFonts w:asciiTheme="minorHAnsi" w:hAnsiTheme="minorHAnsi" w:cstheme="minorHAnsi"/>
          <w:sz w:val="24"/>
          <w:szCs w:val="24"/>
        </w:rPr>
        <w:t>predictors</w:t>
      </w:r>
      <w:r w:rsidR="00D443DE" w:rsidRPr="00000849">
        <w:rPr>
          <w:rFonts w:asciiTheme="minorHAnsi" w:hAnsiTheme="minorHAnsi" w:cstheme="minorHAnsi"/>
          <w:sz w:val="24"/>
          <w:szCs w:val="24"/>
        </w:rPr>
        <w:t xml:space="preserve"> </w:t>
      </w:r>
      <w:r w:rsidR="00EE38C3" w:rsidRPr="00000849">
        <w:rPr>
          <w:rFonts w:asciiTheme="minorHAnsi" w:hAnsiTheme="minorHAnsi" w:cstheme="minorHAnsi"/>
          <w:sz w:val="24"/>
          <w:szCs w:val="24"/>
        </w:rPr>
        <w:t>of hypertension</w:t>
      </w:r>
      <w:r w:rsidR="00FF0DFB" w:rsidRPr="00000849">
        <w:rPr>
          <w:rFonts w:asciiTheme="minorHAnsi" w:hAnsiTheme="minorHAnsi" w:cstheme="minorHAnsi"/>
          <w:sz w:val="24"/>
          <w:szCs w:val="24"/>
        </w:rPr>
        <w:t xml:space="preserve"> </w:t>
      </w:r>
      <w:r w:rsidR="006C5379" w:rsidRPr="00000849">
        <w:rPr>
          <w:rFonts w:asciiTheme="minorHAnsi" w:hAnsiTheme="minorHAnsi" w:cstheme="minorHAnsi"/>
          <w:sz w:val="24"/>
          <w:szCs w:val="24"/>
        </w:rPr>
        <w:t>over time</w:t>
      </w:r>
      <w:r w:rsidR="00D443DE" w:rsidRPr="00000849">
        <w:rPr>
          <w:rFonts w:asciiTheme="minorHAnsi" w:hAnsiTheme="minorHAnsi" w:cstheme="minorHAnsi"/>
          <w:sz w:val="24"/>
          <w:szCs w:val="24"/>
        </w:rPr>
        <w:t xml:space="preserve">.  </w:t>
      </w:r>
      <w:r w:rsidR="00FF0DFB" w:rsidRPr="00000849">
        <w:rPr>
          <w:rFonts w:asciiTheme="minorHAnsi" w:hAnsiTheme="minorHAnsi" w:cstheme="minorHAnsi"/>
          <w:sz w:val="24"/>
          <w:szCs w:val="24"/>
        </w:rPr>
        <w:t>T</w:t>
      </w:r>
      <w:r w:rsidR="00813B88" w:rsidRPr="00000849">
        <w:rPr>
          <w:rFonts w:asciiTheme="minorHAnsi" w:hAnsiTheme="minorHAnsi" w:cstheme="minorHAnsi"/>
          <w:sz w:val="24"/>
          <w:szCs w:val="24"/>
        </w:rPr>
        <w:t xml:space="preserve">he odds of hypertension increased with increasing </w:t>
      </w:r>
      <w:r w:rsidR="00D443DE" w:rsidRPr="00000849">
        <w:rPr>
          <w:rFonts w:asciiTheme="minorHAnsi" w:hAnsiTheme="minorHAnsi" w:cstheme="minorHAnsi"/>
          <w:sz w:val="24"/>
          <w:szCs w:val="24"/>
        </w:rPr>
        <w:t xml:space="preserve">body mass index category.  </w:t>
      </w:r>
      <w:r w:rsidR="006A2FDF" w:rsidRPr="00000849">
        <w:rPr>
          <w:rFonts w:asciiTheme="minorHAnsi" w:hAnsiTheme="minorHAnsi" w:cstheme="minorHAnsi"/>
          <w:sz w:val="24"/>
          <w:szCs w:val="24"/>
        </w:rPr>
        <w:t xml:space="preserve">In contrast, </w:t>
      </w:r>
      <w:r w:rsidR="003A1C05" w:rsidRPr="00000849">
        <w:rPr>
          <w:rFonts w:asciiTheme="minorHAnsi" w:hAnsiTheme="minorHAnsi" w:cstheme="minorHAnsi"/>
          <w:sz w:val="24"/>
          <w:szCs w:val="24"/>
        </w:rPr>
        <w:t>having recently worked for at least two days in the past week</w:t>
      </w:r>
      <w:r w:rsidR="00D55DE8" w:rsidRPr="00000849">
        <w:rPr>
          <w:rFonts w:asciiTheme="minorHAnsi" w:hAnsiTheme="minorHAnsi" w:cstheme="minorHAnsi"/>
          <w:sz w:val="24"/>
          <w:szCs w:val="24"/>
        </w:rPr>
        <w:t xml:space="preserve"> (OR 0.70, 95% CI 0.59-0.83</w:t>
      </w:r>
      <w:r w:rsidR="000444F9" w:rsidRPr="00000849">
        <w:rPr>
          <w:rFonts w:asciiTheme="minorHAnsi" w:hAnsiTheme="minorHAnsi" w:cstheme="minorHAnsi"/>
          <w:sz w:val="24"/>
          <w:szCs w:val="24"/>
        </w:rPr>
        <w:t xml:space="preserve"> relative to not currently working</w:t>
      </w:r>
      <w:r w:rsidR="00D55DE8" w:rsidRPr="00000849">
        <w:rPr>
          <w:rFonts w:asciiTheme="minorHAnsi" w:hAnsiTheme="minorHAnsi" w:cstheme="minorHAnsi"/>
          <w:sz w:val="24"/>
          <w:szCs w:val="24"/>
        </w:rPr>
        <w:t>)</w:t>
      </w:r>
      <w:r w:rsidR="003A1C05" w:rsidRPr="00000849">
        <w:rPr>
          <w:rFonts w:asciiTheme="minorHAnsi" w:hAnsiTheme="minorHAnsi" w:cstheme="minorHAnsi"/>
          <w:sz w:val="24"/>
          <w:szCs w:val="24"/>
        </w:rPr>
        <w:t xml:space="preserve"> </w:t>
      </w:r>
      <w:r w:rsidR="00EE38C3" w:rsidRPr="00000849">
        <w:rPr>
          <w:rFonts w:asciiTheme="minorHAnsi" w:hAnsiTheme="minorHAnsi" w:cstheme="minorHAnsi"/>
          <w:sz w:val="24"/>
          <w:szCs w:val="24"/>
        </w:rPr>
        <w:t xml:space="preserve">and having </w:t>
      </w:r>
      <w:r w:rsidR="00EE38C3" w:rsidRPr="00000849">
        <w:rPr>
          <w:rFonts w:asciiTheme="minorHAnsi" w:hAnsiTheme="minorHAnsi" w:cstheme="minorHAnsi"/>
          <w:sz w:val="24"/>
          <w:szCs w:val="24"/>
        </w:rPr>
        <w:lastRenderedPageBreak/>
        <w:t xml:space="preserve">participated in study W2 </w:t>
      </w:r>
      <w:r w:rsidR="008733CA" w:rsidRPr="00000849">
        <w:rPr>
          <w:rFonts w:asciiTheme="minorHAnsi" w:hAnsiTheme="minorHAnsi" w:cstheme="minorHAnsi"/>
          <w:sz w:val="24"/>
          <w:szCs w:val="24"/>
        </w:rPr>
        <w:t>(OR 0.28, 95% CI 0.23-0.</w:t>
      </w:r>
      <w:r w:rsidR="00FF0DFB" w:rsidRPr="00000849">
        <w:rPr>
          <w:rFonts w:asciiTheme="minorHAnsi" w:hAnsiTheme="minorHAnsi" w:cstheme="minorHAnsi"/>
          <w:sz w:val="24"/>
          <w:szCs w:val="24"/>
        </w:rPr>
        <w:t>34</w:t>
      </w:r>
      <w:r w:rsidR="008733CA" w:rsidRPr="00000849">
        <w:rPr>
          <w:rFonts w:asciiTheme="minorHAnsi" w:hAnsiTheme="minorHAnsi" w:cstheme="minorHAnsi"/>
          <w:sz w:val="24"/>
          <w:szCs w:val="24"/>
        </w:rPr>
        <w:t xml:space="preserve">) </w:t>
      </w:r>
      <w:r w:rsidR="003A1C05" w:rsidRPr="00000849">
        <w:rPr>
          <w:rFonts w:asciiTheme="minorHAnsi" w:hAnsiTheme="minorHAnsi" w:cstheme="minorHAnsi"/>
          <w:sz w:val="24"/>
          <w:szCs w:val="24"/>
        </w:rPr>
        <w:t>w</w:t>
      </w:r>
      <w:r w:rsidR="00EE38C3" w:rsidRPr="00000849">
        <w:rPr>
          <w:rFonts w:asciiTheme="minorHAnsi" w:hAnsiTheme="minorHAnsi" w:cstheme="minorHAnsi"/>
          <w:sz w:val="24"/>
          <w:szCs w:val="24"/>
        </w:rPr>
        <w:t>ere</w:t>
      </w:r>
      <w:r w:rsidR="003A1C05" w:rsidRPr="00000849">
        <w:rPr>
          <w:rFonts w:asciiTheme="minorHAnsi" w:hAnsiTheme="minorHAnsi" w:cstheme="minorHAnsi"/>
          <w:sz w:val="24"/>
          <w:szCs w:val="24"/>
        </w:rPr>
        <w:t xml:space="preserve"> negative predictor</w:t>
      </w:r>
      <w:r w:rsidR="00EE38C3" w:rsidRPr="00000849">
        <w:rPr>
          <w:rFonts w:asciiTheme="minorHAnsi" w:hAnsiTheme="minorHAnsi" w:cstheme="minorHAnsi"/>
          <w:sz w:val="24"/>
          <w:szCs w:val="24"/>
        </w:rPr>
        <w:t>s</w:t>
      </w:r>
      <w:r w:rsidR="00D55DE8" w:rsidRPr="00000849">
        <w:rPr>
          <w:rFonts w:asciiTheme="minorHAnsi" w:hAnsiTheme="minorHAnsi" w:cstheme="minorHAnsi"/>
          <w:sz w:val="24"/>
          <w:szCs w:val="24"/>
        </w:rPr>
        <w:t xml:space="preserve"> of hypertension</w:t>
      </w:r>
      <w:r w:rsidR="003A1C05" w:rsidRPr="00000849">
        <w:rPr>
          <w:rFonts w:asciiTheme="minorHAnsi" w:hAnsiTheme="minorHAnsi" w:cstheme="minorHAnsi"/>
          <w:sz w:val="24"/>
          <w:szCs w:val="24"/>
        </w:rPr>
        <w:t xml:space="preserve">.  </w:t>
      </w:r>
    </w:p>
    <w:p w14:paraId="40E0A9EE" w14:textId="28279D20" w:rsidR="00772AEA" w:rsidRPr="00000849" w:rsidRDefault="00FF0DFB" w:rsidP="00C40F59">
      <w:pPr>
        <w:pStyle w:val="NoSpacing"/>
        <w:spacing w:after="200" w:line="480" w:lineRule="auto"/>
        <w:ind w:firstLine="720"/>
        <w:jc w:val="both"/>
        <w:rPr>
          <w:rFonts w:asciiTheme="minorHAnsi" w:hAnsiTheme="minorHAnsi" w:cstheme="minorHAnsi"/>
          <w:color w:val="383838"/>
          <w:sz w:val="24"/>
          <w:szCs w:val="24"/>
        </w:rPr>
      </w:pPr>
      <w:r w:rsidRPr="00000849">
        <w:rPr>
          <w:rFonts w:asciiTheme="minorHAnsi" w:hAnsiTheme="minorHAnsi" w:cstheme="minorHAnsi"/>
          <w:sz w:val="24"/>
          <w:szCs w:val="24"/>
        </w:rPr>
        <w:t xml:space="preserve">Of the older adults </w:t>
      </w:r>
      <w:r w:rsidR="00E70525" w:rsidRPr="00000849">
        <w:rPr>
          <w:rFonts w:asciiTheme="minorHAnsi" w:hAnsiTheme="minorHAnsi" w:cstheme="minorHAnsi"/>
          <w:sz w:val="24"/>
          <w:szCs w:val="24"/>
        </w:rPr>
        <w:t>with hypertension</w:t>
      </w:r>
      <w:r w:rsidR="00574AA5" w:rsidRPr="00000849">
        <w:rPr>
          <w:rFonts w:asciiTheme="minorHAnsi" w:hAnsiTheme="minorHAnsi" w:cstheme="minorHAnsi"/>
          <w:sz w:val="24"/>
          <w:szCs w:val="24"/>
        </w:rPr>
        <w:t>,</w:t>
      </w:r>
      <w:r w:rsidR="004D4FDF" w:rsidRPr="00000849">
        <w:rPr>
          <w:rFonts w:asciiTheme="minorHAnsi" w:hAnsiTheme="minorHAnsi" w:cstheme="minorHAnsi"/>
          <w:sz w:val="24"/>
          <w:szCs w:val="24"/>
        </w:rPr>
        <w:t xml:space="preserve"> </w:t>
      </w:r>
      <w:r w:rsidR="00574AA5" w:rsidRPr="00000849">
        <w:rPr>
          <w:rFonts w:asciiTheme="minorHAnsi" w:hAnsiTheme="minorHAnsi" w:cstheme="minorHAnsi"/>
          <w:sz w:val="24"/>
          <w:szCs w:val="24"/>
        </w:rPr>
        <w:t xml:space="preserve">24.1% in W1 and 27.6% in W2 were aware of their condition from a </w:t>
      </w:r>
      <w:r w:rsidR="004D4FDF" w:rsidRPr="00000849">
        <w:rPr>
          <w:rFonts w:asciiTheme="minorHAnsi" w:hAnsiTheme="minorHAnsi" w:cstheme="minorHAnsi"/>
          <w:sz w:val="24"/>
          <w:szCs w:val="24"/>
        </w:rPr>
        <w:t>previous diagnos</w:t>
      </w:r>
      <w:r w:rsidR="00574AA5" w:rsidRPr="00000849">
        <w:rPr>
          <w:rFonts w:asciiTheme="minorHAnsi" w:hAnsiTheme="minorHAnsi" w:cstheme="minorHAnsi"/>
          <w:sz w:val="24"/>
          <w:szCs w:val="24"/>
        </w:rPr>
        <w:t xml:space="preserve">is while only 4.8% and </w:t>
      </w:r>
      <w:r w:rsidR="004D4FDF" w:rsidRPr="00000849">
        <w:rPr>
          <w:rFonts w:asciiTheme="minorHAnsi" w:hAnsiTheme="minorHAnsi" w:cstheme="minorHAnsi"/>
          <w:sz w:val="24"/>
          <w:szCs w:val="24"/>
        </w:rPr>
        <w:t>2.3</w:t>
      </w:r>
      <w:r w:rsidR="00574AA5" w:rsidRPr="00000849">
        <w:rPr>
          <w:rFonts w:asciiTheme="minorHAnsi" w:hAnsiTheme="minorHAnsi" w:cstheme="minorHAnsi"/>
          <w:sz w:val="24"/>
          <w:szCs w:val="24"/>
        </w:rPr>
        <w:t>% respective</w:t>
      </w:r>
      <w:r w:rsidR="00CC00E0" w:rsidRPr="00000849">
        <w:rPr>
          <w:rFonts w:asciiTheme="minorHAnsi" w:hAnsiTheme="minorHAnsi" w:cstheme="minorHAnsi"/>
          <w:sz w:val="24"/>
          <w:szCs w:val="24"/>
        </w:rPr>
        <w:t>ly</w:t>
      </w:r>
      <w:r w:rsidR="00574AA5" w:rsidRPr="00000849">
        <w:rPr>
          <w:rFonts w:asciiTheme="minorHAnsi" w:hAnsiTheme="minorHAnsi" w:cstheme="minorHAnsi"/>
          <w:sz w:val="24"/>
          <w:szCs w:val="24"/>
        </w:rPr>
        <w:t xml:space="preserve"> waves had their blood pressure control</w:t>
      </w:r>
      <w:r w:rsidR="00CC00E0" w:rsidRPr="00000849">
        <w:rPr>
          <w:rFonts w:asciiTheme="minorHAnsi" w:hAnsiTheme="minorHAnsi" w:cstheme="minorHAnsi"/>
          <w:sz w:val="24"/>
          <w:szCs w:val="24"/>
        </w:rPr>
        <w:t>led</w:t>
      </w:r>
      <w:r w:rsidR="0073244D" w:rsidRPr="00000849">
        <w:rPr>
          <w:rFonts w:asciiTheme="minorHAnsi" w:hAnsiTheme="minorHAnsi" w:cstheme="minorHAnsi"/>
          <w:sz w:val="24"/>
          <w:szCs w:val="24"/>
        </w:rPr>
        <w:t>.</w:t>
      </w:r>
      <w:r w:rsidR="00975455" w:rsidRPr="00000849">
        <w:rPr>
          <w:rFonts w:asciiTheme="minorHAnsi" w:hAnsiTheme="minorHAnsi" w:cstheme="minorHAnsi"/>
          <w:sz w:val="24"/>
          <w:szCs w:val="24"/>
        </w:rPr>
        <w:t xml:space="preserve">  </w:t>
      </w:r>
      <w:r w:rsidR="0073244D" w:rsidRPr="00000849">
        <w:rPr>
          <w:rFonts w:asciiTheme="minorHAnsi" w:hAnsiTheme="minorHAnsi" w:cstheme="minorHAnsi"/>
          <w:sz w:val="24"/>
          <w:szCs w:val="24"/>
        </w:rPr>
        <w:t>Older adults in Ghana ha</w:t>
      </w:r>
      <w:r w:rsidR="00FE2305">
        <w:rPr>
          <w:rFonts w:asciiTheme="minorHAnsi" w:hAnsiTheme="minorHAnsi" w:cstheme="minorHAnsi"/>
          <w:sz w:val="24"/>
          <w:szCs w:val="24"/>
        </w:rPr>
        <w:t>d</w:t>
      </w:r>
      <w:r w:rsidR="0073244D" w:rsidRPr="00000849">
        <w:rPr>
          <w:rFonts w:asciiTheme="minorHAnsi" w:hAnsiTheme="minorHAnsi" w:cstheme="minorHAnsi"/>
          <w:sz w:val="24"/>
          <w:szCs w:val="24"/>
        </w:rPr>
        <w:t xml:space="preserve"> an average of 2.5 concurrent NCD risk factors</w:t>
      </w:r>
      <w:r w:rsidR="00BD698E" w:rsidRPr="00000849">
        <w:rPr>
          <w:rFonts w:asciiTheme="minorHAnsi" w:hAnsiTheme="minorHAnsi" w:cstheme="minorHAnsi"/>
          <w:sz w:val="24"/>
          <w:szCs w:val="24"/>
        </w:rPr>
        <w:t xml:space="preserve">.  </w:t>
      </w:r>
      <w:r w:rsidR="00574AA5" w:rsidRPr="00000849">
        <w:rPr>
          <w:rFonts w:asciiTheme="minorHAnsi" w:hAnsiTheme="minorHAnsi" w:cstheme="minorHAnsi"/>
          <w:sz w:val="24"/>
          <w:szCs w:val="24"/>
        </w:rPr>
        <w:t xml:space="preserve">Clustering of risk factors was common with </w:t>
      </w:r>
      <w:r w:rsidR="00574AA5" w:rsidRPr="00000849">
        <w:rPr>
          <w:rFonts w:asciiTheme="minorHAnsi" w:hAnsiTheme="minorHAnsi" w:cstheme="minorHAnsi"/>
          <w:color w:val="383838"/>
          <w:sz w:val="24"/>
          <w:szCs w:val="24"/>
        </w:rPr>
        <w:t xml:space="preserve">83.0% of the older adults in W1 and 71.4% of those in W2 having </w:t>
      </w:r>
      <w:r w:rsidR="00975455" w:rsidRPr="00000849">
        <w:rPr>
          <w:rFonts w:asciiTheme="minorHAnsi" w:hAnsiTheme="minorHAnsi" w:cstheme="minorHAnsi"/>
          <w:color w:val="383838"/>
          <w:sz w:val="24"/>
          <w:szCs w:val="24"/>
        </w:rPr>
        <w:t>two or more concurrent risk factors</w:t>
      </w:r>
      <w:r w:rsidR="00AE02F2" w:rsidRPr="00000849">
        <w:rPr>
          <w:rFonts w:asciiTheme="minorHAnsi" w:hAnsiTheme="minorHAnsi" w:cstheme="minorHAnsi"/>
          <w:color w:val="383838"/>
          <w:sz w:val="24"/>
          <w:szCs w:val="24"/>
        </w:rPr>
        <w:t>.</w:t>
      </w:r>
      <w:r w:rsidR="00C40F59" w:rsidRPr="00000849">
        <w:rPr>
          <w:rFonts w:asciiTheme="minorHAnsi" w:hAnsiTheme="minorHAnsi" w:cstheme="minorHAnsi"/>
          <w:color w:val="383838"/>
          <w:sz w:val="24"/>
          <w:szCs w:val="24"/>
        </w:rPr>
        <w:t xml:space="preserve">  </w:t>
      </w:r>
    </w:p>
    <w:p w14:paraId="71C33AB6" w14:textId="77777777" w:rsidR="006C5379" w:rsidRPr="00000849" w:rsidRDefault="006C5379" w:rsidP="00BB751E">
      <w:pPr>
        <w:pStyle w:val="NormalWeb"/>
        <w:shd w:val="clear" w:color="auto" w:fill="FFFFFF"/>
        <w:spacing w:before="0" w:beforeAutospacing="0" w:after="165" w:afterAutospacing="0" w:line="480" w:lineRule="auto"/>
        <w:jc w:val="both"/>
        <w:rPr>
          <w:rFonts w:asciiTheme="minorHAnsi" w:eastAsia="Calibri" w:hAnsiTheme="minorHAnsi" w:cstheme="minorHAnsi"/>
          <w:color w:val="383838"/>
        </w:rPr>
      </w:pPr>
    </w:p>
    <w:p w14:paraId="13D5FC82" w14:textId="5427114A" w:rsidR="00772AEA" w:rsidRPr="00000849" w:rsidRDefault="00772AEA" w:rsidP="00BB751E">
      <w:pPr>
        <w:pStyle w:val="NormalWeb"/>
        <w:shd w:val="clear" w:color="auto" w:fill="FFFFFF"/>
        <w:spacing w:before="0" w:beforeAutospacing="0" w:after="165" w:afterAutospacing="0" w:line="480" w:lineRule="auto"/>
        <w:jc w:val="both"/>
        <w:rPr>
          <w:rFonts w:asciiTheme="minorHAnsi" w:hAnsiTheme="minorHAnsi" w:cstheme="minorHAnsi"/>
          <w:b/>
          <w:color w:val="383838"/>
        </w:rPr>
      </w:pPr>
      <w:r w:rsidRPr="00000849">
        <w:rPr>
          <w:rFonts w:asciiTheme="minorHAnsi" w:hAnsiTheme="minorHAnsi" w:cstheme="minorHAnsi"/>
          <w:b/>
          <w:color w:val="383838"/>
        </w:rPr>
        <w:t>Conclusion</w:t>
      </w:r>
      <w:r w:rsidR="005D5D9A" w:rsidRPr="00000849">
        <w:rPr>
          <w:rFonts w:asciiTheme="minorHAnsi" w:hAnsiTheme="minorHAnsi" w:cstheme="minorHAnsi"/>
          <w:b/>
          <w:color w:val="383838"/>
        </w:rPr>
        <w:t>s</w:t>
      </w:r>
    </w:p>
    <w:p w14:paraId="0D143011" w14:textId="53C0050D" w:rsidR="008733CA" w:rsidRPr="00000849" w:rsidRDefault="00AF69A3" w:rsidP="00BB751E">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This is one of the </w:t>
      </w:r>
      <w:r w:rsidR="007D7793" w:rsidRPr="00000849">
        <w:rPr>
          <w:rFonts w:asciiTheme="minorHAnsi" w:hAnsiTheme="minorHAnsi" w:cstheme="minorHAnsi"/>
          <w:color w:val="383838"/>
        </w:rPr>
        <w:t xml:space="preserve">few </w:t>
      </w:r>
      <w:r w:rsidR="00BC2700" w:rsidRPr="00000849">
        <w:rPr>
          <w:rFonts w:asciiTheme="minorHAnsi" w:hAnsiTheme="minorHAnsi" w:cstheme="minorHAnsi"/>
          <w:color w:val="383838"/>
        </w:rPr>
        <w:t>stud</w:t>
      </w:r>
      <w:r w:rsidR="00295276" w:rsidRPr="00000849">
        <w:rPr>
          <w:rFonts w:asciiTheme="minorHAnsi" w:hAnsiTheme="minorHAnsi" w:cstheme="minorHAnsi"/>
          <w:color w:val="383838"/>
        </w:rPr>
        <w:t xml:space="preserve">ies </w:t>
      </w:r>
      <w:r w:rsidR="009E292D" w:rsidRPr="00000849">
        <w:rPr>
          <w:rFonts w:asciiTheme="minorHAnsi" w:hAnsiTheme="minorHAnsi" w:cstheme="minorHAnsi"/>
          <w:color w:val="383838"/>
        </w:rPr>
        <w:t xml:space="preserve">in Africa to </w:t>
      </w:r>
      <w:r w:rsidR="00BC2700" w:rsidRPr="00000849">
        <w:rPr>
          <w:rFonts w:asciiTheme="minorHAnsi" w:hAnsiTheme="minorHAnsi" w:cstheme="minorHAnsi"/>
          <w:color w:val="383838"/>
        </w:rPr>
        <w:t>explor</w:t>
      </w:r>
      <w:r w:rsidR="009E292D" w:rsidRPr="00000849">
        <w:rPr>
          <w:rFonts w:asciiTheme="minorHAnsi" w:hAnsiTheme="minorHAnsi" w:cstheme="minorHAnsi"/>
          <w:color w:val="383838"/>
        </w:rPr>
        <w:t xml:space="preserve">e the </w:t>
      </w:r>
      <w:r w:rsidR="00BC2700" w:rsidRPr="00000849">
        <w:rPr>
          <w:rFonts w:asciiTheme="minorHAnsi" w:hAnsiTheme="minorHAnsi" w:cstheme="minorHAnsi"/>
          <w:color w:val="383838"/>
        </w:rPr>
        <w:t xml:space="preserve">determinants </w:t>
      </w:r>
      <w:r w:rsidR="009E292D" w:rsidRPr="00000849">
        <w:rPr>
          <w:rFonts w:asciiTheme="minorHAnsi" w:hAnsiTheme="minorHAnsi" w:cstheme="minorHAnsi"/>
          <w:color w:val="383838"/>
        </w:rPr>
        <w:t xml:space="preserve">of hypertension in older adults through </w:t>
      </w:r>
      <w:r w:rsidR="004D3768" w:rsidRPr="00000849">
        <w:rPr>
          <w:rFonts w:asciiTheme="minorHAnsi" w:hAnsiTheme="minorHAnsi" w:cstheme="minorHAnsi"/>
          <w:color w:val="383838"/>
        </w:rPr>
        <w:t>longitudinal data analysis</w:t>
      </w:r>
      <w:r w:rsidR="007D7793" w:rsidRPr="00000849">
        <w:rPr>
          <w:rFonts w:asciiTheme="minorHAnsi" w:hAnsiTheme="minorHAnsi" w:cstheme="minorHAnsi"/>
          <w:color w:val="383838"/>
        </w:rPr>
        <w:t xml:space="preserve"> and </w:t>
      </w:r>
      <w:r w:rsidR="009E292D" w:rsidRPr="00000849">
        <w:rPr>
          <w:rFonts w:asciiTheme="minorHAnsi" w:hAnsiTheme="minorHAnsi" w:cstheme="minorHAnsi"/>
          <w:color w:val="383838"/>
        </w:rPr>
        <w:t>multilevel techniques</w:t>
      </w:r>
      <w:r w:rsidR="007D7793" w:rsidRPr="00000849">
        <w:rPr>
          <w:rFonts w:asciiTheme="minorHAnsi" w:hAnsiTheme="minorHAnsi" w:cstheme="minorHAnsi"/>
          <w:color w:val="383838"/>
        </w:rPr>
        <w:t xml:space="preserve">.  </w:t>
      </w:r>
      <w:r w:rsidR="00AE02F2" w:rsidRPr="00000849">
        <w:rPr>
          <w:rFonts w:asciiTheme="minorHAnsi" w:hAnsiTheme="minorHAnsi" w:cstheme="minorHAnsi"/>
          <w:color w:val="383838"/>
        </w:rPr>
        <w:t xml:space="preserve">The </w:t>
      </w:r>
      <w:r w:rsidR="00D17845" w:rsidRPr="00000849">
        <w:rPr>
          <w:rFonts w:asciiTheme="minorHAnsi" w:hAnsiTheme="minorHAnsi" w:cstheme="minorHAnsi"/>
          <w:color w:val="383838"/>
        </w:rPr>
        <w:t xml:space="preserve">study </w:t>
      </w:r>
      <w:r w:rsidR="00AE02F2" w:rsidRPr="00000849">
        <w:rPr>
          <w:rFonts w:asciiTheme="minorHAnsi" w:hAnsiTheme="minorHAnsi" w:cstheme="minorHAnsi"/>
          <w:color w:val="383838"/>
        </w:rPr>
        <w:t>show</w:t>
      </w:r>
      <w:r w:rsidR="008733CA" w:rsidRPr="00000849">
        <w:rPr>
          <w:rFonts w:asciiTheme="minorHAnsi" w:hAnsiTheme="minorHAnsi" w:cstheme="minorHAnsi"/>
          <w:color w:val="383838"/>
        </w:rPr>
        <w:t>ed</w:t>
      </w:r>
      <w:r w:rsidR="00AE02F2" w:rsidRPr="00000849">
        <w:rPr>
          <w:rFonts w:asciiTheme="minorHAnsi" w:hAnsiTheme="minorHAnsi" w:cstheme="minorHAnsi"/>
          <w:color w:val="383838"/>
        </w:rPr>
        <w:t xml:space="preserve"> a high prevalence of hypertension</w:t>
      </w:r>
      <w:r w:rsidR="00D17845" w:rsidRPr="00000849">
        <w:rPr>
          <w:rFonts w:asciiTheme="minorHAnsi" w:hAnsiTheme="minorHAnsi" w:cstheme="minorHAnsi"/>
          <w:color w:val="383838"/>
        </w:rPr>
        <w:t xml:space="preserve"> in older adults</w:t>
      </w:r>
      <w:r w:rsidR="00AE02F2" w:rsidRPr="00000849">
        <w:rPr>
          <w:rFonts w:asciiTheme="minorHAnsi" w:hAnsiTheme="minorHAnsi" w:cstheme="minorHAnsi"/>
          <w:color w:val="383838"/>
        </w:rPr>
        <w:t xml:space="preserve"> which appears to have declined </w:t>
      </w:r>
      <w:r w:rsidR="00C46B21" w:rsidRPr="00000849">
        <w:rPr>
          <w:rFonts w:asciiTheme="minorHAnsi" w:hAnsiTheme="minorHAnsi" w:cstheme="minorHAnsi"/>
          <w:color w:val="383838"/>
        </w:rPr>
        <w:t>over time</w:t>
      </w:r>
      <w:r w:rsidR="00AE02F2" w:rsidRPr="00000849">
        <w:rPr>
          <w:rFonts w:asciiTheme="minorHAnsi" w:hAnsiTheme="minorHAnsi" w:cstheme="minorHAnsi"/>
          <w:color w:val="383838"/>
        </w:rPr>
        <w:t xml:space="preserve">.  </w:t>
      </w:r>
      <w:r w:rsidR="007D7793" w:rsidRPr="00000849">
        <w:rPr>
          <w:rFonts w:asciiTheme="minorHAnsi" w:hAnsiTheme="minorHAnsi" w:cstheme="minorHAnsi"/>
          <w:color w:val="383838"/>
        </w:rPr>
        <w:t xml:space="preserve">The reasons for the decline could be related to the assessment of hypertension through single visit blood pressure measurements, a protocol which is known to overestimate the prevalence of hypertension.  The </w:t>
      </w:r>
      <w:r w:rsidR="00AE02F2" w:rsidRPr="00000849">
        <w:rPr>
          <w:rFonts w:asciiTheme="minorHAnsi" w:hAnsiTheme="minorHAnsi" w:cstheme="minorHAnsi"/>
          <w:color w:val="383838"/>
        </w:rPr>
        <w:t>significant proportion of</w:t>
      </w:r>
      <w:r w:rsidR="007D7793" w:rsidRPr="00000849">
        <w:rPr>
          <w:rFonts w:asciiTheme="minorHAnsi" w:hAnsiTheme="minorHAnsi" w:cstheme="minorHAnsi"/>
          <w:color w:val="383838"/>
        </w:rPr>
        <w:t xml:space="preserve"> severe</w:t>
      </w:r>
      <w:r w:rsidR="00AE02F2" w:rsidRPr="00000849">
        <w:rPr>
          <w:rFonts w:asciiTheme="minorHAnsi" w:hAnsiTheme="minorHAnsi" w:cstheme="minorHAnsi"/>
          <w:color w:val="383838"/>
        </w:rPr>
        <w:t xml:space="preserve"> hypertension </w:t>
      </w:r>
      <w:r w:rsidR="007D7793" w:rsidRPr="00000849">
        <w:rPr>
          <w:rFonts w:asciiTheme="minorHAnsi" w:hAnsiTheme="minorHAnsi" w:cstheme="minorHAnsi"/>
          <w:color w:val="383838"/>
        </w:rPr>
        <w:t>may indicate longstanding disease and could be associated with end organ damage</w:t>
      </w:r>
      <w:r w:rsidR="00AE02F2" w:rsidRPr="00000849">
        <w:rPr>
          <w:rFonts w:asciiTheme="minorHAnsi" w:hAnsiTheme="minorHAnsi" w:cstheme="minorHAnsi"/>
          <w:color w:val="383838"/>
        </w:rPr>
        <w:t xml:space="preserve">. </w:t>
      </w:r>
      <w:r w:rsidR="007D7793" w:rsidRPr="00000849">
        <w:rPr>
          <w:rFonts w:asciiTheme="minorHAnsi" w:hAnsiTheme="minorHAnsi" w:cstheme="minorHAnsi"/>
          <w:color w:val="383838"/>
        </w:rPr>
        <w:t xml:space="preserve"> </w:t>
      </w:r>
      <w:r w:rsidR="00D17845" w:rsidRPr="00000849">
        <w:rPr>
          <w:rFonts w:asciiTheme="minorHAnsi" w:hAnsiTheme="minorHAnsi" w:cstheme="minorHAnsi"/>
          <w:color w:val="383838"/>
        </w:rPr>
        <w:t xml:space="preserve">The determinants </w:t>
      </w:r>
      <w:r w:rsidR="007D7793" w:rsidRPr="00000849">
        <w:rPr>
          <w:rFonts w:asciiTheme="minorHAnsi" w:hAnsiTheme="minorHAnsi" w:cstheme="minorHAnsi"/>
          <w:color w:val="383838"/>
        </w:rPr>
        <w:t>of hypertension from the secondary data analyses were generally consistent with those from the system</w:t>
      </w:r>
      <w:r w:rsidR="00D52837" w:rsidRPr="00000849">
        <w:rPr>
          <w:rFonts w:asciiTheme="minorHAnsi" w:hAnsiTheme="minorHAnsi" w:cstheme="minorHAnsi"/>
          <w:color w:val="383838"/>
        </w:rPr>
        <w:t>atic review.  T</w:t>
      </w:r>
      <w:r w:rsidR="00D17845" w:rsidRPr="00000849">
        <w:rPr>
          <w:rFonts w:asciiTheme="minorHAnsi" w:hAnsiTheme="minorHAnsi" w:cstheme="minorHAnsi"/>
          <w:color w:val="383838"/>
        </w:rPr>
        <w:t xml:space="preserve">he </w:t>
      </w:r>
      <w:r w:rsidR="00D52837" w:rsidRPr="00000849">
        <w:rPr>
          <w:rFonts w:asciiTheme="minorHAnsi" w:hAnsiTheme="minorHAnsi" w:cstheme="minorHAnsi"/>
          <w:color w:val="383838"/>
        </w:rPr>
        <w:t xml:space="preserve">clustering of risk factors as well as the </w:t>
      </w:r>
      <w:r w:rsidR="00D17845" w:rsidRPr="00000849">
        <w:rPr>
          <w:rFonts w:asciiTheme="minorHAnsi" w:hAnsiTheme="minorHAnsi" w:cstheme="minorHAnsi"/>
          <w:color w:val="383838"/>
        </w:rPr>
        <w:t>low awareness</w:t>
      </w:r>
      <w:r w:rsidR="009C6DB0" w:rsidRPr="00000849">
        <w:rPr>
          <w:rFonts w:asciiTheme="minorHAnsi" w:hAnsiTheme="minorHAnsi" w:cstheme="minorHAnsi"/>
          <w:color w:val="383838"/>
        </w:rPr>
        <w:t xml:space="preserve"> and poor control of hypertension call for </w:t>
      </w:r>
      <w:r w:rsidR="00D52837" w:rsidRPr="00000849">
        <w:rPr>
          <w:rFonts w:asciiTheme="minorHAnsi" w:hAnsiTheme="minorHAnsi" w:cstheme="minorHAnsi"/>
          <w:color w:val="383838"/>
        </w:rPr>
        <w:t xml:space="preserve">the intensification </w:t>
      </w:r>
      <w:r w:rsidR="00EF63BD" w:rsidRPr="00000849">
        <w:rPr>
          <w:rFonts w:asciiTheme="minorHAnsi" w:hAnsiTheme="minorHAnsi" w:cstheme="minorHAnsi"/>
          <w:color w:val="383838"/>
        </w:rPr>
        <w:t>of efforts to prioritize the health of older adults</w:t>
      </w:r>
      <w:r w:rsidR="00EE38C3" w:rsidRPr="00000849">
        <w:rPr>
          <w:rFonts w:asciiTheme="minorHAnsi" w:hAnsiTheme="minorHAnsi" w:cstheme="minorHAnsi"/>
          <w:color w:val="383838"/>
        </w:rPr>
        <w:t xml:space="preserve"> towards </w:t>
      </w:r>
      <w:r w:rsidR="00D52837" w:rsidRPr="00000849">
        <w:rPr>
          <w:rFonts w:asciiTheme="minorHAnsi" w:hAnsiTheme="minorHAnsi" w:cstheme="minorHAnsi"/>
          <w:color w:val="383838"/>
        </w:rPr>
        <w:t xml:space="preserve">healthy </w:t>
      </w:r>
      <w:r w:rsidR="00EE38C3" w:rsidRPr="00000849">
        <w:rPr>
          <w:rFonts w:asciiTheme="minorHAnsi" w:hAnsiTheme="minorHAnsi" w:cstheme="minorHAnsi"/>
          <w:color w:val="383838"/>
        </w:rPr>
        <w:t>ageing</w:t>
      </w:r>
      <w:r w:rsidR="00EF63BD" w:rsidRPr="00000849">
        <w:rPr>
          <w:rFonts w:asciiTheme="minorHAnsi" w:hAnsiTheme="minorHAnsi" w:cstheme="minorHAnsi"/>
          <w:color w:val="383838"/>
        </w:rPr>
        <w:t xml:space="preserve">.  </w:t>
      </w:r>
    </w:p>
    <w:p w14:paraId="313D4F7D" w14:textId="73FE0B75" w:rsidR="00C516A6" w:rsidRPr="00000849" w:rsidRDefault="007D34DB" w:rsidP="00143B7E">
      <w:pPr>
        <w:spacing w:after="160" w:line="480" w:lineRule="auto"/>
        <w:ind w:firstLine="720"/>
        <w:jc w:val="both"/>
        <w:rPr>
          <w:rFonts w:cstheme="minorHAnsi"/>
          <w:color w:val="383838"/>
        </w:rPr>
      </w:pPr>
      <w:r w:rsidRPr="00000849">
        <w:rPr>
          <w:rFonts w:cstheme="minorHAnsi"/>
          <w:color w:val="383838"/>
          <w:sz w:val="24"/>
          <w:szCs w:val="24"/>
        </w:rPr>
        <w:lastRenderedPageBreak/>
        <w:t>The findings of this study call for a</w:t>
      </w:r>
      <w:r w:rsidR="00EF63BD" w:rsidRPr="00000849">
        <w:rPr>
          <w:rFonts w:cstheme="minorHAnsi"/>
          <w:color w:val="383838"/>
          <w:sz w:val="24"/>
          <w:szCs w:val="24"/>
        </w:rPr>
        <w:t xml:space="preserve"> </w:t>
      </w:r>
      <w:r w:rsidR="009C6DB0" w:rsidRPr="00000849">
        <w:rPr>
          <w:rFonts w:cstheme="minorHAnsi"/>
          <w:color w:val="383838"/>
          <w:sz w:val="24"/>
          <w:szCs w:val="24"/>
        </w:rPr>
        <w:t xml:space="preserve">concerted integrated </w:t>
      </w:r>
      <w:r w:rsidR="00EF63BD" w:rsidRPr="00000849">
        <w:rPr>
          <w:rFonts w:cstheme="minorHAnsi"/>
          <w:color w:val="383838"/>
          <w:sz w:val="24"/>
          <w:szCs w:val="24"/>
        </w:rPr>
        <w:t xml:space="preserve">multisectoral </w:t>
      </w:r>
      <w:r w:rsidR="009C6DB0" w:rsidRPr="00000849">
        <w:rPr>
          <w:rFonts w:cstheme="minorHAnsi"/>
          <w:color w:val="383838"/>
          <w:sz w:val="24"/>
          <w:szCs w:val="24"/>
        </w:rPr>
        <w:t>approach to tackling hypertension</w:t>
      </w:r>
      <w:r w:rsidR="00EF63BD" w:rsidRPr="00000849">
        <w:rPr>
          <w:rFonts w:cstheme="minorHAnsi"/>
          <w:color w:val="383838"/>
          <w:sz w:val="24"/>
          <w:szCs w:val="24"/>
        </w:rPr>
        <w:t xml:space="preserve"> </w:t>
      </w:r>
      <w:r w:rsidRPr="00000849">
        <w:rPr>
          <w:rFonts w:cstheme="minorHAnsi"/>
          <w:color w:val="383838"/>
          <w:sz w:val="24"/>
          <w:szCs w:val="24"/>
        </w:rPr>
        <w:t xml:space="preserve">which </w:t>
      </w:r>
      <w:r w:rsidR="00BC2700" w:rsidRPr="00000849">
        <w:rPr>
          <w:rFonts w:cstheme="minorHAnsi"/>
          <w:color w:val="383838"/>
          <w:sz w:val="24"/>
          <w:szCs w:val="24"/>
        </w:rPr>
        <w:t xml:space="preserve">might </w:t>
      </w:r>
      <w:r w:rsidR="00EF63BD" w:rsidRPr="00000849">
        <w:rPr>
          <w:rFonts w:cstheme="minorHAnsi"/>
          <w:color w:val="383838"/>
          <w:sz w:val="24"/>
          <w:szCs w:val="24"/>
        </w:rPr>
        <w:t>in</w:t>
      </w:r>
      <w:r w:rsidR="009C6DB0" w:rsidRPr="00000849">
        <w:rPr>
          <w:rFonts w:cstheme="minorHAnsi"/>
          <w:color w:val="383838"/>
          <w:sz w:val="24"/>
          <w:szCs w:val="24"/>
        </w:rPr>
        <w:t>volv</w:t>
      </w:r>
      <w:r w:rsidR="00BC2700" w:rsidRPr="00000849">
        <w:rPr>
          <w:rFonts w:cstheme="minorHAnsi"/>
          <w:color w:val="383838"/>
          <w:sz w:val="24"/>
          <w:szCs w:val="24"/>
        </w:rPr>
        <w:t>e</w:t>
      </w:r>
      <w:r w:rsidR="009C6DB0" w:rsidRPr="00000849">
        <w:rPr>
          <w:rFonts w:cstheme="minorHAnsi"/>
          <w:color w:val="383838"/>
          <w:sz w:val="24"/>
          <w:szCs w:val="24"/>
        </w:rPr>
        <w:t xml:space="preserve"> interventions across the life course</w:t>
      </w:r>
      <w:r w:rsidR="00EF63BD" w:rsidRPr="00000849">
        <w:rPr>
          <w:rFonts w:cstheme="minorHAnsi"/>
          <w:color w:val="383838"/>
          <w:sz w:val="24"/>
          <w:szCs w:val="24"/>
        </w:rPr>
        <w:t>;</w:t>
      </w:r>
      <w:r w:rsidR="009C6DB0" w:rsidRPr="00000849">
        <w:rPr>
          <w:rFonts w:cstheme="minorHAnsi"/>
          <w:color w:val="383838"/>
          <w:sz w:val="24"/>
          <w:szCs w:val="24"/>
        </w:rPr>
        <w:t xml:space="preserve"> prioritising the Greater Accra Region</w:t>
      </w:r>
      <w:r w:rsidR="00C46B21" w:rsidRPr="00000849">
        <w:rPr>
          <w:rFonts w:cstheme="minorHAnsi"/>
          <w:color w:val="383838"/>
          <w:sz w:val="24"/>
          <w:szCs w:val="24"/>
        </w:rPr>
        <w:t xml:space="preserve"> (</w:t>
      </w:r>
      <w:r w:rsidR="00AC5759" w:rsidRPr="00000849">
        <w:rPr>
          <w:rFonts w:cstheme="minorHAnsi"/>
          <w:color w:val="383838"/>
          <w:sz w:val="24"/>
          <w:szCs w:val="24"/>
        </w:rPr>
        <w:t xml:space="preserve">where </w:t>
      </w:r>
      <w:r w:rsidR="00C46B21" w:rsidRPr="00000849">
        <w:rPr>
          <w:rFonts w:cstheme="minorHAnsi"/>
          <w:color w:val="383838"/>
          <w:sz w:val="24"/>
          <w:szCs w:val="24"/>
        </w:rPr>
        <w:t xml:space="preserve">the greatest risk </w:t>
      </w:r>
      <w:r w:rsidR="00AC5759" w:rsidRPr="00000849">
        <w:rPr>
          <w:rFonts w:cstheme="minorHAnsi"/>
          <w:color w:val="383838"/>
          <w:sz w:val="24"/>
          <w:szCs w:val="24"/>
        </w:rPr>
        <w:t>occurs</w:t>
      </w:r>
      <w:r w:rsidR="00C46B21" w:rsidRPr="00000849">
        <w:rPr>
          <w:rFonts w:cstheme="minorHAnsi"/>
          <w:color w:val="383838"/>
          <w:sz w:val="24"/>
          <w:szCs w:val="24"/>
        </w:rPr>
        <w:t>)</w:t>
      </w:r>
      <w:r w:rsidR="00EF63BD" w:rsidRPr="00000849">
        <w:rPr>
          <w:rFonts w:cstheme="minorHAnsi"/>
          <w:color w:val="383838"/>
          <w:sz w:val="24"/>
          <w:szCs w:val="24"/>
        </w:rPr>
        <w:t>;</w:t>
      </w:r>
      <w:r w:rsidR="009C6DB0" w:rsidRPr="00000849">
        <w:rPr>
          <w:rFonts w:cstheme="minorHAnsi"/>
          <w:color w:val="383838"/>
          <w:sz w:val="24"/>
          <w:szCs w:val="24"/>
        </w:rPr>
        <w:t xml:space="preserve"> raising awarenes</w:t>
      </w:r>
      <w:r w:rsidR="00EF63BD" w:rsidRPr="00000849">
        <w:rPr>
          <w:rFonts w:cstheme="minorHAnsi"/>
          <w:color w:val="383838"/>
          <w:sz w:val="24"/>
          <w:szCs w:val="24"/>
        </w:rPr>
        <w:t xml:space="preserve">s; </w:t>
      </w:r>
      <w:r w:rsidR="00C46B21" w:rsidRPr="00000849">
        <w:rPr>
          <w:rFonts w:cstheme="minorHAnsi"/>
          <w:color w:val="383838"/>
          <w:sz w:val="24"/>
          <w:szCs w:val="24"/>
        </w:rPr>
        <w:t>and</w:t>
      </w:r>
      <w:r w:rsidR="00EF63BD" w:rsidRPr="00000849">
        <w:rPr>
          <w:rFonts w:cstheme="minorHAnsi"/>
          <w:color w:val="383838"/>
          <w:sz w:val="24"/>
          <w:szCs w:val="24"/>
        </w:rPr>
        <w:t xml:space="preserve"> </w:t>
      </w:r>
      <w:r w:rsidRPr="00000849">
        <w:rPr>
          <w:rFonts w:cstheme="minorHAnsi"/>
          <w:color w:val="383838"/>
          <w:sz w:val="24"/>
          <w:szCs w:val="24"/>
        </w:rPr>
        <w:t xml:space="preserve">implementing </w:t>
      </w:r>
      <w:r w:rsidR="00EF63BD" w:rsidRPr="00000849">
        <w:rPr>
          <w:rFonts w:cstheme="minorHAnsi"/>
          <w:color w:val="383838"/>
          <w:sz w:val="24"/>
          <w:szCs w:val="24"/>
        </w:rPr>
        <w:t xml:space="preserve">weight reduction programmes.  </w:t>
      </w:r>
      <w:r w:rsidR="00764B5C" w:rsidRPr="00000849">
        <w:rPr>
          <w:rFonts w:cstheme="minorHAnsi"/>
          <w:color w:val="383838"/>
          <w:sz w:val="24"/>
          <w:szCs w:val="24"/>
        </w:rPr>
        <w:t>Yet, f</w:t>
      </w:r>
      <w:r w:rsidR="00EF63BD" w:rsidRPr="00000849">
        <w:rPr>
          <w:rFonts w:cstheme="minorHAnsi"/>
          <w:color w:val="383838"/>
          <w:sz w:val="24"/>
          <w:szCs w:val="24"/>
        </w:rPr>
        <w:t xml:space="preserve">urther research </w:t>
      </w:r>
      <w:r w:rsidR="00764B5C" w:rsidRPr="00000849">
        <w:rPr>
          <w:rFonts w:cstheme="minorHAnsi"/>
          <w:color w:val="383838"/>
          <w:sz w:val="24"/>
          <w:szCs w:val="24"/>
        </w:rPr>
        <w:t>might be</w:t>
      </w:r>
      <w:r w:rsidR="00C46B21" w:rsidRPr="00000849">
        <w:rPr>
          <w:rFonts w:cstheme="minorHAnsi"/>
          <w:color w:val="383838"/>
          <w:sz w:val="24"/>
          <w:szCs w:val="24"/>
        </w:rPr>
        <w:t xml:space="preserve"> needed to better define the trends in hypertension, to explain</w:t>
      </w:r>
      <w:r w:rsidR="00EF63BD" w:rsidRPr="00000849">
        <w:rPr>
          <w:rFonts w:cstheme="minorHAnsi"/>
          <w:color w:val="383838"/>
          <w:sz w:val="24"/>
          <w:szCs w:val="24"/>
        </w:rPr>
        <w:t xml:space="preserve"> the </w:t>
      </w:r>
      <w:r w:rsidR="00FE2305">
        <w:rPr>
          <w:rFonts w:cstheme="minorHAnsi"/>
          <w:color w:val="383838"/>
          <w:sz w:val="24"/>
          <w:szCs w:val="24"/>
        </w:rPr>
        <w:t>change</w:t>
      </w:r>
      <w:r w:rsidR="00FE2305" w:rsidRPr="00000849">
        <w:rPr>
          <w:rFonts w:cstheme="minorHAnsi"/>
          <w:color w:val="383838"/>
          <w:sz w:val="24"/>
          <w:szCs w:val="24"/>
        </w:rPr>
        <w:t xml:space="preserve"> </w:t>
      </w:r>
      <w:r w:rsidR="00EF63BD" w:rsidRPr="00000849">
        <w:rPr>
          <w:rFonts w:cstheme="minorHAnsi"/>
          <w:color w:val="383838"/>
          <w:sz w:val="24"/>
          <w:szCs w:val="24"/>
        </w:rPr>
        <w:t>in the prevalence</w:t>
      </w:r>
      <w:r w:rsidR="006526F9" w:rsidRPr="00000849">
        <w:rPr>
          <w:rFonts w:cstheme="minorHAnsi"/>
          <w:color w:val="383838"/>
          <w:sz w:val="24"/>
          <w:szCs w:val="24"/>
        </w:rPr>
        <w:t xml:space="preserve"> of hypertension</w:t>
      </w:r>
      <w:r w:rsidR="00C46B21" w:rsidRPr="00000849">
        <w:rPr>
          <w:rFonts w:cstheme="minorHAnsi"/>
          <w:color w:val="383838"/>
          <w:sz w:val="24"/>
          <w:szCs w:val="24"/>
        </w:rPr>
        <w:t xml:space="preserve"> observed over time a</w:t>
      </w:r>
      <w:r w:rsidR="00EF63BD" w:rsidRPr="00000849">
        <w:rPr>
          <w:rFonts w:cstheme="minorHAnsi"/>
          <w:color w:val="383838"/>
          <w:sz w:val="24"/>
          <w:szCs w:val="24"/>
        </w:rPr>
        <w:t xml:space="preserve">nd </w:t>
      </w:r>
      <w:r w:rsidR="00C46B21" w:rsidRPr="00000849">
        <w:rPr>
          <w:rFonts w:cstheme="minorHAnsi"/>
          <w:color w:val="383838"/>
          <w:sz w:val="24"/>
          <w:szCs w:val="24"/>
        </w:rPr>
        <w:t xml:space="preserve">to determine </w:t>
      </w:r>
      <w:r w:rsidR="00EF63BD" w:rsidRPr="00000849">
        <w:rPr>
          <w:rFonts w:cstheme="minorHAnsi"/>
          <w:color w:val="383838"/>
          <w:sz w:val="24"/>
          <w:szCs w:val="24"/>
        </w:rPr>
        <w:t xml:space="preserve">how best </w:t>
      </w:r>
      <w:r w:rsidR="00C46B21" w:rsidRPr="00000849">
        <w:rPr>
          <w:rFonts w:cstheme="minorHAnsi"/>
          <w:color w:val="383838"/>
          <w:sz w:val="24"/>
          <w:szCs w:val="24"/>
        </w:rPr>
        <w:t xml:space="preserve">to </w:t>
      </w:r>
      <w:r w:rsidR="00EF63BD" w:rsidRPr="00000849">
        <w:rPr>
          <w:rFonts w:cstheme="minorHAnsi"/>
          <w:color w:val="383838"/>
          <w:sz w:val="24"/>
          <w:szCs w:val="24"/>
        </w:rPr>
        <w:t>deliver the interventions to this older age group</w:t>
      </w:r>
      <w:r w:rsidR="00EF63BD" w:rsidRPr="00000849">
        <w:rPr>
          <w:rFonts w:cstheme="minorHAnsi"/>
          <w:color w:val="383838"/>
        </w:rPr>
        <w:t>.</w:t>
      </w:r>
      <w:r w:rsidR="00AC5759" w:rsidRPr="00000849">
        <w:rPr>
          <w:rFonts w:cstheme="minorHAnsi"/>
          <w:color w:val="383838"/>
        </w:rPr>
        <w:t xml:space="preserve">  </w:t>
      </w:r>
    </w:p>
    <w:p w14:paraId="3AA3CD02" w14:textId="07966F6D" w:rsidR="00CE128D" w:rsidRPr="00000849" w:rsidRDefault="00CE128D" w:rsidP="00143B7E">
      <w:pPr>
        <w:spacing w:after="160" w:line="480" w:lineRule="auto"/>
        <w:ind w:firstLine="720"/>
        <w:jc w:val="both"/>
        <w:rPr>
          <w:rFonts w:ascii="Calibri" w:eastAsia="Times New Roman" w:hAnsi="Calibri" w:cs="Times New Roman"/>
          <w:b/>
          <w:bCs/>
          <w:kern w:val="36"/>
          <w:sz w:val="24"/>
          <w:szCs w:val="24"/>
          <w:lang w:eastAsia="en-GB"/>
        </w:rPr>
      </w:pPr>
      <w:r w:rsidRPr="00000849">
        <w:rPr>
          <w:sz w:val="24"/>
          <w:szCs w:val="24"/>
        </w:rPr>
        <w:br w:type="page"/>
      </w:r>
    </w:p>
    <w:p w14:paraId="5931775B" w14:textId="0AC4F47B" w:rsidR="00DA7447" w:rsidRPr="00000849" w:rsidRDefault="00DA7447">
      <w:pPr>
        <w:pStyle w:val="Heading1"/>
      </w:pPr>
      <w:bookmarkStart w:id="2" w:name="_Toc51472063"/>
      <w:r w:rsidRPr="00000849">
        <w:lastRenderedPageBreak/>
        <w:t>Dedication</w:t>
      </w:r>
      <w:bookmarkEnd w:id="2"/>
    </w:p>
    <w:p w14:paraId="59BCBBF1" w14:textId="77777777" w:rsidR="00DA7447" w:rsidRPr="00000849" w:rsidRDefault="00DA7447" w:rsidP="00DA7447">
      <w:pPr>
        <w:spacing w:line="480" w:lineRule="auto"/>
        <w:jc w:val="both"/>
        <w:rPr>
          <w:rFonts w:cstheme="minorHAnsi"/>
          <w:sz w:val="24"/>
          <w:szCs w:val="24"/>
        </w:rPr>
      </w:pPr>
    </w:p>
    <w:p w14:paraId="374E9F01" w14:textId="4955B296" w:rsidR="00772AEA" w:rsidRPr="00000849" w:rsidRDefault="00772AEA" w:rsidP="00357FD6">
      <w:pPr>
        <w:spacing w:line="480" w:lineRule="auto"/>
        <w:jc w:val="center"/>
        <w:rPr>
          <w:rStyle w:val="Strong"/>
          <w:rFonts w:ascii="Segoe Print" w:hAnsi="Segoe Print" w:cs="Arial"/>
          <w:color w:val="4B4949"/>
          <w:sz w:val="32"/>
          <w:szCs w:val="32"/>
        </w:rPr>
      </w:pPr>
      <w:r w:rsidRPr="00000849">
        <w:rPr>
          <w:rStyle w:val="Strong"/>
          <w:rFonts w:ascii="Segoe Print" w:hAnsi="Segoe Print" w:cs="Arial"/>
          <w:color w:val="4B4949"/>
          <w:sz w:val="32"/>
          <w:szCs w:val="32"/>
        </w:rPr>
        <w:t xml:space="preserve">Dedicated to my family (Rosemary, Berril, Dary and </w:t>
      </w:r>
      <w:r w:rsidR="00EE5271" w:rsidRPr="00000849">
        <w:rPr>
          <w:rStyle w:val="Strong"/>
          <w:rFonts w:ascii="Segoe Print" w:hAnsi="Segoe Print" w:cs="Arial"/>
          <w:color w:val="4B4949"/>
          <w:sz w:val="32"/>
          <w:szCs w:val="32"/>
        </w:rPr>
        <w:t>Bert</w:t>
      </w:r>
      <w:r w:rsidRPr="00000849">
        <w:rPr>
          <w:rStyle w:val="Strong"/>
          <w:rFonts w:ascii="Segoe Print" w:hAnsi="Segoe Print" w:cs="Arial"/>
          <w:color w:val="4B4949"/>
          <w:sz w:val="32"/>
          <w:szCs w:val="32"/>
        </w:rPr>
        <w:t>) and to the memory of my late parents with much love</w:t>
      </w:r>
    </w:p>
    <w:p w14:paraId="596C60CC" w14:textId="77777777" w:rsidR="00772AEA" w:rsidRPr="00000849" w:rsidRDefault="00772AEA" w:rsidP="00DA7447">
      <w:pPr>
        <w:spacing w:line="480" w:lineRule="auto"/>
        <w:jc w:val="both"/>
        <w:rPr>
          <w:rFonts w:cstheme="minorHAnsi"/>
          <w:sz w:val="24"/>
          <w:szCs w:val="24"/>
        </w:rPr>
      </w:pPr>
    </w:p>
    <w:p w14:paraId="35BE1B7E" w14:textId="77777777" w:rsidR="00DA7447" w:rsidRPr="00000849" w:rsidRDefault="00DA7447">
      <w:pPr>
        <w:spacing w:after="160" w:line="259" w:lineRule="auto"/>
        <w:rPr>
          <w:rFonts w:ascii="Calibri" w:eastAsia="Times New Roman" w:hAnsi="Calibri" w:cs="Times New Roman"/>
          <w:b/>
          <w:bCs/>
          <w:kern w:val="36"/>
          <w:sz w:val="32"/>
          <w:szCs w:val="48"/>
          <w:lang w:eastAsia="en-GB"/>
        </w:rPr>
      </w:pPr>
      <w:r w:rsidRPr="00000849">
        <w:br w:type="page"/>
      </w:r>
    </w:p>
    <w:p w14:paraId="38FC86FD" w14:textId="1CD7A684" w:rsidR="00CD75DE" w:rsidRPr="00000849" w:rsidRDefault="00DC5300">
      <w:pPr>
        <w:pStyle w:val="Heading1"/>
      </w:pPr>
      <w:bookmarkStart w:id="3" w:name="_Toc51472064"/>
      <w:r w:rsidRPr="00000849">
        <w:lastRenderedPageBreak/>
        <w:t xml:space="preserve">Table of </w:t>
      </w:r>
      <w:r w:rsidR="00CD75DE" w:rsidRPr="00000849">
        <w:t>Contents</w:t>
      </w:r>
      <w:bookmarkEnd w:id="3"/>
    </w:p>
    <w:p w14:paraId="4AD379C4" w14:textId="77777777" w:rsidR="00CE128D" w:rsidRPr="00000849" w:rsidRDefault="00CE128D" w:rsidP="00D90F65">
      <w:pPr>
        <w:pStyle w:val="NormalWeb"/>
        <w:shd w:val="clear" w:color="auto" w:fill="FFFFFF"/>
        <w:spacing w:before="0" w:beforeAutospacing="0" w:after="165" w:afterAutospacing="0" w:line="480" w:lineRule="auto"/>
        <w:rPr>
          <w:rFonts w:asciiTheme="minorHAnsi" w:hAnsiTheme="minorHAnsi" w:cstheme="minorHAnsi"/>
          <w:color w:val="383838"/>
        </w:rPr>
      </w:pPr>
    </w:p>
    <w:sdt>
      <w:sdtPr>
        <w:rPr>
          <w:rFonts w:asciiTheme="minorHAnsi" w:eastAsiaTheme="minorHAnsi" w:hAnsiTheme="minorHAnsi" w:cstheme="minorBidi"/>
          <w:color w:val="auto"/>
          <w:sz w:val="22"/>
          <w:szCs w:val="22"/>
          <w:lang w:val="en-GB"/>
        </w:rPr>
        <w:id w:val="-1691285067"/>
        <w:docPartObj>
          <w:docPartGallery w:val="Table of Contents"/>
          <w:docPartUnique/>
        </w:docPartObj>
      </w:sdtPr>
      <w:sdtEndPr>
        <w:rPr>
          <w:b/>
          <w:bCs/>
          <w:noProof/>
        </w:rPr>
      </w:sdtEndPr>
      <w:sdtContent>
        <w:p w14:paraId="2DF33696" w14:textId="3E7E7930" w:rsidR="00CE128D" w:rsidRPr="00000849" w:rsidRDefault="00CE128D" w:rsidP="00143B7E">
          <w:pPr>
            <w:pStyle w:val="TOCHeading"/>
          </w:pPr>
        </w:p>
        <w:bookmarkStart w:id="4" w:name="_Hlk8197991"/>
        <w:p w14:paraId="20C57708" w14:textId="39C0DAAE" w:rsidR="00077BCB" w:rsidRPr="00000849" w:rsidRDefault="00CE128D">
          <w:pPr>
            <w:pStyle w:val="TOC1"/>
            <w:tabs>
              <w:tab w:val="right" w:leader="dot" w:pos="8301"/>
            </w:tabs>
            <w:rPr>
              <w:rFonts w:eastAsiaTheme="minorEastAsia"/>
              <w:noProof/>
              <w:lang w:eastAsia="en-GB"/>
            </w:rPr>
          </w:pPr>
          <w:r w:rsidRPr="00000849">
            <w:fldChar w:fldCharType="begin"/>
          </w:r>
          <w:r w:rsidRPr="00000849">
            <w:instrText xml:space="preserve"> TOC \o "1-3" \h \z \u </w:instrText>
          </w:r>
          <w:r w:rsidRPr="00000849">
            <w:fldChar w:fldCharType="separate"/>
          </w:r>
          <w:hyperlink w:anchor="_Toc51472061" w:history="1">
            <w:r w:rsidR="00077BCB" w:rsidRPr="00000849">
              <w:rPr>
                <w:rStyle w:val="Hyperlink"/>
                <w:noProof/>
              </w:rPr>
              <w:t>Declaration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_Toc51472061 \h </w:instrText>
            </w:r>
            <w:r w:rsidR="00077BCB" w:rsidRPr="00000849">
              <w:rPr>
                <w:noProof/>
                <w:webHidden/>
              </w:rPr>
            </w:r>
            <w:r w:rsidR="00077BCB" w:rsidRPr="00000849">
              <w:rPr>
                <w:noProof/>
                <w:webHidden/>
              </w:rPr>
              <w:fldChar w:fldCharType="separate"/>
            </w:r>
            <w:r w:rsidR="00C0100F">
              <w:rPr>
                <w:noProof/>
                <w:webHidden/>
              </w:rPr>
              <w:t>ii</w:t>
            </w:r>
            <w:r w:rsidR="00077BCB" w:rsidRPr="00000849">
              <w:rPr>
                <w:noProof/>
                <w:webHidden/>
              </w:rPr>
              <w:fldChar w:fldCharType="end"/>
            </w:r>
          </w:hyperlink>
        </w:p>
        <w:p w14:paraId="52743310" w14:textId="494BCBC8" w:rsidR="00077BCB" w:rsidRPr="00000849" w:rsidRDefault="00C84E75">
          <w:pPr>
            <w:pStyle w:val="TOC1"/>
            <w:tabs>
              <w:tab w:val="right" w:leader="dot" w:pos="8301"/>
            </w:tabs>
            <w:rPr>
              <w:rFonts w:eastAsiaTheme="minorEastAsia"/>
              <w:noProof/>
              <w:lang w:eastAsia="en-GB"/>
            </w:rPr>
          </w:pPr>
          <w:hyperlink w:anchor="_Toc51472062" w:history="1">
            <w:r w:rsidR="00077BCB" w:rsidRPr="00000849">
              <w:rPr>
                <w:rStyle w:val="Hyperlink"/>
                <w:noProof/>
              </w:rPr>
              <w:t>Abstract</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_Toc51472062 \h </w:instrText>
            </w:r>
            <w:r w:rsidR="00077BCB" w:rsidRPr="00000849">
              <w:rPr>
                <w:noProof/>
                <w:webHidden/>
              </w:rPr>
            </w:r>
            <w:r w:rsidR="00077BCB" w:rsidRPr="00000849">
              <w:rPr>
                <w:noProof/>
                <w:webHidden/>
              </w:rPr>
              <w:fldChar w:fldCharType="separate"/>
            </w:r>
            <w:r w:rsidR="00C0100F">
              <w:rPr>
                <w:noProof/>
                <w:webHidden/>
              </w:rPr>
              <w:t>iii</w:t>
            </w:r>
            <w:r w:rsidR="00077BCB" w:rsidRPr="00000849">
              <w:rPr>
                <w:noProof/>
                <w:webHidden/>
              </w:rPr>
              <w:fldChar w:fldCharType="end"/>
            </w:r>
          </w:hyperlink>
        </w:p>
        <w:p w14:paraId="4ED7DFC0" w14:textId="4C8EB78C" w:rsidR="00077BCB" w:rsidRPr="00000849" w:rsidRDefault="00C84E75">
          <w:pPr>
            <w:pStyle w:val="TOC1"/>
            <w:tabs>
              <w:tab w:val="right" w:leader="dot" w:pos="8301"/>
            </w:tabs>
            <w:rPr>
              <w:rFonts w:eastAsiaTheme="minorEastAsia"/>
              <w:noProof/>
              <w:lang w:eastAsia="en-GB"/>
            </w:rPr>
          </w:pPr>
          <w:hyperlink w:anchor="_Toc51472063" w:history="1">
            <w:r w:rsidR="00077BCB" w:rsidRPr="00000849">
              <w:rPr>
                <w:rStyle w:val="Hyperlink"/>
                <w:noProof/>
              </w:rPr>
              <w:t>Dedication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_Toc51472063 \h </w:instrText>
            </w:r>
            <w:r w:rsidR="00077BCB" w:rsidRPr="00000849">
              <w:rPr>
                <w:noProof/>
                <w:webHidden/>
              </w:rPr>
            </w:r>
            <w:r w:rsidR="00077BCB" w:rsidRPr="00000849">
              <w:rPr>
                <w:noProof/>
                <w:webHidden/>
              </w:rPr>
              <w:fldChar w:fldCharType="separate"/>
            </w:r>
            <w:r w:rsidR="00C0100F">
              <w:rPr>
                <w:noProof/>
                <w:webHidden/>
              </w:rPr>
              <w:t>viii</w:t>
            </w:r>
            <w:r w:rsidR="00077BCB" w:rsidRPr="00000849">
              <w:rPr>
                <w:noProof/>
                <w:webHidden/>
              </w:rPr>
              <w:fldChar w:fldCharType="end"/>
            </w:r>
          </w:hyperlink>
        </w:p>
        <w:p w14:paraId="4AAFBB04" w14:textId="7FDE4301" w:rsidR="00077BCB" w:rsidRPr="00000849" w:rsidRDefault="00C84E75">
          <w:pPr>
            <w:pStyle w:val="TOC1"/>
            <w:tabs>
              <w:tab w:val="right" w:leader="dot" w:pos="8301"/>
            </w:tabs>
            <w:rPr>
              <w:rFonts w:eastAsiaTheme="minorEastAsia"/>
              <w:noProof/>
              <w:lang w:eastAsia="en-GB"/>
            </w:rPr>
          </w:pPr>
          <w:hyperlink w:anchor="_Toc51472064" w:history="1">
            <w:r w:rsidR="00077BCB" w:rsidRPr="00000849">
              <w:rPr>
                <w:rStyle w:val="Hyperlink"/>
                <w:noProof/>
              </w:rPr>
              <w:t>Table of Contents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_Toc51472064 \h </w:instrText>
            </w:r>
            <w:r w:rsidR="00077BCB" w:rsidRPr="00000849">
              <w:rPr>
                <w:noProof/>
                <w:webHidden/>
              </w:rPr>
            </w:r>
            <w:r w:rsidR="00077BCB" w:rsidRPr="00000849">
              <w:rPr>
                <w:noProof/>
                <w:webHidden/>
              </w:rPr>
              <w:fldChar w:fldCharType="separate"/>
            </w:r>
            <w:r w:rsidR="00C0100F">
              <w:rPr>
                <w:noProof/>
                <w:webHidden/>
              </w:rPr>
              <w:t>ix</w:t>
            </w:r>
            <w:r w:rsidR="00077BCB" w:rsidRPr="00000849">
              <w:rPr>
                <w:noProof/>
                <w:webHidden/>
              </w:rPr>
              <w:fldChar w:fldCharType="end"/>
            </w:r>
          </w:hyperlink>
        </w:p>
        <w:p w14:paraId="52A6625E" w14:textId="5B61C29D" w:rsidR="00077BCB" w:rsidRPr="00000849" w:rsidRDefault="00C84E75">
          <w:pPr>
            <w:pStyle w:val="TOC1"/>
            <w:tabs>
              <w:tab w:val="right" w:leader="dot" w:pos="8301"/>
            </w:tabs>
            <w:rPr>
              <w:rFonts w:eastAsiaTheme="minorEastAsia"/>
              <w:noProof/>
              <w:lang w:eastAsia="en-GB"/>
            </w:rPr>
          </w:pPr>
          <w:hyperlink w:anchor="_Toc51472065" w:history="1">
            <w:r w:rsidR="00077BCB" w:rsidRPr="00000849">
              <w:rPr>
                <w:rStyle w:val="Hyperlink"/>
                <w:noProof/>
              </w:rPr>
              <w:t>List of Tables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_Toc51472065 \h </w:instrText>
            </w:r>
            <w:r w:rsidR="00077BCB" w:rsidRPr="00000849">
              <w:rPr>
                <w:noProof/>
                <w:webHidden/>
              </w:rPr>
            </w:r>
            <w:r w:rsidR="00077BCB" w:rsidRPr="00000849">
              <w:rPr>
                <w:noProof/>
                <w:webHidden/>
              </w:rPr>
              <w:fldChar w:fldCharType="separate"/>
            </w:r>
            <w:r w:rsidR="00C0100F">
              <w:rPr>
                <w:noProof/>
                <w:webHidden/>
              </w:rPr>
              <w:t>xiv</w:t>
            </w:r>
            <w:r w:rsidR="00077BCB" w:rsidRPr="00000849">
              <w:rPr>
                <w:noProof/>
                <w:webHidden/>
              </w:rPr>
              <w:fldChar w:fldCharType="end"/>
            </w:r>
          </w:hyperlink>
        </w:p>
        <w:p w14:paraId="541888CA" w14:textId="085B6CA5" w:rsidR="00077BCB" w:rsidRPr="00000849" w:rsidRDefault="00C84E75">
          <w:pPr>
            <w:pStyle w:val="TOC1"/>
            <w:tabs>
              <w:tab w:val="right" w:leader="dot" w:pos="8301"/>
            </w:tabs>
            <w:rPr>
              <w:rFonts w:eastAsiaTheme="minorEastAsia"/>
              <w:noProof/>
              <w:lang w:eastAsia="en-GB"/>
            </w:rPr>
          </w:pPr>
          <w:hyperlink w:anchor="_Toc51472066" w:history="1">
            <w:r w:rsidR="00077BCB" w:rsidRPr="00000849">
              <w:rPr>
                <w:rStyle w:val="Hyperlink"/>
                <w:noProof/>
              </w:rPr>
              <w:t>List of Figures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_Toc51472066 \h </w:instrText>
            </w:r>
            <w:r w:rsidR="00077BCB" w:rsidRPr="00000849">
              <w:rPr>
                <w:noProof/>
                <w:webHidden/>
              </w:rPr>
            </w:r>
            <w:r w:rsidR="00077BCB" w:rsidRPr="00000849">
              <w:rPr>
                <w:noProof/>
                <w:webHidden/>
              </w:rPr>
              <w:fldChar w:fldCharType="separate"/>
            </w:r>
            <w:r w:rsidR="00C0100F">
              <w:rPr>
                <w:noProof/>
                <w:webHidden/>
              </w:rPr>
              <w:t>xv</w:t>
            </w:r>
            <w:r w:rsidR="00077BCB" w:rsidRPr="00000849">
              <w:rPr>
                <w:noProof/>
                <w:webHidden/>
              </w:rPr>
              <w:fldChar w:fldCharType="end"/>
            </w:r>
          </w:hyperlink>
        </w:p>
        <w:p w14:paraId="4C4482A7" w14:textId="286FDF28" w:rsidR="00077BCB" w:rsidRPr="00000849" w:rsidRDefault="00C84E75">
          <w:pPr>
            <w:pStyle w:val="TOC1"/>
            <w:tabs>
              <w:tab w:val="right" w:leader="dot" w:pos="8301"/>
            </w:tabs>
            <w:rPr>
              <w:rFonts w:eastAsiaTheme="minorEastAsia"/>
              <w:noProof/>
              <w:lang w:eastAsia="en-GB"/>
            </w:rPr>
          </w:pPr>
          <w:hyperlink w:anchor="_Toc51472067" w:history="1">
            <w:r w:rsidR="00077BCB" w:rsidRPr="00000849">
              <w:rPr>
                <w:rStyle w:val="Hyperlink"/>
                <w:noProof/>
              </w:rPr>
              <w:t>List of Abbreviations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_Toc51472067 \h </w:instrText>
            </w:r>
            <w:r w:rsidR="00077BCB" w:rsidRPr="00000849">
              <w:rPr>
                <w:noProof/>
                <w:webHidden/>
              </w:rPr>
            </w:r>
            <w:r w:rsidR="00077BCB" w:rsidRPr="00000849">
              <w:rPr>
                <w:noProof/>
                <w:webHidden/>
              </w:rPr>
              <w:fldChar w:fldCharType="separate"/>
            </w:r>
            <w:r w:rsidR="00C0100F">
              <w:rPr>
                <w:noProof/>
                <w:webHidden/>
              </w:rPr>
              <w:t>xvi</w:t>
            </w:r>
            <w:r w:rsidR="00077BCB" w:rsidRPr="00000849">
              <w:rPr>
                <w:noProof/>
                <w:webHidden/>
              </w:rPr>
              <w:fldChar w:fldCharType="end"/>
            </w:r>
          </w:hyperlink>
        </w:p>
        <w:p w14:paraId="7B550F44" w14:textId="7391134C" w:rsidR="00077BCB" w:rsidRPr="00000849" w:rsidRDefault="00C84E75">
          <w:pPr>
            <w:pStyle w:val="TOC1"/>
            <w:tabs>
              <w:tab w:val="right" w:leader="dot" w:pos="8301"/>
            </w:tabs>
            <w:rPr>
              <w:rFonts w:eastAsiaTheme="minorEastAsia"/>
              <w:noProof/>
              <w:lang w:eastAsia="en-GB"/>
            </w:rPr>
          </w:pPr>
          <w:hyperlink w:anchor="_Toc51472068" w:history="1">
            <w:r w:rsidR="00077BCB" w:rsidRPr="00000849">
              <w:rPr>
                <w:rStyle w:val="Hyperlink"/>
                <w:noProof/>
              </w:rPr>
              <w:t>Acknowledgements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_Toc51472068 \h </w:instrText>
            </w:r>
            <w:r w:rsidR="00077BCB" w:rsidRPr="00000849">
              <w:rPr>
                <w:noProof/>
                <w:webHidden/>
              </w:rPr>
            </w:r>
            <w:r w:rsidR="00077BCB" w:rsidRPr="00000849">
              <w:rPr>
                <w:noProof/>
                <w:webHidden/>
              </w:rPr>
              <w:fldChar w:fldCharType="separate"/>
            </w:r>
            <w:r w:rsidR="00C0100F">
              <w:rPr>
                <w:noProof/>
                <w:webHidden/>
              </w:rPr>
              <w:t>xviii</w:t>
            </w:r>
            <w:r w:rsidR="00077BCB" w:rsidRPr="00000849">
              <w:rPr>
                <w:noProof/>
                <w:webHidden/>
              </w:rPr>
              <w:fldChar w:fldCharType="end"/>
            </w:r>
          </w:hyperlink>
        </w:p>
        <w:p w14:paraId="0937924D" w14:textId="12F729EF" w:rsidR="00077BCB" w:rsidRPr="00000849" w:rsidRDefault="00C84E75">
          <w:pPr>
            <w:pStyle w:val="TOC1"/>
            <w:tabs>
              <w:tab w:val="right" w:leader="dot" w:pos="8301"/>
            </w:tabs>
            <w:rPr>
              <w:rFonts w:eastAsiaTheme="minorEastAsia"/>
              <w:noProof/>
              <w:lang w:eastAsia="en-GB"/>
            </w:rPr>
          </w:pPr>
          <w:hyperlink w:anchor="_Toc51472069" w:history="1">
            <w:r w:rsidR="00077BCB" w:rsidRPr="00000849">
              <w:rPr>
                <w:rStyle w:val="Hyperlink"/>
                <w:noProof/>
              </w:rPr>
              <w:t>Chapter 1: Introduction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_Toc51472069 \h </w:instrText>
            </w:r>
            <w:r w:rsidR="00077BCB" w:rsidRPr="00000849">
              <w:rPr>
                <w:noProof/>
                <w:webHidden/>
              </w:rPr>
            </w:r>
            <w:r w:rsidR="00077BCB" w:rsidRPr="00000849">
              <w:rPr>
                <w:noProof/>
                <w:webHidden/>
              </w:rPr>
              <w:fldChar w:fldCharType="separate"/>
            </w:r>
            <w:r w:rsidR="00C0100F">
              <w:rPr>
                <w:noProof/>
                <w:webHidden/>
              </w:rPr>
              <w:t>1</w:t>
            </w:r>
            <w:r w:rsidR="00077BCB" w:rsidRPr="00000849">
              <w:rPr>
                <w:noProof/>
                <w:webHidden/>
              </w:rPr>
              <w:fldChar w:fldCharType="end"/>
            </w:r>
          </w:hyperlink>
        </w:p>
        <w:p w14:paraId="33F44B59" w14:textId="27A0F2BC" w:rsidR="00077BCB" w:rsidRPr="00000849" w:rsidRDefault="00C84E75">
          <w:pPr>
            <w:pStyle w:val="TOC2"/>
            <w:tabs>
              <w:tab w:val="left" w:pos="880"/>
              <w:tab w:val="right" w:leader="dot" w:pos="8301"/>
            </w:tabs>
            <w:rPr>
              <w:rFonts w:eastAsiaTheme="minorEastAsia"/>
              <w:noProof/>
              <w:lang w:eastAsia="en-GB"/>
            </w:rPr>
          </w:pPr>
          <w:hyperlink w:anchor="_Toc51472070" w:history="1">
            <w:r w:rsidR="00077BCB" w:rsidRPr="00000849">
              <w:rPr>
                <w:rStyle w:val="Hyperlink"/>
                <w:noProof/>
              </w:rPr>
              <w:t>1.1</w:t>
            </w:r>
            <w:r w:rsidR="00077BCB" w:rsidRPr="00000849">
              <w:rPr>
                <w:rFonts w:eastAsiaTheme="minorEastAsia"/>
                <w:noProof/>
                <w:lang w:eastAsia="en-GB"/>
              </w:rPr>
              <w:tab/>
            </w:r>
            <w:r w:rsidR="00077BCB" w:rsidRPr="00000849">
              <w:rPr>
                <w:rStyle w:val="Hyperlink"/>
                <w:noProof/>
              </w:rPr>
              <w:t>Socioeconomic profile of Ghana</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_Toc51472070 \h </w:instrText>
            </w:r>
            <w:r w:rsidR="00077BCB" w:rsidRPr="00000849">
              <w:rPr>
                <w:noProof/>
                <w:webHidden/>
              </w:rPr>
            </w:r>
            <w:r w:rsidR="00077BCB" w:rsidRPr="00000849">
              <w:rPr>
                <w:noProof/>
                <w:webHidden/>
              </w:rPr>
              <w:fldChar w:fldCharType="separate"/>
            </w:r>
            <w:r w:rsidR="00C0100F">
              <w:rPr>
                <w:noProof/>
                <w:webHidden/>
              </w:rPr>
              <w:t>1</w:t>
            </w:r>
            <w:r w:rsidR="00077BCB" w:rsidRPr="00000849">
              <w:rPr>
                <w:noProof/>
                <w:webHidden/>
              </w:rPr>
              <w:fldChar w:fldCharType="end"/>
            </w:r>
          </w:hyperlink>
        </w:p>
        <w:p w14:paraId="3DFB51BA" w14:textId="0D0DAA17" w:rsidR="00077BCB" w:rsidRPr="00000849" w:rsidRDefault="00C84E75">
          <w:pPr>
            <w:pStyle w:val="TOC2"/>
            <w:tabs>
              <w:tab w:val="left" w:pos="880"/>
              <w:tab w:val="right" w:leader="dot" w:pos="8301"/>
            </w:tabs>
            <w:rPr>
              <w:rFonts w:eastAsiaTheme="minorEastAsia"/>
              <w:noProof/>
              <w:lang w:eastAsia="en-GB"/>
            </w:rPr>
          </w:pPr>
          <w:hyperlink w:anchor="_Toc51472071" w:history="1">
            <w:r w:rsidR="00077BCB" w:rsidRPr="00000849">
              <w:rPr>
                <w:rStyle w:val="Hyperlink"/>
                <w:noProof/>
              </w:rPr>
              <w:t>1.2</w:t>
            </w:r>
            <w:r w:rsidR="00077BCB" w:rsidRPr="00000849">
              <w:rPr>
                <w:rFonts w:eastAsiaTheme="minorEastAsia"/>
                <w:noProof/>
                <w:lang w:eastAsia="en-GB"/>
              </w:rPr>
              <w:tab/>
            </w:r>
            <w:r w:rsidR="00077BCB" w:rsidRPr="00000849">
              <w:rPr>
                <w:rStyle w:val="Hyperlink"/>
                <w:noProof/>
              </w:rPr>
              <w:t>Trends in ageing and associated health effects in Ghana</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_Toc51472071 \h </w:instrText>
            </w:r>
            <w:r w:rsidR="00077BCB" w:rsidRPr="00000849">
              <w:rPr>
                <w:noProof/>
                <w:webHidden/>
              </w:rPr>
            </w:r>
            <w:r w:rsidR="00077BCB" w:rsidRPr="00000849">
              <w:rPr>
                <w:noProof/>
                <w:webHidden/>
              </w:rPr>
              <w:fldChar w:fldCharType="separate"/>
            </w:r>
            <w:r w:rsidR="00C0100F">
              <w:rPr>
                <w:noProof/>
                <w:webHidden/>
              </w:rPr>
              <w:t>3</w:t>
            </w:r>
            <w:r w:rsidR="00077BCB" w:rsidRPr="00000849">
              <w:rPr>
                <w:noProof/>
                <w:webHidden/>
              </w:rPr>
              <w:fldChar w:fldCharType="end"/>
            </w:r>
          </w:hyperlink>
        </w:p>
        <w:p w14:paraId="6D7B0F7B" w14:textId="0206C515" w:rsidR="00077BCB" w:rsidRPr="00000849" w:rsidRDefault="00C84E75">
          <w:pPr>
            <w:pStyle w:val="TOC2"/>
            <w:tabs>
              <w:tab w:val="left" w:pos="880"/>
              <w:tab w:val="right" w:leader="dot" w:pos="8301"/>
            </w:tabs>
            <w:rPr>
              <w:rFonts w:eastAsiaTheme="minorEastAsia"/>
              <w:noProof/>
              <w:lang w:eastAsia="en-GB"/>
            </w:rPr>
          </w:pPr>
          <w:hyperlink w:anchor="_Toc51472072" w:history="1">
            <w:r w:rsidR="00077BCB" w:rsidRPr="00000849">
              <w:rPr>
                <w:rStyle w:val="Hyperlink"/>
                <w:noProof/>
              </w:rPr>
              <w:t>1.3</w:t>
            </w:r>
            <w:r w:rsidR="00077BCB" w:rsidRPr="00000849">
              <w:rPr>
                <w:rFonts w:eastAsiaTheme="minorEastAsia"/>
                <w:noProof/>
                <w:lang w:eastAsia="en-GB"/>
              </w:rPr>
              <w:tab/>
            </w:r>
            <w:r w:rsidR="00077BCB" w:rsidRPr="00000849">
              <w:rPr>
                <w:rStyle w:val="Hyperlink"/>
                <w:noProof/>
              </w:rPr>
              <w:t>Definition of older people</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_Toc51472072 \h </w:instrText>
            </w:r>
            <w:r w:rsidR="00077BCB" w:rsidRPr="00000849">
              <w:rPr>
                <w:noProof/>
                <w:webHidden/>
              </w:rPr>
            </w:r>
            <w:r w:rsidR="00077BCB" w:rsidRPr="00000849">
              <w:rPr>
                <w:noProof/>
                <w:webHidden/>
              </w:rPr>
              <w:fldChar w:fldCharType="separate"/>
            </w:r>
            <w:r w:rsidR="00C0100F">
              <w:rPr>
                <w:noProof/>
                <w:webHidden/>
              </w:rPr>
              <w:t>7</w:t>
            </w:r>
            <w:r w:rsidR="00077BCB" w:rsidRPr="00000849">
              <w:rPr>
                <w:noProof/>
                <w:webHidden/>
              </w:rPr>
              <w:fldChar w:fldCharType="end"/>
            </w:r>
          </w:hyperlink>
        </w:p>
        <w:p w14:paraId="250DC364" w14:textId="59045F6D" w:rsidR="00077BCB" w:rsidRPr="00000849" w:rsidRDefault="00C84E75">
          <w:pPr>
            <w:pStyle w:val="TOC2"/>
            <w:tabs>
              <w:tab w:val="left" w:pos="880"/>
              <w:tab w:val="right" w:leader="dot" w:pos="8301"/>
            </w:tabs>
            <w:rPr>
              <w:rFonts w:eastAsiaTheme="minorEastAsia"/>
              <w:noProof/>
              <w:lang w:eastAsia="en-GB"/>
            </w:rPr>
          </w:pPr>
          <w:hyperlink w:anchor="_Toc51472073" w:history="1">
            <w:r w:rsidR="00077BCB" w:rsidRPr="00000849">
              <w:rPr>
                <w:rStyle w:val="Hyperlink"/>
                <w:noProof/>
              </w:rPr>
              <w:t>1.4</w:t>
            </w:r>
            <w:r w:rsidR="00077BCB" w:rsidRPr="00000849">
              <w:rPr>
                <w:rFonts w:eastAsiaTheme="minorEastAsia"/>
                <w:noProof/>
                <w:lang w:eastAsia="en-GB"/>
              </w:rPr>
              <w:tab/>
            </w:r>
            <w:r w:rsidR="00077BCB" w:rsidRPr="00000849">
              <w:rPr>
                <w:rStyle w:val="Hyperlink"/>
                <w:noProof/>
              </w:rPr>
              <w:t>Health and social experiences of older adults in Ghana</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_Toc51472073 \h </w:instrText>
            </w:r>
            <w:r w:rsidR="00077BCB" w:rsidRPr="00000849">
              <w:rPr>
                <w:noProof/>
                <w:webHidden/>
              </w:rPr>
            </w:r>
            <w:r w:rsidR="00077BCB" w:rsidRPr="00000849">
              <w:rPr>
                <w:noProof/>
                <w:webHidden/>
              </w:rPr>
              <w:fldChar w:fldCharType="separate"/>
            </w:r>
            <w:r w:rsidR="00C0100F">
              <w:rPr>
                <w:noProof/>
                <w:webHidden/>
              </w:rPr>
              <w:t>8</w:t>
            </w:r>
            <w:r w:rsidR="00077BCB" w:rsidRPr="00000849">
              <w:rPr>
                <w:noProof/>
                <w:webHidden/>
              </w:rPr>
              <w:fldChar w:fldCharType="end"/>
            </w:r>
          </w:hyperlink>
        </w:p>
        <w:p w14:paraId="1C0DA7C6" w14:textId="49F57C57" w:rsidR="00077BCB" w:rsidRPr="00000849" w:rsidRDefault="00C84E75">
          <w:pPr>
            <w:pStyle w:val="TOC3"/>
            <w:tabs>
              <w:tab w:val="left" w:pos="1320"/>
              <w:tab w:val="right" w:leader="dot" w:pos="8301"/>
            </w:tabs>
            <w:rPr>
              <w:rFonts w:eastAsiaTheme="minorEastAsia"/>
              <w:noProof/>
              <w:lang w:eastAsia="en-GB"/>
            </w:rPr>
          </w:pPr>
          <w:hyperlink w:anchor="_Toc51472074" w:history="1">
            <w:r w:rsidR="00077BCB" w:rsidRPr="00000849">
              <w:rPr>
                <w:rStyle w:val="Hyperlink"/>
                <w:noProof/>
              </w:rPr>
              <w:t>1.4.1</w:t>
            </w:r>
            <w:r w:rsidR="00077BCB" w:rsidRPr="00000849">
              <w:rPr>
                <w:rFonts w:eastAsiaTheme="minorEastAsia"/>
                <w:noProof/>
                <w:lang w:eastAsia="en-GB"/>
              </w:rPr>
              <w:tab/>
            </w:r>
            <w:r w:rsidR="00077BCB" w:rsidRPr="00000849">
              <w:rPr>
                <w:rStyle w:val="Hyperlink"/>
                <w:noProof/>
              </w:rPr>
              <w:t>Health profile</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_Toc51472074 \h </w:instrText>
            </w:r>
            <w:r w:rsidR="00077BCB" w:rsidRPr="00000849">
              <w:rPr>
                <w:noProof/>
                <w:webHidden/>
              </w:rPr>
            </w:r>
            <w:r w:rsidR="00077BCB" w:rsidRPr="00000849">
              <w:rPr>
                <w:noProof/>
                <w:webHidden/>
              </w:rPr>
              <w:fldChar w:fldCharType="separate"/>
            </w:r>
            <w:r w:rsidR="00C0100F">
              <w:rPr>
                <w:noProof/>
                <w:webHidden/>
              </w:rPr>
              <w:t>8</w:t>
            </w:r>
            <w:r w:rsidR="00077BCB" w:rsidRPr="00000849">
              <w:rPr>
                <w:noProof/>
                <w:webHidden/>
              </w:rPr>
              <w:fldChar w:fldCharType="end"/>
            </w:r>
          </w:hyperlink>
        </w:p>
        <w:p w14:paraId="52EA259B" w14:textId="1F64A45D" w:rsidR="00077BCB" w:rsidRPr="00000849" w:rsidRDefault="00C84E75">
          <w:pPr>
            <w:pStyle w:val="TOC3"/>
            <w:tabs>
              <w:tab w:val="left" w:pos="1320"/>
              <w:tab w:val="right" w:leader="dot" w:pos="8301"/>
            </w:tabs>
            <w:rPr>
              <w:rFonts w:eastAsiaTheme="minorEastAsia"/>
              <w:noProof/>
              <w:lang w:eastAsia="en-GB"/>
            </w:rPr>
          </w:pPr>
          <w:hyperlink w:anchor="_Toc51472075" w:history="1">
            <w:r w:rsidR="00077BCB" w:rsidRPr="00000849">
              <w:rPr>
                <w:rStyle w:val="Hyperlink"/>
                <w:noProof/>
              </w:rPr>
              <w:t>1.4.2</w:t>
            </w:r>
            <w:r w:rsidR="00077BCB" w:rsidRPr="00000849">
              <w:rPr>
                <w:rFonts w:eastAsiaTheme="minorEastAsia"/>
                <w:noProof/>
                <w:lang w:eastAsia="en-GB"/>
              </w:rPr>
              <w:tab/>
            </w:r>
            <w:r w:rsidR="00077BCB" w:rsidRPr="00000849">
              <w:rPr>
                <w:rStyle w:val="Hyperlink"/>
                <w:noProof/>
              </w:rPr>
              <w:t>Noncommunicable diseases in older adults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_Toc51472075 \h </w:instrText>
            </w:r>
            <w:r w:rsidR="00077BCB" w:rsidRPr="00000849">
              <w:rPr>
                <w:noProof/>
                <w:webHidden/>
              </w:rPr>
            </w:r>
            <w:r w:rsidR="00077BCB" w:rsidRPr="00000849">
              <w:rPr>
                <w:noProof/>
                <w:webHidden/>
              </w:rPr>
              <w:fldChar w:fldCharType="separate"/>
            </w:r>
            <w:r w:rsidR="00C0100F">
              <w:rPr>
                <w:noProof/>
                <w:webHidden/>
              </w:rPr>
              <w:t>10</w:t>
            </w:r>
            <w:r w:rsidR="00077BCB" w:rsidRPr="00000849">
              <w:rPr>
                <w:noProof/>
                <w:webHidden/>
              </w:rPr>
              <w:fldChar w:fldCharType="end"/>
            </w:r>
          </w:hyperlink>
        </w:p>
        <w:p w14:paraId="7BB17A81" w14:textId="36B89AE4" w:rsidR="00077BCB" w:rsidRPr="00000849" w:rsidRDefault="00C84E75">
          <w:pPr>
            <w:pStyle w:val="TOC3"/>
            <w:tabs>
              <w:tab w:val="left" w:pos="1320"/>
              <w:tab w:val="right" w:leader="dot" w:pos="8301"/>
            </w:tabs>
            <w:rPr>
              <w:rFonts w:eastAsiaTheme="minorEastAsia"/>
              <w:noProof/>
              <w:lang w:eastAsia="en-GB"/>
            </w:rPr>
          </w:pPr>
          <w:hyperlink w:anchor="_Toc51472076" w:history="1">
            <w:r w:rsidR="00077BCB" w:rsidRPr="00000849">
              <w:rPr>
                <w:rStyle w:val="Hyperlink"/>
                <w:noProof/>
              </w:rPr>
              <w:t>1.4.3</w:t>
            </w:r>
            <w:r w:rsidR="00077BCB" w:rsidRPr="00000849">
              <w:rPr>
                <w:rFonts w:eastAsiaTheme="minorEastAsia"/>
                <w:noProof/>
                <w:lang w:eastAsia="en-GB"/>
              </w:rPr>
              <w:tab/>
            </w:r>
            <w:r w:rsidR="00077BCB" w:rsidRPr="00000849">
              <w:rPr>
                <w:rStyle w:val="Hyperlink"/>
                <w:noProof/>
              </w:rPr>
              <w:t>Functional limitations and disability in older adults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_Toc51472076 \h </w:instrText>
            </w:r>
            <w:r w:rsidR="00077BCB" w:rsidRPr="00000849">
              <w:rPr>
                <w:noProof/>
                <w:webHidden/>
              </w:rPr>
            </w:r>
            <w:r w:rsidR="00077BCB" w:rsidRPr="00000849">
              <w:rPr>
                <w:noProof/>
                <w:webHidden/>
              </w:rPr>
              <w:fldChar w:fldCharType="separate"/>
            </w:r>
            <w:r w:rsidR="00C0100F">
              <w:rPr>
                <w:noProof/>
                <w:webHidden/>
              </w:rPr>
              <w:t>11</w:t>
            </w:r>
            <w:r w:rsidR="00077BCB" w:rsidRPr="00000849">
              <w:rPr>
                <w:noProof/>
                <w:webHidden/>
              </w:rPr>
              <w:fldChar w:fldCharType="end"/>
            </w:r>
          </w:hyperlink>
        </w:p>
        <w:p w14:paraId="62B5A6D7" w14:textId="1DAC41D4" w:rsidR="00077BCB" w:rsidRPr="00000849" w:rsidRDefault="00C84E75">
          <w:pPr>
            <w:pStyle w:val="TOC3"/>
            <w:tabs>
              <w:tab w:val="left" w:pos="1320"/>
              <w:tab w:val="right" w:leader="dot" w:pos="8301"/>
            </w:tabs>
            <w:rPr>
              <w:rFonts w:eastAsiaTheme="minorEastAsia"/>
              <w:noProof/>
              <w:lang w:eastAsia="en-GB"/>
            </w:rPr>
          </w:pPr>
          <w:hyperlink w:anchor="_Toc51472077" w:history="1">
            <w:r w:rsidR="00077BCB" w:rsidRPr="00000849">
              <w:rPr>
                <w:rStyle w:val="Hyperlink"/>
                <w:noProof/>
              </w:rPr>
              <w:t>1.4.4</w:t>
            </w:r>
            <w:r w:rsidR="00077BCB" w:rsidRPr="00000849">
              <w:rPr>
                <w:rFonts w:eastAsiaTheme="minorEastAsia"/>
                <w:noProof/>
                <w:lang w:eastAsia="en-GB"/>
              </w:rPr>
              <w:tab/>
            </w:r>
            <w:r w:rsidR="00077BCB" w:rsidRPr="00000849">
              <w:rPr>
                <w:rStyle w:val="Hyperlink"/>
                <w:noProof/>
              </w:rPr>
              <w:t>Living environment of older people in Ghana</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_Toc51472077 \h </w:instrText>
            </w:r>
            <w:r w:rsidR="00077BCB" w:rsidRPr="00000849">
              <w:rPr>
                <w:noProof/>
                <w:webHidden/>
              </w:rPr>
            </w:r>
            <w:r w:rsidR="00077BCB" w:rsidRPr="00000849">
              <w:rPr>
                <w:noProof/>
                <w:webHidden/>
              </w:rPr>
              <w:fldChar w:fldCharType="separate"/>
            </w:r>
            <w:r w:rsidR="00C0100F">
              <w:rPr>
                <w:noProof/>
                <w:webHidden/>
              </w:rPr>
              <w:t>12</w:t>
            </w:r>
            <w:r w:rsidR="00077BCB" w:rsidRPr="00000849">
              <w:rPr>
                <w:noProof/>
                <w:webHidden/>
              </w:rPr>
              <w:fldChar w:fldCharType="end"/>
            </w:r>
          </w:hyperlink>
        </w:p>
        <w:p w14:paraId="6DCE693C" w14:textId="0D8C7AD8" w:rsidR="00077BCB" w:rsidRPr="00000849" w:rsidRDefault="00C84E75">
          <w:pPr>
            <w:pStyle w:val="TOC2"/>
            <w:tabs>
              <w:tab w:val="left" w:pos="880"/>
              <w:tab w:val="right" w:leader="dot" w:pos="8301"/>
            </w:tabs>
            <w:rPr>
              <w:rFonts w:eastAsiaTheme="minorEastAsia"/>
              <w:noProof/>
              <w:lang w:eastAsia="en-GB"/>
            </w:rPr>
          </w:pPr>
          <w:hyperlink w:anchor="_Toc51472078" w:history="1">
            <w:r w:rsidR="00077BCB" w:rsidRPr="00000849">
              <w:rPr>
                <w:rStyle w:val="Hyperlink"/>
                <w:noProof/>
              </w:rPr>
              <w:t>1.5</w:t>
            </w:r>
            <w:r w:rsidR="00077BCB" w:rsidRPr="00000849">
              <w:rPr>
                <w:rFonts w:eastAsiaTheme="minorEastAsia"/>
                <w:noProof/>
                <w:lang w:eastAsia="en-GB"/>
              </w:rPr>
              <w:tab/>
            </w:r>
            <w:r w:rsidR="00077BCB" w:rsidRPr="00000849">
              <w:rPr>
                <w:rStyle w:val="Hyperlink"/>
                <w:noProof/>
              </w:rPr>
              <w:t>Social protection measures for the older age population in Ghana</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_Toc51472078 \h </w:instrText>
            </w:r>
            <w:r w:rsidR="00077BCB" w:rsidRPr="00000849">
              <w:rPr>
                <w:noProof/>
                <w:webHidden/>
              </w:rPr>
            </w:r>
            <w:r w:rsidR="00077BCB" w:rsidRPr="00000849">
              <w:rPr>
                <w:noProof/>
                <w:webHidden/>
              </w:rPr>
              <w:fldChar w:fldCharType="separate"/>
            </w:r>
            <w:r w:rsidR="00C0100F">
              <w:rPr>
                <w:noProof/>
                <w:webHidden/>
              </w:rPr>
              <w:t>14</w:t>
            </w:r>
            <w:r w:rsidR="00077BCB" w:rsidRPr="00000849">
              <w:rPr>
                <w:noProof/>
                <w:webHidden/>
              </w:rPr>
              <w:fldChar w:fldCharType="end"/>
            </w:r>
          </w:hyperlink>
        </w:p>
        <w:p w14:paraId="22A8088D" w14:textId="08D61F36" w:rsidR="00077BCB" w:rsidRPr="00000849" w:rsidRDefault="00C84E75">
          <w:pPr>
            <w:pStyle w:val="TOC2"/>
            <w:tabs>
              <w:tab w:val="left" w:pos="880"/>
              <w:tab w:val="right" w:leader="dot" w:pos="8301"/>
            </w:tabs>
            <w:rPr>
              <w:rFonts w:eastAsiaTheme="minorEastAsia"/>
              <w:noProof/>
              <w:lang w:eastAsia="en-GB"/>
            </w:rPr>
          </w:pPr>
          <w:hyperlink w:anchor="_Toc51472079" w:history="1">
            <w:r w:rsidR="00077BCB" w:rsidRPr="00000849">
              <w:rPr>
                <w:rStyle w:val="Hyperlink"/>
                <w:noProof/>
              </w:rPr>
              <w:t>1.6</w:t>
            </w:r>
            <w:r w:rsidR="00077BCB" w:rsidRPr="00000849">
              <w:rPr>
                <w:rFonts w:eastAsiaTheme="minorEastAsia"/>
                <w:noProof/>
                <w:lang w:eastAsia="en-GB"/>
              </w:rPr>
              <w:tab/>
            </w:r>
            <w:r w:rsidR="00077BCB" w:rsidRPr="00000849">
              <w:rPr>
                <w:rStyle w:val="Hyperlink"/>
                <w:noProof/>
              </w:rPr>
              <w:t>Statement of the problem</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_Toc51472079 \h </w:instrText>
            </w:r>
            <w:r w:rsidR="00077BCB" w:rsidRPr="00000849">
              <w:rPr>
                <w:noProof/>
                <w:webHidden/>
              </w:rPr>
            </w:r>
            <w:r w:rsidR="00077BCB" w:rsidRPr="00000849">
              <w:rPr>
                <w:noProof/>
                <w:webHidden/>
              </w:rPr>
              <w:fldChar w:fldCharType="separate"/>
            </w:r>
            <w:r w:rsidR="00C0100F">
              <w:rPr>
                <w:noProof/>
                <w:webHidden/>
              </w:rPr>
              <w:t>16</w:t>
            </w:r>
            <w:r w:rsidR="00077BCB" w:rsidRPr="00000849">
              <w:rPr>
                <w:noProof/>
                <w:webHidden/>
              </w:rPr>
              <w:fldChar w:fldCharType="end"/>
            </w:r>
          </w:hyperlink>
        </w:p>
        <w:p w14:paraId="235CD67A" w14:textId="30622221" w:rsidR="00077BCB" w:rsidRPr="00000849" w:rsidRDefault="00C84E75">
          <w:pPr>
            <w:pStyle w:val="TOC2"/>
            <w:tabs>
              <w:tab w:val="left" w:pos="880"/>
              <w:tab w:val="right" w:leader="dot" w:pos="8301"/>
            </w:tabs>
            <w:rPr>
              <w:rFonts w:eastAsiaTheme="minorEastAsia"/>
              <w:noProof/>
              <w:lang w:eastAsia="en-GB"/>
            </w:rPr>
          </w:pPr>
          <w:hyperlink w:anchor="_Toc51472080" w:history="1">
            <w:r w:rsidR="00077BCB" w:rsidRPr="00000849">
              <w:rPr>
                <w:rStyle w:val="Hyperlink"/>
                <w:noProof/>
              </w:rPr>
              <w:t>1.7</w:t>
            </w:r>
            <w:r w:rsidR="00077BCB" w:rsidRPr="00000849">
              <w:rPr>
                <w:rFonts w:eastAsiaTheme="minorEastAsia"/>
                <w:noProof/>
                <w:lang w:eastAsia="en-GB"/>
              </w:rPr>
              <w:tab/>
            </w:r>
            <w:r w:rsidR="00077BCB" w:rsidRPr="00000849">
              <w:rPr>
                <w:rStyle w:val="Hyperlink"/>
                <w:noProof/>
              </w:rPr>
              <w:t>Aim, objectives, research questions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_Toc51472080 \h </w:instrText>
            </w:r>
            <w:r w:rsidR="00077BCB" w:rsidRPr="00000849">
              <w:rPr>
                <w:noProof/>
                <w:webHidden/>
              </w:rPr>
            </w:r>
            <w:r w:rsidR="00077BCB" w:rsidRPr="00000849">
              <w:rPr>
                <w:noProof/>
                <w:webHidden/>
              </w:rPr>
              <w:fldChar w:fldCharType="separate"/>
            </w:r>
            <w:r w:rsidR="00C0100F">
              <w:rPr>
                <w:noProof/>
                <w:webHidden/>
              </w:rPr>
              <w:t>17</w:t>
            </w:r>
            <w:r w:rsidR="00077BCB" w:rsidRPr="00000849">
              <w:rPr>
                <w:noProof/>
                <w:webHidden/>
              </w:rPr>
              <w:fldChar w:fldCharType="end"/>
            </w:r>
          </w:hyperlink>
        </w:p>
        <w:p w14:paraId="3B9CC436" w14:textId="62119184" w:rsidR="00077BCB" w:rsidRPr="00000849" w:rsidRDefault="00C84E75">
          <w:pPr>
            <w:pStyle w:val="TOC2"/>
            <w:tabs>
              <w:tab w:val="left" w:pos="880"/>
              <w:tab w:val="right" w:leader="dot" w:pos="8301"/>
            </w:tabs>
            <w:rPr>
              <w:rFonts w:eastAsiaTheme="minorEastAsia"/>
              <w:noProof/>
              <w:lang w:eastAsia="en-GB"/>
            </w:rPr>
          </w:pPr>
          <w:hyperlink w:anchor="_Toc51472081" w:history="1">
            <w:r w:rsidR="00077BCB" w:rsidRPr="00000849">
              <w:rPr>
                <w:rStyle w:val="Hyperlink"/>
                <w:noProof/>
              </w:rPr>
              <w:t>1.8</w:t>
            </w:r>
            <w:r w:rsidR="00077BCB" w:rsidRPr="00000849">
              <w:rPr>
                <w:rFonts w:eastAsiaTheme="minorEastAsia"/>
                <w:noProof/>
                <w:lang w:eastAsia="en-GB"/>
              </w:rPr>
              <w:tab/>
            </w:r>
            <w:r w:rsidR="00077BCB" w:rsidRPr="00000849">
              <w:rPr>
                <w:rStyle w:val="Hyperlink"/>
                <w:noProof/>
              </w:rPr>
              <w:t>Motivation for the study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_Toc51472081 \h </w:instrText>
            </w:r>
            <w:r w:rsidR="00077BCB" w:rsidRPr="00000849">
              <w:rPr>
                <w:noProof/>
                <w:webHidden/>
              </w:rPr>
            </w:r>
            <w:r w:rsidR="00077BCB" w:rsidRPr="00000849">
              <w:rPr>
                <w:noProof/>
                <w:webHidden/>
              </w:rPr>
              <w:fldChar w:fldCharType="separate"/>
            </w:r>
            <w:r w:rsidR="00C0100F">
              <w:rPr>
                <w:noProof/>
                <w:webHidden/>
              </w:rPr>
              <w:t>19</w:t>
            </w:r>
            <w:r w:rsidR="00077BCB" w:rsidRPr="00000849">
              <w:rPr>
                <w:noProof/>
                <w:webHidden/>
              </w:rPr>
              <w:fldChar w:fldCharType="end"/>
            </w:r>
          </w:hyperlink>
        </w:p>
        <w:p w14:paraId="082026CF" w14:textId="75A3C954" w:rsidR="00077BCB" w:rsidRPr="00000849" w:rsidRDefault="00C84E75">
          <w:pPr>
            <w:pStyle w:val="TOC1"/>
            <w:tabs>
              <w:tab w:val="right" w:leader="dot" w:pos="8301"/>
            </w:tabs>
            <w:rPr>
              <w:rFonts w:eastAsiaTheme="minorEastAsia"/>
              <w:noProof/>
              <w:lang w:eastAsia="en-GB"/>
            </w:rPr>
          </w:pPr>
          <w:hyperlink w:anchor="_Toc51472082" w:history="1">
            <w:r w:rsidR="00077BCB" w:rsidRPr="00000849">
              <w:rPr>
                <w:rStyle w:val="Hyperlink"/>
                <w:noProof/>
              </w:rPr>
              <w:t>Chapter 2: A meta-analysis and systematic review of the prevalence and determinants in older adults in Africa</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_Toc51472082 \h </w:instrText>
            </w:r>
            <w:r w:rsidR="00077BCB" w:rsidRPr="00000849">
              <w:rPr>
                <w:noProof/>
                <w:webHidden/>
              </w:rPr>
            </w:r>
            <w:r w:rsidR="00077BCB" w:rsidRPr="00000849">
              <w:rPr>
                <w:noProof/>
                <w:webHidden/>
              </w:rPr>
              <w:fldChar w:fldCharType="separate"/>
            </w:r>
            <w:r w:rsidR="00C0100F">
              <w:rPr>
                <w:noProof/>
                <w:webHidden/>
              </w:rPr>
              <w:t>21</w:t>
            </w:r>
            <w:r w:rsidR="00077BCB" w:rsidRPr="00000849">
              <w:rPr>
                <w:noProof/>
                <w:webHidden/>
              </w:rPr>
              <w:fldChar w:fldCharType="end"/>
            </w:r>
          </w:hyperlink>
        </w:p>
        <w:p w14:paraId="547D88D9" w14:textId="7D76CD74" w:rsidR="00077BCB" w:rsidRPr="00000849" w:rsidRDefault="00C84E75">
          <w:pPr>
            <w:pStyle w:val="TOC2"/>
            <w:tabs>
              <w:tab w:val="left" w:pos="880"/>
              <w:tab w:val="right" w:leader="dot" w:pos="8301"/>
            </w:tabs>
            <w:rPr>
              <w:rFonts w:eastAsiaTheme="minorEastAsia"/>
              <w:noProof/>
              <w:lang w:eastAsia="en-GB"/>
            </w:rPr>
          </w:pPr>
          <w:hyperlink w:anchor="_Toc51472083" w:history="1">
            <w:r w:rsidR="00077BCB" w:rsidRPr="00000849">
              <w:rPr>
                <w:rStyle w:val="Hyperlink"/>
                <w:noProof/>
              </w:rPr>
              <w:t>2.1</w:t>
            </w:r>
            <w:r w:rsidR="00077BCB" w:rsidRPr="00000849">
              <w:rPr>
                <w:rFonts w:eastAsiaTheme="minorEastAsia"/>
                <w:noProof/>
                <w:lang w:eastAsia="en-GB"/>
              </w:rPr>
              <w:tab/>
            </w:r>
            <w:r w:rsidR="00077BCB" w:rsidRPr="00000849">
              <w:rPr>
                <w:rStyle w:val="Hyperlink"/>
                <w:noProof/>
              </w:rPr>
              <w:t>Prevalence of hypertension in older adults in Africa: systematic review and meta-analysis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_Toc51472083 \h </w:instrText>
            </w:r>
            <w:r w:rsidR="00077BCB" w:rsidRPr="00000849">
              <w:rPr>
                <w:noProof/>
                <w:webHidden/>
              </w:rPr>
            </w:r>
            <w:r w:rsidR="00077BCB" w:rsidRPr="00000849">
              <w:rPr>
                <w:noProof/>
                <w:webHidden/>
              </w:rPr>
              <w:fldChar w:fldCharType="separate"/>
            </w:r>
            <w:r w:rsidR="00C0100F">
              <w:rPr>
                <w:noProof/>
                <w:webHidden/>
              </w:rPr>
              <w:t>21</w:t>
            </w:r>
            <w:r w:rsidR="00077BCB" w:rsidRPr="00000849">
              <w:rPr>
                <w:noProof/>
                <w:webHidden/>
              </w:rPr>
              <w:fldChar w:fldCharType="end"/>
            </w:r>
          </w:hyperlink>
        </w:p>
        <w:p w14:paraId="6EF7C8C4" w14:textId="2052C7AF" w:rsidR="00077BCB" w:rsidRPr="00000849" w:rsidRDefault="00C84E75">
          <w:pPr>
            <w:pStyle w:val="TOC3"/>
            <w:tabs>
              <w:tab w:val="left" w:pos="1320"/>
              <w:tab w:val="right" w:leader="dot" w:pos="8301"/>
            </w:tabs>
            <w:rPr>
              <w:rFonts w:eastAsiaTheme="minorEastAsia"/>
              <w:noProof/>
              <w:lang w:eastAsia="en-GB"/>
            </w:rPr>
          </w:pPr>
          <w:hyperlink w:anchor="_Toc51472084" w:history="1">
            <w:r w:rsidR="00077BCB" w:rsidRPr="00000849">
              <w:rPr>
                <w:rStyle w:val="Hyperlink"/>
                <w:noProof/>
              </w:rPr>
              <w:t>2.1.1</w:t>
            </w:r>
            <w:r w:rsidR="00077BCB" w:rsidRPr="00000849">
              <w:rPr>
                <w:rFonts w:eastAsiaTheme="minorEastAsia"/>
                <w:noProof/>
                <w:lang w:eastAsia="en-GB"/>
              </w:rPr>
              <w:tab/>
            </w:r>
            <w:r w:rsidR="00077BCB" w:rsidRPr="00000849">
              <w:rPr>
                <w:rStyle w:val="Hyperlink"/>
                <w:noProof/>
              </w:rPr>
              <w:t>Search strategy, inclusion and exclusion criteria in systematic review</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_Toc51472084 \h </w:instrText>
            </w:r>
            <w:r w:rsidR="00077BCB" w:rsidRPr="00000849">
              <w:rPr>
                <w:noProof/>
                <w:webHidden/>
              </w:rPr>
            </w:r>
            <w:r w:rsidR="00077BCB" w:rsidRPr="00000849">
              <w:rPr>
                <w:noProof/>
                <w:webHidden/>
              </w:rPr>
              <w:fldChar w:fldCharType="separate"/>
            </w:r>
            <w:r w:rsidR="00C0100F">
              <w:rPr>
                <w:noProof/>
                <w:webHidden/>
              </w:rPr>
              <w:t>23</w:t>
            </w:r>
            <w:r w:rsidR="00077BCB" w:rsidRPr="00000849">
              <w:rPr>
                <w:noProof/>
                <w:webHidden/>
              </w:rPr>
              <w:fldChar w:fldCharType="end"/>
            </w:r>
          </w:hyperlink>
        </w:p>
        <w:p w14:paraId="32DE0289" w14:textId="3863A436" w:rsidR="00077BCB" w:rsidRPr="00000849" w:rsidRDefault="00C84E75">
          <w:pPr>
            <w:pStyle w:val="TOC3"/>
            <w:tabs>
              <w:tab w:val="left" w:pos="1320"/>
              <w:tab w:val="right" w:leader="dot" w:pos="8301"/>
            </w:tabs>
            <w:rPr>
              <w:rFonts w:eastAsiaTheme="minorEastAsia"/>
              <w:noProof/>
              <w:lang w:eastAsia="en-GB"/>
            </w:rPr>
          </w:pPr>
          <w:hyperlink w:anchor="_Toc51472085" w:history="1">
            <w:r w:rsidR="00077BCB" w:rsidRPr="00000849">
              <w:rPr>
                <w:rStyle w:val="Hyperlink"/>
                <w:noProof/>
              </w:rPr>
              <w:t>2.1.2</w:t>
            </w:r>
            <w:r w:rsidR="00077BCB" w:rsidRPr="00000849">
              <w:rPr>
                <w:rFonts w:eastAsiaTheme="minorEastAsia"/>
                <w:noProof/>
                <w:lang w:eastAsia="en-GB"/>
              </w:rPr>
              <w:tab/>
            </w:r>
            <w:r w:rsidR="00077BCB" w:rsidRPr="00000849">
              <w:rPr>
                <w:rStyle w:val="Hyperlink"/>
                <w:noProof/>
              </w:rPr>
              <w:t>Data extraction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_Toc51472085 \h </w:instrText>
            </w:r>
            <w:r w:rsidR="00077BCB" w:rsidRPr="00000849">
              <w:rPr>
                <w:noProof/>
                <w:webHidden/>
              </w:rPr>
            </w:r>
            <w:r w:rsidR="00077BCB" w:rsidRPr="00000849">
              <w:rPr>
                <w:noProof/>
                <w:webHidden/>
              </w:rPr>
              <w:fldChar w:fldCharType="separate"/>
            </w:r>
            <w:r w:rsidR="00C0100F">
              <w:rPr>
                <w:noProof/>
                <w:webHidden/>
              </w:rPr>
              <w:t>25</w:t>
            </w:r>
            <w:r w:rsidR="00077BCB" w:rsidRPr="00000849">
              <w:rPr>
                <w:noProof/>
                <w:webHidden/>
              </w:rPr>
              <w:fldChar w:fldCharType="end"/>
            </w:r>
          </w:hyperlink>
        </w:p>
        <w:p w14:paraId="0A141B03" w14:textId="3F3D11C6" w:rsidR="00077BCB" w:rsidRPr="00000849" w:rsidRDefault="00C84E75">
          <w:pPr>
            <w:pStyle w:val="TOC3"/>
            <w:tabs>
              <w:tab w:val="left" w:pos="1320"/>
              <w:tab w:val="right" w:leader="dot" w:pos="8301"/>
            </w:tabs>
            <w:rPr>
              <w:rFonts w:eastAsiaTheme="minorEastAsia"/>
              <w:noProof/>
              <w:lang w:eastAsia="en-GB"/>
            </w:rPr>
          </w:pPr>
          <w:hyperlink w:anchor="_Toc51472086" w:history="1">
            <w:r w:rsidR="00077BCB" w:rsidRPr="00000849">
              <w:rPr>
                <w:rStyle w:val="Hyperlink"/>
                <w:noProof/>
              </w:rPr>
              <w:t>2.1.3</w:t>
            </w:r>
            <w:r w:rsidR="00077BCB" w:rsidRPr="00000849">
              <w:rPr>
                <w:rFonts w:eastAsiaTheme="minorEastAsia"/>
                <w:noProof/>
                <w:lang w:eastAsia="en-GB"/>
              </w:rPr>
              <w:tab/>
            </w:r>
            <w:r w:rsidR="00077BCB" w:rsidRPr="00000849">
              <w:rPr>
                <w:rStyle w:val="Hyperlink"/>
                <w:noProof/>
              </w:rPr>
              <w:t>Evaluation of risk of bias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_Toc51472086 \h </w:instrText>
            </w:r>
            <w:r w:rsidR="00077BCB" w:rsidRPr="00000849">
              <w:rPr>
                <w:noProof/>
                <w:webHidden/>
              </w:rPr>
            </w:r>
            <w:r w:rsidR="00077BCB" w:rsidRPr="00000849">
              <w:rPr>
                <w:noProof/>
                <w:webHidden/>
              </w:rPr>
              <w:fldChar w:fldCharType="separate"/>
            </w:r>
            <w:r w:rsidR="00C0100F">
              <w:rPr>
                <w:noProof/>
                <w:webHidden/>
              </w:rPr>
              <w:t>25</w:t>
            </w:r>
            <w:r w:rsidR="00077BCB" w:rsidRPr="00000849">
              <w:rPr>
                <w:noProof/>
                <w:webHidden/>
              </w:rPr>
              <w:fldChar w:fldCharType="end"/>
            </w:r>
          </w:hyperlink>
        </w:p>
        <w:p w14:paraId="405D0261" w14:textId="31C9448C" w:rsidR="00077BCB" w:rsidRPr="00000849" w:rsidRDefault="00C84E75">
          <w:pPr>
            <w:pStyle w:val="TOC3"/>
            <w:tabs>
              <w:tab w:val="left" w:pos="1320"/>
              <w:tab w:val="right" w:leader="dot" w:pos="8301"/>
            </w:tabs>
            <w:rPr>
              <w:rFonts w:eastAsiaTheme="minorEastAsia"/>
              <w:noProof/>
              <w:lang w:eastAsia="en-GB"/>
            </w:rPr>
          </w:pPr>
          <w:hyperlink w:anchor="_Toc51472087" w:history="1">
            <w:r w:rsidR="00077BCB" w:rsidRPr="00000849">
              <w:rPr>
                <w:rStyle w:val="Hyperlink"/>
                <w:noProof/>
              </w:rPr>
              <w:t>2.1.4</w:t>
            </w:r>
            <w:r w:rsidR="00077BCB" w:rsidRPr="00000849">
              <w:rPr>
                <w:rFonts w:eastAsiaTheme="minorEastAsia"/>
                <w:noProof/>
                <w:lang w:eastAsia="en-GB"/>
              </w:rPr>
              <w:tab/>
            </w:r>
            <w:r w:rsidR="00077BCB" w:rsidRPr="00000849">
              <w:rPr>
                <w:rStyle w:val="Hyperlink"/>
                <w:noProof/>
              </w:rPr>
              <w:t>Data 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_Toc51472087 \h </w:instrText>
            </w:r>
            <w:r w:rsidR="00077BCB" w:rsidRPr="00000849">
              <w:rPr>
                <w:noProof/>
                <w:webHidden/>
              </w:rPr>
            </w:r>
            <w:r w:rsidR="00077BCB" w:rsidRPr="00000849">
              <w:rPr>
                <w:noProof/>
                <w:webHidden/>
              </w:rPr>
              <w:fldChar w:fldCharType="separate"/>
            </w:r>
            <w:r w:rsidR="00C0100F">
              <w:rPr>
                <w:noProof/>
                <w:webHidden/>
              </w:rPr>
              <w:t>26</w:t>
            </w:r>
            <w:r w:rsidR="00077BCB" w:rsidRPr="00000849">
              <w:rPr>
                <w:noProof/>
                <w:webHidden/>
              </w:rPr>
              <w:fldChar w:fldCharType="end"/>
            </w:r>
          </w:hyperlink>
        </w:p>
        <w:p w14:paraId="4B31173C" w14:textId="62331A17" w:rsidR="00077BCB" w:rsidRPr="00000849" w:rsidRDefault="00C84E75">
          <w:pPr>
            <w:pStyle w:val="TOC3"/>
            <w:tabs>
              <w:tab w:val="left" w:pos="1320"/>
              <w:tab w:val="right" w:leader="dot" w:pos="8301"/>
            </w:tabs>
            <w:rPr>
              <w:rFonts w:eastAsiaTheme="minorEastAsia"/>
              <w:noProof/>
              <w:lang w:eastAsia="en-GB"/>
            </w:rPr>
          </w:pPr>
          <w:hyperlink w:anchor="_Toc51472088" w:history="1">
            <w:r w:rsidR="00077BCB" w:rsidRPr="00000849">
              <w:rPr>
                <w:rStyle w:val="Hyperlink"/>
                <w:noProof/>
              </w:rPr>
              <w:t>2.1.5</w:t>
            </w:r>
            <w:r w:rsidR="00077BCB" w:rsidRPr="00000849">
              <w:rPr>
                <w:rFonts w:eastAsiaTheme="minorEastAsia"/>
                <w:noProof/>
                <w:lang w:eastAsia="en-GB"/>
              </w:rPr>
              <w:tab/>
            </w:r>
            <w:r w:rsidR="00077BCB" w:rsidRPr="00000849">
              <w:rPr>
                <w:rStyle w:val="Hyperlink"/>
                <w:noProof/>
              </w:rPr>
              <w:t>Background characteristics of studies and participants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_Toc51472088 \h </w:instrText>
            </w:r>
            <w:r w:rsidR="00077BCB" w:rsidRPr="00000849">
              <w:rPr>
                <w:noProof/>
                <w:webHidden/>
              </w:rPr>
            </w:r>
            <w:r w:rsidR="00077BCB" w:rsidRPr="00000849">
              <w:rPr>
                <w:noProof/>
                <w:webHidden/>
              </w:rPr>
              <w:fldChar w:fldCharType="separate"/>
            </w:r>
            <w:r w:rsidR="00C0100F">
              <w:rPr>
                <w:noProof/>
                <w:webHidden/>
              </w:rPr>
              <w:t>28</w:t>
            </w:r>
            <w:r w:rsidR="00077BCB" w:rsidRPr="00000849">
              <w:rPr>
                <w:noProof/>
                <w:webHidden/>
              </w:rPr>
              <w:fldChar w:fldCharType="end"/>
            </w:r>
          </w:hyperlink>
        </w:p>
        <w:p w14:paraId="35552407" w14:textId="1995C7EE" w:rsidR="00077BCB" w:rsidRPr="00000849" w:rsidRDefault="00C84E75">
          <w:pPr>
            <w:pStyle w:val="TOC3"/>
            <w:tabs>
              <w:tab w:val="left" w:pos="1320"/>
              <w:tab w:val="right" w:leader="dot" w:pos="8301"/>
            </w:tabs>
            <w:rPr>
              <w:rFonts w:eastAsiaTheme="minorEastAsia"/>
              <w:noProof/>
              <w:lang w:eastAsia="en-GB"/>
            </w:rPr>
          </w:pPr>
          <w:hyperlink w:anchor="_Toc51472089" w:history="1">
            <w:r w:rsidR="00077BCB" w:rsidRPr="00000849">
              <w:rPr>
                <w:rStyle w:val="Hyperlink"/>
                <w:noProof/>
              </w:rPr>
              <w:t>2.1.6</w:t>
            </w:r>
            <w:r w:rsidR="00077BCB" w:rsidRPr="00000849">
              <w:rPr>
                <w:rFonts w:eastAsiaTheme="minorEastAsia"/>
                <w:noProof/>
                <w:lang w:eastAsia="en-GB"/>
              </w:rPr>
              <w:tab/>
            </w:r>
            <w:r w:rsidR="00077BCB" w:rsidRPr="00000849">
              <w:rPr>
                <w:rStyle w:val="Hyperlink"/>
                <w:noProof/>
              </w:rPr>
              <w:t>Pooled estimated prevalence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_Toc51472089 \h </w:instrText>
            </w:r>
            <w:r w:rsidR="00077BCB" w:rsidRPr="00000849">
              <w:rPr>
                <w:noProof/>
                <w:webHidden/>
              </w:rPr>
            </w:r>
            <w:r w:rsidR="00077BCB" w:rsidRPr="00000849">
              <w:rPr>
                <w:noProof/>
                <w:webHidden/>
              </w:rPr>
              <w:fldChar w:fldCharType="separate"/>
            </w:r>
            <w:r w:rsidR="00C0100F">
              <w:rPr>
                <w:noProof/>
                <w:webHidden/>
              </w:rPr>
              <w:t>29</w:t>
            </w:r>
            <w:r w:rsidR="00077BCB" w:rsidRPr="00000849">
              <w:rPr>
                <w:noProof/>
                <w:webHidden/>
              </w:rPr>
              <w:fldChar w:fldCharType="end"/>
            </w:r>
          </w:hyperlink>
        </w:p>
        <w:p w14:paraId="1E53E21C" w14:textId="4C3D3A8F" w:rsidR="00077BCB" w:rsidRPr="00000849" w:rsidRDefault="00C84E75">
          <w:pPr>
            <w:pStyle w:val="TOC3"/>
            <w:tabs>
              <w:tab w:val="left" w:pos="1320"/>
              <w:tab w:val="right" w:leader="dot" w:pos="8301"/>
            </w:tabs>
            <w:rPr>
              <w:rFonts w:eastAsiaTheme="minorEastAsia"/>
              <w:noProof/>
              <w:lang w:eastAsia="en-GB"/>
            </w:rPr>
          </w:pPr>
          <w:hyperlink w:anchor="_Toc51472090" w:history="1">
            <w:r w:rsidR="00077BCB" w:rsidRPr="00000849">
              <w:rPr>
                <w:rStyle w:val="Hyperlink"/>
                <w:noProof/>
              </w:rPr>
              <w:t>2.1.7</w:t>
            </w:r>
            <w:r w:rsidR="00077BCB" w:rsidRPr="00000849">
              <w:rPr>
                <w:rFonts w:eastAsiaTheme="minorEastAsia"/>
                <w:noProof/>
                <w:lang w:eastAsia="en-GB"/>
              </w:rPr>
              <w:tab/>
            </w:r>
            <w:r w:rsidR="00077BCB" w:rsidRPr="00000849">
              <w:rPr>
                <w:rStyle w:val="Hyperlink"/>
                <w:noProof/>
              </w:rPr>
              <w:t>Risk of bias and sensitivity 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_Toc51472090 \h </w:instrText>
            </w:r>
            <w:r w:rsidR="00077BCB" w:rsidRPr="00000849">
              <w:rPr>
                <w:noProof/>
                <w:webHidden/>
              </w:rPr>
            </w:r>
            <w:r w:rsidR="00077BCB" w:rsidRPr="00000849">
              <w:rPr>
                <w:noProof/>
                <w:webHidden/>
              </w:rPr>
              <w:fldChar w:fldCharType="separate"/>
            </w:r>
            <w:r w:rsidR="00C0100F">
              <w:rPr>
                <w:noProof/>
                <w:webHidden/>
              </w:rPr>
              <w:t>31</w:t>
            </w:r>
            <w:r w:rsidR="00077BCB" w:rsidRPr="00000849">
              <w:rPr>
                <w:noProof/>
                <w:webHidden/>
              </w:rPr>
              <w:fldChar w:fldCharType="end"/>
            </w:r>
          </w:hyperlink>
        </w:p>
        <w:p w14:paraId="1315FD2E" w14:textId="634F8914" w:rsidR="00077BCB" w:rsidRPr="00000849" w:rsidRDefault="00C84E75">
          <w:pPr>
            <w:pStyle w:val="TOC3"/>
            <w:tabs>
              <w:tab w:val="left" w:pos="1320"/>
              <w:tab w:val="right" w:leader="dot" w:pos="8301"/>
            </w:tabs>
            <w:rPr>
              <w:rFonts w:eastAsiaTheme="minorEastAsia"/>
              <w:noProof/>
              <w:lang w:eastAsia="en-GB"/>
            </w:rPr>
          </w:pPr>
          <w:hyperlink w:anchor="_Toc51472091" w:history="1">
            <w:r w:rsidR="00077BCB" w:rsidRPr="00000849">
              <w:rPr>
                <w:rStyle w:val="Hyperlink"/>
                <w:noProof/>
              </w:rPr>
              <w:t>2.1.8</w:t>
            </w:r>
            <w:r w:rsidR="00077BCB" w:rsidRPr="00000849">
              <w:rPr>
                <w:rFonts w:eastAsiaTheme="minorEastAsia"/>
                <w:noProof/>
                <w:lang w:eastAsia="en-GB"/>
              </w:rPr>
              <w:tab/>
            </w:r>
            <w:r w:rsidR="00077BCB" w:rsidRPr="00000849">
              <w:rPr>
                <w:rStyle w:val="Hyperlink"/>
                <w:noProof/>
              </w:rPr>
              <w:t>Sources of heterogeneity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_Toc51472091 \h </w:instrText>
            </w:r>
            <w:r w:rsidR="00077BCB" w:rsidRPr="00000849">
              <w:rPr>
                <w:noProof/>
                <w:webHidden/>
              </w:rPr>
            </w:r>
            <w:r w:rsidR="00077BCB" w:rsidRPr="00000849">
              <w:rPr>
                <w:noProof/>
                <w:webHidden/>
              </w:rPr>
              <w:fldChar w:fldCharType="separate"/>
            </w:r>
            <w:r w:rsidR="00C0100F">
              <w:rPr>
                <w:noProof/>
                <w:webHidden/>
              </w:rPr>
              <w:t>32</w:t>
            </w:r>
            <w:r w:rsidR="00077BCB" w:rsidRPr="00000849">
              <w:rPr>
                <w:noProof/>
                <w:webHidden/>
              </w:rPr>
              <w:fldChar w:fldCharType="end"/>
            </w:r>
          </w:hyperlink>
        </w:p>
        <w:p w14:paraId="4D9E793E" w14:textId="359A0136" w:rsidR="00077BCB" w:rsidRPr="00000849" w:rsidRDefault="00C84E75">
          <w:pPr>
            <w:pStyle w:val="TOC3"/>
            <w:tabs>
              <w:tab w:val="left" w:pos="1320"/>
              <w:tab w:val="right" w:leader="dot" w:pos="8301"/>
            </w:tabs>
            <w:rPr>
              <w:rFonts w:eastAsiaTheme="minorEastAsia"/>
              <w:noProof/>
              <w:lang w:eastAsia="en-GB"/>
            </w:rPr>
          </w:pPr>
          <w:hyperlink w:anchor="_Toc51472092" w:history="1">
            <w:r w:rsidR="00077BCB" w:rsidRPr="00000849">
              <w:rPr>
                <w:rStyle w:val="Hyperlink"/>
                <w:noProof/>
              </w:rPr>
              <w:t>2.1.9</w:t>
            </w:r>
            <w:r w:rsidR="00077BCB" w:rsidRPr="00000849">
              <w:rPr>
                <w:rFonts w:eastAsiaTheme="minorEastAsia"/>
                <w:noProof/>
                <w:lang w:eastAsia="en-GB"/>
              </w:rPr>
              <w:tab/>
            </w:r>
            <w:r w:rsidR="00077BCB" w:rsidRPr="00000849">
              <w:rPr>
                <w:rStyle w:val="Hyperlink"/>
                <w:noProof/>
              </w:rPr>
              <w:t>Temporal trends in the pooled  prevalence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_Toc51472092 \h </w:instrText>
            </w:r>
            <w:r w:rsidR="00077BCB" w:rsidRPr="00000849">
              <w:rPr>
                <w:noProof/>
                <w:webHidden/>
              </w:rPr>
            </w:r>
            <w:r w:rsidR="00077BCB" w:rsidRPr="00000849">
              <w:rPr>
                <w:noProof/>
                <w:webHidden/>
              </w:rPr>
              <w:fldChar w:fldCharType="separate"/>
            </w:r>
            <w:r w:rsidR="00C0100F">
              <w:rPr>
                <w:noProof/>
                <w:webHidden/>
              </w:rPr>
              <w:t>33</w:t>
            </w:r>
            <w:r w:rsidR="00077BCB" w:rsidRPr="00000849">
              <w:rPr>
                <w:noProof/>
                <w:webHidden/>
              </w:rPr>
              <w:fldChar w:fldCharType="end"/>
            </w:r>
          </w:hyperlink>
        </w:p>
        <w:p w14:paraId="539E2DD1" w14:textId="126A4FBC" w:rsidR="00077BCB" w:rsidRPr="00000849" w:rsidRDefault="00C84E75">
          <w:pPr>
            <w:pStyle w:val="TOC3"/>
            <w:tabs>
              <w:tab w:val="left" w:pos="1320"/>
              <w:tab w:val="right" w:leader="dot" w:pos="8301"/>
            </w:tabs>
            <w:rPr>
              <w:rFonts w:eastAsiaTheme="minorEastAsia"/>
              <w:noProof/>
              <w:lang w:eastAsia="en-GB"/>
            </w:rPr>
          </w:pPr>
          <w:hyperlink w:anchor="_Toc51472093" w:history="1">
            <w:r w:rsidR="00077BCB" w:rsidRPr="00000849">
              <w:rPr>
                <w:rStyle w:val="Hyperlink"/>
                <w:noProof/>
              </w:rPr>
              <w:t>2.1.10</w:t>
            </w:r>
            <w:r w:rsidR="00077BCB" w:rsidRPr="00000849">
              <w:rPr>
                <w:rFonts w:eastAsiaTheme="minorEastAsia"/>
                <w:noProof/>
                <w:lang w:eastAsia="en-GB"/>
              </w:rPr>
              <w:tab/>
            </w:r>
            <w:r w:rsidR="00077BCB" w:rsidRPr="00000849">
              <w:rPr>
                <w:rStyle w:val="Hyperlink"/>
                <w:noProof/>
              </w:rPr>
              <w:t>Reporting bias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_Toc51472093 \h </w:instrText>
            </w:r>
            <w:r w:rsidR="00077BCB" w:rsidRPr="00000849">
              <w:rPr>
                <w:noProof/>
                <w:webHidden/>
              </w:rPr>
            </w:r>
            <w:r w:rsidR="00077BCB" w:rsidRPr="00000849">
              <w:rPr>
                <w:noProof/>
                <w:webHidden/>
              </w:rPr>
              <w:fldChar w:fldCharType="separate"/>
            </w:r>
            <w:r w:rsidR="00C0100F">
              <w:rPr>
                <w:noProof/>
                <w:webHidden/>
              </w:rPr>
              <w:t>35</w:t>
            </w:r>
            <w:r w:rsidR="00077BCB" w:rsidRPr="00000849">
              <w:rPr>
                <w:noProof/>
                <w:webHidden/>
              </w:rPr>
              <w:fldChar w:fldCharType="end"/>
            </w:r>
          </w:hyperlink>
        </w:p>
        <w:p w14:paraId="76509326" w14:textId="6E137A26" w:rsidR="00077BCB" w:rsidRPr="00000849" w:rsidRDefault="00C84E75">
          <w:pPr>
            <w:pStyle w:val="TOC3"/>
            <w:tabs>
              <w:tab w:val="left" w:pos="1320"/>
              <w:tab w:val="right" w:leader="dot" w:pos="8301"/>
            </w:tabs>
            <w:rPr>
              <w:rFonts w:eastAsiaTheme="minorEastAsia"/>
              <w:noProof/>
              <w:lang w:eastAsia="en-GB"/>
            </w:rPr>
          </w:pPr>
          <w:hyperlink w:anchor="_Toc51472094" w:history="1">
            <w:r w:rsidR="00077BCB" w:rsidRPr="00000849">
              <w:rPr>
                <w:rStyle w:val="Hyperlink"/>
                <w:noProof/>
              </w:rPr>
              <w:t>2.1.11</w:t>
            </w:r>
            <w:r w:rsidR="00077BCB" w:rsidRPr="00000849">
              <w:rPr>
                <w:rFonts w:eastAsiaTheme="minorEastAsia"/>
                <w:noProof/>
                <w:lang w:eastAsia="en-GB"/>
              </w:rPr>
              <w:tab/>
            </w:r>
            <w:r w:rsidR="00077BCB" w:rsidRPr="00000849">
              <w:rPr>
                <w:rStyle w:val="Hyperlink"/>
                <w:noProof/>
              </w:rPr>
              <w:t>Strengths and limitations of the systematic review</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_Toc51472094 \h </w:instrText>
            </w:r>
            <w:r w:rsidR="00077BCB" w:rsidRPr="00000849">
              <w:rPr>
                <w:noProof/>
                <w:webHidden/>
              </w:rPr>
            </w:r>
            <w:r w:rsidR="00077BCB" w:rsidRPr="00000849">
              <w:rPr>
                <w:noProof/>
                <w:webHidden/>
              </w:rPr>
              <w:fldChar w:fldCharType="separate"/>
            </w:r>
            <w:r w:rsidR="00C0100F">
              <w:rPr>
                <w:noProof/>
                <w:webHidden/>
              </w:rPr>
              <w:t>36</w:t>
            </w:r>
            <w:r w:rsidR="00077BCB" w:rsidRPr="00000849">
              <w:rPr>
                <w:noProof/>
                <w:webHidden/>
              </w:rPr>
              <w:fldChar w:fldCharType="end"/>
            </w:r>
          </w:hyperlink>
        </w:p>
        <w:p w14:paraId="0C2A0C0C" w14:textId="0A925EA2" w:rsidR="00077BCB" w:rsidRPr="00000849" w:rsidRDefault="00C84E75">
          <w:pPr>
            <w:pStyle w:val="TOC2"/>
            <w:tabs>
              <w:tab w:val="left" w:pos="880"/>
              <w:tab w:val="right" w:leader="dot" w:pos="8301"/>
            </w:tabs>
            <w:rPr>
              <w:rFonts w:eastAsiaTheme="minorEastAsia"/>
              <w:noProof/>
              <w:lang w:eastAsia="en-GB"/>
            </w:rPr>
          </w:pPr>
          <w:hyperlink w:anchor="_Toc51472095" w:history="1">
            <w:r w:rsidR="00077BCB" w:rsidRPr="00000849">
              <w:rPr>
                <w:rStyle w:val="Hyperlink"/>
                <w:noProof/>
              </w:rPr>
              <w:t>2.2</w:t>
            </w:r>
            <w:r w:rsidR="00077BCB" w:rsidRPr="00000849">
              <w:rPr>
                <w:rFonts w:eastAsiaTheme="minorEastAsia"/>
                <w:noProof/>
                <w:lang w:eastAsia="en-GB"/>
              </w:rPr>
              <w:tab/>
            </w:r>
            <w:r w:rsidR="00077BCB" w:rsidRPr="00000849">
              <w:rPr>
                <w:rStyle w:val="Hyperlink"/>
                <w:noProof/>
              </w:rPr>
              <w:t>Determinants of hypertension in older adults in Africa: a systematic review</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_Toc51472095 \h </w:instrText>
            </w:r>
            <w:r w:rsidR="00077BCB" w:rsidRPr="00000849">
              <w:rPr>
                <w:noProof/>
                <w:webHidden/>
              </w:rPr>
            </w:r>
            <w:r w:rsidR="00077BCB" w:rsidRPr="00000849">
              <w:rPr>
                <w:noProof/>
                <w:webHidden/>
              </w:rPr>
              <w:fldChar w:fldCharType="separate"/>
            </w:r>
            <w:r w:rsidR="00C0100F">
              <w:rPr>
                <w:noProof/>
                <w:webHidden/>
              </w:rPr>
              <w:t>38</w:t>
            </w:r>
            <w:r w:rsidR="00077BCB" w:rsidRPr="00000849">
              <w:rPr>
                <w:noProof/>
                <w:webHidden/>
              </w:rPr>
              <w:fldChar w:fldCharType="end"/>
            </w:r>
          </w:hyperlink>
        </w:p>
        <w:p w14:paraId="441CE9EC" w14:textId="7482B656" w:rsidR="00077BCB" w:rsidRPr="00000849" w:rsidRDefault="00C84E75">
          <w:pPr>
            <w:pStyle w:val="TOC3"/>
            <w:tabs>
              <w:tab w:val="left" w:pos="1320"/>
              <w:tab w:val="right" w:leader="dot" w:pos="8301"/>
            </w:tabs>
            <w:rPr>
              <w:rFonts w:eastAsiaTheme="minorEastAsia"/>
              <w:noProof/>
              <w:lang w:eastAsia="en-GB"/>
            </w:rPr>
          </w:pPr>
          <w:hyperlink w:anchor="_Toc51472096" w:history="1">
            <w:r w:rsidR="00077BCB" w:rsidRPr="00000849">
              <w:rPr>
                <w:rStyle w:val="Hyperlink"/>
                <w:noProof/>
              </w:rPr>
              <w:t>2.2.1</w:t>
            </w:r>
            <w:r w:rsidR="00077BCB" w:rsidRPr="00000849">
              <w:rPr>
                <w:rFonts w:eastAsiaTheme="minorEastAsia"/>
                <w:noProof/>
                <w:lang w:eastAsia="en-GB"/>
              </w:rPr>
              <w:tab/>
            </w:r>
            <w:r w:rsidR="00077BCB" w:rsidRPr="00000849">
              <w:rPr>
                <w:rStyle w:val="Hyperlink"/>
                <w:noProof/>
              </w:rPr>
              <w:t>Selection of studies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_Toc51472096 \h </w:instrText>
            </w:r>
            <w:r w:rsidR="00077BCB" w:rsidRPr="00000849">
              <w:rPr>
                <w:noProof/>
                <w:webHidden/>
              </w:rPr>
            </w:r>
            <w:r w:rsidR="00077BCB" w:rsidRPr="00000849">
              <w:rPr>
                <w:noProof/>
                <w:webHidden/>
              </w:rPr>
              <w:fldChar w:fldCharType="separate"/>
            </w:r>
            <w:r w:rsidR="00C0100F">
              <w:rPr>
                <w:noProof/>
                <w:webHidden/>
              </w:rPr>
              <w:t>38</w:t>
            </w:r>
            <w:r w:rsidR="00077BCB" w:rsidRPr="00000849">
              <w:rPr>
                <w:noProof/>
                <w:webHidden/>
              </w:rPr>
              <w:fldChar w:fldCharType="end"/>
            </w:r>
          </w:hyperlink>
        </w:p>
        <w:p w14:paraId="2446DA1A" w14:textId="1127B94D" w:rsidR="00077BCB" w:rsidRPr="00000849" w:rsidRDefault="00C84E75">
          <w:pPr>
            <w:pStyle w:val="TOC3"/>
            <w:tabs>
              <w:tab w:val="left" w:pos="1320"/>
              <w:tab w:val="right" w:leader="dot" w:pos="8301"/>
            </w:tabs>
            <w:rPr>
              <w:rFonts w:eastAsiaTheme="minorEastAsia"/>
              <w:noProof/>
              <w:lang w:eastAsia="en-GB"/>
            </w:rPr>
          </w:pPr>
          <w:hyperlink w:anchor="_Toc51472097" w:history="1">
            <w:r w:rsidR="00077BCB" w:rsidRPr="00000849">
              <w:rPr>
                <w:rStyle w:val="Hyperlink"/>
                <w:noProof/>
              </w:rPr>
              <w:t>2.2.2</w:t>
            </w:r>
            <w:r w:rsidR="00077BCB" w:rsidRPr="00000849">
              <w:rPr>
                <w:rFonts w:eastAsiaTheme="minorEastAsia"/>
                <w:noProof/>
                <w:lang w:eastAsia="en-GB"/>
              </w:rPr>
              <w:tab/>
            </w:r>
            <w:r w:rsidR="00077BCB" w:rsidRPr="00000849">
              <w:rPr>
                <w:rStyle w:val="Hyperlink"/>
                <w:noProof/>
              </w:rPr>
              <w:t>Narrative synthesis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_Toc51472097 \h </w:instrText>
            </w:r>
            <w:r w:rsidR="00077BCB" w:rsidRPr="00000849">
              <w:rPr>
                <w:noProof/>
                <w:webHidden/>
              </w:rPr>
            </w:r>
            <w:r w:rsidR="00077BCB" w:rsidRPr="00000849">
              <w:rPr>
                <w:noProof/>
                <w:webHidden/>
              </w:rPr>
              <w:fldChar w:fldCharType="separate"/>
            </w:r>
            <w:r w:rsidR="00C0100F">
              <w:rPr>
                <w:noProof/>
                <w:webHidden/>
              </w:rPr>
              <w:t>39</w:t>
            </w:r>
            <w:r w:rsidR="00077BCB" w:rsidRPr="00000849">
              <w:rPr>
                <w:noProof/>
                <w:webHidden/>
              </w:rPr>
              <w:fldChar w:fldCharType="end"/>
            </w:r>
          </w:hyperlink>
        </w:p>
        <w:p w14:paraId="4D29E957" w14:textId="5F970DC0" w:rsidR="00077BCB" w:rsidRPr="00000849" w:rsidRDefault="00C84E75">
          <w:pPr>
            <w:pStyle w:val="TOC3"/>
            <w:tabs>
              <w:tab w:val="left" w:pos="1320"/>
              <w:tab w:val="right" w:leader="dot" w:pos="8301"/>
            </w:tabs>
            <w:rPr>
              <w:rFonts w:eastAsiaTheme="minorEastAsia"/>
              <w:noProof/>
              <w:lang w:eastAsia="en-GB"/>
            </w:rPr>
          </w:pPr>
          <w:hyperlink w:anchor="_Toc51472098" w:history="1">
            <w:r w:rsidR="00077BCB" w:rsidRPr="00000849">
              <w:rPr>
                <w:rStyle w:val="Hyperlink"/>
                <w:noProof/>
              </w:rPr>
              <w:t>2.2.3</w:t>
            </w:r>
            <w:r w:rsidR="00077BCB" w:rsidRPr="00000849">
              <w:rPr>
                <w:rFonts w:eastAsiaTheme="minorEastAsia"/>
                <w:noProof/>
                <w:lang w:eastAsia="en-GB"/>
              </w:rPr>
              <w:tab/>
            </w:r>
            <w:r w:rsidR="00077BCB" w:rsidRPr="00000849">
              <w:rPr>
                <w:rStyle w:val="Hyperlink"/>
                <w:noProof/>
              </w:rPr>
              <w:t>Description of included studies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_Toc51472098 \h </w:instrText>
            </w:r>
            <w:r w:rsidR="00077BCB" w:rsidRPr="00000849">
              <w:rPr>
                <w:noProof/>
                <w:webHidden/>
              </w:rPr>
            </w:r>
            <w:r w:rsidR="00077BCB" w:rsidRPr="00000849">
              <w:rPr>
                <w:noProof/>
                <w:webHidden/>
              </w:rPr>
              <w:fldChar w:fldCharType="separate"/>
            </w:r>
            <w:r w:rsidR="00C0100F">
              <w:rPr>
                <w:noProof/>
                <w:webHidden/>
              </w:rPr>
              <w:t>40</w:t>
            </w:r>
            <w:r w:rsidR="00077BCB" w:rsidRPr="00000849">
              <w:rPr>
                <w:noProof/>
                <w:webHidden/>
              </w:rPr>
              <w:fldChar w:fldCharType="end"/>
            </w:r>
          </w:hyperlink>
        </w:p>
        <w:p w14:paraId="5BE99CE6" w14:textId="6BA9CF0D" w:rsidR="00077BCB" w:rsidRPr="00000849" w:rsidRDefault="00C84E75">
          <w:pPr>
            <w:pStyle w:val="TOC3"/>
            <w:tabs>
              <w:tab w:val="left" w:pos="1320"/>
              <w:tab w:val="right" w:leader="dot" w:pos="8301"/>
            </w:tabs>
            <w:rPr>
              <w:rFonts w:eastAsiaTheme="minorEastAsia"/>
              <w:noProof/>
              <w:lang w:eastAsia="en-GB"/>
            </w:rPr>
          </w:pPr>
          <w:hyperlink w:anchor="_Toc51472099" w:history="1">
            <w:r w:rsidR="00077BCB" w:rsidRPr="00000849">
              <w:rPr>
                <w:rStyle w:val="Hyperlink"/>
                <w:noProof/>
              </w:rPr>
              <w:t>2.2.4</w:t>
            </w:r>
            <w:r w:rsidR="00077BCB" w:rsidRPr="00000849">
              <w:rPr>
                <w:rFonts w:eastAsiaTheme="minorEastAsia"/>
                <w:noProof/>
                <w:lang w:eastAsia="en-GB"/>
              </w:rPr>
              <w:tab/>
            </w:r>
            <w:r w:rsidR="00077BCB" w:rsidRPr="00000849">
              <w:rPr>
                <w:rStyle w:val="Hyperlink"/>
                <w:noProof/>
              </w:rPr>
              <w:t>Risk of bias in the included studies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_Toc51472099 \h </w:instrText>
            </w:r>
            <w:r w:rsidR="00077BCB" w:rsidRPr="00000849">
              <w:rPr>
                <w:noProof/>
                <w:webHidden/>
              </w:rPr>
            </w:r>
            <w:r w:rsidR="00077BCB" w:rsidRPr="00000849">
              <w:rPr>
                <w:noProof/>
                <w:webHidden/>
              </w:rPr>
              <w:fldChar w:fldCharType="separate"/>
            </w:r>
            <w:r w:rsidR="00C0100F">
              <w:rPr>
                <w:noProof/>
                <w:webHidden/>
              </w:rPr>
              <w:t>41</w:t>
            </w:r>
            <w:r w:rsidR="00077BCB" w:rsidRPr="00000849">
              <w:rPr>
                <w:noProof/>
                <w:webHidden/>
              </w:rPr>
              <w:fldChar w:fldCharType="end"/>
            </w:r>
          </w:hyperlink>
        </w:p>
        <w:p w14:paraId="2C350BC8" w14:textId="7D3DF799" w:rsidR="00077BCB" w:rsidRPr="00000849" w:rsidRDefault="00C84E75">
          <w:pPr>
            <w:pStyle w:val="TOC3"/>
            <w:tabs>
              <w:tab w:val="left" w:pos="1320"/>
              <w:tab w:val="right" w:leader="dot" w:pos="8301"/>
            </w:tabs>
            <w:rPr>
              <w:rFonts w:eastAsiaTheme="minorEastAsia"/>
              <w:noProof/>
              <w:lang w:eastAsia="en-GB"/>
            </w:rPr>
          </w:pPr>
          <w:hyperlink w:anchor="_Toc51472100" w:history="1">
            <w:r w:rsidR="00077BCB" w:rsidRPr="00000849">
              <w:rPr>
                <w:rStyle w:val="Hyperlink"/>
                <w:noProof/>
              </w:rPr>
              <w:t>2.2.5</w:t>
            </w:r>
            <w:r w:rsidR="00077BCB" w:rsidRPr="00000849">
              <w:rPr>
                <w:rFonts w:eastAsiaTheme="minorEastAsia"/>
                <w:noProof/>
                <w:lang w:eastAsia="en-GB"/>
              </w:rPr>
              <w:tab/>
            </w:r>
            <w:r w:rsidR="00077BCB" w:rsidRPr="00000849">
              <w:rPr>
                <w:rStyle w:val="Hyperlink"/>
                <w:noProof/>
              </w:rPr>
              <w:t>Determinants of hypertension in older adults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_Toc51472100 \h </w:instrText>
            </w:r>
            <w:r w:rsidR="00077BCB" w:rsidRPr="00000849">
              <w:rPr>
                <w:noProof/>
                <w:webHidden/>
              </w:rPr>
            </w:r>
            <w:r w:rsidR="00077BCB" w:rsidRPr="00000849">
              <w:rPr>
                <w:noProof/>
                <w:webHidden/>
              </w:rPr>
              <w:fldChar w:fldCharType="separate"/>
            </w:r>
            <w:r w:rsidR="00C0100F">
              <w:rPr>
                <w:noProof/>
                <w:webHidden/>
              </w:rPr>
              <w:t>41</w:t>
            </w:r>
            <w:r w:rsidR="00077BCB" w:rsidRPr="00000849">
              <w:rPr>
                <w:noProof/>
                <w:webHidden/>
              </w:rPr>
              <w:fldChar w:fldCharType="end"/>
            </w:r>
          </w:hyperlink>
        </w:p>
        <w:p w14:paraId="0A11C489" w14:textId="2B9E6ACD" w:rsidR="00077BCB" w:rsidRPr="00000849" w:rsidRDefault="00C84E75">
          <w:pPr>
            <w:pStyle w:val="TOC2"/>
            <w:tabs>
              <w:tab w:val="left" w:pos="880"/>
              <w:tab w:val="right" w:leader="dot" w:pos="8301"/>
            </w:tabs>
            <w:rPr>
              <w:rFonts w:eastAsiaTheme="minorEastAsia"/>
              <w:noProof/>
              <w:lang w:eastAsia="en-GB"/>
            </w:rPr>
          </w:pPr>
          <w:hyperlink w:anchor="_Toc51472101" w:history="1">
            <w:r w:rsidR="00077BCB" w:rsidRPr="00000849">
              <w:rPr>
                <w:rStyle w:val="Hyperlink"/>
                <w:noProof/>
              </w:rPr>
              <w:t>2.3</w:t>
            </w:r>
            <w:r w:rsidR="00077BCB" w:rsidRPr="00000849">
              <w:rPr>
                <w:rFonts w:eastAsiaTheme="minorEastAsia"/>
                <w:noProof/>
                <w:lang w:eastAsia="en-GB"/>
              </w:rPr>
              <w:tab/>
            </w:r>
            <w:r w:rsidR="00077BCB" w:rsidRPr="00000849">
              <w:rPr>
                <w:rStyle w:val="Hyperlink"/>
                <w:noProof/>
              </w:rPr>
              <w:t>Chapter summary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_Toc51472101 \h </w:instrText>
            </w:r>
            <w:r w:rsidR="00077BCB" w:rsidRPr="00000849">
              <w:rPr>
                <w:noProof/>
                <w:webHidden/>
              </w:rPr>
            </w:r>
            <w:r w:rsidR="00077BCB" w:rsidRPr="00000849">
              <w:rPr>
                <w:noProof/>
                <w:webHidden/>
              </w:rPr>
              <w:fldChar w:fldCharType="separate"/>
            </w:r>
            <w:r w:rsidR="00C0100F">
              <w:rPr>
                <w:noProof/>
                <w:webHidden/>
              </w:rPr>
              <w:t>48</w:t>
            </w:r>
            <w:r w:rsidR="00077BCB" w:rsidRPr="00000849">
              <w:rPr>
                <w:noProof/>
                <w:webHidden/>
              </w:rPr>
              <w:fldChar w:fldCharType="end"/>
            </w:r>
          </w:hyperlink>
        </w:p>
        <w:p w14:paraId="66AD7D2E" w14:textId="38C0CF51" w:rsidR="00077BCB" w:rsidRPr="00000849" w:rsidRDefault="00C84E75">
          <w:pPr>
            <w:pStyle w:val="TOC1"/>
            <w:tabs>
              <w:tab w:val="right" w:leader="dot" w:pos="8301"/>
            </w:tabs>
            <w:rPr>
              <w:rFonts w:eastAsiaTheme="minorEastAsia"/>
              <w:noProof/>
              <w:lang w:eastAsia="en-GB"/>
            </w:rPr>
          </w:pPr>
          <w:hyperlink w:anchor="_Toc51472102" w:history="1">
            <w:r w:rsidR="00077BCB" w:rsidRPr="00000849">
              <w:rPr>
                <w:rStyle w:val="Hyperlink"/>
                <w:noProof/>
              </w:rPr>
              <w:t>Chapter 3: Theoretical framework</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_Toc51472102 \h </w:instrText>
            </w:r>
            <w:r w:rsidR="00077BCB" w:rsidRPr="00000849">
              <w:rPr>
                <w:noProof/>
                <w:webHidden/>
              </w:rPr>
            </w:r>
            <w:r w:rsidR="00077BCB" w:rsidRPr="00000849">
              <w:rPr>
                <w:noProof/>
                <w:webHidden/>
              </w:rPr>
              <w:fldChar w:fldCharType="separate"/>
            </w:r>
            <w:r w:rsidR="00C0100F">
              <w:rPr>
                <w:noProof/>
                <w:webHidden/>
              </w:rPr>
              <w:t>51</w:t>
            </w:r>
            <w:r w:rsidR="00077BCB" w:rsidRPr="00000849">
              <w:rPr>
                <w:noProof/>
                <w:webHidden/>
              </w:rPr>
              <w:fldChar w:fldCharType="end"/>
            </w:r>
          </w:hyperlink>
        </w:p>
        <w:p w14:paraId="28A83D81" w14:textId="0061C43A" w:rsidR="00077BCB" w:rsidRPr="00000849" w:rsidRDefault="00C84E75">
          <w:pPr>
            <w:pStyle w:val="TOC2"/>
            <w:tabs>
              <w:tab w:val="left" w:pos="880"/>
              <w:tab w:val="right" w:leader="dot" w:pos="8301"/>
            </w:tabs>
            <w:rPr>
              <w:rFonts w:eastAsiaTheme="minorEastAsia"/>
              <w:noProof/>
              <w:lang w:eastAsia="en-GB"/>
            </w:rPr>
          </w:pPr>
          <w:hyperlink w:anchor="_Toc51472103" w:history="1">
            <w:r w:rsidR="00077BCB" w:rsidRPr="00000849">
              <w:rPr>
                <w:rStyle w:val="Hyperlink"/>
                <w:noProof/>
              </w:rPr>
              <w:t>3.1</w:t>
            </w:r>
            <w:r w:rsidR="00077BCB" w:rsidRPr="00000849">
              <w:rPr>
                <w:rFonts w:eastAsiaTheme="minorEastAsia"/>
                <w:noProof/>
                <w:lang w:eastAsia="en-GB"/>
              </w:rPr>
              <w:tab/>
            </w:r>
            <w:r w:rsidR="00077BCB" w:rsidRPr="00000849">
              <w:rPr>
                <w:rStyle w:val="Hyperlink"/>
                <w:noProof/>
              </w:rPr>
              <w:t>Definitions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_Toc51472103 \h </w:instrText>
            </w:r>
            <w:r w:rsidR="00077BCB" w:rsidRPr="00000849">
              <w:rPr>
                <w:noProof/>
                <w:webHidden/>
              </w:rPr>
            </w:r>
            <w:r w:rsidR="00077BCB" w:rsidRPr="00000849">
              <w:rPr>
                <w:noProof/>
                <w:webHidden/>
              </w:rPr>
              <w:fldChar w:fldCharType="separate"/>
            </w:r>
            <w:r w:rsidR="00C0100F">
              <w:rPr>
                <w:noProof/>
                <w:webHidden/>
              </w:rPr>
              <w:t>51</w:t>
            </w:r>
            <w:r w:rsidR="00077BCB" w:rsidRPr="00000849">
              <w:rPr>
                <w:noProof/>
                <w:webHidden/>
              </w:rPr>
              <w:fldChar w:fldCharType="end"/>
            </w:r>
          </w:hyperlink>
        </w:p>
        <w:p w14:paraId="594C5800" w14:textId="542210F2" w:rsidR="00077BCB" w:rsidRPr="00000849" w:rsidRDefault="00C84E75">
          <w:pPr>
            <w:pStyle w:val="TOC2"/>
            <w:tabs>
              <w:tab w:val="left" w:pos="880"/>
              <w:tab w:val="right" w:leader="dot" w:pos="8301"/>
            </w:tabs>
            <w:rPr>
              <w:rFonts w:eastAsiaTheme="minorEastAsia"/>
              <w:noProof/>
              <w:lang w:eastAsia="en-GB"/>
            </w:rPr>
          </w:pPr>
          <w:hyperlink w:anchor="_Toc51472104" w:history="1">
            <w:r w:rsidR="00077BCB" w:rsidRPr="00000849">
              <w:rPr>
                <w:rStyle w:val="Hyperlink"/>
                <w:noProof/>
              </w:rPr>
              <w:t>3.2</w:t>
            </w:r>
            <w:r w:rsidR="00077BCB" w:rsidRPr="00000849">
              <w:rPr>
                <w:rFonts w:eastAsiaTheme="minorEastAsia"/>
                <w:noProof/>
                <w:lang w:eastAsia="en-GB"/>
              </w:rPr>
              <w:tab/>
            </w:r>
            <w:r w:rsidR="00077BCB" w:rsidRPr="00000849">
              <w:rPr>
                <w:rStyle w:val="Hyperlink"/>
                <w:noProof/>
              </w:rPr>
              <w:t>Epistemological stance</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_Toc51472104 \h </w:instrText>
            </w:r>
            <w:r w:rsidR="00077BCB" w:rsidRPr="00000849">
              <w:rPr>
                <w:noProof/>
                <w:webHidden/>
              </w:rPr>
            </w:r>
            <w:r w:rsidR="00077BCB" w:rsidRPr="00000849">
              <w:rPr>
                <w:noProof/>
                <w:webHidden/>
              </w:rPr>
              <w:fldChar w:fldCharType="separate"/>
            </w:r>
            <w:r w:rsidR="00C0100F">
              <w:rPr>
                <w:noProof/>
                <w:webHidden/>
              </w:rPr>
              <w:t>52</w:t>
            </w:r>
            <w:r w:rsidR="00077BCB" w:rsidRPr="00000849">
              <w:rPr>
                <w:noProof/>
                <w:webHidden/>
              </w:rPr>
              <w:fldChar w:fldCharType="end"/>
            </w:r>
          </w:hyperlink>
        </w:p>
        <w:p w14:paraId="60D8E58B" w14:textId="6EC06A09" w:rsidR="00077BCB" w:rsidRPr="00000849" w:rsidRDefault="00C84E75">
          <w:pPr>
            <w:pStyle w:val="TOC2"/>
            <w:tabs>
              <w:tab w:val="left" w:pos="880"/>
              <w:tab w:val="right" w:leader="dot" w:pos="8301"/>
            </w:tabs>
            <w:rPr>
              <w:rFonts w:eastAsiaTheme="minorEastAsia"/>
              <w:noProof/>
              <w:lang w:eastAsia="en-GB"/>
            </w:rPr>
          </w:pPr>
          <w:hyperlink w:anchor="_Toc51472105" w:history="1">
            <w:r w:rsidR="00077BCB" w:rsidRPr="00000849">
              <w:rPr>
                <w:rStyle w:val="Hyperlink"/>
                <w:noProof/>
              </w:rPr>
              <w:t>3.3</w:t>
            </w:r>
            <w:r w:rsidR="00077BCB" w:rsidRPr="00000849">
              <w:rPr>
                <w:rFonts w:eastAsiaTheme="minorEastAsia"/>
                <w:noProof/>
                <w:lang w:eastAsia="en-GB"/>
              </w:rPr>
              <w:tab/>
            </w:r>
            <w:r w:rsidR="00077BCB" w:rsidRPr="00000849">
              <w:rPr>
                <w:rStyle w:val="Hyperlink"/>
                <w:noProof/>
              </w:rPr>
              <w:t>Concept of successful ageing</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_Toc51472105 \h </w:instrText>
            </w:r>
            <w:r w:rsidR="00077BCB" w:rsidRPr="00000849">
              <w:rPr>
                <w:noProof/>
                <w:webHidden/>
              </w:rPr>
            </w:r>
            <w:r w:rsidR="00077BCB" w:rsidRPr="00000849">
              <w:rPr>
                <w:noProof/>
                <w:webHidden/>
              </w:rPr>
              <w:fldChar w:fldCharType="separate"/>
            </w:r>
            <w:r w:rsidR="00C0100F">
              <w:rPr>
                <w:noProof/>
                <w:webHidden/>
              </w:rPr>
              <w:t>52</w:t>
            </w:r>
            <w:r w:rsidR="00077BCB" w:rsidRPr="00000849">
              <w:rPr>
                <w:noProof/>
                <w:webHidden/>
              </w:rPr>
              <w:fldChar w:fldCharType="end"/>
            </w:r>
          </w:hyperlink>
        </w:p>
        <w:p w14:paraId="7BEAF4C3" w14:textId="28D80E9B" w:rsidR="00077BCB" w:rsidRPr="00000849" w:rsidRDefault="00C84E75">
          <w:pPr>
            <w:pStyle w:val="TOC2"/>
            <w:tabs>
              <w:tab w:val="left" w:pos="880"/>
              <w:tab w:val="right" w:leader="dot" w:pos="8301"/>
            </w:tabs>
            <w:rPr>
              <w:rFonts w:eastAsiaTheme="minorEastAsia"/>
              <w:noProof/>
              <w:lang w:eastAsia="en-GB"/>
            </w:rPr>
          </w:pPr>
          <w:hyperlink w:anchor="_Toc51472106" w:history="1">
            <w:r w:rsidR="00077BCB" w:rsidRPr="00000849">
              <w:rPr>
                <w:rStyle w:val="Hyperlink"/>
                <w:noProof/>
              </w:rPr>
              <w:t>3.4</w:t>
            </w:r>
            <w:r w:rsidR="00077BCB" w:rsidRPr="00000849">
              <w:rPr>
                <w:rFonts w:eastAsiaTheme="minorEastAsia"/>
                <w:noProof/>
                <w:lang w:eastAsia="en-GB"/>
              </w:rPr>
              <w:tab/>
            </w:r>
            <w:r w:rsidR="00077BCB" w:rsidRPr="00000849">
              <w:rPr>
                <w:rStyle w:val="Hyperlink"/>
                <w:noProof/>
              </w:rPr>
              <w:t>The Rowe and Kahn model</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_Toc51472106 \h </w:instrText>
            </w:r>
            <w:r w:rsidR="00077BCB" w:rsidRPr="00000849">
              <w:rPr>
                <w:noProof/>
                <w:webHidden/>
              </w:rPr>
            </w:r>
            <w:r w:rsidR="00077BCB" w:rsidRPr="00000849">
              <w:rPr>
                <w:noProof/>
                <w:webHidden/>
              </w:rPr>
              <w:fldChar w:fldCharType="separate"/>
            </w:r>
            <w:r w:rsidR="00C0100F">
              <w:rPr>
                <w:noProof/>
                <w:webHidden/>
              </w:rPr>
              <w:t>54</w:t>
            </w:r>
            <w:r w:rsidR="00077BCB" w:rsidRPr="00000849">
              <w:rPr>
                <w:noProof/>
                <w:webHidden/>
              </w:rPr>
              <w:fldChar w:fldCharType="end"/>
            </w:r>
          </w:hyperlink>
        </w:p>
        <w:p w14:paraId="7FBCD2EC" w14:textId="52ACA433" w:rsidR="00077BCB" w:rsidRPr="00000849" w:rsidRDefault="00C84E75">
          <w:pPr>
            <w:pStyle w:val="TOC2"/>
            <w:tabs>
              <w:tab w:val="left" w:pos="880"/>
              <w:tab w:val="right" w:leader="dot" w:pos="8301"/>
            </w:tabs>
            <w:rPr>
              <w:rFonts w:eastAsiaTheme="minorEastAsia"/>
              <w:noProof/>
              <w:lang w:eastAsia="en-GB"/>
            </w:rPr>
          </w:pPr>
          <w:hyperlink w:anchor="_Toc51472107" w:history="1">
            <w:r w:rsidR="00077BCB" w:rsidRPr="00000849">
              <w:rPr>
                <w:rStyle w:val="Hyperlink"/>
                <w:noProof/>
              </w:rPr>
              <w:t>3.5</w:t>
            </w:r>
            <w:r w:rsidR="00077BCB" w:rsidRPr="00000849">
              <w:rPr>
                <w:rFonts w:eastAsiaTheme="minorEastAsia"/>
                <w:noProof/>
                <w:lang w:eastAsia="en-GB"/>
              </w:rPr>
              <w:tab/>
            </w:r>
            <w:r w:rsidR="00077BCB" w:rsidRPr="00000849">
              <w:rPr>
                <w:rStyle w:val="Hyperlink"/>
                <w:noProof/>
              </w:rPr>
              <w:t>Justification for choice of theoretical framework for this study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_Toc51472107 \h </w:instrText>
            </w:r>
            <w:r w:rsidR="00077BCB" w:rsidRPr="00000849">
              <w:rPr>
                <w:noProof/>
                <w:webHidden/>
              </w:rPr>
            </w:r>
            <w:r w:rsidR="00077BCB" w:rsidRPr="00000849">
              <w:rPr>
                <w:noProof/>
                <w:webHidden/>
              </w:rPr>
              <w:fldChar w:fldCharType="separate"/>
            </w:r>
            <w:r w:rsidR="00C0100F">
              <w:rPr>
                <w:noProof/>
                <w:webHidden/>
              </w:rPr>
              <w:t>59</w:t>
            </w:r>
            <w:r w:rsidR="00077BCB" w:rsidRPr="00000849">
              <w:rPr>
                <w:noProof/>
                <w:webHidden/>
              </w:rPr>
              <w:fldChar w:fldCharType="end"/>
            </w:r>
          </w:hyperlink>
        </w:p>
        <w:p w14:paraId="09F4B221" w14:textId="3762CC00" w:rsidR="00077BCB" w:rsidRPr="00000849" w:rsidRDefault="00C84E75">
          <w:pPr>
            <w:pStyle w:val="TOC2"/>
            <w:tabs>
              <w:tab w:val="left" w:pos="880"/>
              <w:tab w:val="right" w:leader="dot" w:pos="8301"/>
            </w:tabs>
            <w:rPr>
              <w:rFonts w:eastAsiaTheme="minorEastAsia"/>
              <w:noProof/>
              <w:lang w:eastAsia="en-GB"/>
            </w:rPr>
          </w:pPr>
          <w:hyperlink w:anchor="_Toc51472108" w:history="1">
            <w:r w:rsidR="00077BCB" w:rsidRPr="00000849">
              <w:rPr>
                <w:rStyle w:val="Hyperlink"/>
                <w:noProof/>
              </w:rPr>
              <w:t>3.6</w:t>
            </w:r>
            <w:r w:rsidR="00077BCB" w:rsidRPr="00000849">
              <w:rPr>
                <w:rFonts w:eastAsiaTheme="minorEastAsia"/>
                <w:noProof/>
                <w:lang w:eastAsia="en-GB"/>
              </w:rPr>
              <w:tab/>
            </w:r>
            <w:r w:rsidR="00077BCB" w:rsidRPr="00000849">
              <w:rPr>
                <w:rStyle w:val="Hyperlink"/>
                <w:noProof/>
              </w:rPr>
              <w:t>Other theoretical frameworks considered in the current study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_Toc51472108 \h </w:instrText>
            </w:r>
            <w:r w:rsidR="00077BCB" w:rsidRPr="00000849">
              <w:rPr>
                <w:noProof/>
                <w:webHidden/>
              </w:rPr>
            </w:r>
            <w:r w:rsidR="00077BCB" w:rsidRPr="00000849">
              <w:rPr>
                <w:noProof/>
                <w:webHidden/>
              </w:rPr>
              <w:fldChar w:fldCharType="separate"/>
            </w:r>
            <w:r w:rsidR="00C0100F">
              <w:rPr>
                <w:noProof/>
                <w:webHidden/>
              </w:rPr>
              <w:t>61</w:t>
            </w:r>
            <w:r w:rsidR="00077BCB" w:rsidRPr="00000849">
              <w:rPr>
                <w:noProof/>
                <w:webHidden/>
              </w:rPr>
              <w:fldChar w:fldCharType="end"/>
            </w:r>
          </w:hyperlink>
        </w:p>
        <w:p w14:paraId="0B626259" w14:textId="791F208F" w:rsidR="00077BCB" w:rsidRPr="00000849" w:rsidRDefault="00C84E75">
          <w:pPr>
            <w:pStyle w:val="TOC2"/>
            <w:tabs>
              <w:tab w:val="left" w:pos="880"/>
              <w:tab w:val="right" w:leader="dot" w:pos="8301"/>
            </w:tabs>
            <w:rPr>
              <w:rFonts w:eastAsiaTheme="minorEastAsia"/>
              <w:noProof/>
              <w:lang w:eastAsia="en-GB"/>
            </w:rPr>
          </w:pPr>
          <w:hyperlink w:anchor="_Toc51472109" w:history="1">
            <w:r w:rsidR="00077BCB" w:rsidRPr="00000849">
              <w:rPr>
                <w:rStyle w:val="Hyperlink"/>
                <w:noProof/>
              </w:rPr>
              <w:t>3.7</w:t>
            </w:r>
            <w:r w:rsidR="00077BCB" w:rsidRPr="00000849">
              <w:rPr>
                <w:rFonts w:eastAsiaTheme="minorEastAsia"/>
                <w:noProof/>
                <w:lang w:eastAsia="en-GB"/>
              </w:rPr>
              <w:tab/>
            </w:r>
            <w:r w:rsidR="00077BCB" w:rsidRPr="00000849">
              <w:rPr>
                <w:rStyle w:val="Hyperlink"/>
                <w:noProof/>
              </w:rPr>
              <w:t>Conceptual framework of the study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_Toc51472109 \h </w:instrText>
            </w:r>
            <w:r w:rsidR="00077BCB" w:rsidRPr="00000849">
              <w:rPr>
                <w:noProof/>
                <w:webHidden/>
              </w:rPr>
            </w:r>
            <w:r w:rsidR="00077BCB" w:rsidRPr="00000849">
              <w:rPr>
                <w:noProof/>
                <w:webHidden/>
              </w:rPr>
              <w:fldChar w:fldCharType="separate"/>
            </w:r>
            <w:r w:rsidR="00C0100F">
              <w:rPr>
                <w:noProof/>
                <w:webHidden/>
              </w:rPr>
              <w:t>62</w:t>
            </w:r>
            <w:r w:rsidR="00077BCB" w:rsidRPr="00000849">
              <w:rPr>
                <w:noProof/>
                <w:webHidden/>
              </w:rPr>
              <w:fldChar w:fldCharType="end"/>
            </w:r>
          </w:hyperlink>
        </w:p>
        <w:p w14:paraId="5863B950" w14:textId="041BC0D2" w:rsidR="00077BCB" w:rsidRPr="00000849" w:rsidRDefault="00C84E75">
          <w:pPr>
            <w:pStyle w:val="TOC1"/>
            <w:tabs>
              <w:tab w:val="right" w:leader="dot" w:pos="8301"/>
            </w:tabs>
            <w:rPr>
              <w:rFonts w:eastAsiaTheme="minorEastAsia"/>
              <w:noProof/>
              <w:lang w:eastAsia="en-GB"/>
            </w:rPr>
          </w:pPr>
          <w:hyperlink w:anchor="_Toc51472110" w:history="1">
            <w:r w:rsidR="00077BCB" w:rsidRPr="00000849">
              <w:rPr>
                <w:rStyle w:val="Hyperlink"/>
                <w:noProof/>
              </w:rPr>
              <w:t>Chapter 4: Methods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_Toc51472110 \h </w:instrText>
            </w:r>
            <w:r w:rsidR="00077BCB" w:rsidRPr="00000849">
              <w:rPr>
                <w:noProof/>
                <w:webHidden/>
              </w:rPr>
            </w:r>
            <w:r w:rsidR="00077BCB" w:rsidRPr="00000849">
              <w:rPr>
                <w:noProof/>
                <w:webHidden/>
              </w:rPr>
              <w:fldChar w:fldCharType="separate"/>
            </w:r>
            <w:r w:rsidR="00C0100F">
              <w:rPr>
                <w:noProof/>
                <w:webHidden/>
              </w:rPr>
              <w:t>65</w:t>
            </w:r>
            <w:r w:rsidR="00077BCB" w:rsidRPr="00000849">
              <w:rPr>
                <w:noProof/>
                <w:webHidden/>
              </w:rPr>
              <w:fldChar w:fldCharType="end"/>
            </w:r>
          </w:hyperlink>
        </w:p>
        <w:p w14:paraId="04C908C2" w14:textId="015216A9" w:rsidR="00077BCB" w:rsidRPr="00000849" w:rsidRDefault="00C84E75">
          <w:pPr>
            <w:pStyle w:val="TOC2"/>
            <w:tabs>
              <w:tab w:val="left" w:pos="880"/>
              <w:tab w:val="right" w:leader="dot" w:pos="8301"/>
            </w:tabs>
            <w:rPr>
              <w:rFonts w:eastAsiaTheme="minorEastAsia"/>
              <w:noProof/>
              <w:lang w:eastAsia="en-GB"/>
            </w:rPr>
          </w:pPr>
          <w:hyperlink w:anchor="_Toc51472111" w:history="1">
            <w:r w:rsidR="00077BCB" w:rsidRPr="00000849">
              <w:rPr>
                <w:rStyle w:val="Hyperlink"/>
                <w:noProof/>
              </w:rPr>
              <w:t>4.1</w:t>
            </w:r>
            <w:r w:rsidR="00077BCB" w:rsidRPr="00000849">
              <w:rPr>
                <w:rFonts w:eastAsiaTheme="minorEastAsia"/>
                <w:noProof/>
                <w:lang w:eastAsia="en-GB"/>
              </w:rPr>
              <w:tab/>
            </w:r>
            <w:r w:rsidR="00077BCB" w:rsidRPr="00000849">
              <w:rPr>
                <w:rStyle w:val="Hyperlink"/>
                <w:noProof/>
              </w:rPr>
              <w:t>The SAGE Longitudinal Study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_Toc51472111 \h </w:instrText>
            </w:r>
            <w:r w:rsidR="00077BCB" w:rsidRPr="00000849">
              <w:rPr>
                <w:noProof/>
                <w:webHidden/>
              </w:rPr>
            </w:r>
            <w:r w:rsidR="00077BCB" w:rsidRPr="00000849">
              <w:rPr>
                <w:noProof/>
                <w:webHidden/>
              </w:rPr>
              <w:fldChar w:fldCharType="separate"/>
            </w:r>
            <w:r w:rsidR="00C0100F">
              <w:rPr>
                <w:noProof/>
                <w:webHidden/>
              </w:rPr>
              <w:t>65</w:t>
            </w:r>
            <w:r w:rsidR="00077BCB" w:rsidRPr="00000849">
              <w:rPr>
                <w:noProof/>
                <w:webHidden/>
              </w:rPr>
              <w:fldChar w:fldCharType="end"/>
            </w:r>
          </w:hyperlink>
        </w:p>
        <w:p w14:paraId="2F61B406" w14:textId="2AD00DF8" w:rsidR="00077BCB" w:rsidRPr="00000849" w:rsidRDefault="00C84E75">
          <w:pPr>
            <w:pStyle w:val="TOC2"/>
            <w:tabs>
              <w:tab w:val="left" w:pos="880"/>
              <w:tab w:val="right" w:leader="dot" w:pos="8301"/>
            </w:tabs>
            <w:rPr>
              <w:rFonts w:eastAsiaTheme="minorEastAsia"/>
              <w:noProof/>
              <w:lang w:eastAsia="en-GB"/>
            </w:rPr>
          </w:pPr>
          <w:hyperlink w:anchor="_Toc51472112" w:history="1">
            <w:r w:rsidR="00077BCB" w:rsidRPr="00000849">
              <w:rPr>
                <w:rStyle w:val="Hyperlink"/>
                <w:noProof/>
              </w:rPr>
              <w:t>4.2</w:t>
            </w:r>
            <w:r w:rsidR="00077BCB" w:rsidRPr="00000849">
              <w:rPr>
                <w:rFonts w:eastAsiaTheme="minorEastAsia"/>
                <w:noProof/>
                <w:lang w:eastAsia="en-GB"/>
              </w:rPr>
              <w:tab/>
            </w:r>
            <w:r w:rsidR="00077BCB" w:rsidRPr="00000849">
              <w:rPr>
                <w:rStyle w:val="Hyperlink"/>
                <w:noProof/>
              </w:rPr>
              <w:t>Sampling</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_Toc51472112 \h </w:instrText>
            </w:r>
            <w:r w:rsidR="00077BCB" w:rsidRPr="00000849">
              <w:rPr>
                <w:noProof/>
                <w:webHidden/>
              </w:rPr>
            </w:r>
            <w:r w:rsidR="00077BCB" w:rsidRPr="00000849">
              <w:rPr>
                <w:noProof/>
                <w:webHidden/>
              </w:rPr>
              <w:fldChar w:fldCharType="separate"/>
            </w:r>
            <w:r w:rsidR="00C0100F">
              <w:rPr>
                <w:noProof/>
                <w:webHidden/>
              </w:rPr>
              <w:t>67</w:t>
            </w:r>
            <w:r w:rsidR="00077BCB" w:rsidRPr="00000849">
              <w:rPr>
                <w:noProof/>
                <w:webHidden/>
              </w:rPr>
              <w:fldChar w:fldCharType="end"/>
            </w:r>
          </w:hyperlink>
        </w:p>
        <w:p w14:paraId="524410D6" w14:textId="52EEEC6D" w:rsidR="00077BCB" w:rsidRPr="00000849" w:rsidRDefault="00C84E75">
          <w:pPr>
            <w:pStyle w:val="TOC2"/>
            <w:tabs>
              <w:tab w:val="left" w:pos="880"/>
              <w:tab w:val="right" w:leader="dot" w:pos="8301"/>
            </w:tabs>
            <w:rPr>
              <w:rFonts w:eastAsiaTheme="minorEastAsia"/>
              <w:noProof/>
              <w:lang w:eastAsia="en-GB"/>
            </w:rPr>
          </w:pPr>
          <w:hyperlink w:anchor="_Toc51472113" w:history="1">
            <w:r w:rsidR="00077BCB" w:rsidRPr="00000849">
              <w:rPr>
                <w:rStyle w:val="Hyperlink"/>
                <w:noProof/>
              </w:rPr>
              <w:t>4.4</w:t>
            </w:r>
            <w:r w:rsidR="00077BCB" w:rsidRPr="00000849">
              <w:rPr>
                <w:rFonts w:eastAsiaTheme="minorEastAsia"/>
                <w:noProof/>
                <w:lang w:eastAsia="en-GB"/>
              </w:rPr>
              <w:tab/>
            </w:r>
            <w:r w:rsidR="00077BCB" w:rsidRPr="00000849">
              <w:rPr>
                <w:rStyle w:val="Hyperlink"/>
                <w:noProof/>
              </w:rPr>
              <w:t>Data collection instruments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_Toc51472113 \h </w:instrText>
            </w:r>
            <w:r w:rsidR="00077BCB" w:rsidRPr="00000849">
              <w:rPr>
                <w:noProof/>
                <w:webHidden/>
              </w:rPr>
            </w:r>
            <w:r w:rsidR="00077BCB" w:rsidRPr="00000849">
              <w:rPr>
                <w:noProof/>
                <w:webHidden/>
              </w:rPr>
              <w:fldChar w:fldCharType="separate"/>
            </w:r>
            <w:r w:rsidR="00C0100F">
              <w:rPr>
                <w:noProof/>
                <w:webHidden/>
              </w:rPr>
              <w:t>69</w:t>
            </w:r>
            <w:r w:rsidR="00077BCB" w:rsidRPr="00000849">
              <w:rPr>
                <w:noProof/>
                <w:webHidden/>
              </w:rPr>
              <w:fldChar w:fldCharType="end"/>
            </w:r>
          </w:hyperlink>
        </w:p>
        <w:p w14:paraId="1846C699" w14:textId="6111A783" w:rsidR="00077BCB" w:rsidRPr="00000849" w:rsidRDefault="00C84E75">
          <w:pPr>
            <w:pStyle w:val="TOC2"/>
            <w:tabs>
              <w:tab w:val="left" w:pos="880"/>
              <w:tab w:val="right" w:leader="dot" w:pos="8301"/>
            </w:tabs>
            <w:rPr>
              <w:rFonts w:eastAsiaTheme="minorEastAsia"/>
              <w:noProof/>
              <w:lang w:eastAsia="en-GB"/>
            </w:rPr>
          </w:pPr>
          <w:hyperlink w:anchor="_Toc51472114" w:history="1">
            <w:r w:rsidR="00077BCB" w:rsidRPr="00000849">
              <w:rPr>
                <w:rStyle w:val="Hyperlink"/>
                <w:noProof/>
              </w:rPr>
              <w:t>4.5</w:t>
            </w:r>
            <w:r w:rsidR="00077BCB" w:rsidRPr="00000849">
              <w:rPr>
                <w:rFonts w:eastAsiaTheme="minorEastAsia"/>
                <w:noProof/>
                <w:lang w:eastAsia="en-GB"/>
              </w:rPr>
              <w:tab/>
            </w:r>
            <w:r w:rsidR="00077BCB" w:rsidRPr="00000849">
              <w:rPr>
                <w:rStyle w:val="Hyperlink"/>
                <w:noProof/>
              </w:rPr>
              <w:t>Definition of variables used in the current analyses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_Toc51472114 \h </w:instrText>
            </w:r>
            <w:r w:rsidR="00077BCB" w:rsidRPr="00000849">
              <w:rPr>
                <w:noProof/>
                <w:webHidden/>
              </w:rPr>
            </w:r>
            <w:r w:rsidR="00077BCB" w:rsidRPr="00000849">
              <w:rPr>
                <w:noProof/>
                <w:webHidden/>
              </w:rPr>
              <w:fldChar w:fldCharType="separate"/>
            </w:r>
            <w:r w:rsidR="00C0100F">
              <w:rPr>
                <w:noProof/>
                <w:webHidden/>
              </w:rPr>
              <w:t>70</w:t>
            </w:r>
            <w:r w:rsidR="00077BCB" w:rsidRPr="00000849">
              <w:rPr>
                <w:noProof/>
                <w:webHidden/>
              </w:rPr>
              <w:fldChar w:fldCharType="end"/>
            </w:r>
          </w:hyperlink>
        </w:p>
        <w:p w14:paraId="6E3DA1CA" w14:textId="214490C6" w:rsidR="00077BCB" w:rsidRPr="00000849" w:rsidRDefault="00C84E75">
          <w:pPr>
            <w:pStyle w:val="TOC3"/>
            <w:tabs>
              <w:tab w:val="left" w:pos="1320"/>
              <w:tab w:val="right" w:leader="dot" w:pos="8301"/>
            </w:tabs>
            <w:rPr>
              <w:rFonts w:eastAsiaTheme="minorEastAsia"/>
              <w:noProof/>
              <w:lang w:eastAsia="en-GB"/>
            </w:rPr>
          </w:pPr>
          <w:hyperlink w:anchor="_Toc51472115" w:history="1">
            <w:r w:rsidR="00077BCB" w:rsidRPr="00000849">
              <w:rPr>
                <w:rStyle w:val="Hyperlink"/>
                <w:noProof/>
              </w:rPr>
              <w:t>4.5.1</w:t>
            </w:r>
            <w:r w:rsidR="00077BCB" w:rsidRPr="00000849">
              <w:rPr>
                <w:rFonts w:eastAsiaTheme="minorEastAsia"/>
                <w:noProof/>
                <w:lang w:eastAsia="en-GB"/>
              </w:rPr>
              <w:tab/>
            </w:r>
            <w:r w:rsidR="00077BCB" w:rsidRPr="00000849">
              <w:rPr>
                <w:rStyle w:val="Hyperlink"/>
                <w:noProof/>
              </w:rPr>
              <w:t>Coding of variables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_Toc51472115 \h </w:instrText>
            </w:r>
            <w:r w:rsidR="00077BCB" w:rsidRPr="00000849">
              <w:rPr>
                <w:noProof/>
                <w:webHidden/>
              </w:rPr>
            </w:r>
            <w:r w:rsidR="00077BCB" w:rsidRPr="00000849">
              <w:rPr>
                <w:noProof/>
                <w:webHidden/>
              </w:rPr>
              <w:fldChar w:fldCharType="separate"/>
            </w:r>
            <w:r w:rsidR="00C0100F">
              <w:rPr>
                <w:noProof/>
                <w:webHidden/>
              </w:rPr>
              <w:t>70</w:t>
            </w:r>
            <w:r w:rsidR="00077BCB" w:rsidRPr="00000849">
              <w:rPr>
                <w:noProof/>
                <w:webHidden/>
              </w:rPr>
              <w:fldChar w:fldCharType="end"/>
            </w:r>
          </w:hyperlink>
        </w:p>
        <w:p w14:paraId="4D74A3CA" w14:textId="7091FC85" w:rsidR="00077BCB" w:rsidRPr="00000849" w:rsidRDefault="00C84E75">
          <w:pPr>
            <w:pStyle w:val="TOC3"/>
            <w:tabs>
              <w:tab w:val="left" w:pos="1320"/>
              <w:tab w:val="right" w:leader="dot" w:pos="8301"/>
            </w:tabs>
            <w:rPr>
              <w:rFonts w:eastAsiaTheme="minorEastAsia"/>
              <w:noProof/>
              <w:lang w:eastAsia="en-GB"/>
            </w:rPr>
          </w:pPr>
          <w:hyperlink w:anchor="_Toc51472116" w:history="1">
            <w:r w:rsidR="00077BCB" w:rsidRPr="00000849">
              <w:rPr>
                <w:rStyle w:val="Hyperlink"/>
                <w:noProof/>
              </w:rPr>
              <w:t>4.5.2</w:t>
            </w:r>
            <w:r w:rsidR="00077BCB" w:rsidRPr="00000849">
              <w:rPr>
                <w:rFonts w:eastAsiaTheme="minorEastAsia"/>
                <w:noProof/>
                <w:lang w:eastAsia="en-GB"/>
              </w:rPr>
              <w:tab/>
            </w:r>
            <w:r w:rsidR="00077BCB" w:rsidRPr="00000849">
              <w:rPr>
                <w:rStyle w:val="Hyperlink"/>
                <w:noProof/>
              </w:rPr>
              <w:t>Construction of wealth quintiles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_Toc51472116 \h </w:instrText>
            </w:r>
            <w:r w:rsidR="00077BCB" w:rsidRPr="00000849">
              <w:rPr>
                <w:noProof/>
                <w:webHidden/>
              </w:rPr>
            </w:r>
            <w:r w:rsidR="00077BCB" w:rsidRPr="00000849">
              <w:rPr>
                <w:noProof/>
                <w:webHidden/>
              </w:rPr>
              <w:fldChar w:fldCharType="separate"/>
            </w:r>
            <w:r w:rsidR="00C0100F">
              <w:rPr>
                <w:noProof/>
                <w:webHidden/>
              </w:rPr>
              <w:t>72</w:t>
            </w:r>
            <w:r w:rsidR="00077BCB" w:rsidRPr="00000849">
              <w:rPr>
                <w:noProof/>
                <w:webHidden/>
              </w:rPr>
              <w:fldChar w:fldCharType="end"/>
            </w:r>
          </w:hyperlink>
        </w:p>
        <w:p w14:paraId="0EBC5B52" w14:textId="0566E577" w:rsidR="00077BCB" w:rsidRPr="00000849" w:rsidRDefault="00C84E75">
          <w:pPr>
            <w:pStyle w:val="TOC3"/>
            <w:tabs>
              <w:tab w:val="left" w:pos="1320"/>
              <w:tab w:val="right" w:leader="dot" w:pos="8301"/>
            </w:tabs>
            <w:rPr>
              <w:rFonts w:eastAsiaTheme="minorEastAsia"/>
              <w:noProof/>
              <w:lang w:eastAsia="en-GB"/>
            </w:rPr>
          </w:pPr>
          <w:hyperlink w:anchor="_Toc51472117" w:history="1">
            <w:r w:rsidR="00077BCB" w:rsidRPr="00000849">
              <w:rPr>
                <w:rStyle w:val="Hyperlink"/>
                <w:noProof/>
              </w:rPr>
              <w:t>4.5.3</w:t>
            </w:r>
            <w:r w:rsidR="00077BCB" w:rsidRPr="00000849">
              <w:rPr>
                <w:rFonts w:eastAsiaTheme="minorEastAsia"/>
                <w:noProof/>
                <w:lang w:eastAsia="en-GB"/>
              </w:rPr>
              <w:tab/>
            </w:r>
            <w:r w:rsidR="00077BCB" w:rsidRPr="00000849">
              <w:rPr>
                <w:rStyle w:val="Hyperlink"/>
                <w:noProof/>
              </w:rPr>
              <w:t>Anthropometric measurements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_Toc51472117 \h </w:instrText>
            </w:r>
            <w:r w:rsidR="00077BCB" w:rsidRPr="00000849">
              <w:rPr>
                <w:noProof/>
                <w:webHidden/>
              </w:rPr>
            </w:r>
            <w:r w:rsidR="00077BCB" w:rsidRPr="00000849">
              <w:rPr>
                <w:noProof/>
                <w:webHidden/>
              </w:rPr>
              <w:fldChar w:fldCharType="separate"/>
            </w:r>
            <w:r w:rsidR="00C0100F">
              <w:rPr>
                <w:noProof/>
                <w:webHidden/>
              </w:rPr>
              <w:t>75</w:t>
            </w:r>
            <w:r w:rsidR="00077BCB" w:rsidRPr="00000849">
              <w:rPr>
                <w:noProof/>
                <w:webHidden/>
              </w:rPr>
              <w:fldChar w:fldCharType="end"/>
            </w:r>
          </w:hyperlink>
        </w:p>
        <w:p w14:paraId="6B081195" w14:textId="0EEAF3AD" w:rsidR="00077BCB" w:rsidRPr="00000849" w:rsidRDefault="00C84E75">
          <w:pPr>
            <w:pStyle w:val="TOC3"/>
            <w:tabs>
              <w:tab w:val="left" w:pos="1320"/>
              <w:tab w:val="right" w:leader="dot" w:pos="8301"/>
            </w:tabs>
            <w:rPr>
              <w:rFonts w:eastAsiaTheme="minorEastAsia"/>
              <w:noProof/>
              <w:lang w:eastAsia="en-GB"/>
            </w:rPr>
          </w:pPr>
          <w:hyperlink w:anchor="_Toc51472118" w:history="1">
            <w:r w:rsidR="00077BCB" w:rsidRPr="00000849">
              <w:rPr>
                <w:rStyle w:val="Hyperlink"/>
                <w:noProof/>
              </w:rPr>
              <w:t>4.5.4</w:t>
            </w:r>
            <w:r w:rsidR="00077BCB" w:rsidRPr="00000849">
              <w:rPr>
                <w:rFonts w:eastAsiaTheme="minorEastAsia"/>
                <w:noProof/>
                <w:lang w:eastAsia="en-GB"/>
              </w:rPr>
              <w:tab/>
            </w:r>
            <w:r w:rsidR="00077BCB" w:rsidRPr="00000849">
              <w:rPr>
                <w:rStyle w:val="Hyperlink"/>
                <w:noProof/>
              </w:rPr>
              <w:t>Measurement of blood pressure and definitions of awareness, treatment and control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_Toc51472118 \h </w:instrText>
            </w:r>
            <w:r w:rsidR="00077BCB" w:rsidRPr="00000849">
              <w:rPr>
                <w:noProof/>
                <w:webHidden/>
              </w:rPr>
            </w:r>
            <w:r w:rsidR="00077BCB" w:rsidRPr="00000849">
              <w:rPr>
                <w:noProof/>
                <w:webHidden/>
              </w:rPr>
              <w:fldChar w:fldCharType="separate"/>
            </w:r>
            <w:r w:rsidR="00C0100F">
              <w:rPr>
                <w:noProof/>
                <w:webHidden/>
              </w:rPr>
              <w:t>76</w:t>
            </w:r>
            <w:r w:rsidR="00077BCB" w:rsidRPr="00000849">
              <w:rPr>
                <w:noProof/>
                <w:webHidden/>
              </w:rPr>
              <w:fldChar w:fldCharType="end"/>
            </w:r>
          </w:hyperlink>
        </w:p>
        <w:p w14:paraId="2F977532" w14:textId="2F1FB18A" w:rsidR="00077BCB" w:rsidRPr="00000849" w:rsidRDefault="00C84E75">
          <w:pPr>
            <w:pStyle w:val="TOC2"/>
            <w:tabs>
              <w:tab w:val="left" w:pos="880"/>
              <w:tab w:val="right" w:leader="dot" w:pos="8301"/>
            </w:tabs>
            <w:rPr>
              <w:rFonts w:eastAsiaTheme="minorEastAsia"/>
              <w:noProof/>
              <w:lang w:eastAsia="en-GB"/>
            </w:rPr>
          </w:pPr>
          <w:hyperlink w:anchor="_Toc51472119" w:history="1">
            <w:r w:rsidR="00077BCB" w:rsidRPr="00000849">
              <w:rPr>
                <w:rStyle w:val="Hyperlink"/>
                <w:noProof/>
              </w:rPr>
              <w:t>4.6</w:t>
            </w:r>
            <w:r w:rsidR="00077BCB" w:rsidRPr="00000849">
              <w:rPr>
                <w:rFonts w:eastAsiaTheme="minorEastAsia"/>
                <w:noProof/>
                <w:lang w:eastAsia="en-GB"/>
              </w:rPr>
              <w:tab/>
            </w:r>
            <w:r w:rsidR="00077BCB" w:rsidRPr="00000849">
              <w:rPr>
                <w:rStyle w:val="Hyperlink"/>
                <w:noProof/>
              </w:rPr>
              <w:t>Ensuring data quality during data collection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_Toc51472119 \h </w:instrText>
            </w:r>
            <w:r w:rsidR="00077BCB" w:rsidRPr="00000849">
              <w:rPr>
                <w:noProof/>
                <w:webHidden/>
              </w:rPr>
            </w:r>
            <w:r w:rsidR="00077BCB" w:rsidRPr="00000849">
              <w:rPr>
                <w:noProof/>
                <w:webHidden/>
              </w:rPr>
              <w:fldChar w:fldCharType="separate"/>
            </w:r>
            <w:r w:rsidR="00C0100F">
              <w:rPr>
                <w:noProof/>
                <w:webHidden/>
              </w:rPr>
              <w:t>76</w:t>
            </w:r>
            <w:r w:rsidR="00077BCB" w:rsidRPr="00000849">
              <w:rPr>
                <w:noProof/>
                <w:webHidden/>
              </w:rPr>
              <w:fldChar w:fldCharType="end"/>
            </w:r>
          </w:hyperlink>
        </w:p>
        <w:p w14:paraId="6077C093" w14:textId="6113B301" w:rsidR="00077BCB" w:rsidRPr="00000849" w:rsidRDefault="00C84E75">
          <w:pPr>
            <w:pStyle w:val="TOC2"/>
            <w:tabs>
              <w:tab w:val="left" w:pos="880"/>
              <w:tab w:val="right" w:leader="dot" w:pos="8301"/>
            </w:tabs>
            <w:rPr>
              <w:rFonts w:eastAsiaTheme="minorEastAsia"/>
              <w:noProof/>
              <w:lang w:eastAsia="en-GB"/>
            </w:rPr>
          </w:pPr>
          <w:hyperlink w:anchor="_Toc51472120" w:history="1">
            <w:r w:rsidR="00077BCB" w:rsidRPr="00000849">
              <w:rPr>
                <w:rStyle w:val="Hyperlink"/>
                <w:noProof/>
              </w:rPr>
              <w:t>4.7</w:t>
            </w:r>
            <w:r w:rsidR="00077BCB" w:rsidRPr="00000849">
              <w:rPr>
                <w:rFonts w:eastAsiaTheme="minorEastAsia"/>
                <w:noProof/>
                <w:lang w:eastAsia="en-GB"/>
              </w:rPr>
              <w:tab/>
            </w:r>
            <w:r w:rsidR="00077BCB" w:rsidRPr="00000849">
              <w:rPr>
                <w:rStyle w:val="Hyperlink"/>
                <w:noProof/>
              </w:rPr>
              <w:t>Ethical clearance</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_Toc51472120 \h </w:instrText>
            </w:r>
            <w:r w:rsidR="00077BCB" w:rsidRPr="00000849">
              <w:rPr>
                <w:noProof/>
                <w:webHidden/>
              </w:rPr>
            </w:r>
            <w:r w:rsidR="00077BCB" w:rsidRPr="00000849">
              <w:rPr>
                <w:noProof/>
                <w:webHidden/>
              </w:rPr>
              <w:fldChar w:fldCharType="separate"/>
            </w:r>
            <w:r w:rsidR="00C0100F">
              <w:rPr>
                <w:noProof/>
                <w:webHidden/>
              </w:rPr>
              <w:t>77</w:t>
            </w:r>
            <w:r w:rsidR="00077BCB" w:rsidRPr="00000849">
              <w:rPr>
                <w:noProof/>
                <w:webHidden/>
              </w:rPr>
              <w:fldChar w:fldCharType="end"/>
            </w:r>
          </w:hyperlink>
        </w:p>
        <w:p w14:paraId="6D23B731" w14:textId="2EF315FA" w:rsidR="00077BCB" w:rsidRPr="00000849" w:rsidRDefault="00C84E75">
          <w:pPr>
            <w:pStyle w:val="TOC2"/>
            <w:tabs>
              <w:tab w:val="left" w:pos="880"/>
              <w:tab w:val="right" w:leader="dot" w:pos="8301"/>
            </w:tabs>
            <w:rPr>
              <w:rFonts w:eastAsiaTheme="minorEastAsia"/>
              <w:noProof/>
              <w:lang w:eastAsia="en-GB"/>
            </w:rPr>
          </w:pPr>
          <w:hyperlink w:anchor="_Toc51472121" w:history="1">
            <w:r w:rsidR="00077BCB" w:rsidRPr="00000849">
              <w:rPr>
                <w:rStyle w:val="Hyperlink"/>
                <w:noProof/>
              </w:rPr>
              <w:t>4.8</w:t>
            </w:r>
            <w:r w:rsidR="00077BCB" w:rsidRPr="00000849">
              <w:rPr>
                <w:rFonts w:eastAsiaTheme="minorEastAsia"/>
                <w:noProof/>
                <w:lang w:eastAsia="en-GB"/>
              </w:rPr>
              <w:tab/>
            </w:r>
            <w:r w:rsidR="00077BCB" w:rsidRPr="00000849">
              <w:rPr>
                <w:rStyle w:val="Hyperlink"/>
                <w:noProof/>
              </w:rPr>
              <w:t>Data 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_Toc51472121 \h </w:instrText>
            </w:r>
            <w:r w:rsidR="00077BCB" w:rsidRPr="00000849">
              <w:rPr>
                <w:noProof/>
                <w:webHidden/>
              </w:rPr>
            </w:r>
            <w:r w:rsidR="00077BCB" w:rsidRPr="00000849">
              <w:rPr>
                <w:noProof/>
                <w:webHidden/>
              </w:rPr>
              <w:fldChar w:fldCharType="separate"/>
            </w:r>
            <w:r w:rsidR="00C0100F">
              <w:rPr>
                <w:noProof/>
                <w:webHidden/>
              </w:rPr>
              <w:t>77</w:t>
            </w:r>
            <w:r w:rsidR="00077BCB" w:rsidRPr="00000849">
              <w:rPr>
                <w:noProof/>
                <w:webHidden/>
              </w:rPr>
              <w:fldChar w:fldCharType="end"/>
            </w:r>
          </w:hyperlink>
        </w:p>
        <w:p w14:paraId="0E37D34E" w14:textId="6F179B30" w:rsidR="00077BCB" w:rsidRPr="00000849" w:rsidRDefault="00C84E75">
          <w:pPr>
            <w:pStyle w:val="TOC3"/>
            <w:tabs>
              <w:tab w:val="left" w:pos="1320"/>
              <w:tab w:val="right" w:leader="dot" w:pos="8301"/>
            </w:tabs>
            <w:rPr>
              <w:rFonts w:eastAsiaTheme="minorEastAsia"/>
              <w:noProof/>
              <w:lang w:eastAsia="en-GB"/>
            </w:rPr>
          </w:pPr>
          <w:hyperlink w:anchor="_Toc51472122" w:history="1">
            <w:r w:rsidR="00077BCB" w:rsidRPr="00000849">
              <w:rPr>
                <w:rStyle w:val="Hyperlink"/>
                <w:noProof/>
              </w:rPr>
              <w:t>4.8.1</w:t>
            </w:r>
            <w:r w:rsidR="00077BCB" w:rsidRPr="00000849">
              <w:rPr>
                <w:rFonts w:eastAsiaTheme="minorEastAsia"/>
                <w:noProof/>
                <w:lang w:eastAsia="en-GB"/>
              </w:rPr>
              <w:tab/>
            </w:r>
            <w:r w:rsidR="00077BCB" w:rsidRPr="00000849">
              <w:rPr>
                <w:rStyle w:val="Hyperlink"/>
                <w:noProof/>
              </w:rPr>
              <w:t>Logistic regression – single, multilevel, repeated measures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_Toc51472122 \h </w:instrText>
            </w:r>
            <w:r w:rsidR="00077BCB" w:rsidRPr="00000849">
              <w:rPr>
                <w:noProof/>
                <w:webHidden/>
              </w:rPr>
            </w:r>
            <w:r w:rsidR="00077BCB" w:rsidRPr="00000849">
              <w:rPr>
                <w:noProof/>
                <w:webHidden/>
              </w:rPr>
              <w:fldChar w:fldCharType="separate"/>
            </w:r>
            <w:r w:rsidR="00C0100F">
              <w:rPr>
                <w:noProof/>
                <w:webHidden/>
              </w:rPr>
              <w:t>78</w:t>
            </w:r>
            <w:r w:rsidR="00077BCB" w:rsidRPr="00000849">
              <w:rPr>
                <w:noProof/>
                <w:webHidden/>
              </w:rPr>
              <w:fldChar w:fldCharType="end"/>
            </w:r>
          </w:hyperlink>
        </w:p>
        <w:p w14:paraId="0EB21E99" w14:textId="3D935B7F" w:rsidR="00077BCB" w:rsidRPr="00000849" w:rsidRDefault="00C84E75">
          <w:pPr>
            <w:pStyle w:val="TOC3"/>
            <w:tabs>
              <w:tab w:val="left" w:pos="1320"/>
              <w:tab w:val="right" w:leader="dot" w:pos="8301"/>
            </w:tabs>
            <w:rPr>
              <w:rFonts w:eastAsiaTheme="minorEastAsia"/>
              <w:noProof/>
              <w:lang w:eastAsia="en-GB"/>
            </w:rPr>
          </w:pPr>
          <w:hyperlink w:anchor="_Toc51472123" w:history="1">
            <w:r w:rsidR="00077BCB" w:rsidRPr="00000849">
              <w:rPr>
                <w:rStyle w:val="Hyperlink"/>
                <w:noProof/>
              </w:rPr>
              <w:t>4.8.2</w:t>
            </w:r>
            <w:r w:rsidR="00077BCB" w:rsidRPr="00000849">
              <w:rPr>
                <w:rFonts w:eastAsiaTheme="minorEastAsia"/>
                <w:noProof/>
                <w:lang w:eastAsia="en-GB"/>
              </w:rPr>
              <w:tab/>
            </w:r>
            <w:r w:rsidR="00077BCB" w:rsidRPr="00000849">
              <w:rPr>
                <w:rStyle w:val="Hyperlink"/>
                <w:noProof/>
              </w:rPr>
              <w:t>Ordinal logistic regression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_Toc51472123 \h </w:instrText>
            </w:r>
            <w:r w:rsidR="00077BCB" w:rsidRPr="00000849">
              <w:rPr>
                <w:noProof/>
                <w:webHidden/>
              </w:rPr>
            </w:r>
            <w:r w:rsidR="00077BCB" w:rsidRPr="00000849">
              <w:rPr>
                <w:noProof/>
                <w:webHidden/>
              </w:rPr>
              <w:fldChar w:fldCharType="separate"/>
            </w:r>
            <w:r w:rsidR="00C0100F">
              <w:rPr>
                <w:noProof/>
                <w:webHidden/>
              </w:rPr>
              <w:t>91</w:t>
            </w:r>
            <w:r w:rsidR="00077BCB" w:rsidRPr="00000849">
              <w:rPr>
                <w:noProof/>
                <w:webHidden/>
              </w:rPr>
              <w:fldChar w:fldCharType="end"/>
            </w:r>
          </w:hyperlink>
        </w:p>
        <w:p w14:paraId="624C7D17" w14:textId="3919F7FA" w:rsidR="00077BCB" w:rsidRPr="00000849" w:rsidRDefault="00C84E75">
          <w:pPr>
            <w:pStyle w:val="TOC3"/>
            <w:tabs>
              <w:tab w:val="left" w:pos="1320"/>
              <w:tab w:val="right" w:leader="dot" w:pos="8301"/>
            </w:tabs>
            <w:rPr>
              <w:rFonts w:eastAsiaTheme="minorEastAsia"/>
              <w:noProof/>
              <w:lang w:eastAsia="en-GB"/>
            </w:rPr>
          </w:pPr>
          <w:hyperlink w:anchor="_Toc51472124" w:history="1">
            <w:r w:rsidR="00077BCB" w:rsidRPr="00000849">
              <w:rPr>
                <w:rStyle w:val="Hyperlink"/>
                <w:noProof/>
              </w:rPr>
              <w:t>4.8.3</w:t>
            </w:r>
            <w:r w:rsidR="00077BCB" w:rsidRPr="00000849">
              <w:rPr>
                <w:rFonts w:eastAsiaTheme="minorEastAsia"/>
                <w:noProof/>
                <w:lang w:eastAsia="en-GB"/>
              </w:rPr>
              <w:tab/>
            </w:r>
            <w:r w:rsidR="00077BCB" w:rsidRPr="00000849">
              <w:rPr>
                <w:rStyle w:val="Hyperlink"/>
                <w:noProof/>
              </w:rPr>
              <w:t>Prevalence of awareness of hypertension, treatment uptake and outcomes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_Toc51472124 \h </w:instrText>
            </w:r>
            <w:r w:rsidR="00077BCB" w:rsidRPr="00000849">
              <w:rPr>
                <w:noProof/>
                <w:webHidden/>
              </w:rPr>
            </w:r>
            <w:r w:rsidR="00077BCB" w:rsidRPr="00000849">
              <w:rPr>
                <w:noProof/>
                <w:webHidden/>
              </w:rPr>
              <w:fldChar w:fldCharType="separate"/>
            </w:r>
            <w:r w:rsidR="00C0100F">
              <w:rPr>
                <w:noProof/>
                <w:webHidden/>
              </w:rPr>
              <w:t>93</w:t>
            </w:r>
            <w:r w:rsidR="00077BCB" w:rsidRPr="00000849">
              <w:rPr>
                <w:noProof/>
                <w:webHidden/>
              </w:rPr>
              <w:fldChar w:fldCharType="end"/>
            </w:r>
          </w:hyperlink>
        </w:p>
        <w:p w14:paraId="2B67CD53" w14:textId="3B81814B" w:rsidR="00077BCB" w:rsidRPr="00000849" w:rsidRDefault="00C84E75">
          <w:pPr>
            <w:pStyle w:val="TOC3"/>
            <w:tabs>
              <w:tab w:val="left" w:pos="1320"/>
              <w:tab w:val="right" w:leader="dot" w:pos="8301"/>
            </w:tabs>
            <w:rPr>
              <w:rFonts w:eastAsiaTheme="minorEastAsia"/>
              <w:noProof/>
              <w:lang w:eastAsia="en-GB"/>
            </w:rPr>
          </w:pPr>
          <w:hyperlink w:anchor="_Toc51472125" w:history="1">
            <w:r w:rsidR="00077BCB" w:rsidRPr="00000849">
              <w:rPr>
                <w:rStyle w:val="Hyperlink"/>
                <w:noProof/>
              </w:rPr>
              <w:t>4.8.4</w:t>
            </w:r>
            <w:r w:rsidR="00077BCB" w:rsidRPr="00000849">
              <w:rPr>
                <w:rFonts w:eastAsiaTheme="minorEastAsia"/>
                <w:noProof/>
                <w:lang w:eastAsia="en-GB"/>
              </w:rPr>
              <w:tab/>
            </w:r>
            <w:r w:rsidR="00077BCB" w:rsidRPr="00000849">
              <w:rPr>
                <w:rStyle w:val="Hyperlink"/>
                <w:noProof/>
              </w:rPr>
              <w:t>Prevalence of multiple risk factors for chronic NCDs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_Toc51472125 \h </w:instrText>
            </w:r>
            <w:r w:rsidR="00077BCB" w:rsidRPr="00000849">
              <w:rPr>
                <w:noProof/>
                <w:webHidden/>
              </w:rPr>
            </w:r>
            <w:r w:rsidR="00077BCB" w:rsidRPr="00000849">
              <w:rPr>
                <w:noProof/>
                <w:webHidden/>
              </w:rPr>
              <w:fldChar w:fldCharType="separate"/>
            </w:r>
            <w:r w:rsidR="00C0100F">
              <w:rPr>
                <w:noProof/>
                <w:webHidden/>
              </w:rPr>
              <w:t>94</w:t>
            </w:r>
            <w:r w:rsidR="00077BCB" w:rsidRPr="00000849">
              <w:rPr>
                <w:noProof/>
                <w:webHidden/>
              </w:rPr>
              <w:fldChar w:fldCharType="end"/>
            </w:r>
          </w:hyperlink>
        </w:p>
        <w:p w14:paraId="483CA731" w14:textId="1BACB014" w:rsidR="00077BCB" w:rsidRPr="00000849" w:rsidRDefault="00C84E75">
          <w:pPr>
            <w:pStyle w:val="TOC1"/>
            <w:tabs>
              <w:tab w:val="right" w:leader="dot" w:pos="8301"/>
            </w:tabs>
            <w:rPr>
              <w:rFonts w:eastAsiaTheme="minorEastAsia"/>
              <w:noProof/>
              <w:lang w:eastAsia="en-GB"/>
            </w:rPr>
          </w:pPr>
          <w:hyperlink w:anchor="_Toc51472126" w:history="1">
            <w:r w:rsidR="00077BCB" w:rsidRPr="00000849">
              <w:rPr>
                <w:rStyle w:val="Hyperlink"/>
                <w:noProof/>
              </w:rPr>
              <w:t>Chapter 5: Results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_Toc51472126 \h </w:instrText>
            </w:r>
            <w:r w:rsidR="00077BCB" w:rsidRPr="00000849">
              <w:rPr>
                <w:noProof/>
                <w:webHidden/>
              </w:rPr>
            </w:r>
            <w:r w:rsidR="00077BCB" w:rsidRPr="00000849">
              <w:rPr>
                <w:noProof/>
                <w:webHidden/>
              </w:rPr>
              <w:fldChar w:fldCharType="separate"/>
            </w:r>
            <w:r w:rsidR="00C0100F">
              <w:rPr>
                <w:noProof/>
                <w:webHidden/>
              </w:rPr>
              <w:t>95</w:t>
            </w:r>
            <w:r w:rsidR="00077BCB" w:rsidRPr="00000849">
              <w:rPr>
                <w:noProof/>
                <w:webHidden/>
              </w:rPr>
              <w:fldChar w:fldCharType="end"/>
            </w:r>
          </w:hyperlink>
        </w:p>
        <w:p w14:paraId="59E6EBED" w14:textId="4F028B59" w:rsidR="00077BCB" w:rsidRPr="00000849" w:rsidRDefault="00C84E75">
          <w:pPr>
            <w:pStyle w:val="TOC2"/>
            <w:tabs>
              <w:tab w:val="left" w:pos="880"/>
              <w:tab w:val="right" w:leader="dot" w:pos="8301"/>
            </w:tabs>
            <w:rPr>
              <w:rFonts w:eastAsiaTheme="minorEastAsia"/>
              <w:noProof/>
              <w:lang w:eastAsia="en-GB"/>
            </w:rPr>
          </w:pPr>
          <w:hyperlink w:anchor="_Toc51472127" w:history="1">
            <w:r w:rsidR="00077BCB" w:rsidRPr="00000849">
              <w:rPr>
                <w:rStyle w:val="Hyperlink"/>
                <w:noProof/>
              </w:rPr>
              <w:t>5.1</w:t>
            </w:r>
            <w:r w:rsidR="00077BCB" w:rsidRPr="00000849">
              <w:rPr>
                <w:rFonts w:eastAsiaTheme="minorEastAsia"/>
                <w:noProof/>
                <w:lang w:eastAsia="en-GB"/>
              </w:rPr>
              <w:tab/>
            </w:r>
            <w:r w:rsidR="00077BCB" w:rsidRPr="00000849">
              <w:rPr>
                <w:rStyle w:val="Hyperlink"/>
                <w:noProof/>
              </w:rPr>
              <w:t>Introduction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_Toc51472127 \h </w:instrText>
            </w:r>
            <w:r w:rsidR="00077BCB" w:rsidRPr="00000849">
              <w:rPr>
                <w:noProof/>
                <w:webHidden/>
              </w:rPr>
            </w:r>
            <w:r w:rsidR="00077BCB" w:rsidRPr="00000849">
              <w:rPr>
                <w:noProof/>
                <w:webHidden/>
              </w:rPr>
              <w:fldChar w:fldCharType="separate"/>
            </w:r>
            <w:r w:rsidR="00C0100F">
              <w:rPr>
                <w:noProof/>
                <w:webHidden/>
              </w:rPr>
              <w:t>95</w:t>
            </w:r>
            <w:r w:rsidR="00077BCB" w:rsidRPr="00000849">
              <w:rPr>
                <w:noProof/>
                <w:webHidden/>
              </w:rPr>
              <w:fldChar w:fldCharType="end"/>
            </w:r>
          </w:hyperlink>
        </w:p>
        <w:p w14:paraId="0AF5B6DF" w14:textId="74F3410D" w:rsidR="00077BCB" w:rsidRPr="00000849" w:rsidRDefault="00C84E75">
          <w:pPr>
            <w:pStyle w:val="TOC2"/>
            <w:tabs>
              <w:tab w:val="left" w:pos="880"/>
              <w:tab w:val="right" w:leader="dot" w:pos="8301"/>
            </w:tabs>
            <w:rPr>
              <w:rFonts w:eastAsiaTheme="minorEastAsia"/>
              <w:noProof/>
              <w:lang w:eastAsia="en-GB"/>
            </w:rPr>
          </w:pPr>
          <w:hyperlink w:anchor="_Toc51472128" w:history="1">
            <w:r w:rsidR="00077BCB" w:rsidRPr="00000849">
              <w:rPr>
                <w:rStyle w:val="Hyperlink"/>
                <w:noProof/>
              </w:rPr>
              <w:t>5.2</w:t>
            </w:r>
            <w:r w:rsidR="00077BCB" w:rsidRPr="00000849">
              <w:rPr>
                <w:rFonts w:eastAsiaTheme="minorEastAsia"/>
                <w:noProof/>
                <w:lang w:eastAsia="en-GB"/>
              </w:rPr>
              <w:tab/>
            </w:r>
            <w:r w:rsidR="00077BCB" w:rsidRPr="00000849">
              <w:rPr>
                <w:rStyle w:val="Hyperlink"/>
                <w:noProof/>
              </w:rPr>
              <w:t>Demographic profile of study subjects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_Toc51472128 \h </w:instrText>
            </w:r>
            <w:r w:rsidR="00077BCB" w:rsidRPr="00000849">
              <w:rPr>
                <w:noProof/>
                <w:webHidden/>
              </w:rPr>
            </w:r>
            <w:r w:rsidR="00077BCB" w:rsidRPr="00000849">
              <w:rPr>
                <w:noProof/>
                <w:webHidden/>
              </w:rPr>
              <w:fldChar w:fldCharType="separate"/>
            </w:r>
            <w:r w:rsidR="00C0100F">
              <w:rPr>
                <w:noProof/>
                <w:webHidden/>
              </w:rPr>
              <w:t>95</w:t>
            </w:r>
            <w:r w:rsidR="00077BCB" w:rsidRPr="00000849">
              <w:rPr>
                <w:noProof/>
                <w:webHidden/>
              </w:rPr>
              <w:fldChar w:fldCharType="end"/>
            </w:r>
          </w:hyperlink>
        </w:p>
        <w:p w14:paraId="0F753F57" w14:textId="0E7460A5" w:rsidR="00077BCB" w:rsidRPr="00000849" w:rsidRDefault="00C84E75">
          <w:pPr>
            <w:pStyle w:val="TOC2"/>
            <w:tabs>
              <w:tab w:val="left" w:pos="880"/>
              <w:tab w:val="right" w:leader="dot" w:pos="8301"/>
            </w:tabs>
            <w:rPr>
              <w:rFonts w:eastAsiaTheme="minorEastAsia"/>
              <w:noProof/>
              <w:lang w:eastAsia="en-GB"/>
            </w:rPr>
          </w:pPr>
          <w:hyperlink w:anchor="_Toc51472129" w:history="1">
            <w:r w:rsidR="00077BCB" w:rsidRPr="00000849">
              <w:rPr>
                <w:rStyle w:val="Hyperlink"/>
                <w:noProof/>
              </w:rPr>
              <w:t>5.3</w:t>
            </w:r>
            <w:r w:rsidR="00077BCB" w:rsidRPr="00000849">
              <w:rPr>
                <w:rFonts w:eastAsiaTheme="minorEastAsia"/>
                <w:noProof/>
                <w:lang w:eastAsia="en-GB"/>
              </w:rPr>
              <w:tab/>
            </w:r>
            <w:r w:rsidR="00077BCB" w:rsidRPr="00000849">
              <w:rPr>
                <w:rStyle w:val="Hyperlink"/>
                <w:noProof/>
              </w:rPr>
              <w:t>Prevalence of hypertension among older adults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_Toc51472129 \h </w:instrText>
            </w:r>
            <w:r w:rsidR="00077BCB" w:rsidRPr="00000849">
              <w:rPr>
                <w:noProof/>
                <w:webHidden/>
              </w:rPr>
            </w:r>
            <w:r w:rsidR="00077BCB" w:rsidRPr="00000849">
              <w:rPr>
                <w:noProof/>
                <w:webHidden/>
              </w:rPr>
              <w:fldChar w:fldCharType="separate"/>
            </w:r>
            <w:r w:rsidR="00C0100F">
              <w:rPr>
                <w:noProof/>
                <w:webHidden/>
              </w:rPr>
              <w:t>98</w:t>
            </w:r>
            <w:r w:rsidR="00077BCB" w:rsidRPr="00000849">
              <w:rPr>
                <w:noProof/>
                <w:webHidden/>
              </w:rPr>
              <w:fldChar w:fldCharType="end"/>
            </w:r>
          </w:hyperlink>
        </w:p>
        <w:p w14:paraId="200B942B" w14:textId="69C3F7CF" w:rsidR="00077BCB" w:rsidRPr="00000849" w:rsidRDefault="00C84E75">
          <w:pPr>
            <w:pStyle w:val="TOC3"/>
            <w:tabs>
              <w:tab w:val="left" w:pos="1320"/>
              <w:tab w:val="right" w:leader="dot" w:pos="8301"/>
            </w:tabs>
            <w:rPr>
              <w:rFonts w:eastAsiaTheme="minorEastAsia"/>
              <w:noProof/>
              <w:lang w:eastAsia="en-GB"/>
            </w:rPr>
          </w:pPr>
          <w:hyperlink w:anchor="_Toc51472130" w:history="1">
            <w:r w:rsidR="00077BCB" w:rsidRPr="00000849">
              <w:rPr>
                <w:rStyle w:val="Hyperlink"/>
                <w:noProof/>
              </w:rPr>
              <w:t>5.3.1</w:t>
            </w:r>
            <w:r w:rsidR="00077BCB" w:rsidRPr="00000849">
              <w:rPr>
                <w:rFonts w:eastAsiaTheme="minorEastAsia"/>
                <w:noProof/>
                <w:lang w:eastAsia="en-GB"/>
              </w:rPr>
              <w:tab/>
            </w:r>
            <w:r w:rsidR="00077BCB" w:rsidRPr="00000849">
              <w:rPr>
                <w:rStyle w:val="Hyperlink"/>
                <w:noProof/>
              </w:rPr>
              <w:t>Aggregated prevalence by study wave</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_Toc51472130 \h </w:instrText>
            </w:r>
            <w:r w:rsidR="00077BCB" w:rsidRPr="00000849">
              <w:rPr>
                <w:noProof/>
                <w:webHidden/>
              </w:rPr>
            </w:r>
            <w:r w:rsidR="00077BCB" w:rsidRPr="00000849">
              <w:rPr>
                <w:noProof/>
                <w:webHidden/>
              </w:rPr>
              <w:fldChar w:fldCharType="separate"/>
            </w:r>
            <w:r w:rsidR="00C0100F">
              <w:rPr>
                <w:noProof/>
                <w:webHidden/>
              </w:rPr>
              <w:t>98</w:t>
            </w:r>
            <w:r w:rsidR="00077BCB" w:rsidRPr="00000849">
              <w:rPr>
                <w:noProof/>
                <w:webHidden/>
              </w:rPr>
              <w:fldChar w:fldCharType="end"/>
            </w:r>
          </w:hyperlink>
        </w:p>
        <w:p w14:paraId="77400BDC" w14:textId="01610001" w:rsidR="00077BCB" w:rsidRPr="00000849" w:rsidRDefault="00C84E75">
          <w:pPr>
            <w:pStyle w:val="TOC3"/>
            <w:tabs>
              <w:tab w:val="left" w:pos="1320"/>
              <w:tab w:val="right" w:leader="dot" w:pos="8301"/>
            </w:tabs>
            <w:rPr>
              <w:rFonts w:eastAsiaTheme="minorEastAsia"/>
              <w:noProof/>
              <w:lang w:eastAsia="en-GB"/>
            </w:rPr>
          </w:pPr>
          <w:hyperlink w:anchor="_Toc51472131" w:history="1">
            <w:r w:rsidR="00077BCB" w:rsidRPr="00000849">
              <w:rPr>
                <w:rStyle w:val="Hyperlink"/>
                <w:noProof/>
              </w:rPr>
              <w:t>5.3.2</w:t>
            </w:r>
            <w:r w:rsidR="00077BCB" w:rsidRPr="00000849">
              <w:rPr>
                <w:rFonts w:eastAsiaTheme="minorEastAsia"/>
                <w:noProof/>
                <w:lang w:eastAsia="en-GB"/>
              </w:rPr>
              <w:tab/>
            </w:r>
            <w:r w:rsidR="00077BCB" w:rsidRPr="00000849">
              <w:rPr>
                <w:rStyle w:val="Hyperlink"/>
                <w:noProof/>
              </w:rPr>
              <w:t>Distribution of prevalence by various factors in each study wave</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_Toc51472131 \h </w:instrText>
            </w:r>
            <w:r w:rsidR="00077BCB" w:rsidRPr="00000849">
              <w:rPr>
                <w:noProof/>
                <w:webHidden/>
              </w:rPr>
            </w:r>
            <w:r w:rsidR="00077BCB" w:rsidRPr="00000849">
              <w:rPr>
                <w:noProof/>
                <w:webHidden/>
              </w:rPr>
              <w:fldChar w:fldCharType="separate"/>
            </w:r>
            <w:r w:rsidR="00C0100F">
              <w:rPr>
                <w:noProof/>
                <w:webHidden/>
              </w:rPr>
              <w:t>104</w:t>
            </w:r>
            <w:r w:rsidR="00077BCB" w:rsidRPr="00000849">
              <w:rPr>
                <w:noProof/>
                <w:webHidden/>
              </w:rPr>
              <w:fldChar w:fldCharType="end"/>
            </w:r>
          </w:hyperlink>
        </w:p>
        <w:p w14:paraId="6F13F9BE" w14:textId="07459528" w:rsidR="00077BCB" w:rsidRPr="00000849" w:rsidRDefault="00C84E75">
          <w:pPr>
            <w:pStyle w:val="TOC2"/>
            <w:tabs>
              <w:tab w:val="left" w:pos="880"/>
              <w:tab w:val="right" w:leader="dot" w:pos="8301"/>
            </w:tabs>
            <w:rPr>
              <w:rFonts w:eastAsiaTheme="minorEastAsia"/>
              <w:noProof/>
              <w:lang w:eastAsia="en-GB"/>
            </w:rPr>
          </w:pPr>
          <w:hyperlink w:anchor="_Toc51472132" w:history="1">
            <w:r w:rsidR="00077BCB" w:rsidRPr="00000849">
              <w:rPr>
                <w:rStyle w:val="Hyperlink"/>
                <w:noProof/>
              </w:rPr>
              <w:t>5.4</w:t>
            </w:r>
            <w:r w:rsidR="00077BCB" w:rsidRPr="00000849">
              <w:rPr>
                <w:rFonts w:eastAsiaTheme="minorEastAsia"/>
                <w:noProof/>
                <w:lang w:eastAsia="en-GB"/>
              </w:rPr>
              <w:tab/>
            </w:r>
            <w:r w:rsidR="00077BCB" w:rsidRPr="00000849">
              <w:rPr>
                <w:rStyle w:val="Hyperlink"/>
                <w:noProof/>
              </w:rPr>
              <w:t>Prevalence of grades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_Toc51472132 \h </w:instrText>
            </w:r>
            <w:r w:rsidR="00077BCB" w:rsidRPr="00000849">
              <w:rPr>
                <w:noProof/>
                <w:webHidden/>
              </w:rPr>
            </w:r>
            <w:r w:rsidR="00077BCB" w:rsidRPr="00000849">
              <w:rPr>
                <w:noProof/>
                <w:webHidden/>
              </w:rPr>
              <w:fldChar w:fldCharType="separate"/>
            </w:r>
            <w:r w:rsidR="00C0100F">
              <w:rPr>
                <w:noProof/>
                <w:webHidden/>
              </w:rPr>
              <w:t>105</w:t>
            </w:r>
            <w:r w:rsidR="00077BCB" w:rsidRPr="00000849">
              <w:rPr>
                <w:noProof/>
                <w:webHidden/>
              </w:rPr>
              <w:fldChar w:fldCharType="end"/>
            </w:r>
          </w:hyperlink>
        </w:p>
        <w:p w14:paraId="6C60F3EB" w14:textId="762A66DF" w:rsidR="00077BCB" w:rsidRPr="00000849" w:rsidRDefault="00C84E75">
          <w:pPr>
            <w:pStyle w:val="TOC2"/>
            <w:tabs>
              <w:tab w:val="left" w:pos="880"/>
              <w:tab w:val="right" w:leader="dot" w:pos="8301"/>
            </w:tabs>
            <w:rPr>
              <w:rFonts w:eastAsiaTheme="minorEastAsia"/>
              <w:noProof/>
              <w:lang w:eastAsia="en-GB"/>
            </w:rPr>
          </w:pPr>
          <w:hyperlink w:anchor="_Toc51472133" w:history="1">
            <w:r w:rsidR="00077BCB" w:rsidRPr="00000849">
              <w:rPr>
                <w:rStyle w:val="Hyperlink"/>
                <w:noProof/>
              </w:rPr>
              <w:t>5.5</w:t>
            </w:r>
            <w:r w:rsidR="00077BCB" w:rsidRPr="00000849">
              <w:rPr>
                <w:rFonts w:eastAsiaTheme="minorEastAsia"/>
                <w:noProof/>
                <w:lang w:eastAsia="en-GB"/>
              </w:rPr>
              <w:tab/>
            </w:r>
            <w:r w:rsidR="00077BCB" w:rsidRPr="00000849">
              <w:rPr>
                <w:rStyle w:val="Hyperlink"/>
                <w:noProof/>
              </w:rPr>
              <w:t>Determinants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_Toc51472133 \h </w:instrText>
            </w:r>
            <w:r w:rsidR="00077BCB" w:rsidRPr="00000849">
              <w:rPr>
                <w:noProof/>
                <w:webHidden/>
              </w:rPr>
            </w:r>
            <w:r w:rsidR="00077BCB" w:rsidRPr="00000849">
              <w:rPr>
                <w:noProof/>
                <w:webHidden/>
              </w:rPr>
              <w:fldChar w:fldCharType="separate"/>
            </w:r>
            <w:r w:rsidR="00C0100F">
              <w:rPr>
                <w:noProof/>
                <w:webHidden/>
              </w:rPr>
              <w:t>106</w:t>
            </w:r>
            <w:r w:rsidR="00077BCB" w:rsidRPr="00000849">
              <w:rPr>
                <w:noProof/>
                <w:webHidden/>
              </w:rPr>
              <w:fldChar w:fldCharType="end"/>
            </w:r>
          </w:hyperlink>
        </w:p>
        <w:p w14:paraId="5E7A6EFD" w14:textId="0E54DA2E" w:rsidR="00077BCB" w:rsidRPr="00000849" w:rsidRDefault="00C84E75">
          <w:pPr>
            <w:pStyle w:val="TOC3"/>
            <w:tabs>
              <w:tab w:val="left" w:pos="1320"/>
              <w:tab w:val="right" w:leader="dot" w:pos="8301"/>
            </w:tabs>
            <w:rPr>
              <w:rFonts w:eastAsiaTheme="minorEastAsia"/>
              <w:noProof/>
              <w:lang w:eastAsia="en-GB"/>
            </w:rPr>
          </w:pPr>
          <w:hyperlink w:anchor="_Toc51472134" w:history="1">
            <w:r w:rsidR="00077BCB" w:rsidRPr="00000849">
              <w:rPr>
                <w:rStyle w:val="Hyperlink"/>
                <w:noProof/>
              </w:rPr>
              <w:t>5.5.1</w:t>
            </w:r>
            <w:r w:rsidR="00077BCB" w:rsidRPr="00000849">
              <w:rPr>
                <w:rFonts w:eastAsiaTheme="minorEastAsia"/>
                <w:noProof/>
                <w:lang w:eastAsia="en-GB"/>
              </w:rPr>
              <w:tab/>
            </w:r>
            <w:r w:rsidR="00077BCB" w:rsidRPr="00000849">
              <w:rPr>
                <w:rStyle w:val="Hyperlink"/>
                <w:noProof/>
              </w:rPr>
              <w:t>Univariable 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_Toc51472134 \h </w:instrText>
            </w:r>
            <w:r w:rsidR="00077BCB" w:rsidRPr="00000849">
              <w:rPr>
                <w:noProof/>
                <w:webHidden/>
              </w:rPr>
            </w:r>
            <w:r w:rsidR="00077BCB" w:rsidRPr="00000849">
              <w:rPr>
                <w:noProof/>
                <w:webHidden/>
              </w:rPr>
              <w:fldChar w:fldCharType="separate"/>
            </w:r>
            <w:r w:rsidR="00C0100F">
              <w:rPr>
                <w:noProof/>
                <w:webHidden/>
              </w:rPr>
              <w:t>106</w:t>
            </w:r>
            <w:r w:rsidR="00077BCB" w:rsidRPr="00000849">
              <w:rPr>
                <w:noProof/>
                <w:webHidden/>
              </w:rPr>
              <w:fldChar w:fldCharType="end"/>
            </w:r>
          </w:hyperlink>
        </w:p>
        <w:p w14:paraId="1A00BA0D" w14:textId="66F9F219" w:rsidR="00077BCB" w:rsidRPr="00000849" w:rsidRDefault="00C84E75">
          <w:pPr>
            <w:pStyle w:val="TOC3"/>
            <w:tabs>
              <w:tab w:val="left" w:pos="1320"/>
              <w:tab w:val="right" w:leader="dot" w:pos="8301"/>
            </w:tabs>
            <w:rPr>
              <w:rFonts w:eastAsiaTheme="minorEastAsia"/>
              <w:noProof/>
              <w:lang w:eastAsia="en-GB"/>
            </w:rPr>
          </w:pPr>
          <w:hyperlink w:anchor="_Toc51472135" w:history="1">
            <w:r w:rsidR="00077BCB" w:rsidRPr="00000849">
              <w:rPr>
                <w:rStyle w:val="Hyperlink"/>
                <w:noProof/>
              </w:rPr>
              <w:t>5.5.2</w:t>
            </w:r>
            <w:r w:rsidR="00077BCB" w:rsidRPr="00000849">
              <w:rPr>
                <w:rFonts w:eastAsiaTheme="minorEastAsia"/>
                <w:noProof/>
                <w:lang w:eastAsia="en-GB"/>
              </w:rPr>
              <w:tab/>
            </w:r>
            <w:r w:rsidR="00077BCB" w:rsidRPr="00000849">
              <w:rPr>
                <w:rStyle w:val="Hyperlink"/>
                <w:noProof/>
              </w:rPr>
              <w:t>Single level multivariable 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_Toc51472135 \h </w:instrText>
            </w:r>
            <w:r w:rsidR="00077BCB" w:rsidRPr="00000849">
              <w:rPr>
                <w:noProof/>
                <w:webHidden/>
              </w:rPr>
            </w:r>
            <w:r w:rsidR="00077BCB" w:rsidRPr="00000849">
              <w:rPr>
                <w:noProof/>
                <w:webHidden/>
              </w:rPr>
              <w:fldChar w:fldCharType="separate"/>
            </w:r>
            <w:r w:rsidR="00C0100F">
              <w:rPr>
                <w:noProof/>
                <w:webHidden/>
              </w:rPr>
              <w:t>111</w:t>
            </w:r>
            <w:r w:rsidR="00077BCB" w:rsidRPr="00000849">
              <w:rPr>
                <w:noProof/>
                <w:webHidden/>
              </w:rPr>
              <w:fldChar w:fldCharType="end"/>
            </w:r>
          </w:hyperlink>
        </w:p>
        <w:p w14:paraId="28EE4BE8" w14:textId="57D2BC58" w:rsidR="00077BCB" w:rsidRPr="00000849" w:rsidRDefault="00C84E75">
          <w:pPr>
            <w:pStyle w:val="TOC3"/>
            <w:tabs>
              <w:tab w:val="left" w:pos="1320"/>
              <w:tab w:val="right" w:leader="dot" w:pos="8301"/>
            </w:tabs>
            <w:rPr>
              <w:rFonts w:eastAsiaTheme="minorEastAsia"/>
              <w:noProof/>
              <w:lang w:eastAsia="en-GB"/>
            </w:rPr>
          </w:pPr>
          <w:hyperlink w:anchor="_Toc51472136" w:history="1">
            <w:r w:rsidR="00077BCB" w:rsidRPr="00000849">
              <w:rPr>
                <w:rStyle w:val="Hyperlink"/>
                <w:noProof/>
              </w:rPr>
              <w:t>5.5.3</w:t>
            </w:r>
            <w:r w:rsidR="00077BCB" w:rsidRPr="00000849">
              <w:rPr>
                <w:rFonts w:eastAsiaTheme="minorEastAsia"/>
                <w:noProof/>
                <w:lang w:eastAsia="en-GB"/>
              </w:rPr>
              <w:tab/>
            </w:r>
            <w:r w:rsidR="00077BCB" w:rsidRPr="00000849">
              <w:rPr>
                <w:rStyle w:val="Hyperlink"/>
                <w:noProof/>
              </w:rPr>
              <w:t>Multilevel multivariable 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_Toc51472136 \h </w:instrText>
            </w:r>
            <w:r w:rsidR="00077BCB" w:rsidRPr="00000849">
              <w:rPr>
                <w:noProof/>
                <w:webHidden/>
              </w:rPr>
            </w:r>
            <w:r w:rsidR="00077BCB" w:rsidRPr="00000849">
              <w:rPr>
                <w:noProof/>
                <w:webHidden/>
              </w:rPr>
              <w:fldChar w:fldCharType="separate"/>
            </w:r>
            <w:r w:rsidR="00C0100F">
              <w:rPr>
                <w:noProof/>
                <w:webHidden/>
              </w:rPr>
              <w:t>114</w:t>
            </w:r>
            <w:r w:rsidR="00077BCB" w:rsidRPr="00000849">
              <w:rPr>
                <w:noProof/>
                <w:webHidden/>
              </w:rPr>
              <w:fldChar w:fldCharType="end"/>
            </w:r>
          </w:hyperlink>
        </w:p>
        <w:p w14:paraId="58E2CC2F" w14:textId="1F04CEB1" w:rsidR="00077BCB" w:rsidRPr="00000849" w:rsidRDefault="00C84E75">
          <w:pPr>
            <w:pStyle w:val="TOC3"/>
            <w:tabs>
              <w:tab w:val="left" w:pos="1320"/>
              <w:tab w:val="right" w:leader="dot" w:pos="8301"/>
            </w:tabs>
            <w:rPr>
              <w:rFonts w:eastAsiaTheme="minorEastAsia"/>
              <w:noProof/>
              <w:lang w:eastAsia="en-GB"/>
            </w:rPr>
          </w:pPr>
          <w:hyperlink w:anchor="_Toc51472137" w:history="1">
            <w:r w:rsidR="00077BCB" w:rsidRPr="00000849">
              <w:rPr>
                <w:rStyle w:val="Hyperlink"/>
                <w:noProof/>
              </w:rPr>
              <w:t>5.5.4</w:t>
            </w:r>
            <w:r w:rsidR="00077BCB" w:rsidRPr="00000849">
              <w:rPr>
                <w:rFonts w:eastAsiaTheme="minorEastAsia"/>
                <w:noProof/>
                <w:lang w:eastAsia="en-GB"/>
              </w:rPr>
              <w:tab/>
            </w:r>
            <w:r w:rsidR="00077BCB" w:rsidRPr="00000849">
              <w:rPr>
                <w:rStyle w:val="Hyperlink"/>
                <w:noProof/>
              </w:rPr>
              <w:t>Longitudinal data analyses using random effects model</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_Toc51472137 \h </w:instrText>
            </w:r>
            <w:r w:rsidR="00077BCB" w:rsidRPr="00000849">
              <w:rPr>
                <w:noProof/>
                <w:webHidden/>
              </w:rPr>
            </w:r>
            <w:r w:rsidR="00077BCB" w:rsidRPr="00000849">
              <w:rPr>
                <w:noProof/>
                <w:webHidden/>
              </w:rPr>
              <w:fldChar w:fldCharType="separate"/>
            </w:r>
            <w:r w:rsidR="00C0100F">
              <w:rPr>
                <w:noProof/>
                <w:webHidden/>
              </w:rPr>
              <w:t>117</w:t>
            </w:r>
            <w:r w:rsidR="00077BCB" w:rsidRPr="00000849">
              <w:rPr>
                <w:noProof/>
                <w:webHidden/>
              </w:rPr>
              <w:fldChar w:fldCharType="end"/>
            </w:r>
          </w:hyperlink>
        </w:p>
        <w:p w14:paraId="0FC01D2A" w14:textId="65CFDF0A" w:rsidR="00077BCB" w:rsidRPr="00000849" w:rsidRDefault="00C84E75">
          <w:pPr>
            <w:pStyle w:val="TOC2"/>
            <w:tabs>
              <w:tab w:val="left" w:pos="880"/>
              <w:tab w:val="right" w:leader="dot" w:pos="8301"/>
            </w:tabs>
            <w:rPr>
              <w:rFonts w:eastAsiaTheme="minorEastAsia"/>
              <w:noProof/>
              <w:lang w:eastAsia="en-GB"/>
            </w:rPr>
          </w:pPr>
          <w:hyperlink w:anchor="_Toc51472138" w:history="1">
            <w:r w:rsidR="00077BCB" w:rsidRPr="00000849">
              <w:rPr>
                <w:rStyle w:val="Hyperlink"/>
                <w:noProof/>
              </w:rPr>
              <w:t>5.6</w:t>
            </w:r>
            <w:r w:rsidR="00077BCB" w:rsidRPr="00000849">
              <w:rPr>
                <w:rFonts w:eastAsiaTheme="minorEastAsia"/>
                <w:noProof/>
                <w:lang w:eastAsia="en-GB"/>
              </w:rPr>
              <w:tab/>
            </w:r>
            <w:r w:rsidR="00077BCB" w:rsidRPr="00000849">
              <w:rPr>
                <w:rStyle w:val="Hyperlink"/>
                <w:noProof/>
              </w:rPr>
              <w:t>Determinants of the grades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_Toc51472138 \h </w:instrText>
            </w:r>
            <w:r w:rsidR="00077BCB" w:rsidRPr="00000849">
              <w:rPr>
                <w:noProof/>
                <w:webHidden/>
              </w:rPr>
            </w:r>
            <w:r w:rsidR="00077BCB" w:rsidRPr="00000849">
              <w:rPr>
                <w:noProof/>
                <w:webHidden/>
              </w:rPr>
              <w:fldChar w:fldCharType="separate"/>
            </w:r>
            <w:r w:rsidR="00C0100F">
              <w:rPr>
                <w:noProof/>
                <w:webHidden/>
              </w:rPr>
              <w:t>121</w:t>
            </w:r>
            <w:r w:rsidR="00077BCB" w:rsidRPr="00000849">
              <w:rPr>
                <w:noProof/>
                <w:webHidden/>
              </w:rPr>
              <w:fldChar w:fldCharType="end"/>
            </w:r>
          </w:hyperlink>
        </w:p>
        <w:p w14:paraId="582B91EC" w14:textId="5A0DF7FF" w:rsidR="00077BCB" w:rsidRPr="00000849" w:rsidRDefault="00C84E75">
          <w:pPr>
            <w:pStyle w:val="TOC3"/>
            <w:tabs>
              <w:tab w:val="left" w:pos="1320"/>
              <w:tab w:val="right" w:leader="dot" w:pos="8301"/>
            </w:tabs>
            <w:rPr>
              <w:rFonts w:eastAsiaTheme="minorEastAsia"/>
              <w:noProof/>
              <w:lang w:eastAsia="en-GB"/>
            </w:rPr>
          </w:pPr>
          <w:hyperlink w:anchor="_Toc51472139" w:history="1">
            <w:r w:rsidR="00077BCB" w:rsidRPr="00000849">
              <w:rPr>
                <w:rStyle w:val="Hyperlink"/>
                <w:noProof/>
              </w:rPr>
              <w:t>5.6.1</w:t>
            </w:r>
            <w:r w:rsidR="00077BCB" w:rsidRPr="00000849">
              <w:rPr>
                <w:rFonts w:eastAsiaTheme="minorEastAsia"/>
                <w:noProof/>
                <w:lang w:eastAsia="en-GB"/>
              </w:rPr>
              <w:tab/>
            </w:r>
            <w:r w:rsidR="00077BCB" w:rsidRPr="00000849">
              <w:rPr>
                <w:rStyle w:val="Hyperlink"/>
                <w:noProof/>
              </w:rPr>
              <w:t>Proportional odds assumption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_Toc51472139 \h </w:instrText>
            </w:r>
            <w:r w:rsidR="00077BCB" w:rsidRPr="00000849">
              <w:rPr>
                <w:noProof/>
                <w:webHidden/>
              </w:rPr>
            </w:r>
            <w:r w:rsidR="00077BCB" w:rsidRPr="00000849">
              <w:rPr>
                <w:noProof/>
                <w:webHidden/>
              </w:rPr>
              <w:fldChar w:fldCharType="separate"/>
            </w:r>
            <w:r w:rsidR="00C0100F">
              <w:rPr>
                <w:noProof/>
                <w:webHidden/>
              </w:rPr>
              <w:t>121</w:t>
            </w:r>
            <w:r w:rsidR="00077BCB" w:rsidRPr="00000849">
              <w:rPr>
                <w:noProof/>
                <w:webHidden/>
              </w:rPr>
              <w:fldChar w:fldCharType="end"/>
            </w:r>
          </w:hyperlink>
        </w:p>
        <w:p w14:paraId="1A89F762" w14:textId="621DEDCC" w:rsidR="00077BCB" w:rsidRPr="00000849" w:rsidRDefault="00C84E75">
          <w:pPr>
            <w:pStyle w:val="TOC3"/>
            <w:tabs>
              <w:tab w:val="left" w:pos="1320"/>
              <w:tab w:val="right" w:leader="dot" w:pos="8301"/>
            </w:tabs>
            <w:rPr>
              <w:rFonts w:eastAsiaTheme="minorEastAsia"/>
              <w:noProof/>
              <w:lang w:eastAsia="en-GB"/>
            </w:rPr>
          </w:pPr>
          <w:hyperlink w:anchor="_Toc51472140" w:history="1">
            <w:r w:rsidR="00077BCB" w:rsidRPr="00000849">
              <w:rPr>
                <w:rStyle w:val="Hyperlink"/>
                <w:noProof/>
              </w:rPr>
              <w:t>5.6.2</w:t>
            </w:r>
            <w:r w:rsidR="00077BCB" w:rsidRPr="00000849">
              <w:rPr>
                <w:rFonts w:eastAsiaTheme="minorEastAsia"/>
                <w:noProof/>
                <w:lang w:eastAsia="en-GB"/>
              </w:rPr>
              <w:tab/>
            </w:r>
            <w:r w:rsidR="00077BCB" w:rsidRPr="00000849">
              <w:rPr>
                <w:rStyle w:val="Hyperlink"/>
                <w:noProof/>
              </w:rPr>
              <w:t>Model fit in ordinal logistic regression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_Toc51472140 \h </w:instrText>
            </w:r>
            <w:r w:rsidR="00077BCB" w:rsidRPr="00000849">
              <w:rPr>
                <w:noProof/>
                <w:webHidden/>
              </w:rPr>
            </w:r>
            <w:r w:rsidR="00077BCB" w:rsidRPr="00000849">
              <w:rPr>
                <w:noProof/>
                <w:webHidden/>
              </w:rPr>
              <w:fldChar w:fldCharType="separate"/>
            </w:r>
            <w:r w:rsidR="00C0100F">
              <w:rPr>
                <w:noProof/>
                <w:webHidden/>
              </w:rPr>
              <w:t>122</w:t>
            </w:r>
            <w:r w:rsidR="00077BCB" w:rsidRPr="00000849">
              <w:rPr>
                <w:noProof/>
                <w:webHidden/>
              </w:rPr>
              <w:fldChar w:fldCharType="end"/>
            </w:r>
          </w:hyperlink>
        </w:p>
        <w:p w14:paraId="39E42C9D" w14:textId="60F228B5" w:rsidR="00077BCB" w:rsidRPr="00000849" w:rsidRDefault="00C84E75">
          <w:pPr>
            <w:pStyle w:val="TOC3"/>
            <w:tabs>
              <w:tab w:val="left" w:pos="1320"/>
              <w:tab w:val="right" w:leader="dot" w:pos="8301"/>
            </w:tabs>
            <w:rPr>
              <w:rFonts w:eastAsiaTheme="minorEastAsia"/>
              <w:noProof/>
              <w:lang w:eastAsia="en-GB"/>
            </w:rPr>
          </w:pPr>
          <w:hyperlink w:anchor="_Toc51472141" w:history="1">
            <w:r w:rsidR="00077BCB" w:rsidRPr="00000849">
              <w:rPr>
                <w:rStyle w:val="Hyperlink"/>
                <w:noProof/>
              </w:rPr>
              <w:t>5.6.3</w:t>
            </w:r>
            <w:r w:rsidR="00077BCB" w:rsidRPr="00000849">
              <w:rPr>
                <w:rFonts w:eastAsiaTheme="minorEastAsia"/>
                <w:noProof/>
                <w:lang w:eastAsia="en-GB"/>
              </w:rPr>
              <w:tab/>
            </w:r>
            <w:r w:rsidR="00077BCB" w:rsidRPr="00000849">
              <w:rPr>
                <w:rStyle w:val="Hyperlink"/>
                <w:noProof/>
              </w:rPr>
              <w:t>Determinants of normal BP and different grades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_Toc51472141 \h </w:instrText>
            </w:r>
            <w:r w:rsidR="00077BCB" w:rsidRPr="00000849">
              <w:rPr>
                <w:noProof/>
                <w:webHidden/>
              </w:rPr>
            </w:r>
            <w:r w:rsidR="00077BCB" w:rsidRPr="00000849">
              <w:rPr>
                <w:noProof/>
                <w:webHidden/>
              </w:rPr>
              <w:fldChar w:fldCharType="separate"/>
            </w:r>
            <w:r w:rsidR="00C0100F">
              <w:rPr>
                <w:noProof/>
                <w:webHidden/>
              </w:rPr>
              <w:t>124</w:t>
            </w:r>
            <w:r w:rsidR="00077BCB" w:rsidRPr="00000849">
              <w:rPr>
                <w:noProof/>
                <w:webHidden/>
              </w:rPr>
              <w:fldChar w:fldCharType="end"/>
            </w:r>
          </w:hyperlink>
        </w:p>
        <w:p w14:paraId="01905DDA" w14:textId="252037B4" w:rsidR="00077BCB" w:rsidRPr="00000849" w:rsidRDefault="00C84E75">
          <w:pPr>
            <w:pStyle w:val="TOC2"/>
            <w:tabs>
              <w:tab w:val="left" w:pos="880"/>
              <w:tab w:val="right" w:leader="dot" w:pos="8301"/>
            </w:tabs>
            <w:rPr>
              <w:rFonts w:eastAsiaTheme="minorEastAsia"/>
              <w:noProof/>
              <w:lang w:eastAsia="en-GB"/>
            </w:rPr>
          </w:pPr>
          <w:hyperlink w:anchor="_Toc51472142" w:history="1">
            <w:r w:rsidR="00077BCB" w:rsidRPr="00000849">
              <w:rPr>
                <w:rStyle w:val="Hyperlink"/>
                <w:noProof/>
              </w:rPr>
              <w:t>5.7</w:t>
            </w:r>
            <w:r w:rsidR="00077BCB" w:rsidRPr="00000849">
              <w:rPr>
                <w:rFonts w:eastAsiaTheme="minorEastAsia"/>
                <w:noProof/>
                <w:lang w:eastAsia="en-GB"/>
              </w:rPr>
              <w:tab/>
            </w:r>
            <w:r w:rsidR="00077BCB" w:rsidRPr="00000849">
              <w:rPr>
                <w:rStyle w:val="Hyperlink"/>
                <w:noProof/>
              </w:rPr>
              <w:t>Awareness, detection and control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_Toc51472142 \h </w:instrText>
            </w:r>
            <w:r w:rsidR="00077BCB" w:rsidRPr="00000849">
              <w:rPr>
                <w:noProof/>
                <w:webHidden/>
              </w:rPr>
            </w:r>
            <w:r w:rsidR="00077BCB" w:rsidRPr="00000849">
              <w:rPr>
                <w:noProof/>
                <w:webHidden/>
              </w:rPr>
              <w:fldChar w:fldCharType="separate"/>
            </w:r>
            <w:r w:rsidR="00C0100F">
              <w:rPr>
                <w:noProof/>
                <w:webHidden/>
              </w:rPr>
              <w:t>128</w:t>
            </w:r>
            <w:r w:rsidR="00077BCB" w:rsidRPr="00000849">
              <w:rPr>
                <w:noProof/>
                <w:webHidden/>
              </w:rPr>
              <w:fldChar w:fldCharType="end"/>
            </w:r>
          </w:hyperlink>
        </w:p>
        <w:p w14:paraId="1A6D2D5E" w14:textId="56DA20BB" w:rsidR="00077BCB" w:rsidRPr="00000849" w:rsidRDefault="00C84E75">
          <w:pPr>
            <w:pStyle w:val="TOC2"/>
            <w:tabs>
              <w:tab w:val="left" w:pos="880"/>
              <w:tab w:val="right" w:leader="dot" w:pos="8301"/>
            </w:tabs>
            <w:rPr>
              <w:rFonts w:eastAsiaTheme="minorEastAsia"/>
              <w:noProof/>
              <w:lang w:eastAsia="en-GB"/>
            </w:rPr>
          </w:pPr>
          <w:hyperlink w:anchor="_Toc51472143" w:history="1">
            <w:r w:rsidR="00077BCB" w:rsidRPr="00000849">
              <w:rPr>
                <w:rStyle w:val="Hyperlink"/>
                <w:noProof/>
              </w:rPr>
              <w:t>5.8</w:t>
            </w:r>
            <w:r w:rsidR="00077BCB" w:rsidRPr="00000849">
              <w:rPr>
                <w:rFonts w:eastAsiaTheme="minorEastAsia"/>
                <w:noProof/>
                <w:lang w:eastAsia="en-GB"/>
              </w:rPr>
              <w:tab/>
            </w:r>
            <w:r w:rsidR="00077BCB" w:rsidRPr="00000849">
              <w:rPr>
                <w:rStyle w:val="Hyperlink"/>
                <w:noProof/>
              </w:rPr>
              <w:t>Clustering of risk factors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_Toc51472143 \h </w:instrText>
            </w:r>
            <w:r w:rsidR="00077BCB" w:rsidRPr="00000849">
              <w:rPr>
                <w:noProof/>
                <w:webHidden/>
              </w:rPr>
            </w:r>
            <w:r w:rsidR="00077BCB" w:rsidRPr="00000849">
              <w:rPr>
                <w:noProof/>
                <w:webHidden/>
              </w:rPr>
              <w:fldChar w:fldCharType="separate"/>
            </w:r>
            <w:r w:rsidR="00C0100F">
              <w:rPr>
                <w:noProof/>
                <w:webHidden/>
              </w:rPr>
              <w:t>129</w:t>
            </w:r>
            <w:r w:rsidR="00077BCB" w:rsidRPr="00000849">
              <w:rPr>
                <w:noProof/>
                <w:webHidden/>
              </w:rPr>
              <w:fldChar w:fldCharType="end"/>
            </w:r>
          </w:hyperlink>
        </w:p>
        <w:p w14:paraId="69723954" w14:textId="2487E609" w:rsidR="00077BCB" w:rsidRPr="00000849" w:rsidRDefault="00C84E75">
          <w:pPr>
            <w:pStyle w:val="TOC2"/>
            <w:tabs>
              <w:tab w:val="left" w:pos="880"/>
              <w:tab w:val="right" w:leader="dot" w:pos="8301"/>
            </w:tabs>
            <w:rPr>
              <w:rFonts w:eastAsiaTheme="minorEastAsia"/>
              <w:noProof/>
              <w:lang w:eastAsia="en-GB"/>
            </w:rPr>
          </w:pPr>
          <w:hyperlink w:anchor="_Toc51472144" w:history="1">
            <w:r w:rsidR="00077BCB" w:rsidRPr="00000849">
              <w:rPr>
                <w:rStyle w:val="Hyperlink"/>
                <w:noProof/>
              </w:rPr>
              <w:t>5.9</w:t>
            </w:r>
            <w:r w:rsidR="00077BCB" w:rsidRPr="00000849">
              <w:rPr>
                <w:rFonts w:eastAsiaTheme="minorEastAsia"/>
                <w:noProof/>
                <w:lang w:eastAsia="en-GB"/>
              </w:rPr>
              <w:tab/>
            </w:r>
            <w:r w:rsidR="00077BCB" w:rsidRPr="00000849">
              <w:rPr>
                <w:rStyle w:val="Hyperlink"/>
                <w:noProof/>
              </w:rPr>
              <w:t>Summary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_Toc51472144 \h </w:instrText>
            </w:r>
            <w:r w:rsidR="00077BCB" w:rsidRPr="00000849">
              <w:rPr>
                <w:noProof/>
                <w:webHidden/>
              </w:rPr>
            </w:r>
            <w:r w:rsidR="00077BCB" w:rsidRPr="00000849">
              <w:rPr>
                <w:noProof/>
                <w:webHidden/>
              </w:rPr>
              <w:fldChar w:fldCharType="separate"/>
            </w:r>
            <w:r w:rsidR="00C0100F">
              <w:rPr>
                <w:noProof/>
                <w:webHidden/>
              </w:rPr>
              <w:t>130</w:t>
            </w:r>
            <w:r w:rsidR="00077BCB" w:rsidRPr="00000849">
              <w:rPr>
                <w:noProof/>
                <w:webHidden/>
              </w:rPr>
              <w:fldChar w:fldCharType="end"/>
            </w:r>
          </w:hyperlink>
        </w:p>
        <w:p w14:paraId="5E0E2A1C" w14:textId="256D41F4" w:rsidR="00077BCB" w:rsidRPr="00000849" w:rsidRDefault="00C84E75">
          <w:pPr>
            <w:pStyle w:val="TOC1"/>
            <w:tabs>
              <w:tab w:val="right" w:leader="dot" w:pos="8301"/>
            </w:tabs>
            <w:rPr>
              <w:rFonts w:eastAsiaTheme="minorEastAsia"/>
              <w:noProof/>
              <w:lang w:eastAsia="en-GB"/>
            </w:rPr>
          </w:pPr>
          <w:hyperlink w:anchor="_Toc51472145" w:history="1">
            <w:r w:rsidR="00077BCB" w:rsidRPr="00000849">
              <w:rPr>
                <w:rStyle w:val="Hyperlink"/>
                <w:noProof/>
              </w:rPr>
              <w:t>Chapter 6: Discussion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_Toc51472145 \h </w:instrText>
            </w:r>
            <w:r w:rsidR="00077BCB" w:rsidRPr="00000849">
              <w:rPr>
                <w:noProof/>
                <w:webHidden/>
              </w:rPr>
            </w:r>
            <w:r w:rsidR="00077BCB" w:rsidRPr="00000849">
              <w:rPr>
                <w:noProof/>
                <w:webHidden/>
              </w:rPr>
              <w:fldChar w:fldCharType="separate"/>
            </w:r>
            <w:r w:rsidR="00C0100F">
              <w:rPr>
                <w:noProof/>
                <w:webHidden/>
              </w:rPr>
              <w:t>132</w:t>
            </w:r>
            <w:r w:rsidR="00077BCB" w:rsidRPr="00000849">
              <w:rPr>
                <w:noProof/>
                <w:webHidden/>
              </w:rPr>
              <w:fldChar w:fldCharType="end"/>
            </w:r>
          </w:hyperlink>
        </w:p>
        <w:p w14:paraId="60726D8E" w14:textId="59A2AD3D" w:rsidR="00077BCB" w:rsidRPr="00000849" w:rsidRDefault="00C84E75">
          <w:pPr>
            <w:pStyle w:val="TOC2"/>
            <w:tabs>
              <w:tab w:val="left" w:pos="880"/>
              <w:tab w:val="right" w:leader="dot" w:pos="8301"/>
            </w:tabs>
            <w:rPr>
              <w:rFonts w:eastAsiaTheme="minorEastAsia"/>
              <w:noProof/>
              <w:lang w:eastAsia="en-GB"/>
            </w:rPr>
          </w:pPr>
          <w:hyperlink w:anchor="_Toc51472146" w:history="1">
            <w:r w:rsidR="00077BCB" w:rsidRPr="00000849">
              <w:rPr>
                <w:rStyle w:val="Hyperlink"/>
                <w:noProof/>
              </w:rPr>
              <w:t>6.1</w:t>
            </w:r>
            <w:r w:rsidR="00077BCB" w:rsidRPr="00000849">
              <w:rPr>
                <w:rFonts w:eastAsiaTheme="minorEastAsia"/>
                <w:noProof/>
                <w:lang w:eastAsia="en-GB"/>
              </w:rPr>
              <w:tab/>
            </w:r>
            <w:r w:rsidR="00077BCB" w:rsidRPr="00000849">
              <w:rPr>
                <w:rStyle w:val="Hyperlink"/>
                <w:noProof/>
              </w:rPr>
              <w:t>Introduction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_Toc51472146 \h </w:instrText>
            </w:r>
            <w:r w:rsidR="00077BCB" w:rsidRPr="00000849">
              <w:rPr>
                <w:noProof/>
                <w:webHidden/>
              </w:rPr>
            </w:r>
            <w:r w:rsidR="00077BCB" w:rsidRPr="00000849">
              <w:rPr>
                <w:noProof/>
                <w:webHidden/>
              </w:rPr>
              <w:fldChar w:fldCharType="separate"/>
            </w:r>
            <w:r w:rsidR="00C0100F">
              <w:rPr>
                <w:noProof/>
                <w:webHidden/>
              </w:rPr>
              <w:t>132</w:t>
            </w:r>
            <w:r w:rsidR="00077BCB" w:rsidRPr="00000849">
              <w:rPr>
                <w:noProof/>
                <w:webHidden/>
              </w:rPr>
              <w:fldChar w:fldCharType="end"/>
            </w:r>
          </w:hyperlink>
        </w:p>
        <w:p w14:paraId="20E1C451" w14:textId="43F463E1" w:rsidR="00077BCB" w:rsidRPr="00000849" w:rsidRDefault="00C84E75">
          <w:pPr>
            <w:pStyle w:val="TOC2"/>
            <w:tabs>
              <w:tab w:val="left" w:pos="880"/>
              <w:tab w:val="right" w:leader="dot" w:pos="8301"/>
            </w:tabs>
            <w:rPr>
              <w:rFonts w:eastAsiaTheme="minorEastAsia"/>
              <w:noProof/>
              <w:lang w:eastAsia="en-GB"/>
            </w:rPr>
          </w:pPr>
          <w:hyperlink w:anchor="_Toc51472147" w:history="1">
            <w:r w:rsidR="00077BCB" w:rsidRPr="00000849">
              <w:rPr>
                <w:rStyle w:val="Hyperlink"/>
                <w:noProof/>
              </w:rPr>
              <w:t>6.2</w:t>
            </w:r>
            <w:r w:rsidR="00077BCB" w:rsidRPr="00000849">
              <w:rPr>
                <w:rFonts w:eastAsiaTheme="minorEastAsia"/>
                <w:noProof/>
                <w:lang w:eastAsia="en-GB"/>
              </w:rPr>
              <w:tab/>
            </w:r>
            <w:r w:rsidR="00077BCB" w:rsidRPr="00000849">
              <w:rPr>
                <w:rStyle w:val="Hyperlink"/>
                <w:noProof/>
              </w:rPr>
              <w:t>Prevalence in hypertension in 2007/08 and 2015</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_Toc51472147 \h </w:instrText>
            </w:r>
            <w:r w:rsidR="00077BCB" w:rsidRPr="00000849">
              <w:rPr>
                <w:noProof/>
                <w:webHidden/>
              </w:rPr>
            </w:r>
            <w:r w:rsidR="00077BCB" w:rsidRPr="00000849">
              <w:rPr>
                <w:noProof/>
                <w:webHidden/>
              </w:rPr>
              <w:fldChar w:fldCharType="separate"/>
            </w:r>
            <w:r w:rsidR="00C0100F">
              <w:rPr>
                <w:noProof/>
                <w:webHidden/>
              </w:rPr>
              <w:t>132</w:t>
            </w:r>
            <w:r w:rsidR="00077BCB" w:rsidRPr="00000849">
              <w:rPr>
                <w:noProof/>
                <w:webHidden/>
              </w:rPr>
              <w:fldChar w:fldCharType="end"/>
            </w:r>
          </w:hyperlink>
        </w:p>
        <w:p w14:paraId="10352834" w14:textId="07BABC64" w:rsidR="00077BCB" w:rsidRPr="00000849" w:rsidRDefault="00C84E75">
          <w:pPr>
            <w:pStyle w:val="TOC2"/>
            <w:tabs>
              <w:tab w:val="left" w:pos="880"/>
              <w:tab w:val="right" w:leader="dot" w:pos="8301"/>
            </w:tabs>
            <w:rPr>
              <w:rFonts w:eastAsiaTheme="minorEastAsia"/>
              <w:noProof/>
              <w:lang w:eastAsia="en-GB"/>
            </w:rPr>
          </w:pPr>
          <w:hyperlink w:anchor="_Toc51472148" w:history="1">
            <w:r w:rsidR="00077BCB" w:rsidRPr="00000849">
              <w:rPr>
                <w:rStyle w:val="Hyperlink"/>
                <w:noProof/>
              </w:rPr>
              <w:t>6.3</w:t>
            </w:r>
            <w:r w:rsidR="00077BCB" w:rsidRPr="00000849">
              <w:rPr>
                <w:rFonts w:eastAsiaTheme="minorEastAsia"/>
                <w:noProof/>
                <w:lang w:eastAsia="en-GB"/>
              </w:rPr>
              <w:tab/>
            </w:r>
            <w:r w:rsidR="00077BCB" w:rsidRPr="00000849">
              <w:rPr>
                <w:rStyle w:val="Hyperlink"/>
                <w:noProof/>
              </w:rPr>
              <w:t>Severity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_Toc51472148 \h </w:instrText>
            </w:r>
            <w:r w:rsidR="00077BCB" w:rsidRPr="00000849">
              <w:rPr>
                <w:noProof/>
                <w:webHidden/>
              </w:rPr>
            </w:r>
            <w:r w:rsidR="00077BCB" w:rsidRPr="00000849">
              <w:rPr>
                <w:noProof/>
                <w:webHidden/>
              </w:rPr>
              <w:fldChar w:fldCharType="separate"/>
            </w:r>
            <w:r w:rsidR="00C0100F">
              <w:rPr>
                <w:noProof/>
                <w:webHidden/>
              </w:rPr>
              <w:t>138</w:t>
            </w:r>
            <w:r w:rsidR="00077BCB" w:rsidRPr="00000849">
              <w:rPr>
                <w:noProof/>
                <w:webHidden/>
              </w:rPr>
              <w:fldChar w:fldCharType="end"/>
            </w:r>
          </w:hyperlink>
        </w:p>
        <w:p w14:paraId="6253FF06" w14:textId="44DCC5A5" w:rsidR="00077BCB" w:rsidRPr="00000849" w:rsidRDefault="00C84E75">
          <w:pPr>
            <w:pStyle w:val="TOC2"/>
            <w:tabs>
              <w:tab w:val="left" w:pos="880"/>
              <w:tab w:val="right" w:leader="dot" w:pos="8301"/>
            </w:tabs>
            <w:rPr>
              <w:rFonts w:eastAsiaTheme="minorEastAsia"/>
              <w:noProof/>
              <w:lang w:eastAsia="en-GB"/>
            </w:rPr>
          </w:pPr>
          <w:hyperlink w:anchor="_Toc51472149" w:history="1">
            <w:r w:rsidR="00077BCB" w:rsidRPr="00000849">
              <w:rPr>
                <w:rStyle w:val="Hyperlink"/>
                <w:noProof/>
              </w:rPr>
              <w:t>6.4</w:t>
            </w:r>
            <w:r w:rsidR="00077BCB" w:rsidRPr="00000849">
              <w:rPr>
                <w:rFonts w:eastAsiaTheme="minorEastAsia"/>
                <w:noProof/>
                <w:lang w:eastAsia="en-GB"/>
              </w:rPr>
              <w:tab/>
            </w:r>
            <w:r w:rsidR="00077BCB" w:rsidRPr="00000849">
              <w:rPr>
                <w:rStyle w:val="Hyperlink"/>
                <w:noProof/>
              </w:rPr>
              <w:t>Determinants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_Toc51472149 \h </w:instrText>
            </w:r>
            <w:r w:rsidR="00077BCB" w:rsidRPr="00000849">
              <w:rPr>
                <w:noProof/>
                <w:webHidden/>
              </w:rPr>
            </w:r>
            <w:r w:rsidR="00077BCB" w:rsidRPr="00000849">
              <w:rPr>
                <w:noProof/>
                <w:webHidden/>
              </w:rPr>
              <w:fldChar w:fldCharType="separate"/>
            </w:r>
            <w:r w:rsidR="00C0100F">
              <w:rPr>
                <w:noProof/>
                <w:webHidden/>
              </w:rPr>
              <w:t>140</w:t>
            </w:r>
            <w:r w:rsidR="00077BCB" w:rsidRPr="00000849">
              <w:rPr>
                <w:noProof/>
                <w:webHidden/>
              </w:rPr>
              <w:fldChar w:fldCharType="end"/>
            </w:r>
          </w:hyperlink>
        </w:p>
        <w:p w14:paraId="4B6B627E" w14:textId="1290BF2E" w:rsidR="00077BCB" w:rsidRPr="00000849" w:rsidRDefault="00C84E75">
          <w:pPr>
            <w:pStyle w:val="TOC3"/>
            <w:tabs>
              <w:tab w:val="left" w:pos="1320"/>
              <w:tab w:val="right" w:leader="dot" w:pos="8301"/>
            </w:tabs>
            <w:rPr>
              <w:rFonts w:eastAsiaTheme="minorEastAsia"/>
              <w:noProof/>
              <w:lang w:eastAsia="en-GB"/>
            </w:rPr>
          </w:pPr>
          <w:hyperlink w:anchor="_Toc51472150" w:history="1">
            <w:r w:rsidR="00077BCB" w:rsidRPr="00000849">
              <w:rPr>
                <w:rStyle w:val="Hyperlink"/>
                <w:noProof/>
              </w:rPr>
              <w:t>6.4.1</w:t>
            </w:r>
            <w:r w:rsidR="00077BCB" w:rsidRPr="00000849">
              <w:rPr>
                <w:rFonts w:eastAsiaTheme="minorEastAsia"/>
                <w:noProof/>
                <w:lang w:eastAsia="en-GB"/>
              </w:rPr>
              <w:tab/>
            </w:r>
            <w:r w:rsidR="00077BCB" w:rsidRPr="00000849">
              <w:rPr>
                <w:rStyle w:val="Hyperlink"/>
                <w:noProof/>
              </w:rPr>
              <w:t>Demographic determinants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_Toc51472150 \h </w:instrText>
            </w:r>
            <w:r w:rsidR="00077BCB" w:rsidRPr="00000849">
              <w:rPr>
                <w:noProof/>
                <w:webHidden/>
              </w:rPr>
            </w:r>
            <w:r w:rsidR="00077BCB" w:rsidRPr="00000849">
              <w:rPr>
                <w:noProof/>
                <w:webHidden/>
              </w:rPr>
              <w:fldChar w:fldCharType="separate"/>
            </w:r>
            <w:r w:rsidR="00C0100F">
              <w:rPr>
                <w:noProof/>
                <w:webHidden/>
              </w:rPr>
              <w:t>140</w:t>
            </w:r>
            <w:r w:rsidR="00077BCB" w:rsidRPr="00000849">
              <w:rPr>
                <w:noProof/>
                <w:webHidden/>
              </w:rPr>
              <w:fldChar w:fldCharType="end"/>
            </w:r>
          </w:hyperlink>
        </w:p>
        <w:p w14:paraId="71AE6964" w14:textId="4CFDA001" w:rsidR="00077BCB" w:rsidRPr="00000849" w:rsidRDefault="00C84E75">
          <w:pPr>
            <w:pStyle w:val="TOC3"/>
            <w:tabs>
              <w:tab w:val="left" w:pos="1320"/>
              <w:tab w:val="right" w:leader="dot" w:pos="8301"/>
            </w:tabs>
            <w:rPr>
              <w:rFonts w:eastAsiaTheme="minorEastAsia"/>
              <w:noProof/>
              <w:lang w:eastAsia="en-GB"/>
            </w:rPr>
          </w:pPr>
          <w:hyperlink w:anchor="_Toc51472151" w:history="1">
            <w:r w:rsidR="00077BCB" w:rsidRPr="00000849">
              <w:rPr>
                <w:rStyle w:val="Hyperlink"/>
                <w:noProof/>
              </w:rPr>
              <w:t>6.4.2</w:t>
            </w:r>
            <w:r w:rsidR="00077BCB" w:rsidRPr="00000849">
              <w:rPr>
                <w:rFonts w:eastAsiaTheme="minorEastAsia"/>
                <w:noProof/>
                <w:lang w:eastAsia="en-GB"/>
              </w:rPr>
              <w:tab/>
            </w:r>
            <w:r w:rsidR="00077BCB" w:rsidRPr="00000849">
              <w:rPr>
                <w:rStyle w:val="Hyperlink"/>
                <w:noProof/>
              </w:rPr>
              <w:t>Socioeconomic determinants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_Toc51472151 \h </w:instrText>
            </w:r>
            <w:r w:rsidR="00077BCB" w:rsidRPr="00000849">
              <w:rPr>
                <w:noProof/>
                <w:webHidden/>
              </w:rPr>
            </w:r>
            <w:r w:rsidR="00077BCB" w:rsidRPr="00000849">
              <w:rPr>
                <w:noProof/>
                <w:webHidden/>
              </w:rPr>
              <w:fldChar w:fldCharType="separate"/>
            </w:r>
            <w:r w:rsidR="00C0100F">
              <w:rPr>
                <w:noProof/>
                <w:webHidden/>
              </w:rPr>
              <w:t>145</w:t>
            </w:r>
            <w:r w:rsidR="00077BCB" w:rsidRPr="00000849">
              <w:rPr>
                <w:noProof/>
                <w:webHidden/>
              </w:rPr>
              <w:fldChar w:fldCharType="end"/>
            </w:r>
          </w:hyperlink>
        </w:p>
        <w:p w14:paraId="4B0E1791" w14:textId="6EC57FEC" w:rsidR="00077BCB" w:rsidRPr="00000849" w:rsidRDefault="00C84E75">
          <w:pPr>
            <w:pStyle w:val="TOC3"/>
            <w:tabs>
              <w:tab w:val="left" w:pos="1320"/>
              <w:tab w:val="right" w:leader="dot" w:pos="8301"/>
            </w:tabs>
            <w:rPr>
              <w:rFonts w:eastAsiaTheme="minorEastAsia"/>
              <w:noProof/>
              <w:lang w:eastAsia="en-GB"/>
            </w:rPr>
          </w:pPr>
          <w:hyperlink w:anchor="_Toc51472152" w:history="1">
            <w:r w:rsidR="00077BCB" w:rsidRPr="00000849">
              <w:rPr>
                <w:rStyle w:val="Hyperlink"/>
                <w:noProof/>
              </w:rPr>
              <w:t>6.4.3</w:t>
            </w:r>
            <w:r w:rsidR="00077BCB" w:rsidRPr="00000849">
              <w:rPr>
                <w:rFonts w:eastAsiaTheme="minorEastAsia"/>
                <w:noProof/>
                <w:lang w:eastAsia="en-GB"/>
              </w:rPr>
              <w:tab/>
            </w:r>
            <w:r w:rsidR="00077BCB" w:rsidRPr="00000849">
              <w:rPr>
                <w:rStyle w:val="Hyperlink"/>
                <w:noProof/>
              </w:rPr>
              <w:t>Lifestyle determinants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_Toc51472152 \h </w:instrText>
            </w:r>
            <w:r w:rsidR="00077BCB" w:rsidRPr="00000849">
              <w:rPr>
                <w:noProof/>
                <w:webHidden/>
              </w:rPr>
            </w:r>
            <w:r w:rsidR="00077BCB" w:rsidRPr="00000849">
              <w:rPr>
                <w:noProof/>
                <w:webHidden/>
              </w:rPr>
              <w:fldChar w:fldCharType="separate"/>
            </w:r>
            <w:r w:rsidR="00C0100F">
              <w:rPr>
                <w:noProof/>
                <w:webHidden/>
              </w:rPr>
              <w:t>147</w:t>
            </w:r>
            <w:r w:rsidR="00077BCB" w:rsidRPr="00000849">
              <w:rPr>
                <w:noProof/>
                <w:webHidden/>
              </w:rPr>
              <w:fldChar w:fldCharType="end"/>
            </w:r>
          </w:hyperlink>
        </w:p>
        <w:p w14:paraId="76AAE16D" w14:textId="3122576C" w:rsidR="00077BCB" w:rsidRPr="00000849" w:rsidRDefault="00C84E75">
          <w:pPr>
            <w:pStyle w:val="TOC2"/>
            <w:tabs>
              <w:tab w:val="left" w:pos="880"/>
              <w:tab w:val="right" w:leader="dot" w:pos="8301"/>
            </w:tabs>
            <w:rPr>
              <w:rFonts w:eastAsiaTheme="minorEastAsia"/>
              <w:noProof/>
              <w:lang w:eastAsia="en-GB"/>
            </w:rPr>
          </w:pPr>
          <w:hyperlink w:anchor="_Toc51472153" w:history="1">
            <w:r w:rsidR="00077BCB" w:rsidRPr="00000849">
              <w:rPr>
                <w:rStyle w:val="Hyperlink"/>
                <w:noProof/>
              </w:rPr>
              <w:t>6.5</w:t>
            </w:r>
            <w:r w:rsidR="00077BCB" w:rsidRPr="00000849">
              <w:rPr>
                <w:rFonts w:eastAsiaTheme="minorEastAsia"/>
                <w:noProof/>
                <w:lang w:eastAsia="en-GB"/>
              </w:rPr>
              <w:tab/>
            </w:r>
            <w:r w:rsidR="00077BCB" w:rsidRPr="00000849">
              <w:rPr>
                <w:rStyle w:val="Hyperlink"/>
                <w:noProof/>
              </w:rPr>
              <w:t>Awareness, detection and control of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_Toc51472153 \h </w:instrText>
            </w:r>
            <w:r w:rsidR="00077BCB" w:rsidRPr="00000849">
              <w:rPr>
                <w:noProof/>
                <w:webHidden/>
              </w:rPr>
            </w:r>
            <w:r w:rsidR="00077BCB" w:rsidRPr="00000849">
              <w:rPr>
                <w:noProof/>
                <w:webHidden/>
              </w:rPr>
              <w:fldChar w:fldCharType="separate"/>
            </w:r>
            <w:r w:rsidR="00C0100F">
              <w:rPr>
                <w:noProof/>
                <w:webHidden/>
              </w:rPr>
              <w:t>150</w:t>
            </w:r>
            <w:r w:rsidR="00077BCB" w:rsidRPr="00000849">
              <w:rPr>
                <w:noProof/>
                <w:webHidden/>
              </w:rPr>
              <w:fldChar w:fldCharType="end"/>
            </w:r>
          </w:hyperlink>
        </w:p>
        <w:p w14:paraId="149704F1" w14:textId="168B9379" w:rsidR="00077BCB" w:rsidRPr="00000849" w:rsidRDefault="00C84E75">
          <w:pPr>
            <w:pStyle w:val="TOC2"/>
            <w:tabs>
              <w:tab w:val="left" w:pos="880"/>
              <w:tab w:val="right" w:leader="dot" w:pos="8301"/>
            </w:tabs>
            <w:rPr>
              <w:rFonts w:eastAsiaTheme="minorEastAsia"/>
              <w:noProof/>
              <w:lang w:eastAsia="en-GB"/>
            </w:rPr>
          </w:pPr>
          <w:hyperlink w:anchor="_Toc51472154" w:history="1">
            <w:r w:rsidR="00077BCB" w:rsidRPr="00000849">
              <w:rPr>
                <w:rStyle w:val="Hyperlink"/>
                <w:noProof/>
              </w:rPr>
              <w:t>6.6</w:t>
            </w:r>
            <w:r w:rsidR="00077BCB" w:rsidRPr="00000849">
              <w:rPr>
                <w:rFonts w:eastAsiaTheme="minorEastAsia"/>
                <w:noProof/>
                <w:lang w:eastAsia="en-GB"/>
              </w:rPr>
              <w:tab/>
            </w:r>
            <w:r w:rsidR="00077BCB" w:rsidRPr="00000849">
              <w:rPr>
                <w:rStyle w:val="Hyperlink"/>
                <w:noProof/>
              </w:rPr>
              <w:t>Clustering of risk factors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_Toc51472154 \h </w:instrText>
            </w:r>
            <w:r w:rsidR="00077BCB" w:rsidRPr="00000849">
              <w:rPr>
                <w:noProof/>
                <w:webHidden/>
              </w:rPr>
            </w:r>
            <w:r w:rsidR="00077BCB" w:rsidRPr="00000849">
              <w:rPr>
                <w:noProof/>
                <w:webHidden/>
              </w:rPr>
              <w:fldChar w:fldCharType="separate"/>
            </w:r>
            <w:r w:rsidR="00C0100F">
              <w:rPr>
                <w:noProof/>
                <w:webHidden/>
              </w:rPr>
              <w:t>153</w:t>
            </w:r>
            <w:r w:rsidR="00077BCB" w:rsidRPr="00000849">
              <w:rPr>
                <w:noProof/>
                <w:webHidden/>
              </w:rPr>
              <w:fldChar w:fldCharType="end"/>
            </w:r>
          </w:hyperlink>
        </w:p>
        <w:p w14:paraId="00A54C39" w14:textId="749C2509" w:rsidR="00077BCB" w:rsidRPr="00000849" w:rsidRDefault="00C84E75">
          <w:pPr>
            <w:pStyle w:val="TOC2"/>
            <w:tabs>
              <w:tab w:val="left" w:pos="880"/>
              <w:tab w:val="right" w:leader="dot" w:pos="8301"/>
            </w:tabs>
            <w:rPr>
              <w:rFonts w:eastAsiaTheme="minorEastAsia"/>
              <w:noProof/>
              <w:lang w:eastAsia="en-GB"/>
            </w:rPr>
          </w:pPr>
          <w:hyperlink w:anchor="_Toc51472155" w:history="1">
            <w:r w:rsidR="00077BCB" w:rsidRPr="00000849">
              <w:rPr>
                <w:rStyle w:val="Hyperlink"/>
                <w:noProof/>
              </w:rPr>
              <w:t>6.7</w:t>
            </w:r>
            <w:r w:rsidR="00077BCB" w:rsidRPr="00000849">
              <w:rPr>
                <w:rFonts w:eastAsiaTheme="minorEastAsia"/>
                <w:noProof/>
                <w:lang w:eastAsia="en-GB"/>
              </w:rPr>
              <w:tab/>
            </w:r>
            <w:r w:rsidR="00077BCB" w:rsidRPr="00000849">
              <w:rPr>
                <w:rStyle w:val="Hyperlink"/>
                <w:noProof/>
              </w:rPr>
              <w:t>Strengths and limitations of study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_Toc51472155 \h </w:instrText>
            </w:r>
            <w:r w:rsidR="00077BCB" w:rsidRPr="00000849">
              <w:rPr>
                <w:noProof/>
                <w:webHidden/>
              </w:rPr>
            </w:r>
            <w:r w:rsidR="00077BCB" w:rsidRPr="00000849">
              <w:rPr>
                <w:noProof/>
                <w:webHidden/>
              </w:rPr>
              <w:fldChar w:fldCharType="separate"/>
            </w:r>
            <w:r w:rsidR="00C0100F">
              <w:rPr>
                <w:noProof/>
                <w:webHidden/>
              </w:rPr>
              <w:t>155</w:t>
            </w:r>
            <w:r w:rsidR="00077BCB" w:rsidRPr="00000849">
              <w:rPr>
                <w:noProof/>
                <w:webHidden/>
              </w:rPr>
              <w:fldChar w:fldCharType="end"/>
            </w:r>
          </w:hyperlink>
        </w:p>
        <w:p w14:paraId="6069E2CC" w14:textId="027AEA04" w:rsidR="00077BCB" w:rsidRPr="00000849" w:rsidRDefault="00C84E75">
          <w:pPr>
            <w:pStyle w:val="TOC1"/>
            <w:tabs>
              <w:tab w:val="right" w:leader="dot" w:pos="8301"/>
            </w:tabs>
            <w:rPr>
              <w:rFonts w:eastAsiaTheme="minorEastAsia"/>
              <w:noProof/>
              <w:lang w:eastAsia="en-GB"/>
            </w:rPr>
          </w:pPr>
          <w:hyperlink w:anchor="_Toc51472156" w:history="1">
            <w:r w:rsidR="00077BCB" w:rsidRPr="00000849">
              <w:rPr>
                <w:rStyle w:val="Hyperlink"/>
                <w:noProof/>
              </w:rPr>
              <w:t>Chapter 7: Conclusions and Recommendations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_Toc51472156 \h </w:instrText>
            </w:r>
            <w:r w:rsidR="00077BCB" w:rsidRPr="00000849">
              <w:rPr>
                <w:noProof/>
                <w:webHidden/>
              </w:rPr>
            </w:r>
            <w:r w:rsidR="00077BCB" w:rsidRPr="00000849">
              <w:rPr>
                <w:noProof/>
                <w:webHidden/>
              </w:rPr>
              <w:fldChar w:fldCharType="separate"/>
            </w:r>
            <w:r w:rsidR="00C0100F">
              <w:rPr>
                <w:noProof/>
                <w:webHidden/>
              </w:rPr>
              <w:t>160</w:t>
            </w:r>
            <w:r w:rsidR="00077BCB" w:rsidRPr="00000849">
              <w:rPr>
                <w:noProof/>
                <w:webHidden/>
              </w:rPr>
              <w:fldChar w:fldCharType="end"/>
            </w:r>
          </w:hyperlink>
        </w:p>
        <w:p w14:paraId="592E9FE0" w14:textId="2D210E33" w:rsidR="00077BCB" w:rsidRPr="00000849" w:rsidRDefault="00C84E75">
          <w:pPr>
            <w:pStyle w:val="TOC2"/>
            <w:tabs>
              <w:tab w:val="left" w:pos="880"/>
              <w:tab w:val="right" w:leader="dot" w:pos="8301"/>
            </w:tabs>
            <w:rPr>
              <w:rFonts w:eastAsiaTheme="minorEastAsia"/>
              <w:noProof/>
              <w:lang w:eastAsia="en-GB"/>
            </w:rPr>
          </w:pPr>
          <w:hyperlink w:anchor="_Toc51472157" w:history="1">
            <w:r w:rsidR="00077BCB" w:rsidRPr="00000849">
              <w:rPr>
                <w:rStyle w:val="Hyperlink"/>
                <w:noProof/>
              </w:rPr>
              <w:t>7.1</w:t>
            </w:r>
            <w:r w:rsidR="00077BCB" w:rsidRPr="00000849">
              <w:rPr>
                <w:rFonts w:eastAsiaTheme="minorEastAsia"/>
                <w:noProof/>
                <w:lang w:eastAsia="en-GB"/>
              </w:rPr>
              <w:tab/>
            </w:r>
            <w:r w:rsidR="00077BCB" w:rsidRPr="00000849">
              <w:rPr>
                <w:rStyle w:val="Hyperlink"/>
                <w:noProof/>
              </w:rPr>
              <w:t>Conclusions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_Toc51472157 \h </w:instrText>
            </w:r>
            <w:r w:rsidR="00077BCB" w:rsidRPr="00000849">
              <w:rPr>
                <w:noProof/>
                <w:webHidden/>
              </w:rPr>
            </w:r>
            <w:r w:rsidR="00077BCB" w:rsidRPr="00000849">
              <w:rPr>
                <w:noProof/>
                <w:webHidden/>
              </w:rPr>
              <w:fldChar w:fldCharType="separate"/>
            </w:r>
            <w:r w:rsidR="00C0100F">
              <w:rPr>
                <w:noProof/>
                <w:webHidden/>
              </w:rPr>
              <w:t>160</w:t>
            </w:r>
            <w:r w:rsidR="00077BCB" w:rsidRPr="00000849">
              <w:rPr>
                <w:noProof/>
                <w:webHidden/>
              </w:rPr>
              <w:fldChar w:fldCharType="end"/>
            </w:r>
          </w:hyperlink>
        </w:p>
        <w:p w14:paraId="6CB82BAA" w14:textId="43F5328C" w:rsidR="00077BCB" w:rsidRPr="00000849" w:rsidRDefault="00C84E75">
          <w:pPr>
            <w:pStyle w:val="TOC2"/>
            <w:tabs>
              <w:tab w:val="left" w:pos="880"/>
              <w:tab w:val="right" w:leader="dot" w:pos="8301"/>
            </w:tabs>
            <w:rPr>
              <w:rFonts w:eastAsiaTheme="minorEastAsia"/>
              <w:noProof/>
              <w:lang w:eastAsia="en-GB"/>
            </w:rPr>
          </w:pPr>
          <w:hyperlink w:anchor="_Toc51472158" w:history="1">
            <w:r w:rsidR="00077BCB" w:rsidRPr="00000849">
              <w:rPr>
                <w:rStyle w:val="Hyperlink"/>
                <w:noProof/>
              </w:rPr>
              <w:t>7.2</w:t>
            </w:r>
            <w:r w:rsidR="00077BCB" w:rsidRPr="00000849">
              <w:rPr>
                <w:rFonts w:eastAsiaTheme="minorEastAsia"/>
                <w:noProof/>
                <w:lang w:eastAsia="en-GB"/>
              </w:rPr>
              <w:tab/>
            </w:r>
            <w:r w:rsidR="00077BCB" w:rsidRPr="00000849">
              <w:rPr>
                <w:rStyle w:val="Hyperlink"/>
                <w:noProof/>
              </w:rPr>
              <w:t>Recommendations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_Toc51472158 \h </w:instrText>
            </w:r>
            <w:r w:rsidR="00077BCB" w:rsidRPr="00000849">
              <w:rPr>
                <w:noProof/>
                <w:webHidden/>
              </w:rPr>
            </w:r>
            <w:r w:rsidR="00077BCB" w:rsidRPr="00000849">
              <w:rPr>
                <w:noProof/>
                <w:webHidden/>
              </w:rPr>
              <w:fldChar w:fldCharType="separate"/>
            </w:r>
            <w:r w:rsidR="00C0100F">
              <w:rPr>
                <w:noProof/>
                <w:webHidden/>
              </w:rPr>
              <w:t>161</w:t>
            </w:r>
            <w:r w:rsidR="00077BCB" w:rsidRPr="00000849">
              <w:rPr>
                <w:noProof/>
                <w:webHidden/>
              </w:rPr>
              <w:fldChar w:fldCharType="end"/>
            </w:r>
          </w:hyperlink>
        </w:p>
        <w:p w14:paraId="70700A0C" w14:textId="28E546E5" w:rsidR="00077BCB" w:rsidRPr="00000849" w:rsidRDefault="00C84E75">
          <w:pPr>
            <w:pStyle w:val="TOC3"/>
            <w:tabs>
              <w:tab w:val="left" w:pos="1320"/>
              <w:tab w:val="right" w:leader="dot" w:pos="8301"/>
            </w:tabs>
            <w:rPr>
              <w:rFonts w:eastAsiaTheme="minorEastAsia"/>
              <w:noProof/>
              <w:lang w:eastAsia="en-GB"/>
            </w:rPr>
          </w:pPr>
          <w:hyperlink w:anchor="_Toc51472159" w:history="1">
            <w:r w:rsidR="00077BCB" w:rsidRPr="00000849">
              <w:rPr>
                <w:rStyle w:val="Hyperlink"/>
                <w:noProof/>
              </w:rPr>
              <w:t>7.2.1</w:t>
            </w:r>
            <w:r w:rsidR="00077BCB" w:rsidRPr="00000849">
              <w:rPr>
                <w:rFonts w:eastAsiaTheme="minorEastAsia"/>
                <w:noProof/>
                <w:lang w:eastAsia="en-GB"/>
              </w:rPr>
              <w:tab/>
            </w:r>
            <w:r w:rsidR="00077BCB" w:rsidRPr="00000849">
              <w:rPr>
                <w:rStyle w:val="Hyperlink"/>
                <w:noProof/>
              </w:rPr>
              <w:t>Recommendations for policy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_Toc51472159 \h </w:instrText>
            </w:r>
            <w:r w:rsidR="00077BCB" w:rsidRPr="00000849">
              <w:rPr>
                <w:noProof/>
                <w:webHidden/>
              </w:rPr>
            </w:r>
            <w:r w:rsidR="00077BCB" w:rsidRPr="00000849">
              <w:rPr>
                <w:noProof/>
                <w:webHidden/>
              </w:rPr>
              <w:fldChar w:fldCharType="separate"/>
            </w:r>
            <w:r w:rsidR="00C0100F">
              <w:rPr>
                <w:noProof/>
                <w:webHidden/>
              </w:rPr>
              <w:t>162</w:t>
            </w:r>
            <w:r w:rsidR="00077BCB" w:rsidRPr="00000849">
              <w:rPr>
                <w:noProof/>
                <w:webHidden/>
              </w:rPr>
              <w:fldChar w:fldCharType="end"/>
            </w:r>
          </w:hyperlink>
        </w:p>
        <w:p w14:paraId="153E60C7" w14:textId="12DAC0E5" w:rsidR="00077BCB" w:rsidRPr="00000849" w:rsidRDefault="00C84E75">
          <w:pPr>
            <w:pStyle w:val="TOC3"/>
            <w:tabs>
              <w:tab w:val="left" w:pos="1320"/>
              <w:tab w:val="right" w:leader="dot" w:pos="8301"/>
            </w:tabs>
            <w:rPr>
              <w:rFonts w:eastAsiaTheme="minorEastAsia"/>
              <w:noProof/>
              <w:lang w:eastAsia="en-GB"/>
            </w:rPr>
          </w:pPr>
          <w:hyperlink w:anchor="_Toc51472160" w:history="1">
            <w:r w:rsidR="00077BCB" w:rsidRPr="00000849">
              <w:rPr>
                <w:rStyle w:val="Hyperlink"/>
                <w:noProof/>
              </w:rPr>
              <w:t>7.2.2</w:t>
            </w:r>
            <w:r w:rsidR="00077BCB" w:rsidRPr="00000849">
              <w:rPr>
                <w:rFonts w:eastAsiaTheme="minorEastAsia"/>
                <w:noProof/>
                <w:lang w:eastAsia="en-GB"/>
              </w:rPr>
              <w:tab/>
            </w:r>
            <w:r w:rsidR="00077BCB" w:rsidRPr="00000849">
              <w:rPr>
                <w:rStyle w:val="Hyperlink"/>
                <w:noProof/>
              </w:rPr>
              <w:t>Recommendations for research</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_Toc51472160 \h </w:instrText>
            </w:r>
            <w:r w:rsidR="00077BCB" w:rsidRPr="00000849">
              <w:rPr>
                <w:noProof/>
                <w:webHidden/>
              </w:rPr>
            </w:r>
            <w:r w:rsidR="00077BCB" w:rsidRPr="00000849">
              <w:rPr>
                <w:noProof/>
                <w:webHidden/>
              </w:rPr>
              <w:fldChar w:fldCharType="separate"/>
            </w:r>
            <w:r w:rsidR="00C0100F">
              <w:rPr>
                <w:noProof/>
                <w:webHidden/>
              </w:rPr>
              <w:t>164</w:t>
            </w:r>
            <w:r w:rsidR="00077BCB" w:rsidRPr="00000849">
              <w:rPr>
                <w:noProof/>
                <w:webHidden/>
              </w:rPr>
              <w:fldChar w:fldCharType="end"/>
            </w:r>
          </w:hyperlink>
        </w:p>
        <w:p w14:paraId="151373DC" w14:textId="070DFADC" w:rsidR="00077BCB" w:rsidRPr="00000849" w:rsidRDefault="00C84E75">
          <w:pPr>
            <w:pStyle w:val="TOC3"/>
            <w:tabs>
              <w:tab w:val="left" w:pos="1320"/>
              <w:tab w:val="right" w:leader="dot" w:pos="8301"/>
            </w:tabs>
            <w:rPr>
              <w:rFonts w:eastAsiaTheme="minorEastAsia"/>
              <w:noProof/>
              <w:lang w:eastAsia="en-GB"/>
            </w:rPr>
          </w:pPr>
          <w:hyperlink w:anchor="_Toc51472161" w:history="1">
            <w:r w:rsidR="00077BCB" w:rsidRPr="00000849">
              <w:rPr>
                <w:rStyle w:val="Hyperlink"/>
                <w:noProof/>
              </w:rPr>
              <w:t>7.2.3</w:t>
            </w:r>
            <w:r w:rsidR="00077BCB" w:rsidRPr="00000849">
              <w:rPr>
                <w:rFonts w:eastAsiaTheme="minorEastAsia"/>
                <w:noProof/>
                <w:lang w:eastAsia="en-GB"/>
              </w:rPr>
              <w:tab/>
            </w:r>
            <w:r w:rsidR="00077BCB" w:rsidRPr="00000849">
              <w:rPr>
                <w:rStyle w:val="Hyperlink"/>
                <w:noProof/>
              </w:rPr>
              <w:t>Recommendations for practice</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_Toc51472161 \h </w:instrText>
            </w:r>
            <w:r w:rsidR="00077BCB" w:rsidRPr="00000849">
              <w:rPr>
                <w:noProof/>
                <w:webHidden/>
              </w:rPr>
            </w:r>
            <w:r w:rsidR="00077BCB" w:rsidRPr="00000849">
              <w:rPr>
                <w:noProof/>
                <w:webHidden/>
              </w:rPr>
              <w:fldChar w:fldCharType="separate"/>
            </w:r>
            <w:r w:rsidR="00C0100F">
              <w:rPr>
                <w:noProof/>
                <w:webHidden/>
              </w:rPr>
              <w:t>165</w:t>
            </w:r>
            <w:r w:rsidR="00077BCB" w:rsidRPr="00000849">
              <w:rPr>
                <w:noProof/>
                <w:webHidden/>
              </w:rPr>
              <w:fldChar w:fldCharType="end"/>
            </w:r>
          </w:hyperlink>
        </w:p>
        <w:p w14:paraId="26506FED" w14:textId="25836E00" w:rsidR="00077BCB" w:rsidRPr="00000849" w:rsidRDefault="00C84E75">
          <w:pPr>
            <w:pStyle w:val="TOC2"/>
            <w:tabs>
              <w:tab w:val="left" w:pos="880"/>
              <w:tab w:val="right" w:leader="dot" w:pos="8301"/>
            </w:tabs>
            <w:rPr>
              <w:rFonts w:eastAsiaTheme="minorEastAsia"/>
              <w:noProof/>
              <w:lang w:eastAsia="en-GB"/>
            </w:rPr>
          </w:pPr>
          <w:hyperlink w:anchor="_Toc51472162" w:history="1">
            <w:r w:rsidR="00077BCB" w:rsidRPr="00000849">
              <w:rPr>
                <w:rStyle w:val="Hyperlink"/>
                <w:noProof/>
              </w:rPr>
              <w:t>7.3</w:t>
            </w:r>
            <w:r w:rsidR="00077BCB" w:rsidRPr="00000849">
              <w:rPr>
                <w:rFonts w:eastAsiaTheme="minorEastAsia"/>
                <w:noProof/>
                <w:lang w:eastAsia="en-GB"/>
              </w:rPr>
              <w:tab/>
            </w:r>
            <w:r w:rsidR="00077BCB" w:rsidRPr="00000849">
              <w:rPr>
                <w:rStyle w:val="Hyperlink"/>
                <w:noProof/>
              </w:rPr>
              <w:t>Summary</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_Toc51472162 \h </w:instrText>
            </w:r>
            <w:r w:rsidR="00077BCB" w:rsidRPr="00000849">
              <w:rPr>
                <w:noProof/>
                <w:webHidden/>
              </w:rPr>
            </w:r>
            <w:r w:rsidR="00077BCB" w:rsidRPr="00000849">
              <w:rPr>
                <w:noProof/>
                <w:webHidden/>
              </w:rPr>
              <w:fldChar w:fldCharType="separate"/>
            </w:r>
            <w:r w:rsidR="00C0100F">
              <w:rPr>
                <w:noProof/>
                <w:webHidden/>
              </w:rPr>
              <w:t>169</w:t>
            </w:r>
            <w:r w:rsidR="00077BCB" w:rsidRPr="00000849">
              <w:rPr>
                <w:noProof/>
                <w:webHidden/>
              </w:rPr>
              <w:fldChar w:fldCharType="end"/>
            </w:r>
          </w:hyperlink>
        </w:p>
        <w:p w14:paraId="76E2A8FE" w14:textId="651F00A8" w:rsidR="00077BCB" w:rsidRPr="00000849" w:rsidRDefault="00C84E75">
          <w:pPr>
            <w:pStyle w:val="TOC1"/>
            <w:tabs>
              <w:tab w:val="right" w:leader="dot" w:pos="8301"/>
            </w:tabs>
            <w:rPr>
              <w:rFonts w:eastAsiaTheme="minorEastAsia"/>
              <w:noProof/>
              <w:lang w:eastAsia="en-GB"/>
            </w:rPr>
          </w:pPr>
          <w:hyperlink w:anchor="_Toc51472163" w:history="1">
            <w:r w:rsidR="00077BCB" w:rsidRPr="00000849">
              <w:rPr>
                <w:rStyle w:val="Hyperlink"/>
                <w:rFonts w:eastAsiaTheme="majorEastAsia"/>
                <w:noProof/>
                <w:lang w:val="pt-PT"/>
              </w:rPr>
              <w:t>References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_Toc51472163 \h </w:instrText>
            </w:r>
            <w:r w:rsidR="00077BCB" w:rsidRPr="00000849">
              <w:rPr>
                <w:noProof/>
                <w:webHidden/>
              </w:rPr>
            </w:r>
            <w:r w:rsidR="00077BCB" w:rsidRPr="00000849">
              <w:rPr>
                <w:noProof/>
                <w:webHidden/>
              </w:rPr>
              <w:fldChar w:fldCharType="separate"/>
            </w:r>
            <w:r w:rsidR="00C0100F">
              <w:rPr>
                <w:noProof/>
                <w:webHidden/>
              </w:rPr>
              <w:t>170</w:t>
            </w:r>
            <w:r w:rsidR="00077BCB" w:rsidRPr="00000849">
              <w:rPr>
                <w:noProof/>
                <w:webHidden/>
              </w:rPr>
              <w:fldChar w:fldCharType="end"/>
            </w:r>
          </w:hyperlink>
        </w:p>
        <w:p w14:paraId="707A0691" w14:textId="666FDCB7" w:rsidR="00077BCB" w:rsidRPr="00000849" w:rsidRDefault="00C84E75">
          <w:pPr>
            <w:pStyle w:val="TOC1"/>
            <w:tabs>
              <w:tab w:val="right" w:leader="dot" w:pos="8301"/>
            </w:tabs>
            <w:rPr>
              <w:rFonts w:eastAsiaTheme="minorEastAsia"/>
              <w:noProof/>
              <w:lang w:eastAsia="en-GB"/>
            </w:rPr>
          </w:pPr>
          <w:hyperlink w:anchor="_Toc51472164" w:history="1">
            <w:r w:rsidR="00077BCB" w:rsidRPr="00000849">
              <w:rPr>
                <w:rStyle w:val="Hyperlink"/>
                <w:noProof/>
              </w:rPr>
              <w:t>Appendices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_Toc51472164 \h </w:instrText>
            </w:r>
            <w:r w:rsidR="00077BCB" w:rsidRPr="00000849">
              <w:rPr>
                <w:noProof/>
                <w:webHidden/>
              </w:rPr>
            </w:r>
            <w:r w:rsidR="00077BCB" w:rsidRPr="00000849">
              <w:rPr>
                <w:noProof/>
                <w:webHidden/>
              </w:rPr>
              <w:fldChar w:fldCharType="separate"/>
            </w:r>
            <w:r w:rsidR="00C0100F">
              <w:rPr>
                <w:noProof/>
                <w:webHidden/>
              </w:rPr>
              <w:t>191</w:t>
            </w:r>
            <w:r w:rsidR="00077BCB" w:rsidRPr="00000849">
              <w:rPr>
                <w:noProof/>
                <w:webHidden/>
              </w:rPr>
              <w:fldChar w:fldCharType="end"/>
            </w:r>
          </w:hyperlink>
        </w:p>
        <w:p w14:paraId="145AD0E7" w14:textId="1C9D2B99" w:rsidR="00077BCB" w:rsidRPr="00000849" w:rsidRDefault="00C84E75">
          <w:pPr>
            <w:pStyle w:val="TOC2"/>
            <w:tabs>
              <w:tab w:val="right" w:leader="dot" w:pos="8301"/>
            </w:tabs>
            <w:rPr>
              <w:rFonts w:eastAsiaTheme="minorEastAsia"/>
              <w:noProof/>
              <w:lang w:eastAsia="en-GB"/>
            </w:rPr>
          </w:pPr>
          <w:hyperlink w:anchor="_Toc51472165" w:history="1">
            <w:r w:rsidR="00077BCB" w:rsidRPr="00000849">
              <w:rPr>
                <w:rStyle w:val="Hyperlink"/>
                <w:noProof/>
              </w:rPr>
              <w:t>Appendix 1: Abstract of systematic review protocol on hypertension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_Toc51472165 \h </w:instrText>
            </w:r>
            <w:r w:rsidR="00077BCB" w:rsidRPr="00000849">
              <w:rPr>
                <w:noProof/>
                <w:webHidden/>
              </w:rPr>
            </w:r>
            <w:r w:rsidR="00077BCB" w:rsidRPr="00000849">
              <w:rPr>
                <w:noProof/>
                <w:webHidden/>
              </w:rPr>
              <w:fldChar w:fldCharType="separate"/>
            </w:r>
            <w:r w:rsidR="00C0100F">
              <w:rPr>
                <w:noProof/>
                <w:webHidden/>
              </w:rPr>
              <w:t>191</w:t>
            </w:r>
            <w:r w:rsidR="00077BCB" w:rsidRPr="00000849">
              <w:rPr>
                <w:noProof/>
                <w:webHidden/>
              </w:rPr>
              <w:fldChar w:fldCharType="end"/>
            </w:r>
          </w:hyperlink>
        </w:p>
        <w:p w14:paraId="7B0CFADE" w14:textId="58F7AF7F" w:rsidR="00077BCB" w:rsidRPr="00000849" w:rsidRDefault="00C84E75">
          <w:pPr>
            <w:pStyle w:val="TOC2"/>
            <w:tabs>
              <w:tab w:val="right" w:leader="dot" w:pos="8301"/>
            </w:tabs>
            <w:rPr>
              <w:rFonts w:eastAsiaTheme="minorEastAsia"/>
              <w:noProof/>
              <w:lang w:eastAsia="en-GB"/>
            </w:rPr>
          </w:pPr>
          <w:hyperlink w:anchor="_Toc51472166" w:history="1">
            <w:r w:rsidR="00077BCB" w:rsidRPr="00000849">
              <w:rPr>
                <w:rStyle w:val="Hyperlink"/>
                <w:noProof/>
              </w:rPr>
              <w:t>Appendix 2: Published Paper – Hypertension in older adults in Africa: a systematic review and meta-analysis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_Toc51472166 \h </w:instrText>
            </w:r>
            <w:r w:rsidR="00077BCB" w:rsidRPr="00000849">
              <w:rPr>
                <w:noProof/>
                <w:webHidden/>
              </w:rPr>
            </w:r>
            <w:r w:rsidR="00077BCB" w:rsidRPr="00000849">
              <w:rPr>
                <w:noProof/>
                <w:webHidden/>
              </w:rPr>
              <w:fldChar w:fldCharType="separate"/>
            </w:r>
            <w:r w:rsidR="00C0100F">
              <w:rPr>
                <w:noProof/>
                <w:webHidden/>
              </w:rPr>
              <w:t>192</w:t>
            </w:r>
            <w:r w:rsidR="00077BCB" w:rsidRPr="00000849">
              <w:rPr>
                <w:noProof/>
                <w:webHidden/>
              </w:rPr>
              <w:fldChar w:fldCharType="end"/>
            </w:r>
          </w:hyperlink>
        </w:p>
        <w:p w14:paraId="3C010565" w14:textId="792EA89C" w:rsidR="00077BCB" w:rsidRPr="00000849" w:rsidRDefault="00C84E75">
          <w:pPr>
            <w:pStyle w:val="TOC3"/>
            <w:tabs>
              <w:tab w:val="right" w:leader="dot" w:pos="8301"/>
            </w:tabs>
            <w:rPr>
              <w:rFonts w:eastAsiaTheme="minorEastAsia"/>
              <w:noProof/>
              <w:lang w:eastAsia="en-GB"/>
            </w:rPr>
          </w:pPr>
          <w:hyperlink w:anchor="_Toc51472167" w:history="1">
            <w:r w:rsidR="00077BCB" w:rsidRPr="00000849">
              <w:rPr>
                <w:rStyle w:val="Hyperlink"/>
                <w:noProof/>
                <w:lang w:val="en-US"/>
              </w:rPr>
              <w:t>Table A1  Search strategy for Ovid Medline and Embase databases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_Toc51472167 \h </w:instrText>
            </w:r>
            <w:r w:rsidR="00077BCB" w:rsidRPr="00000849">
              <w:rPr>
                <w:noProof/>
                <w:webHidden/>
              </w:rPr>
            </w:r>
            <w:r w:rsidR="00077BCB" w:rsidRPr="00000849">
              <w:rPr>
                <w:noProof/>
                <w:webHidden/>
              </w:rPr>
              <w:fldChar w:fldCharType="separate"/>
            </w:r>
            <w:r w:rsidR="00C0100F">
              <w:rPr>
                <w:noProof/>
                <w:webHidden/>
              </w:rPr>
              <w:t>222</w:t>
            </w:r>
            <w:r w:rsidR="00077BCB" w:rsidRPr="00000849">
              <w:rPr>
                <w:noProof/>
                <w:webHidden/>
              </w:rPr>
              <w:fldChar w:fldCharType="end"/>
            </w:r>
          </w:hyperlink>
        </w:p>
        <w:p w14:paraId="0E38B927" w14:textId="4BF63AA4" w:rsidR="00077BCB" w:rsidRPr="00000849" w:rsidRDefault="00C84E75">
          <w:pPr>
            <w:pStyle w:val="TOC3"/>
            <w:tabs>
              <w:tab w:val="right" w:leader="dot" w:pos="8301"/>
            </w:tabs>
            <w:rPr>
              <w:rFonts w:eastAsiaTheme="minorEastAsia"/>
              <w:noProof/>
              <w:lang w:eastAsia="en-GB"/>
            </w:rPr>
          </w:pPr>
          <w:hyperlink w:anchor="_Toc51472168" w:history="1">
            <w:r w:rsidR="00077BCB" w:rsidRPr="00000849">
              <w:rPr>
                <w:rStyle w:val="Hyperlink"/>
                <w:noProof/>
                <w:lang w:val="en-US"/>
              </w:rPr>
              <w:t>Table A2  Background characteristics of study sample and prevalence of hypertension in reviewed studies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_Toc51472168 \h </w:instrText>
            </w:r>
            <w:r w:rsidR="00077BCB" w:rsidRPr="00000849">
              <w:rPr>
                <w:noProof/>
                <w:webHidden/>
              </w:rPr>
            </w:r>
            <w:r w:rsidR="00077BCB" w:rsidRPr="00000849">
              <w:rPr>
                <w:noProof/>
                <w:webHidden/>
              </w:rPr>
              <w:fldChar w:fldCharType="separate"/>
            </w:r>
            <w:r w:rsidR="00C0100F">
              <w:rPr>
                <w:noProof/>
                <w:webHidden/>
              </w:rPr>
              <w:t>223</w:t>
            </w:r>
            <w:r w:rsidR="00077BCB" w:rsidRPr="00000849">
              <w:rPr>
                <w:noProof/>
                <w:webHidden/>
              </w:rPr>
              <w:fldChar w:fldCharType="end"/>
            </w:r>
          </w:hyperlink>
        </w:p>
        <w:p w14:paraId="3123CF42" w14:textId="39621989" w:rsidR="00077BCB" w:rsidRPr="00000849" w:rsidRDefault="00C84E75">
          <w:pPr>
            <w:pStyle w:val="TOC3"/>
            <w:tabs>
              <w:tab w:val="right" w:leader="dot" w:pos="8301"/>
            </w:tabs>
            <w:rPr>
              <w:rFonts w:eastAsiaTheme="minorEastAsia"/>
              <w:noProof/>
              <w:lang w:eastAsia="en-GB"/>
            </w:rPr>
          </w:pPr>
          <w:hyperlink w:anchor="_Toc51472169" w:history="1">
            <w:r w:rsidR="00077BCB" w:rsidRPr="00000849">
              <w:rPr>
                <w:rStyle w:val="Hyperlink"/>
                <w:noProof/>
                <w:lang w:val="en-US"/>
              </w:rPr>
              <w:t>Table A3  Evaluation of the risk of bias in included studies on the meta-analysis of the prevalence of hypertension based on the Hoy criteria</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_Toc51472169 \h </w:instrText>
            </w:r>
            <w:r w:rsidR="00077BCB" w:rsidRPr="00000849">
              <w:rPr>
                <w:noProof/>
                <w:webHidden/>
              </w:rPr>
            </w:r>
            <w:r w:rsidR="00077BCB" w:rsidRPr="00000849">
              <w:rPr>
                <w:noProof/>
                <w:webHidden/>
              </w:rPr>
              <w:fldChar w:fldCharType="separate"/>
            </w:r>
            <w:r w:rsidR="00C0100F">
              <w:rPr>
                <w:noProof/>
                <w:webHidden/>
              </w:rPr>
              <w:t>228</w:t>
            </w:r>
            <w:r w:rsidR="00077BCB" w:rsidRPr="00000849">
              <w:rPr>
                <w:noProof/>
                <w:webHidden/>
              </w:rPr>
              <w:fldChar w:fldCharType="end"/>
            </w:r>
          </w:hyperlink>
        </w:p>
        <w:p w14:paraId="45D2D265" w14:textId="0A2E06FB" w:rsidR="00077BCB" w:rsidRPr="00000849" w:rsidRDefault="00C84E75">
          <w:pPr>
            <w:pStyle w:val="TOC3"/>
            <w:tabs>
              <w:tab w:val="right" w:leader="dot" w:pos="8301"/>
            </w:tabs>
            <w:rPr>
              <w:rFonts w:eastAsiaTheme="minorEastAsia"/>
              <w:noProof/>
              <w:lang w:eastAsia="en-GB"/>
            </w:rPr>
          </w:pPr>
          <w:hyperlink w:anchor="_Toc51472170" w:history="1">
            <w:r w:rsidR="00077BCB" w:rsidRPr="00000849">
              <w:rPr>
                <w:rStyle w:val="Hyperlink"/>
                <w:noProof/>
                <w:lang w:val="en-US"/>
              </w:rPr>
              <w:t>Table A4  Univariate and multivariate meta-regression analysis of potential sources of heterogeneity in the meta-analysis of the prevalence of hypertension in older adults in Africa</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_Toc51472170 \h </w:instrText>
            </w:r>
            <w:r w:rsidR="00077BCB" w:rsidRPr="00000849">
              <w:rPr>
                <w:noProof/>
                <w:webHidden/>
              </w:rPr>
            </w:r>
            <w:r w:rsidR="00077BCB" w:rsidRPr="00000849">
              <w:rPr>
                <w:noProof/>
                <w:webHidden/>
              </w:rPr>
              <w:fldChar w:fldCharType="separate"/>
            </w:r>
            <w:r w:rsidR="00C0100F">
              <w:rPr>
                <w:noProof/>
                <w:webHidden/>
              </w:rPr>
              <w:t>234</w:t>
            </w:r>
            <w:r w:rsidR="00077BCB" w:rsidRPr="00000849">
              <w:rPr>
                <w:noProof/>
                <w:webHidden/>
              </w:rPr>
              <w:fldChar w:fldCharType="end"/>
            </w:r>
          </w:hyperlink>
        </w:p>
        <w:p w14:paraId="43DE481B" w14:textId="65A49929" w:rsidR="00077BCB" w:rsidRPr="00000849" w:rsidRDefault="00C84E75">
          <w:pPr>
            <w:pStyle w:val="TOC2"/>
            <w:tabs>
              <w:tab w:val="right" w:leader="dot" w:pos="8301"/>
            </w:tabs>
            <w:rPr>
              <w:rFonts w:eastAsiaTheme="minorEastAsia"/>
              <w:noProof/>
              <w:lang w:eastAsia="en-GB"/>
            </w:rPr>
          </w:pPr>
          <w:hyperlink w:anchor="_Toc51472171" w:history="1">
            <w:r w:rsidR="00077BCB" w:rsidRPr="00000849">
              <w:rPr>
                <w:rStyle w:val="Hyperlink"/>
                <w:noProof/>
              </w:rPr>
              <w:t>Appendix 3: Published Paper – Determinants of hypertension in older adults in Africa: a systematic review</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_Toc51472171 \h </w:instrText>
            </w:r>
            <w:r w:rsidR="00077BCB" w:rsidRPr="00000849">
              <w:rPr>
                <w:noProof/>
                <w:webHidden/>
              </w:rPr>
            </w:r>
            <w:r w:rsidR="00077BCB" w:rsidRPr="00000849">
              <w:rPr>
                <w:noProof/>
                <w:webHidden/>
              </w:rPr>
              <w:fldChar w:fldCharType="separate"/>
            </w:r>
            <w:r w:rsidR="00C0100F">
              <w:rPr>
                <w:noProof/>
                <w:webHidden/>
              </w:rPr>
              <w:t>235</w:t>
            </w:r>
            <w:r w:rsidR="00077BCB" w:rsidRPr="00000849">
              <w:rPr>
                <w:noProof/>
                <w:webHidden/>
              </w:rPr>
              <w:fldChar w:fldCharType="end"/>
            </w:r>
          </w:hyperlink>
        </w:p>
        <w:p w14:paraId="4180FE5D" w14:textId="40F696CD" w:rsidR="00077BCB" w:rsidRPr="00000849" w:rsidRDefault="00C84E75">
          <w:pPr>
            <w:pStyle w:val="TOC2"/>
            <w:tabs>
              <w:tab w:val="right" w:leader="dot" w:pos="8301"/>
            </w:tabs>
            <w:rPr>
              <w:rFonts w:eastAsiaTheme="minorEastAsia"/>
              <w:noProof/>
              <w:lang w:eastAsia="en-GB"/>
            </w:rPr>
          </w:pPr>
          <w:hyperlink w:anchor="_Toc51472172" w:history="1">
            <w:r w:rsidR="00077BCB" w:rsidRPr="00000849">
              <w:rPr>
                <w:rStyle w:val="Hyperlink"/>
                <w:noProof/>
              </w:rPr>
              <w:t>Appendix 4: Map of Ghana</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_Toc51472172 \h </w:instrText>
            </w:r>
            <w:r w:rsidR="00077BCB" w:rsidRPr="00000849">
              <w:rPr>
                <w:noProof/>
                <w:webHidden/>
              </w:rPr>
            </w:r>
            <w:r w:rsidR="00077BCB" w:rsidRPr="00000849">
              <w:rPr>
                <w:noProof/>
                <w:webHidden/>
              </w:rPr>
              <w:fldChar w:fldCharType="separate"/>
            </w:r>
            <w:r w:rsidR="00C0100F">
              <w:rPr>
                <w:noProof/>
                <w:webHidden/>
              </w:rPr>
              <w:t>277</w:t>
            </w:r>
            <w:r w:rsidR="00077BCB" w:rsidRPr="00000849">
              <w:rPr>
                <w:noProof/>
                <w:webHidden/>
              </w:rPr>
              <w:fldChar w:fldCharType="end"/>
            </w:r>
          </w:hyperlink>
        </w:p>
        <w:p w14:paraId="0CAB055D" w14:textId="67E1B687" w:rsidR="00077BCB" w:rsidRPr="00000849" w:rsidRDefault="00C84E75">
          <w:pPr>
            <w:pStyle w:val="TOC2"/>
            <w:tabs>
              <w:tab w:val="right" w:leader="dot" w:pos="8301"/>
            </w:tabs>
            <w:rPr>
              <w:rFonts w:eastAsiaTheme="minorEastAsia"/>
              <w:noProof/>
              <w:lang w:eastAsia="en-GB"/>
            </w:rPr>
          </w:pPr>
          <w:hyperlink w:anchor="_Toc51472173" w:history="1">
            <w:r w:rsidR="00077BCB" w:rsidRPr="00000849">
              <w:rPr>
                <w:rStyle w:val="Hyperlink"/>
                <w:noProof/>
                <w:lang w:val="en-US"/>
              </w:rPr>
              <w:t>Appendix 5: Questionnaire type and definition of variables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_Toc51472173 \h </w:instrText>
            </w:r>
            <w:r w:rsidR="00077BCB" w:rsidRPr="00000849">
              <w:rPr>
                <w:noProof/>
                <w:webHidden/>
              </w:rPr>
            </w:r>
            <w:r w:rsidR="00077BCB" w:rsidRPr="00000849">
              <w:rPr>
                <w:noProof/>
                <w:webHidden/>
              </w:rPr>
              <w:fldChar w:fldCharType="separate"/>
            </w:r>
            <w:r w:rsidR="00C0100F">
              <w:rPr>
                <w:noProof/>
                <w:webHidden/>
              </w:rPr>
              <w:t>278</w:t>
            </w:r>
            <w:r w:rsidR="00077BCB" w:rsidRPr="00000849">
              <w:rPr>
                <w:noProof/>
                <w:webHidden/>
              </w:rPr>
              <w:fldChar w:fldCharType="end"/>
            </w:r>
          </w:hyperlink>
        </w:p>
        <w:p w14:paraId="17F97084" w14:textId="611667DA" w:rsidR="00077BCB" w:rsidRPr="00000849" w:rsidRDefault="00C84E75">
          <w:pPr>
            <w:pStyle w:val="TOC2"/>
            <w:tabs>
              <w:tab w:val="right" w:leader="dot" w:pos="8301"/>
            </w:tabs>
            <w:rPr>
              <w:rFonts w:eastAsiaTheme="minorEastAsia"/>
              <w:noProof/>
              <w:lang w:eastAsia="en-GB"/>
            </w:rPr>
          </w:pPr>
          <w:hyperlink w:anchor="_Toc51472174" w:history="1">
            <w:r w:rsidR="00077BCB" w:rsidRPr="00000849">
              <w:rPr>
                <w:rStyle w:val="Hyperlink"/>
                <w:noProof/>
              </w:rPr>
              <w:t>Appendix 6: Principal component analysis to compute wealth index</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_Toc51472174 \h </w:instrText>
            </w:r>
            <w:r w:rsidR="00077BCB" w:rsidRPr="00000849">
              <w:rPr>
                <w:noProof/>
                <w:webHidden/>
              </w:rPr>
            </w:r>
            <w:r w:rsidR="00077BCB" w:rsidRPr="00000849">
              <w:rPr>
                <w:noProof/>
                <w:webHidden/>
              </w:rPr>
              <w:fldChar w:fldCharType="separate"/>
            </w:r>
            <w:r w:rsidR="00C0100F">
              <w:rPr>
                <w:noProof/>
                <w:webHidden/>
              </w:rPr>
              <w:t>286</w:t>
            </w:r>
            <w:r w:rsidR="00077BCB" w:rsidRPr="00000849">
              <w:rPr>
                <w:noProof/>
                <w:webHidden/>
              </w:rPr>
              <w:fldChar w:fldCharType="end"/>
            </w:r>
          </w:hyperlink>
        </w:p>
        <w:p w14:paraId="575E467A" w14:textId="5CF9B848" w:rsidR="00077BCB" w:rsidRPr="00000849" w:rsidRDefault="00C84E75">
          <w:pPr>
            <w:pStyle w:val="TOC3"/>
            <w:tabs>
              <w:tab w:val="right" w:leader="dot" w:pos="8301"/>
            </w:tabs>
            <w:rPr>
              <w:rFonts w:eastAsiaTheme="minorEastAsia"/>
              <w:noProof/>
              <w:lang w:eastAsia="en-GB"/>
            </w:rPr>
          </w:pPr>
          <w:hyperlink w:anchor="_Toc51472175" w:history="1">
            <w:r w:rsidR="00077BCB" w:rsidRPr="00000849">
              <w:rPr>
                <w:rStyle w:val="Hyperlink"/>
                <w:noProof/>
                <w:lang w:val="en-US"/>
              </w:rPr>
              <w:t>Table A5  Assessment of data suitability for principal component 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_Toc51472175 \h </w:instrText>
            </w:r>
            <w:r w:rsidR="00077BCB" w:rsidRPr="00000849">
              <w:rPr>
                <w:noProof/>
                <w:webHidden/>
              </w:rPr>
            </w:r>
            <w:r w:rsidR="00077BCB" w:rsidRPr="00000849">
              <w:rPr>
                <w:noProof/>
                <w:webHidden/>
              </w:rPr>
              <w:fldChar w:fldCharType="separate"/>
            </w:r>
            <w:r w:rsidR="00C0100F">
              <w:rPr>
                <w:noProof/>
                <w:webHidden/>
              </w:rPr>
              <w:t>286</w:t>
            </w:r>
            <w:r w:rsidR="00077BCB" w:rsidRPr="00000849">
              <w:rPr>
                <w:noProof/>
                <w:webHidden/>
              </w:rPr>
              <w:fldChar w:fldCharType="end"/>
            </w:r>
          </w:hyperlink>
        </w:p>
        <w:p w14:paraId="56C29DF2" w14:textId="1B09EA1F" w:rsidR="00077BCB" w:rsidRPr="00000849" w:rsidRDefault="00C84E75">
          <w:pPr>
            <w:pStyle w:val="TOC3"/>
            <w:tabs>
              <w:tab w:val="right" w:leader="dot" w:pos="8301"/>
            </w:tabs>
            <w:rPr>
              <w:rFonts w:eastAsiaTheme="minorEastAsia"/>
              <w:noProof/>
              <w:lang w:eastAsia="en-GB"/>
            </w:rPr>
          </w:pPr>
          <w:hyperlink w:anchor="_Toc51472176" w:history="1">
            <w:r w:rsidR="00077BCB" w:rsidRPr="00000849">
              <w:rPr>
                <w:rStyle w:val="Hyperlink"/>
                <w:noProof/>
                <w:lang w:val="en-US"/>
              </w:rPr>
              <w:t xml:space="preserve">Table A6  </w:t>
            </w:r>
            <w:r w:rsidR="00077BCB" w:rsidRPr="00000849">
              <w:rPr>
                <w:rStyle w:val="Hyperlink"/>
                <w:noProof/>
              </w:rPr>
              <w:t>Total variance explained in principal component analysis to compute wealth index in SAGE Ghana Study Waves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_Toc51472176 \h </w:instrText>
            </w:r>
            <w:r w:rsidR="00077BCB" w:rsidRPr="00000849">
              <w:rPr>
                <w:noProof/>
                <w:webHidden/>
              </w:rPr>
            </w:r>
            <w:r w:rsidR="00077BCB" w:rsidRPr="00000849">
              <w:rPr>
                <w:noProof/>
                <w:webHidden/>
              </w:rPr>
              <w:fldChar w:fldCharType="separate"/>
            </w:r>
            <w:r w:rsidR="00C0100F">
              <w:rPr>
                <w:noProof/>
                <w:webHidden/>
              </w:rPr>
              <w:t>286</w:t>
            </w:r>
            <w:r w:rsidR="00077BCB" w:rsidRPr="00000849">
              <w:rPr>
                <w:noProof/>
                <w:webHidden/>
              </w:rPr>
              <w:fldChar w:fldCharType="end"/>
            </w:r>
          </w:hyperlink>
        </w:p>
        <w:p w14:paraId="03322EC6" w14:textId="263ED444" w:rsidR="00077BCB" w:rsidRPr="00000849" w:rsidRDefault="00C84E75">
          <w:pPr>
            <w:pStyle w:val="TOC2"/>
            <w:tabs>
              <w:tab w:val="right" w:leader="dot" w:pos="8301"/>
            </w:tabs>
            <w:rPr>
              <w:rFonts w:eastAsiaTheme="minorEastAsia"/>
              <w:noProof/>
              <w:lang w:eastAsia="en-GB"/>
            </w:rPr>
          </w:pPr>
          <w:hyperlink w:anchor="_Toc51472177" w:history="1">
            <w:r w:rsidR="00077BCB" w:rsidRPr="00000849">
              <w:rPr>
                <w:rStyle w:val="Hyperlink"/>
                <w:noProof/>
              </w:rPr>
              <w:t>Appendix 7: Ethical Approval for Secondary Analysis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_Toc51472177 \h </w:instrText>
            </w:r>
            <w:r w:rsidR="00077BCB" w:rsidRPr="00000849">
              <w:rPr>
                <w:noProof/>
                <w:webHidden/>
              </w:rPr>
            </w:r>
            <w:r w:rsidR="00077BCB" w:rsidRPr="00000849">
              <w:rPr>
                <w:noProof/>
                <w:webHidden/>
              </w:rPr>
              <w:fldChar w:fldCharType="separate"/>
            </w:r>
            <w:r w:rsidR="00C0100F">
              <w:rPr>
                <w:noProof/>
                <w:webHidden/>
              </w:rPr>
              <w:t>287</w:t>
            </w:r>
            <w:r w:rsidR="00077BCB" w:rsidRPr="00000849">
              <w:rPr>
                <w:noProof/>
                <w:webHidden/>
              </w:rPr>
              <w:fldChar w:fldCharType="end"/>
            </w:r>
          </w:hyperlink>
        </w:p>
        <w:p w14:paraId="37391DF3" w14:textId="6FA1AC89" w:rsidR="00077BCB" w:rsidRPr="00000849" w:rsidRDefault="00C84E75">
          <w:pPr>
            <w:pStyle w:val="TOC2"/>
            <w:tabs>
              <w:tab w:val="right" w:leader="dot" w:pos="8301"/>
            </w:tabs>
            <w:rPr>
              <w:rFonts w:eastAsiaTheme="minorEastAsia"/>
              <w:noProof/>
              <w:lang w:eastAsia="en-GB"/>
            </w:rPr>
          </w:pPr>
          <w:hyperlink w:anchor="_Toc51472178" w:history="1">
            <w:r w:rsidR="00077BCB" w:rsidRPr="00000849">
              <w:rPr>
                <w:rStyle w:val="Hyperlink"/>
                <w:noProof/>
                <w:lang w:val="en-US"/>
              </w:rPr>
              <w:t>Appendix 8: Single level logistic regression tables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_Toc51472178 \h </w:instrText>
            </w:r>
            <w:r w:rsidR="00077BCB" w:rsidRPr="00000849">
              <w:rPr>
                <w:noProof/>
                <w:webHidden/>
              </w:rPr>
            </w:r>
            <w:r w:rsidR="00077BCB" w:rsidRPr="00000849">
              <w:rPr>
                <w:noProof/>
                <w:webHidden/>
              </w:rPr>
              <w:fldChar w:fldCharType="separate"/>
            </w:r>
            <w:r w:rsidR="00C0100F">
              <w:rPr>
                <w:noProof/>
                <w:webHidden/>
              </w:rPr>
              <w:t>288</w:t>
            </w:r>
            <w:r w:rsidR="00077BCB" w:rsidRPr="00000849">
              <w:rPr>
                <w:noProof/>
                <w:webHidden/>
              </w:rPr>
              <w:fldChar w:fldCharType="end"/>
            </w:r>
          </w:hyperlink>
        </w:p>
        <w:p w14:paraId="253EB9B7" w14:textId="4187F08E" w:rsidR="00077BCB" w:rsidRPr="00000849" w:rsidRDefault="00C84E75">
          <w:pPr>
            <w:pStyle w:val="TOC3"/>
            <w:tabs>
              <w:tab w:val="left" w:pos="1540"/>
              <w:tab w:val="right" w:leader="dot" w:pos="8301"/>
            </w:tabs>
            <w:rPr>
              <w:rFonts w:eastAsiaTheme="minorEastAsia"/>
              <w:noProof/>
              <w:lang w:eastAsia="en-GB"/>
            </w:rPr>
          </w:pPr>
          <w:hyperlink w:anchor="_Toc51472179" w:history="1">
            <w:r w:rsidR="00077BCB" w:rsidRPr="00000849">
              <w:rPr>
                <w:rStyle w:val="Hyperlink"/>
                <w:noProof/>
                <w:lang w:val="en-US"/>
              </w:rPr>
              <w:t>Table A7:</w:t>
            </w:r>
            <w:r w:rsidR="00077BCB" w:rsidRPr="00000849">
              <w:rPr>
                <w:rFonts w:eastAsiaTheme="minorEastAsia"/>
                <w:noProof/>
                <w:lang w:eastAsia="en-GB"/>
              </w:rPr>
              <w:tab/>
            </w:r>
            <w:r w:rsidR="00077BCB" w:rsidRPr="00000849">
              <w:rPr>
                <w:rStyle w:val="Hyperlink"/>
                <w:noProof/>
                <w:lang w:val="en-US"/>
              </w:rPr>
              <w:t>Model build up for multivariable logistic regression in each study wave</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_Toc51472179 \h </w:instrText>
            </w:r>
            <w:r w:rsidR="00077BCB" w:rsidRPr="00000849">
              <w:rPr>
                <w:noProof/>
                <w:webHidden/>
              </w:rPr>
            </w:r>
            <w:r w:rsidR="00077BCB" w:rsidRPr="00000849">
              <w:rPr>
                <w:noProof/>
                <w:webHidden/>
              </w:rPr>
              <w:fldChar w:fldCharType="separate"/>
            </w:r>
            <w:r w:rsidR="00C0100F">
              <w:rPr>
                <w:noProof/>
                <w:webHidden/>
              </w:rPr>
              <w:t>288</w:t>
            </w:r>
            <w:r w:rsidR="00077BCB" w:rsidRPr="00000849">
              <w:rPr>
                <w:noProof/>
                <w:webHidden/>
              </w:rPr>
              <w:fldChar w:fldCharType="end"/>
            </w:r>
          </w:hyperlink>
        </w:p>
        <w:p w14:paraId="72676211" w14:textId="682C2A91" w:rsidR="00077BCB" w:rsidRPr="00000849" w:rsidRDefault="00C84E75">
          <w:pPr>
            <w:pStyle w:val="TOC3"/>
            <w:tabs>
              <w:tab w:val="left" w:pos="1540"/>
              <w:tab w:val="right" w:leader="dot" w:pos="8301"/>
            </w:tabs>
            <w:rPr>
              <w:rFonts w:eastAsiaTheme="minorEastAsia"/>
              <w:noProof/>
              <w:lang w:eastAsia="en-GB"/>
            </w:rPr>
          </w:pPr>
          <w:hyperlink w:anchor="_Toc51472180" w:history="1">
            <w:r w:rsidR="00077BCB" w:rsidRPr="00000849">
              <w:rPr>
                <w:rStyle w:val="Hyperlink"/>
                <w:noProof/>
                <w:lang w:val="en-US"/>
              </w:rPr>
              <w:t>Table A8:</w:t>
            </w:r>
            <w:r w:rsidR="00077BCB" w:rsidRPr="00000849">
              <w:rPr>
                <w:rFonts w:eastAsiaTheme="minorEastAsia"/>
                <w:noProof/>
                <w:lang w:eastAsia="en-GB"/>
              </w:rPr>
              <w:tab/>
            </w:r>
            <w:r w:rsidR="00077BCB" w:rsidRPr="00000849">
              <w:rPr>
                <w:rStyle w:val="Hyperlink"/>
                <w:noProof/>
                <w:lang w:val="en-US"/>
              </w:rPr>
              <w:t>Single level multivariable logistic regression for hypertension comparing model with and without variable for participation in W1 among W2 subjects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_Toc51472180 \h </w:instrText>
            </w:r>
            <w:r w:rsidR="00077BCB" w:rsidRPr="00000849">
              <w:rPr>
                <w:noProof/>
                <w:webHidden/>
              </w:rPr>
            </w:r>
            <w:r w:rsidR="00077BCB" w:rsidRPr="00000849">
              <w:rPr>
                <w:noProof/>
                <w:webHidden/>
              </w:rPr>
              <w:fldChar w:fldCharType="separate"/>
            </w:r>
            <w:r w:rsidR="00C0100F">
              <w:rPr>
                <w:noProof/>
                <w:webHidden/>
              </w:rPr>
              <w:t>292</w:t>
            </w:r>
            <w:r w:rsidR="00077BCB" w:rsidRPr="00000849">
              <w:rPr>
                <w:noProof/>
                <w:webHidden/>
              </w:rPr>
              <w:fldChar w:fldCharType="end"/>
            </w:r>
          </w:hyperlink>
        </w:p>
        <w:p w14:paraId="032A160C" w14:textId="59B279EF" w:rsidR="00077BCB" w:rsidRPr="00000849" w:rsidRDefault="00C84E75">
          <w:pPr>
            <w:pStyle w:val="TOC3"/>
            <w:tabs>
              <w:tab w:val="left" w:pos="1540"/>
              <w:tab w:val="right" w:leader="dot" w:pos="8301"/>
            </w:tabs>
            <w:rPr>
              <w:rFonts w:eastAsiaTheme="minorEastAsia"/>
              <w:noProof/>
              <w:lang w:eastAsia="en-GB"/>
            </w:rPr>
          </w:pPr>
          <w:hyperlink w:anchor="_Toc51472181" w:history="1">
            <w:r w:rsidR="00077BCB" w:rsidRPr="00000849">
              <w:rPr>
                <w:rStyle w:val="Hyperlink"/>
                <w:noProof/>
                <w:lang w:val="en-US"/>
              </w:rPr>
              <w:t>Table A9:</w:t>
            </w:r>
            <w:r w:rsidR="00077BCB" w:rsidRPr="00000849">
              <w:rPr>
                <w:rFonts w:eastAsiaTheme="minorEastAsia"/>
                <w:noProof/>
                <w:lang w:eastAsia="en-GB"/>
              </w:rPr>
              <w:tab/>
            </w:r>
            <w:r w:rsidR="00077BCB" w:rsidRPr="00000849">
              <w:rPr>
                <w:rStyle w:val="Hyperlink"/>
                <w:noProof/>
                <w:lang w:val="en-US"/>
              </w:rPr>
              <w:t>Linktest for single level multivariable logistic regression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_Toc51472181 \h </w:instrText>
            </w:r>
            <w:r w:rsidR="00077BCB" w:rsidRPr="00000849">
              <w:rPr>
                <w:noProof/>
                <w:webHidden/>
              </w:rPr>
            </w:r>
            <w:r w:rsidR="00077BCB" w:rsidRPr="00000849">
              <w:rPr>
                <w:noProof/>
                <w:webHidden/>
              </w:rPr>
              <w:fldChar w:fldCharType="separate"/>
            </w:r>
            <w:r w:rsidR="00C0100F">
              <w:rPr>
                <w:noProof/>
                <w:webHidden/>
              </w:rPr>
              <w:t>295</w:t>
            </w:r>
            <w:r w:rsidR="00077BCB" w:rsidRPr="00000849">
              <w:rPr>
                <w:noProof/>
                <w:webHidden/>
              </w:rPr>
              <w:fldChar w:fldCharType="end"/>
            </w:r>
          </w:hyperlink>
        </w:p>
        <w:p w14:paraId="009C852F" w14:textId="30D3085D" w:rsidR="00077BCB" w:rsidRPr="00000849" w:rsidRDefault="00C84E75">
          <w:pPr>
            <w:pStyle w:val="TOC2"/>
            <w:tabs>
              <w:tab w:val="right" w:leader="dot" w:pos="8301"/>
            </w:tabs>
            <w:rPr>
              <w:rFonts w:eastAsiaTheme="minorEastAsia"/>
              <w:noProof/>
              <w:lang w:eastAsia="en-GB"/>
            </w:rPr>
          </w:pPr>
          <w:hyperlink w:anchor="_Toc51472182" w:history="1">
            <w:r w:rsidR="00077BCB" w:rsidRPr="00000849">
              <w:rPr>
                <w:rStyle w:val="Hyperlink"/>
                <w:noProof/>
                <w:lang w:val="en-US"/>
              </w:rPr>
              <w:t>Appendix 9: Logistic regression tables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_Toc51472182 \h </w:instrText>
            </w:r>
            <w:r w:rsidR="00077BCB" w:rsidRPr="00000849">
              <w:rPr>
                <w:noProof/>
                <w:webHidden/>
              </w:rPr>
            </w:r>
            <w:r w:rsidR="00077BCB" w:rsidRPr="00000849">
              <w:rPr>
                <w:noProof/>
                <w:webHidden/>
              </w:rPr>
              <w:fldChar w:fldCharType="separate"/>
            </w:r>
            <w:r w:rsidR="00C0100F">
              <w:rPr>
                <w:noProof/>
                <w:webHidden/>
              </w:rPr>
              <w:t>296</w:t>
            </w:r>
            <w:r w:rsidR="00077BCB" w:rsidRPr="00000849">
              <w:rPr>
                <w:noProof/>
                <w:webHidden/>
              </w:rPr>
              <w:fldChar w:fldCharType="end"/>
            </w:r>
          </w:hyperlink>
        </w:p>
        <w:p w14:paraId="0FADFFBF" w14:textId="063870DB" w:rsidR="00077BCB" w:rsidRPr="00000849" w:rsidRDefault="00C84E75">
          <w:pPr>
            <w:pStyle w:val="TOC3"/>
            <w:tabs>
              <w:tab w:val="left" w:pos="1760"/>
              <w:tab w:val="right" w:leader="dot" w:pos="8301"/>
            </w:tabs>
            <w:rPr>
              <w:rFonts w:eastAsiaTheme="minorEastAsia"/>
              <w:noProof/>
              <w:lang w:eastAsia="en-GB"/>
            </w:rPr>
          </w:pPr>
          <w:hyperlink w:anchor="_Toc51472183" w:history="1">
            <w:r w:rsidR="00077BCB" w:rsidRPr="00000849">
              <w:rPr>
                <w:rStyle w:val="Hyperlink"/>
                <w:noProof/>
                <w:lang w:val="en-US"/>
              </w:rPr>
              <w:t>Table A10:</w:t>
            </w:r>
            <w:r w:rsidR="00077BCB" w:rsidRPr="00000849">
              <w:rPr>
                <w:rFonts w:eastAsiaTheme="minorEastAsia"/>
                <w:noProof/>
                <w:lang w:eastAsia="en-GB"/>
              </w:rPr>
              <w:tab/>
            </w:r>
            <w:r w:rsidR="00077BCB" w:rsidRPr="00000849">
              <w:rPr>
                <w:rStyle w:val="Hyperlink"/>
                <w:noProof/>
                <w:lang w:val="en-US"/>
              </w:rPr>
              <w:t>Longitudinal logistic regression analysis with random or fixed effects for determinants of hypertension using combined wave 1 and wave 2 datasets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_Toc51472183 \h </w:instrText>
            </w:r>
            <w:r w:rsidR="00077BCB" w:rsidRPr="00000849">
              <w:rPr>
                <w:noProof/>
                <w:webHidden/>
              </w:rPr>
            </w:r>
            <w:r w:rsidR="00077BCB" w:rsidRPr="00000849">
              <w:rPr>
                <w:noProof/>
                <w:webHidden/>
              </w:rPr>
              <w:fldChar w:fldCharType="separate"/>
            </w:r>
            <w:r w:rsidR="00C0100F">
              <w:rPr>
                <w:noProof/>
                <w:webHidden/>
              </w:rPr>
              <w:t>296</w:t>
            </w:r>
            <w:r w:rsidR="00077BCB" w:rsidRPr="00000849">
              <w:rPr>
                <w:noProof/>
                <w:webHidden/>
              </w:rPr>
              <w:fldChar w:fldCharType="end"/>
            </w:r>
          </w:hyperlink>
        </w:p>
        <w:p w14:paraId="2138F82E" w14:textId="59276E02" w:rsidR="00077BCB" w:rsidRPr="00000849" w:rsidRDefault="00C84E75">
          <w:pPr>
            <w:pStyle w:val="TOC2"/>
            <w:tabs>
              <w:tab w:val="right" w:leader="dot" w:pos="8301"/>
            </w:tabs>
            <w:rPr>
              <w:rFonts w:eastAsiaTheme="minorEastAsia"/>
              <w:noProof/>
              <w:lang w:eastAsia="en-GB"/>
            </w:rPr>
          </w:pPr>
          <w:hyperlink w:anchor="_Toc51472184" w:history="1">
            <w:r w:rsidR="00077BCB" w:rsidRPr="00000849">
              <w:rPr>
                <w:rStyle w:val="Hyperlink"/>
                <w:noProof/>
                <w:lang w:val="en-US"/>
              </w:rPr>
              <w:t>Appendix 10: Ordinal logistic regression</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_Toc51472184 \h </w:instrText>
            </w:r>
            <w:r w:rsidR="00077BCB" w:rsidRPr="00000849">
              <w:rPr>
                <w:noProof/>
                <w:webHidden/>
              </w:rPr>
            </w:r>
            <w:r w:rsidR="00077BCB" w:rsidRPr="00000849">
              <w:rPr>
                <w:noProof/>
                <w:webHidden/>
              </w:rPr>
              <w:fldChar w:fldCharType="separate"/>
            </w:r>
            <w:r w:rsidR="00C0100F">
              <w:rPr>
                <w:noProof/>
                <w:webHidden/>
              </w:rPr>
              <w:t>299</w:t>
            </w:r>
            <w:r w:rsidR="00077BCB" w:rsidRPr="00000849">
              <w:rPr>
                <w:noProof/>
                <w:webHidden/>
              </w:rPr>
              <w:fldChar w:fldCharType="end"/>
            </w:r>
          </w:hyperlink>
        </w:p>
        <w:p w14:paraId="2195D376" w14:textId="14C94989" w:rsidR="00077BCB" w:rsidRPr="00000849" w:rsidRDefault="00C84E75">
          <w:pPr>
            <w:pStyle w:val="TOC3"/>
            <w:tabs>
              <w:tab w:val="left" w:pos="1760"/>
              <w:tab w:val="right" w:leader="dot" w:pos="8301"/>
            </w:tabs>
            <w:rPr>
              <w:rFonts w:eastAsiaTheme="minorEastAsia"/>
              <w:noProof/>
              <w:lang w:eastAsia="en-GB"/>
            </w:rPr>
          </w:pPr>
          <w:hyperlink w:anchor="_Toc51472185" w:history="1">
            <w:r w:rsidR="00077BCB" w:rsidRPr="00000849">
              <w:rPr>
                <w:rStyle w:val="Hyperlink"/>
                <w:noProof/>
                <w:lang w:val="en-US"/>
              </w:rPr>
              <w:t>Table A11:</w:t>
            </w:r>
            <w:r w:rsidR="00077BCB" w:rsidRPr="00000849">
              <w:rPr>
                <w:rFonts w:eastAsiaTheme="minorEastAsia"/>
                <w:noProof/>
                <w:lang w:eastAsia="en-GB"/>
              </w:rPr>
              <w:tab/>
            </w:r>
            <w:r w:rsidR="00077BCB" w:rsidRPr="00000849">
              <w:rPr>
                <w:rStyle w:val="Hyperlink"/>
                <w:noProof/>
                <w:lang w:val="en-US"/>
              </w:rPr>
              <w:t xml:space="preserve"> Assessment of the proportional odds assumption using Brant, Wolfe Gould and Score tests with different outcomes of the grades of hypertension in the study waves</w:t>
            </w:r>
            <w:r w:rsidR="00077BCB" w:rsidRPr="00000849">
              <w:rPr>
                <w:noProof/>
                <w:webHidden/>
              </w:rPr>
              <w:tab/>
            </w:r>
            <w:r w:rsidR="00077BCB" w:rsidRPr="00000849">
              <w:rPr>
                <w:noProof/>
                <w:webHidden/>
              </w:rPr>
              <w:fldChar w:fldCharType="begin"/>
            </w:r>
            <w:r w:rsidR="00077BCB" w:rsidRPr="00000849">
              <w:rPr>
                <w:noProof/>
                <w:webHidden/>
              </w:rPr>
              <w:instrText xml:space="preserve"> PAGEREF _Toc51472185 \h </w:instrText>
            </w:r>
            <w:r w:rsidR="00077BCB" w:rsidRPr="00000849">
              <w:rPr>
                <w:noProof/>
                <w:webHidden/>
              </w:rPr>
            </w:r>
            <w:r w:rsidR="00077BCB" w:rsidRPr="00000849">
              <w:rPr>
                <w:noProof/>
                <w:webHidden/>
              </w:rPr>
              <w:fldChar w:fldCharType="separate"/>
            </w:r>
            <w:r w:rsidR="00C0100F">
              <w:rPr>
                <w:noProof/>
                <w:webHidden/>
              </w:rPr>
              <w:t>299</w:t>
            </w:r>
            <w:r w:rsidR="00077BCB" w:rsidRPr="00000849">
              <w:rPr>
                <w:noProof/>
                <w:webHidden/>
              </w:rPr>
              <w:fldChar w:fldCharType="end"/>
            </w:r>
          </w:hyperlink>
        </w:p>
        <w:p w14:paraId="41649F42" w14:textId="745056F6" w:rsidR="00CE128D" w:rsidRPr="00000849" w:rsidRDefault="00CE128D">
          <w:r w:rsidRPr="00000849">
            <w:rPr>
              <w:b/>
              <w:bCs/>
              <w:noProof/>
            </w:rPr>
            <w:fldChar w:fldCharType="end"/>
          </w:r>
        </w:p>
      </w:sdtContent>
    </w:sdt>
    <w:p w14:paraId="4C3E7D85" w14:textId="77777777" w:rsidR="00CE128D" w:rsidRPr="00000849" w:rsidRDefault="00CE128D" w:rsidP="00D90F65">
      <w:pPr>
        <w:pStyle w:val="NormalWeb"/>
        <w:shd w:val="clear" w:color="auto" w:fill="FFFFFF"/>
        <w:spacing w:before="0" w:beforeAutospacing="0" w:after="165" w:afterAutospacing="0" w:line="480" w:lineRule="auto"/>
        <w:rPr>
          <w:rFonts w:asciiTheme="minorHAnsi" w:hAnsiTheme="minorHAnsi" w:cstheme="minorHAnsi"/>
          <w:color w:val="383838"/>
        </w:rPr>
      </w:pPr>
    </w:p>
    <w:p w14:paraId="1462294A" w14:textId="77777777" w:rsidR="00CE128D" w:rsidRPr="00000849" w:rsidRDefault="00CE128D" w:rsidP="00D90F65">
      <w:pPr>
        <w:pStyle w:val="NormalWeb"/>
        <w:shd w:val="clear" w:color="auto" w:fill="FFFFFF"/>
        <w:spacing w:before="0" w:beforeAutospacing="0" w:after="165" w:afterAutospacing="0" w:line="480" w:lineRule="auto"/>
        <w:rPr>
          <w:rFonts w:asciiTheme="minorHAnsi" w:hAnsiTheme="minorHAnsi" w:cstheme="minorHAnsi"/>
          <w:color w:val="383838"/>
        </w:rPr>
      </w:pPr>
    </w:p>
    <w:p w14:paraId="14D6CAC9" w14:textId="77777777" w:rsidR="00CE128D" w:rsidRPr="00000849" w:rsidRDefault="00CE128D">
      <w:pPr>
        <w:spacing w:after="160" w:line="259" w:lineRule="auto"/>
        <w:rPr>
          <w:rFonts w:ascii="Calibri" w:eastAsia="Times New Roman" w:hAnsi="Calibri" w:cs="Times New Roman"/>
          <w:b/>
          <w:bCs/>
          <w:kern w:val="36"/>
          <w:sz w:val="28"/>
          <w:szCs w:val="48"/>
          <w:lang w:eastAsia="en-GB"/>
        </w:rPr>
      </w:pPr>
      <w:r w:rsidRPr="00000849">
        <w:br w:type="page"/>
      </w:r>
    </w:p>
    <w:p w14:paraId="0F2E3EC4" w14:textId="7907E2CD" w:rsidR="00D90F65" w:rsidRPr="00000849" w:rsidRDefault="00D90F65">
      <w:pPr>
        <w:pStyle w:val="Heading1"/>
      </w:pPr>
      <w:bookmarkStart w:id="5" w:name="_Toc51472065"/>
      <w:bookmarkEnd w:id="4"/>
      <w:r w:rsidRPr="00000849">
        <w:lastRenderedPageBreak/>
        <w:t>List of Tables</w:t>
      </w:r>
      <w:bookmarkEnd w:id="5"/>
    </w:p>
    <w:p w14:paraId="7C2A8C16" w14:textId="56EBAC45" w:rsidR="00CE128D" w:rsidRPr="00000849" w:rsidRDefault="00CE128D"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05F8AC70" w14:textId="2BABC091" w:rsidR="00371DED" w:rsidRDefault="00261C53">
      <w:pPr>
        <w:pStyle w:val="TableofFigures"/>
        <w:tabs>
          <w:tab w:val="left" w:pos="1320"/>
          <w:tab w:val="right" w:leader="dot" w:pos="8301"/>
        </w:tabs>
        <w:rPr>
          <w:rFonts w:eastAsiaTheme="minorEastAsia"/>
          <w:noProof/>
          <w:lang w:val="fr-FR" w:eastAsia="fr-FR"/>
        </w:rPr>
      </w:pPr>
      <w:r w:rsidRPr="00000849">
        <w:rPr>
          <w:rFonts w:cstheme="minorHAnsi"/>
          <w:color w:val="383838"/>
        </w:rPr>
        <w:fldChar w:fldCharType="begin"/>
      </w:r>
      <w:r w:rsidRPr="00000849">
        <w:rPr>
          <w:rFonts w:cstheme="minorHAnsi"/>
          <w:color w:val="383838"/>
        </w:rPr>
        <w:instrText xml:space="preserve"> TOC \h \z \c "Table 5." </w:instrText>
      </w:r>
      <w:r w:rsidRPr="00000849">
        <w:rPr>
          <w:rFonts w:cstheme="minorHAnsi"/>
          <w:color w:val="383838"/>
        </w:rPr>
        <w:fldChar w:fldCharType="separate"/>
      </w:r>
      <w:hyperlink w:anchor="_Toc71153629" w:history="1">
        <w:r w:rsidR="00371DED" w:rsidRPr="0090479B">
          <w:rPr>
            <w:rStyle w:val="Hyperlink"/>
            <w:noProof/>
          </w:rPr>
          <w:t xml:space="preserve">Table 1. 1: </w:t>
        </w:r>
        <w:r w:rsidR="00371DED">
          <w:rPr>
            <w:rFonts w:eastAsiaTheme="minorEastAsia"/>
            <w:noProof/>
            <w:lang w:val="fr-FR" w:eastAsia="fr-FR"/>
          </w:rPr>
          <w:tab/>
        </w:r>
        <w:r w:rsidR="00371DED" w:rsidRPr="0090479B">
          <w:rPr>
            <w:rStyle w:val="Hyperlink"/>
            <w:noProof/>
          </w:rPr>
          <w:t xml:space="preserve">Projected population size and proportion aged </w:t>
        </w:r>
        <w:r w:rsidR="00371DED" w:rsidRPr="0090479B">
          <w:rPr>
            <w:rStyle w:val="Hyperlink"/>
            <w:rFonts w:cstheme="minorHAnsi"/>
            <w:noProof/>
          </w:rPr>
          <w:t>≥</w:t>
        </w:r>
        <w:r w:rsidR="00371DED" w:rsidRPr="0090479B">
          <w:rPr>
            <w:rStyle w:val="Hyperlink"/>
            <w:noProof/>
          </w:rPr>
          <w:t>60 years in Ghana by the Ghana Statistical Service (GSS) and the United Nations (UN), 2020-2100</w:t>
        </w:r>
        <w:r w:rsidR="00371DED">
          <w:rPr>
            <w:noProof/>
            <w:webHidden/>
          </w:rPr>
          <w:tab/>
        </w:r>
        <w:r w:rsidR="00371DED">
          <w:rPr>
            <w:noProof/>
            <w:webHidden/>
          </w:rPr>
          <w:fldChar w:fldCharType="begin"/>
        </w:r>
        <w:r w:rsidR="00371DED">
          <w:rPr>
            <w:noProof/>
            <w:webHidden/>
          </w:rPr>
          <w:instrText xml:space="preserve"> PAGEREF _Toc71153629 \h </w:instrText>
        </w:r>
        <w:r w:rsidR="00371DED">
          <w:rPr>
            <w:noProof/>
            <w:webHidden/>
          </w:rPr>
        </w:r>
        <w:r w:rsidR="00371DED">
          <w:rPr>
            <w:noProof/>
            <w:webHidden/>
          </w:rPr>
          <w:fldChar w:fldCharType="separate"/>
        </w:r>
        <w:r w:rsidR="00371DED">
          <w:rPr>
            <w:noProof/>
            <w:webHidden/>
          </w:rPr>
          <w:t>4</w:t>
        </w:r>
        <w:r w:rsidR="00371DED">
          <w:rPr>
            <w:noProof/>
            <w:webHidden/>
          </w:rPr>
          <w:fldChar w:fldCharType="end"/>
        </w:r>
      </w:hyperlink>
    </w:p>
    <w:p w14:paraId="2FFBEEE0" w14:textId="673FB72E" w:rsidR="00371DED" w:rsidRDefault="00C84E75">
      <w:pPr>
        <w:pStyle w:val="TableofFigures"/>
        <w:tabs>
          <w:tab w:val="left" w:pos="1320"/>
          <w:tab w:val="right" w:leader="dot" w:pos="8301"/>
        </w:tabs>
        <w:rPr>
          <w:rFonts w:eastAsiaTheme="minorEastAsia"/>
          <w:noProof/>
          <w:lang w:val="fr-FR" w:eastAsia="fr-FR"/>
        </w:rPr>
      </w:pPr>
      <w:hyperlink w:anchor="_Toc71153630" w:history="1">
        <w:r w:rsidR="00371DED" w:rsidRPr="0090479B">
          <w:rPr>
            <w:rStyle w:val="Hyperlink"/>
            <w:noProof/>
          </w:rPr>
          <w:t xml:space="preserve">Table 1. 2: </w:t>
        </w:r>
        <w:r w:rsidR="00371DED">
          <w:rPr>
            <w:rFonts w:eastAsiaTheme="minorEastAsia"/>
            <w:noProof/>
            <w:lang w:val="fr-FR" w:eastAsia="fr-FR"/>
          </w:rPr>
          <w:tab/>
        </w:r>
        <w:r w:rsidR="00371DED" w:rsidRPr="0090479B">
          <w:rPr>
            <w:rStyle w:val="Hyperlink"/>
            <w:noProof/>
          </w:rPr>
          <w:t>Group cause of death and disability-adjusted life years in adults aged ≥50 years in Ghana in 1990 and 2019</w:t>
        </w:r>
        <w:r w:rsidR="00371DED">
          <w:rPr>
            <w:noProof/>
            <w:webHidden/>
          </w:rPr>
          <w:tab/>
        </w:r>
        <w:r w:rsidR="00371DED">
          <w:rPr>
            <w:noProof/>
            <w:webHidden/>
          </w:rPr>
          <w:fldChar w:fldCharType="begin"/>
        </w:r>
        <w:r w:rsidR="00371DED">
          <w:rPr>
            <w:noProof/>
            <w:webHidden/>
          </w:rPr>
          <w:instrText xml:space="preserve"> PAGEREF _Toc71153630 \h </w:instrText>
        </w:r>
        <w:r w:rsidR="00371DED">
          <w:rPr>
            <w:noProof/>
            <w:webHidden/>
          </w:rPr>
        </w:r>
        <w:r w:rsidR="00371DED">
          <w:rPr>
            <w:noProof/>
            <w:webHidden/>
          </w:rPr>
          <w:fldChar w:fldCharType="separate"/>
        </w:r>
        <w:r w:rsidR="00371DED">
          <w:rPr>
            <w:noProof/>
            <w:webHidden/>
          </w:rPr>
          <w:t>10</w:t>
        </w:r>
        <w:r w:rsidR="00371DED">
          <w:rPr>
            <w:noProof/>
            <w:webHidden/>
          </w:rPr>
          <w:fldChar w:fldCharType="end"/>
        </w:r>
      </w:hyperlink>
    </w:p>
    <w:p w14:paraId="6F07C4F7" w14:textId="71664F96" w:rsidR="00371DED" w:rsidRDefault="00C84E75">
      <w:pPr>
        <w:pStyle w:val="TableofFigures"/>
        <w:tabs>
          <w:tab w:val="left" w:pos="1100"/>
          <w:tab w:val="right" w:leader="dot" w:pos="8301"/>
        </w:tabs>
        <w:rPr>
          <w:rFonts w:eastAsiaTheme="minorEastAsia"/>
          <w:noProof/>
          <w:lang w:val="fr-FR" w:eastAsia="fr-FR"/>
        </w:rPr>
      </w:pPr>
      <w:hyperlink w:anchor="_Toc71153631" w:history="1">
        <w:r w:rsidR="00371DED" w:rsidRPr="0090479B">
          <w:rPr>
            <w:rStyle w:val="Hyperlink"/>
            <w:noProof/>
          </w:rPr>
          <w:t>Table 5.3:</w:t>
        </w:r>
        <w:r w:rsidR="00371DED">
          <w:rPr>
            <w:rFonts w:eastAsiaTheme="minorEastAsia"/>
            <w:noProof/>
            <w:lang w:val="fr-FR" w:eastAsia="fr-FR"/>
          </w:rPr>
          <w:tab/>
        </w:r>
        <w:r w:rsidR="00371DED" w:rsidRPr="0090479B">
          <w:rPr>
            <w:rStyle w:val="Hyperlink"/>
            <w:noProof/>
          </w:rPr>
          <w:t>Weighted prevalence of the grades of hypertension in each study wave</w:t>
        </w:r>
        <w:r w:rsidR="00371DED">
          <w:rPr>
            <w:noProof/>
            <w:webHidden/>
          </w:rPr>
          <w:tab/>
        </w:r>
        <w:r w:rsidR="00371DED">
          <w:rPr>
            <w:noProof/>
            <w:webHidden/>
          </w:rPr>
          <w:fldChar w:fldCharType="begin"/>
        </w:r>
        <w:r w:rsidR="00371DED">
          <w:rPr>
            <w:noProof/>
            <w:webHidden/>
          </w:rPr>
          <w:instrText xml:space="preserve"> PAGEREF _Toc71153631 \h </w:instrText>
        </w:r>
        <w:r w:rsidR="00371DED">
          <w:rPr>
            <w:noProof/>
            <w:webHidden/>
          </w:rPr>
        </w:r>
        <w:r w:rsidR="00371DED">
          <w:rPr>
            <w:noProof/>
            <w:webHidden/>
          </w:rPr>
          <w:fldChar w:fldCharType="separate"/>
        </w:r>
        <w:r w:rsidR="00371DED">
          <w:rPr>
            <w:noProof/>
            <w:webHidden/>
          </w:rPr>
          <w:t>105</w:t>
        </w:r>
        <w:r w:rsidR="00371DED">
          <w:rPr>
            <w:noProof/>
            <w:webHidden/>
          </w:rPr>
          <w:fldChar w:fldCharType="end"/>
        </w:r>
      </w:hyperlink>
    </w:p>
    <w:p w14:paraId="181C1D69" w14:textId="3356FD17" w:rsidR="00371DED" w:rsidRDefault="00C84E75">
      <w:pPr>
        <w:pStyle w:val="TableofFigures"/>
        <w:tabs>
          <w:tab w:val="left" w:pos="1100"/>
          <w:tab w:val="right" w:leader="dot" w:pos="8301"/>
        </w:tabs>
        <w:rPr>
          <w:rFonts w:eastAsiaTheme="minorEastAsia"/>
          <w:noProof/>
          <w:lang w:val="fr-FR" w:eastAsia="fr-FR"/>
        </w:rPr>
      </w:pPr>
      <w:hyperlink w:anchor="_Toc71153632" w:history="1">
        <w:r w:rsidR="00371DED" w:rsidRPr="0090479B">
          <w:rPr>
            <w:rStyle w:val="Hyperlink"/>
            <w:noProof/>
          </w:rPr>
          <w:t>Table 5.4:</w:t>
        </w:r>
        <w:r w:rsidR="00371DED">
          <w:rPr>
            <w:rFonts w:eastAsiaTheme="minorEastAsia"/>
            <w:noProof/>
            <w:lang w:val="fr-FR" w:eastAsia="fr-FR"/>
          </w:rPr>
          <w:tab/>
        </w:r>
        <w:r w:rsidR="00371DED" w:rsidRPr="0090479B">
          <w:rPr>
            <w:rStyle w:val="Hyperlink"/>
            <w:noProof/>
          </w:rPr>
          <w:t>Univariable and multivariable (single and multilevel) logistic regression analysis of determinants of hypertension in study Waves 1 and 2</w:t>
        </w:r>
        <w:r w:rsidR="00371DED">
          <w:rPr>
            <w:noProof/>
            <w:webHidden/>
          </w:rPr>
          <w:tab/>
        </w:r>
        <w:r w:rsidR="00371DED">
          <w:rPr>
            <w:noProof/>
            <w:webHidden/>
          </w:rPr>
          <w:fldChar w:fldCharType="begin"/>
        </w:r>
        <w:r w:rsidR="00371DED">
          <w:rPr>
            <w:noProof/>
            <w:webHidden/>
          </w:rPr>
          <w:instrText xml:space="preserve"> PAGEREF _Toc71153632 \h </w:instrText>
        </w:r>
        <w:r w:rsidR="00371DED">
          <w:rPr>
            <w:noProof/>
            <w:webHidden/>
          </w:rPr>
        </w:r>
        <w:r w:rsidR="00371DED">
          <w:rPr>
            <w:noProof/>
            <w:webHidden/>
          </w:rPr>
          <w:fldChar w:fldCharType="separate"/>
        </w:r>
        <w:r w:rsidR="00371DED">
          <w:rPr>
            <w:noProof/>
            <w:webHidden/>
          </w:rPr>
          <w:t>107</w:t>
        </w:r>
        <w:r w:rsidR="00371DED">
          <w:rPr>
            <w:noProof/>
            <w:webHidden/>
          </w:rPr>
          <w:fldChar w:fldCharType="end"/>
        </w:r>
      </w:hyperlink>
    </w:p>
    <w:p w14:paraId="09A10B5B" w14:textId="05308D40" w:rsidR="00371DED" w:rsidRDefault="00C84E75">
      <w:pPr>
        <w:pStyle w:val="TableofFigures"/>
        <w:tabs>
          <w:tab w:val="left" w:pos="1100"/>
          <w:tab w:val="right" w:leader="dot" w:pos="8301"/>
        </w:tabs>
        <w:rPr>
          <w:rFonts w:eastAsiaTheme="minorEastAsia"/>
          <w:noProof/>
          <w:lang w:val="fr-FR" w:eastAsia="fr-FR"/>
        </w:rPr>
      </w:pPr>
      <w:hyperlink w:anchor="_Toc71153633" w:history="1">
        <w:r w:rsidR="00371DED" w:rsidRPr="0090479B">
          <w:rPr>
            <w:rStyle w:val="Hyperlink"/>
            <w:noProof/>
          </w:rPr>
          <w:t>Table 5.5:</w:t>
        </w:r>
        <w:r w:rsidR="00371DED">
          <w:rPr>
            <w:rFonts w:eastAsiaTheme="minorEastAsia"/>
            <w:noProof/>
            <w:lang w:val="fr-FR" w:eastAsia="fr-FR"/>
          </w:rPr>
          <w:tab/>
        </w:r>
        <w:r w:rsidR="00371DED" w:rsidRPr="0090479B">
          <w:rPr>
            <w:rStyle w:val="Hyperlink"/>
            <w:noProof/>
          </w:rPr>
          <w:t>Selection criteria for single-, two- and three-level multilevel logistic regression analysis of determinants of hypertension in study Waves 1 and 2</w:t>
        </w:r>
        <w:r w:rsidR="00371DED">
          <w:rPr>
            <w:noProof/>
            <w:webHidden/>
          </w:rPr>
          <w:tab/>
        </w:r>
        <w:r w:rsidR="00371DED">
          <w:rPr>
            <w:noProof/>
            <w:webHidden/>
          </w:rPr>
          <w:fldChar w:fldCharType="begin"/>
        </w:r>
        <w:r w:rsidR="00371DED">
          <w:rPr>
            <w:noProof/>
            <w:webHidden/>
          </w:rPr>
          <w:instrText xml:space="preserve"> PAGEREF _Toc71153633 \h </w:instrText>
        </w:r>
        <w:r w:rsidR="00371DED">
          <w:rPr>
            <w:noProof/>
            <w:webHidden/>
          </w:rPr>
        </w:r>
        <w:r w:rsidR="00371DED">
          <w:rPr>
            <w:noProof/>
            <w:webHidden/>
          </w:rPr>
          <w:fldChar w:fldCharType="separate"/>
        </w:r>
        <w:r w:rsidR="00371DED">
          <w:rPr>
            <w:noProof/>
            <w:webHidden/>
          </w:rPr>
          <w:t>115</w:t>
        </w:r>
        <w:r w:rsidR="00371DED">
          <w:rPr>
            <w:noProof/>
            <w:webHidden/>
          </w:rPr>
          <w:fldChar w:fldCharType="end"/>
        </w:r>
      </w:hyperlink>
    </w:p>
    <w:p w14:paraId="023D5D1B" w14:textId="17336A03" w:rsidR="00371DED" w:rsidRDefault="00C84E75">
      <w:pPr>
        <w:pStyle w:val="TableofFigures"/>
        <w:tabs>
          <w:tab w:val="left" w:pos="1100"/>
          <w:tab w:val="right" w:leader="dot" w:pos="8301"/>
        </w:tabs>
        <w:rPr>
          <w:rFonts w:eastAsiaTheme="minorEastAsia"/>
          <w:noProof/>
          <w:lang w:val="fr-FR" w:eastAsia="fr-FR"/>
        </w:rPr>
      </w:pPr>
      <w:hyperlink w:anchor="_Toc71153634" w:history="1">
        <w:r w:rsidR="00371DED" w:rsidRPr="0090479B">
          <w:rPr>
            <w:rStyle w:val="Hyperlink"/>
            <w:noProof/>
          </w:rPr>
          <w:t>Table 5.6:</w:t>
        </w:r>
        <w:r w:rsidR="00371DED">
          <w:rPr>
            <w:rFonts w:eastAsiaTheme="minorEastAsia"/>
            <w:noProof/>
            <w:lang w:val="fr-FR" w:eastAsia="fr-FR"/>
          </w:rPr>
          <w:tab/>
        </w:r>
        <w:r w:rsidR="00371DED" w:rsidRPr="0090479B">
          <w:rPr>
            <w:rStyle w:val="Hyperlink"/>
            <w:noProof/>
          </w:rPr>
          <w:t xml:space="preserve"> Mixed effects longitudinal analyses of determinants of hypertension over the period of study waves 1 and 2, 2007-2015</w:t>
        </w:r>
        <w:r w:rsidR="00371DED">
          <w:rPr>
            <w:noProof/>
            <w:webHidden/>
          </w:rPr>
          <w:tab/>
        </w:r>
        <w:r w:rsidR="00371DED">
          <w:rPr>
            <w:noProof/>
            <w:webHidden/>
          </w:rPr>
          <w:fldChar w:fldCharType="begin"/>
        </w:r>
        <w:r w:rsidR="00371DED">
          <w:rPr>
            <w:noProof/>
            <w:webHidden/>
          </w:rPr>
          <w:instrText xml:space="preserve"> PAGEREF _Toc71153634 \h </w:instrText>
        </w:r>
        <w:r w:rsidR="00371DED">
          <w:rPr>
            <w:noProof/>
            <w:webHidden/>
          </w:rPr>
        </w:r>
        <w:r w:rsidR="00371DED">
          <w:rPr>
            <w:noProof/>
            <w:webHidden/>
          </w:rPr>
          <w:fldChar w:fldCharType="separate"/>
        </w:r>
        <w:r w:rsidR="00371DED">
          <w:rPr>
            <w:noProof/>
            <w:webHidden/>
          </w:rPr>
          <w:t>118</w:t>
        </w:r>
        <w:r w:rsidR="00371DED">
          <w:rPr>
            <w:noProof/>
            <w:webHidden/>
          </w:rPr>
          <w:fldChar w:fldCharType="end"/>
        </w:r>
      </w:hyperlink>
    </w:p>
    <w:p w14:paraId="07298D62" w14:textId="3DEEADC4" w:rsidR="00371DED" w:rsidRDefault="00C84E75">
      <w:pPr>
        <w:pStyle w:val="TableofFigures"/>
        <w:tabs>
          <w:tab w:val="left" w:pos="1100"/>
          <w:tab w:val="right" w:leader="dot" w:pos="8301"/>
        </w:tabs>
        <w:rPr>
          <w:rFonts w:eastAsiaTheme="minorEastAsia"/>
          <w:noProof/>
          <w:lang w:val="fr-FR" w:eastAsia="fr-FR"/>
        </w:rPr>
      </w:pPr>
      <w:hyperlink w:anchor="_Toc71153635" w:history="1">
        <w:r w:rsidR="00371DED" w:rsidRPr="0090479B">
          <w:rPr>
            <w:rStyle w:val="Hyperlink"/>
            <w:noProof/>
          </w:rPr>
          <w:t>Table 5.7:</w:t>
        </w:r>
        <w:r w:rsidR="00371DED">
          <w:rPr>
            <w:rFonts w:eastAsiaTheme="minorEastAsia"/>
            <w:noProof/>
            <w:lang w:val="fr-FR" w:eastAsia="fr-FR"/>
          </w:rPr>
          <w:tab/>
        </w:r>
        <w:r w:rsidR="00371DED" w:rsidRPr="0090479B">
          <w:rPr>
            <w:rStyle w:val="Hyperlink"/>
            <w:noProof/>
          </w:rPr>
          <w:t>Selection criteria for single, two- and three-level multilevel ordinal logistic regression analysis of determinants of hypertension in study Waves 1 and 2</w:t>
        </w:r>
        <w:r w:rsidR="00371DED">
          <w:rPr>
            <w:noProof/>
            <w:webHidden/>
          </w:rPr>
          <w:tab/>
        </w:r>
        <w:r w:rsidR="00371DED">
          <w:rPr>
            <w:noProof/>
            <w:webHidden/>
          </w:rPr>
          <w:fldChar w:fldCharType="begin"/>
        </w:r>
        <w:r w:rsidR="00371DED">
          <w:rPr>
            <w:noProof/>
            <w:webHidden/>
          </w:rPr>
          <w:instrText xml:space="preserve"> PAGEREF _Toc71153635 \h </w:instrText>
        </w:r>
        <w:r w:rsidR="00371DED">
          <w:rPr>
            <w:noProof/>
            <w:webHidden/>
          </w:rPr>
        </w:r>
        <w:r w:rsidR="00371DED">
          <w:rPr>
            <w:noProof/>
            <w:webHidden/>
          </w:rPr>
          <w:fldChar w:fldCharType="separate"/>
        </w:r>
        <w:r w:rsidR="00371DED">
          <w:rPr>
            <w:noProof/>
            <w:webHidden/>
          </w:rPr>
          <w:t>123</w:t>
        </w:r>
        <w:r w:rsidR="00371DED">
          <w:rPr>
            <w:noProof/>
            <w:webHidden/>
          </w:rPr>
          <w:fldChar w:fldCharType="end"/>
        </w:r>
      </w:hyperlink>
    </w:p>
    <w:p w14:paraId="6021A166" w14:textId="38B5B83B" w:rsidR="00371DED" w:rsidRDefault="00C84E75">
      <w:pPr>
        <w:pStyle w:val="TableofFigures"/>
        <w:tabs>
          <w:tab w:val="left" w:pos="1100"/>
          <w:tab w:val="right" w:leader="dot" w:pos="8301"/>
        </w:tabs>
        <w:rPr>
          <w:rFonts w:eastAsiaTheme="minorEastAsia"/>
          <w:noProof/>
          <w:lang w:val="fr-FR" w:eastAsia="fr-FR"/>
        </w:rPr>
      </w:pPr>
      <w:hyperlink w:anchor="_Toc71153636" w:history="1">
        <w:r w:rsidR="00371DED" w:rsidRPr="0090479B">
          <w:rPr>
            <w:rStyle w:val="Hyperlink"/>
            <w:noProof/>
          </w:rPr>
          <w:t>Table 5.8:</w:t>
        </w:r>
        <w:r w:rsidR="00371DED">
          <w:rPr>
            <w:rFonts w:eastAsiaTheme="minorEastAsia"/>
            <w:noProof/>
            <w:lang w:val="fr-FR" w:eastAsia="fr-FR"/>
          </w:rPr>
          <w:tab/>
        </w:r>
        <w:r w:rsidR="00371DED" w:rsidRPr="0090479B">
          <w:rPr>
            <w:rStyle w:val="Hyperlink"/>
            <w:noProof/>
          </w:rPr>
          <w:t xml:space="preserve"> Single and multilevel ordinal logistic regression among study Wave 1 and W2 participants</w:t>
        </w:r>
        <w:r w:rsidR="00371DED">
          <w:rPr>
            <w:noProof/>
            <w:webHidden/>
          </w:rPr>
          <w:tab/>
        </w:r>
        <w:r w:rsidR="00371DED">
          <w:rPr>
            <w:noProof/>
            <w:webHidden/>
          </w:rPr>
          <w:fldChar w:fldCharType="begin"/>
        </w:r>
        <w:r w:rsidR="00371DED">
          <w:rPr>
            <w:noProof/>
            <w:webHidden/>
          </w:rPr>
          <w:instrText xml:space="preserve"> PAGEREF _Toc71153636 \h </w:instrText>
        </w:r>
        <w:r w:rsidR="00371DED">
          <w:rPr>
            <w:noProof/>
            <w:webHidden/>
          </w:rPr>
        </w:r>
        <w:r w:rsidR="00371DED">
          <w:rPr>
            <w:noProof/>
            <w:webHidden/>
          </w:rPr>
          <w:fldChar w:fldCharType="separate"/>
        </w:r>
        <w:r w:rsidR="00371DED">
          <w:rPr>
            <w:noProof/>
            <w:webHidden/>
          </w:rPr>
          <w:t>125</w:t>
        </w:r>
        <w:r w:rsidR="00371DED">
          <w:rPr>
            <w:noProof/>
            <w:webHidden/>
          </w:rPr>
          <w:fldChar w:fldCharType="end"/>
        </w:r>
      </w:hyperlink>
    </w:p>
    <w:p w14:paraId="0539AAC1" w14:textId="1010192E" w:rsidR="00371DED" w:rsidRDefault="00C84E75">
      <w:pPr>
        <w:pStyle w:val="TableofFigures"/>
        <w:tabs>
          <w:tab w:val="left" w:pos="1100"/>
          <w:tab w:val="right" w:leader="dot" w:pos="8301"/>
        </w:tabs>
        <w:rPr>
          <w:rFonts w:eastAsiaTheme="minorEastAsia"/>
          <w:noProof/>
          <w:lang w:val="fr-FR" w:eastAsia="fr-FR"/>
        </w:rPr>
      </w:pPr>
      <w:hyperlink w:anchor="_Toc71153637" w:history="1">
        <w:r w:rsidR="00371DED" w:rsidRPr="0090479B">
          <w:rPr>
            <w:rStyle w:val="Hyperlink"/>
            <w:noProof/>
          </w:rPr>
          <w:t>Table 5.9:</w:t>
        </w:r>
        <w:r w:rsidR="00371DED">
          <w:rPr>
            <w:rFonts w:eastAsiaTheme="minorEastAsia"/>
            <w:noProof/>
            <w:lang w:val="fr-FR" w:eastAsia="fr-FR"/>
          </w:rPr>
          <w:tab/>
        </w:r>
        <w:r w:rsidR="00371DED" w:rsidRPr="0090479B">
          <w:rPr>
            <w:rStyle w:val="Hyperlink"/>
            <w:noProof/>
          </w:rPr>
          <w:t>Weighted proportion of awareness, treatment and control of hypertension in study Wave 1 and study W2 participants</w:t>
        </w:r>
        <w:r w:rsidR="00371DED">
          <w:rPr>
            <w:noProof/>
            <w:webHidden/>
          </w:rPr>
          <w:tab/>
        </w:r>
        <w:r w:rsidR="00371DED">
          <w:rPr>
            <w:noProof/>
            <w:webHidden/>
          </w:rPr>
          <w:fldChar w:fldCharType="begin"/>
        </w:r>
        <w:r w:rsidR="00371DED">
          <w:rPr>
            <w:noProof/>
            <w:webHidden/>
          </w:rPr>
          <w:instrText xml:space="preserve"> PAGEREF _Toc71153637 \h </w:instrText>
        </w:r>
        <w:r w:rsidR="00371DED">
          <w:rPr>
            <w:noProof/>
            <w:webHidden/>
          </w:rPr>
        </w:r>
        <w:r w:rsidR="00371DED">
          <w:rPr>
            <w:noProof/>
            <w:webHidden/>
          </w:rPr>
          <w:fldChar w:fldCharType="separate"/>
        </w:r>
        <w:r w:rsidR="00371DED">
          <w:rPr>
            <w:noProof/>
            <w:webHidden/>
          </w:rPr>
          <w:t>128</w:t>
        </w:r>
        <w:r w:rsidR="00371DED">
          <w:rPr>
            <w:noProof/>
            <w:webHidden/>
          </w:rPr>
          <w:fldChar w:fldCharType="end"/>
        </w:r>
      </w:hyperlink>
    </w:p>
    <w:p w14:paraId="1058571A" w14:textId="64553789" w:rsidR="00371DED" w:rsidRDefault="00C84E75">
      <w:pPr>
        <w:pStyle w:val="TableofFigures"/>
        <w:tabs>
          <w:tab w:val="left" w:pos="1320"/>
          <w:tab w:val="right" w:leader="dot" w:pos="8301"/>
        </w:tabs>
        <w:rPr>
          <w:rFonts w:eastAsiaTheme="minorEastAsia"/>
          <w:noProof/>
          <w:lang w:val="fr-FR" w:eastAsia="fr-FR"/>
        </w:rPr>
      </w:pPr>
      <w:hyperlink w:anchor="_Toc71153638" w:history="1">
        <w:r w:rsidR="00371DED" w:rsidRPr="0090479B">
          <w:rPr>
            <w:rStyle w:val="Hyperlink"/>
            <w:noProof/>
          </w:rPr>
          <w:t>Table 5. 10:</w:t>
        </w:r>
        <w:r w:rsidR="00371DED">
          <w:rPr>
            <w:rFonts w:eastAsiaTheme="minorEastAsia"/>
            <w:noProof/>
            <w:lang w:val="fr-FR" w:eastAsia="fr-FR"/>
          </w:rPr>
          <w:tab/>
        </w:r>
        <w:r w:rsidR="00371DED" w:rsidRPr="0090479B">
          <w:rPr>
            <w:rStyle w:val="Hyperlink"/>
            <w:noProof/>
          </w:rPr>
          <w:t>Weighted prevalence of nil, single or multiple chronic NCD risk factors among study W1 and study W2 participants</w:t>
        </w:r>
        <w:r w:rsidR="00371DED">
          <w:rPr>
            <w:noProof/>
            <w:webHidden/>
          </w:rPr>
          <w:tab/>
        </w:r>
        <w:r w:rsidR="00371DED">
          <w:rPr>
            <w:noProof/>
            <w:webHidden/>
          </w:rPr>
          <w:fldChar w:fldCharType="begin"/>
        </w:r>
        <w:r w:rsidR="00371DED">
          <w:rPr>
            <w:noProof/>
            <w:webHidden/>
          </w:rPr>
          <w:instrText xml:space="preserve"> PAGEREF _Toc71153638 \h </w:instrText>
        </w:r>
        <w:r w:rsidR="00371DED">
          <w:rPr>
            <w:noProof/>
            <w:webHidden/>
          </w:rPr>
        </w:r>
        <w:r w:rsidR="00371DED">
          <w:rPr>
            <w:noProof/>
            <w:webHidden/>
          </w:rPr>
          <w:fldChar w:fldCharType="separate"/>
        </w:r>
        <w:r w:rsidR="00371DED">
          <w:rPr>
            <w:noProof/>
            <w:webHidden/>
          </w:rPr>
          <w:t>130</w:t>
        </w:r>
        <w:r w:rsidR="00371DED">
          <w:rPr>
            <w:noProof/>
            <w:webHidden/>
          </w:rPr>
          <w:fldChar w:fldCharType="end"/>
        </w:r>
      </w:hyperlink>
    </w:p>
    <w:p w14:paraId="281241A2" w14:textId="1485A3D2" w:rsidR="00371DED" w:rsidRDefault="00C84E75">
      <w:pPr>
        <w:pStyle w:val="TableofFigures"/>
        <w:tabs>
          <w:tab w:val="left" w:pos="1320"/>
          <w:tab w:val="right" w:leader="dot" w:pos="8301"/>
        </w:tabs>
        <w:rPr>
          <w:rFonts w:eastAsiaTheme="minorEastAsia"/>
          <w:noProof/>
          <w:lang w:val="fr-FR" w:eastAsia="fr-FR"/>
        </w:rPr>
      </w:pPr>
      <w:hyperlink w:anchor="_Toc71153639" w:history="1">
        <w:r w:rsidR="00371DED" w:rsidRPr="0090479B">
          <w:rPr>
            <w:rStyle w:val="Hyperlink"/>
            <w:noProof/>
          </w:rPr>
          <w:t>Table 5.11:</w:t>
        </w:r>
        <w:r w:rsidR="00371DED">
          <w:rPr>
            <w:rFonts w:eastAsiaTheme="minorEastAsia"/>
            <w:noProof/>
            <w:lang w:val="fr-FR" w:eastAsia="fr-FR"/>
          </w:rPr>
          <w:tab/>
        </w:r>
        <w:r w:rsidR="00371DED" w:rsidRPr="0090479B">
          <w:rPr>
            <w:rStyle w:val="Hyperlink"/>
            <w:noProof/>
          </w:rPr>
          <w:t>Summary of risk factors associated with hypertension or its severity among older adults in different regression models</w:t>
        </w:r>
        <w:r w:rsidR="00371DED">
          <w:rPr>
            <w:noProof/>
            <w:webHidden/>
          </w:rPr>
          <w:tab/>
        </w:r>
        <w:r w:rsidR="00371DED">
          <w:rPr>
            <w:noProof/>
            <w:webHidden/>
          </w:rPr>
          <w:fldChar w:fldCharType="begin"/>
        </w:r>
        <w:r w:rsidR="00371DED">
          <w:rPr>
            <w:noProof/>
            <w:webHidden/>
          </w:rPr>
          <w:instrText xml:space="preserve"> PAGEREF _Toc71153639 \h </w:instrText>
        </w:r>
        <w:r w:rsidR="00371DED">
          <w:rPr>
            <w:noProof/>
            <w:webHidden/>
          </w:rPr>
        </w:r>
        <w:r w:rsidR="00371DED">
          <w:rPr>
            <w:noProof/>
            <w:webHidden/>
          </w:rPr>
          <w:fldChar w:fldCharType="separate"/>
        </w:r>
        <w:r w:rsidR="00371DED">
          <w:rPr>
            <w:noProof/>
            <w:webHidden/>
          </w:rPr>
          <w:t>131</w:t>
        </w:r>
        <w:r w:rsidR="00371DED">
          <w:rPr>
            <w:noProof/>
            <w:webHidden/>
          </w:rPr>
          <w:fldChar w:fldCharType="end"/>
        </w:r>
      </w:hyperlink>
    </w:p>
    <w:p w14:paraId="074D329D" w14:textId="5F6CBEBD" w:rsidR="00CE128D" w:rsidRPr="00000849" w:rsidRDefault="00261C53" w:rsidP="00C12151">
      <w:pPr>
        <w:pStyle w:val="NormalWeb"/>
        <w:shd w:val="clear" w:color="auto" w:fill="FFFFFF"/>
        <w:spacing w:before="0" w:beforeAutospacing="0" w:after="165" w:afterAutospacing="0" w:line="480" w:lineRule="auto"/>
        <w:jc w:val="both"/>
        <w:rPr>
          <w:rFonts w:cstheme="minorHAnsi"/>
          <w:color w:val="383838"/>
        </w:rPr>
      </w:pPr>
      <w:r w:rsidRPr="00000849">
        <w:rPr>
          <w:rFonts w:cstheme="minorHAnsi"/>
          <w:color w:val="383838"/>
        </w:rPr>
        <w:fldChar w:fldCharType="end"/>
      </w:r>
    </w:p>
    <w:p w14:paraId="42EF6591" w14:textId="26F60E55" w:rsidR="00261C53" w:rsidRPr="00000849" w:rsidRDefault="00261C53"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4EC81D5A" w14:textId="77777777" w:rsidR="00B448FE" w:rsidRPr="00000849" w:rsidRDefault="00B448FE"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379B6603" w14:textId="77777777" w:rsidR="00CE128D" w:rsidRPr="00000849" w:rsidRDefault="00CE128D">
      <w:pPr>
        <w:spacing w:after="160" w:line="259" w:lineRule="auto"/>
        <w:rPr>
          <w:rFonts w:ascii="Calibri" w:eastAsia="Times New Roman" w:hAnsi="Calibri" w:cs="Times New Roman"/>
          <w:b/>
          <w:bCs/>
          <w:kern w:val="36"/>
          <w:sz w:val="28"/>
          <w:szCs w:val="48"/>
          <w:lang w:eastAsia="en-GB"/>
        </w:rPr>
      </w:pPr>
      <w:r w:rsidRPr="00000849">
        <w:br w:type="page"/>
      </w:r>
    </w:p>
    <w:p w14:paraId="5FA544AC" w14:textId="5EF4D895" w:rsidR="00CD75DE" w:rsidRPr="00000849" w:rsidRDefault="00CD75DE">
      <w:pPr>
        <w:pStyle w:val="Heading1"/>
      </w:pPr>
      <w:bookmarkStart w:id="6" w:name="_Toc51472066"/>
      <w:r w:rsidRPr="00000849">
        <w:lastRenderedPageBreak/>
        <w:t>List of Figures</w:t>
      </w:r>
      <w:bookmarkEnd w:id="6"/>
    </w:p>
    <w:p w14:paraId="6248748A" w14:textId="4FC34001" w:rsidR="00CE128D" w:rsidRPr="00000849" w:rsidRDefault="00CE128D"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2E948E0E" w14:textId="08BAAE13" w:rsidR="00371DED" w:rsidRDefault="00631EA0">
      <w:pPr>
        <w:pStyle w:val="TableofFigures"/>
        <w:tabs>
          <w:tab w:val="left" w:pos="1100"/>
          <w:tab w:val="right" w:leader="dot" w:pos="8301"/>
        </w:tabs>
        <w:rPr>
          <w:rFonts w:eastAsiaTheme="minorEastAsia"/>
          <w:noProof/>
          <w:lang w:val="fr-FR" w:eastAsia="fr-FR"/>
        </w:rPr>
      </w:pPr>
      <w:r w:rsidRPr="00000849">
        <w:rPr>
          <w:rFonts w:cstheme="minorHAnsi"/>
          <w:color w:val="383838"/>
        </w:rPr>
        <w:fldChar w:fldCharType="begin"/>
      </w:r>
      <w:r w:rsidRPr="00000849">
        <w:rPr>
          <w:rFonts w:cstheme="minorHAnsi"/>
          <w:color w:val="383838"/>
        </w:rPr>
        <w:instrText xml:space="preserve"> TOC \h \z \c "Figure" </w:instrText>
      </w:r>
      <w:r w:rsidRPr="00000849">
        <w:rPr>
          <w:rFonts w:cstheme="minorHAnsi"/>
          <w:color w:val="383838"/>
        </w:rPr>
        <w:fldChar w:fldCharType="separate"/>
      </w:r>
      <w:hyperlink w:anchor="_Toc71153640" w:history="1">
        <w:r w:rsidR="00371DED" w:rsidRPr="0049139B">
          <w:rPr>
            <w:rStyle w:val="Hyperlink"/>
            <w:noProof/>
          </w:rPr>
          <w:t>Figure 1:</w:t>
        </w:r>
        <w:r w:rsidR="00371DED">
          <w:rPr>
            <w:rFonts w:eastAsiaTheme="minorEastAsia"/>
            <w:noProof/>
            <w:lang w:val="fr-FR" w:eastAsia="fr-FR"/>
          </w:rPr>
          <w:tab/>
        </w:r>
        <w:r w:rsidR="00371DED" w:rsidRPr="0049139B">
          <w:rPr>
            <w:rStyle w:val="Hyperlink"/>
            <w:noProof/>
          </w:rPr>
          <w:t>Projected proportion of the population aged 60 years and older in Ghana, Western Africa and Africa, 1950-2100 using data obtained from the United Nations Population Division</w:t>
        </w:r>
        <w:r w:rsidR="00371DED">
          <w:rPr>
            <w:noProof/>
            <w:webHidden/>
          </w:rPr>
          <w:tab/>
        </w:r>
        <w:r w:rsidR="00371DED">
          <w:rPr>
            <w:noProof/>
            <w:webHidden/>
          </w:rPr>
          <w:fldChar w:fldCharType="begin"/>
        </w:r>
        <w:r w:rsidR="00371DED">
          <w:rPr>
            <w:noProof/>
            <w:webHidden/>
          </w:rPr>
          <w:instrText xml:space="preserve"> PAGEREF _Toc71153640 \h </w:instrText>
        </w:r>
        <w:r w:rsidR="00371DED">
          <w:rPr>
            <w:noProof/>
            <w:webHidden/>
          </w:rPr>
        </w:r>
        <w:r w:rsidR="00371DED">
          <w:rPr>
            <w:noProof/>
            <w:webHidden/>
          </w:rPr>
          <w:fldChar w:fldCharType="separate"/>
        </w:r>
        <w:r w:rsidR="00371DED">
          <w:rPr>
            <w:noProof/>
            <w:webHidden/>
          </w:rPr>
          <w:t>4</w:t>
        </w:r>
        <w:r w:rsidR="00371DED">
          <w:rPr>
            <w:noProof/>
            <w:webHidden/>
          </w:rPr>
          <w:fldChar w:fldCharType="end"/>
        </w:r>
      </w:hyperlink>
    </w:p>
    <w:p w14:paraId="141A7E96" w14:textId="60DABE8B" w:rsidR="00371DED" w:rsidRDefault="00C84E75">
      <w:pPr>
        <w:pStyle w:val="TableofFigures"/>
        <w:tabs>
          <w:tab w:val="left" w:pos="1100"/>
          <w:tab w:val="right" w:leader="dot" w:pos="8301"/>
        </w:tabs>
        <w:rPr>
          <w:rFonts w:eastAsiaTheme="minorEastAsia"/>
          <w:noProof/>
          <w:lang w:val="fr-FR" w:eastAsia="fr-FR"/>
        </w:rPr>
      </w:pPr>
      <w:hyperlink w:anchor="_Toc71153641" w:history="1">
        <w:r w:rsidR="00371DED" w:rsidRPr="0049139B">
          <w:rPr>
            <w:rStyle w:val="Hyperlink"/>
            <w:noProof/>
          </w:rPr>
          <w:t>Figure 2:</w:t>
        </w:r>
        <w:r w:rsidR="00371DED">
          <w:rPr>
            <w:rFonts w:eastAsiaTheme="minorEastAsia"/>
            <w:noProof/>
            <w:lang w:val="fr-FR" w:eastAsia="fr-FR"/>
          </w:rPr>
          <w:tab/>
        </w:r>
        <w:r w:rsidR="00371DED" w:rsidRPr="0049139B">
          <w:rPr>
            <w:rStyle w:val="Hyperlink"/>
            <w:noProof/>
          </w:rPr>
          <w:t>Trends in the proportion of the population living in urban areas in Ghana, Western Africa and Sub-Saharan Africa, 1950-2050</w:t>
        </w:r>
        <w:r w:rsidR="00371DED">
          <w:rPr>
            <w:noProof/>
            <w:webHidden/>
          </w:rPr>
          <w:tab/>
        </w:r>
        <w:r w:rsidR="00371DED">
          <w:rPr>
            <w:noProof/>
            <w:webHidden/>
          </w:rPr>
          <w:fldChar w:fldCharType="begin"/>
        </w:r>
        <w:r w:rsidR="00371DED">
          <w:rPr>
            <w:noProof/>
            <w:webHidden/>
          </w:rPr>
          <w:instrText xml:space="preserve"> PAGEREF _Toc71153641 \h </w:instrText>
        </w:r>
        <w:r w:rsidR="00371DED">
          <w:rPr>
            <w:noProof/>
            <w:webHidden/>
          </w:rPr>
        </w:r>
        <w:r w:rsidR="00371DED">
          <w:rPr>
            <w:noProof/>
            <w:webHidden/>
          </w:rPr>
          <w:fldChar w:fldCharType="separate"/>
        </w:r>
        <w:r w:rsidR="00371DED">
          <w:rPr>
            <w:noProof/>
            <w:webHidden/>
          </w:rPr>
          <w:t>6</w:t>
        </w:r>
        <w:r w:rsidR="00371DED">
          <w:rPr>
            <w:noProof/>
            <w:webHidden/>
          </w:rPr>
          <w:fldChar w:fldCharType="end"/>
        </w:r>
      </w:hyperlink>
    </w:p>
    <w:p w14:paraId="57770F9E" w14:textId="748CBAF1" w:rsidR="00371DED" w:rsidRDefault="00C84E75">
      <w:pPr>
        <w:pStyle w:val="TableofFigures"/>
        <w:tabs>
          <w:tab w:val="right" w:leader="dot" w:pos="8301"/>
        </w:tabs>
        <w:rPr>
          <w:rFonts w:eastAsiaTheme="minorEastAsia"/>
          <w:noProof/>
          <w:lang w:val="fr-FR" w:eastAsia="fr-FR"/>
        </w:rPr>
      </w:pPr>
      <w:hyperlink w:anchor="_Toc71153642" w:history="1">
        <w:r w:rsidR="00371DED" w:rsidRPr="0049139B">
          <w:rPr>
            <w:rStyle w:val="Hyperlink"/>
            <w:noProof/>
          </w:rPr>
          <w:t>Figure 3: Forest plot of the prevalence of hypertension in older adults by residence</w:t>
        </w:r>
        <w:r w:rsidR="00371DED">
          <w:rPr>
            <w:noProof/>
            <w:webHidden/>
          </w:rPr>
          <w:tab/>
        </w:r>
        <w:r w:rsidR="00371DED">
          <w:rPr>
            <w:noProof/>
            <w:webHidden/>
          </w:rPr>
          <w:fldChar w:fldCharType="begin"/>
        </w:r>
        <w:r w:rsidR="00371DED">
          <w:rPr>
            <w:noProof/>
            <w:webHidden/>
          </w:rPr>
          <w:instrText xml:space="preserve"> PAGEREF _Toc71153642 \h </w:instrText>
        </w:r>
        <w:r w:rsidR="00371DED">
          <w:rPr>
            <w:noProof/>
            <w:webHidden/>
          </w:rPr>
        </w:r>
        <w:r w:rsidR="00371DED">
          <w:rPr>
            <w:noProof/>
            <w:webHidden/>
          </w:rPr>
          <w:fldChar w:fldCharType="separate"/>
        </w:r>
        <w:r w:rsidR="00371DED">
          <w:rPr>
            <w:noProof/>
            <w:webHidden/>
          </w:rPr>
          <w:t>30</w:t>
        </w:r>
        <w:r w:rsidR="00371DED">
          <w:rPr>
            <w:noProof/>
            <w:webHidden/>
          </w:rPr>
          <w:fldChar w:fldCharType="end"/>
        </w:r>
      </w:hyperlink>
    </w:p>
    <w:p w14:paraId="0D9EF30C" w14:textId="5FB103C5" w:rsidR="00371DED" w:rsidRDefault="00C84E75">
      <w:pPr>
        <w:pStyle w:val="TableofFigures"/>
        <w:tabs>
          <w:tab w:val="right" w:leader="dot" w:pos="8301"/>
        </w:tabs>
        <w:rPr>
          <w:rFonts w:eastAsiaTheme="minorEastAsia"/>
          <w:noProof/>
          <w:lang w:val="fr-FR" w:eastAsia="fr-FR"/>
        </w:rPr>
      </w:pPr>
      <w:hyperlink w:anchor="_Toc71153643" w:history="1">
        <w:r w:rsidR="00371DED" w:rsidRPr="0049139B">
          <w:rPr>
            <w:rStyle w:val="Hyperlink"/>
            <w:noProof/>
          </w:rPr>
          <w:t>Figure 4: Meta-regression analysis showing trend in estimated prevalence of hypertension in Africa by study year</w:t>
        </w:r>
        <w:r w:rsidR="00371DED">
          <w:rPr>
            <w:noProof/>
            <w:webHidden/>
          </w:rPr>
          <w:tab/>
        </w:r>
        <w:r w:rsidR="00371DED">
          <w:rPr>
            <w:noProof/>
            <w:webHidden/>
          </w:rPr>
          <w:fldChar w:fldCharType="begin"/>
        </w:r>
        <w:r w:rsidR="00371DED">
          <w:rPr>
            <w:noProof/>
            <w:webHidden/>
          </w:rPr>
          <w:instrText xml:space="preserve"> PAGEREF _Toc71153643 \h </w:instrText>
        </w:r>
        <w:r w:rsidR="00371DED">
          <w:rPr>
            <w:noProof/>
            <w:webHidden/>
          </w:rPr>
        </w:r>
        <w:r w:rsidR="00371DED">
          <w:rPr>
            <w:noProof/>
            <w:webHidden/>
          </w:rPr>
          <w:fldChar w:fldCharType="separate"/>
        </w:r>
        <w:r w:rsidR="00371DED">
          <w:rPr>
            <w:noProof/>
            <w:webHidden/>
          </w:rPr>
          <w:t>33</w:t>
        </w:r>
        <w:r w:rsidR="00371DED">
          <w:rPr>
            <w:noProof/>
            <w:webHidden/>
          </w:rPr>
          <w:fldChar w:fldCharType="end"/>
        </w:r>
      </w:hyperlink>
    </w:p>
    <w:p w14:paraId="25DED440" w14:textId="77FBBEE4" w:rsidR="00371DED" w:rsidRDefault="00C84E75">
      <w:pPr>
        <w:pStyle w:val="TableofFigures"/>
        <w:tabs>
          <w:tab w:val="right" w:leader="dot" w:pos="8301"/>
        </w:tabs>
        <w:rPr>
          <w:rFonts w:eastAsiaTheme="minorEastAsia"/>
          <w:noProof/>
          <w:lang w:val="fr-FR" w:eastAsia="fr-FR"/>
        </w:rPr>
      </w:pPr>
      <w:hyperlink w:anchor="_Toc71153644" w:history="1">
        <w:r w:rsidR="00371DED" w:rsidRPr="0049139B">
          <w:rPr>
            <w:rStyle w:val="Hyperlink"/>
            <w:noProof/>
          </w:rPr>
          <w:t>Figure 5: Meta-regression analysis showing trend in estimated prevalence of hypertension in Africa by publication year</w:t>
        </w:r>
        <w:r w:rsidR="00371DED">
          <w:rPr>
            <w:noProof/>
            <w:webHidden/>
          </w:rPr>
          <w:tab/>
        </w:r>
        <w:r w:rsidR="00371DED">
          <w:rPr>
            <w:noProof/>
            <w:webHidden/>
          </w:rPr>
          <w:fldChar w:fldCharType="begin"/>
        </w:r>
        <w:r w:rsidR="00371DED">
          <w:rPr>
            <w:noProof/>
            <w:webHidden/>
          </w:rPr>
          <w:instrText xml:space="preserve"> PAGEREF _Toc71153644 \h </w:instrText>
        </w:r>
        <w:r w:rsidR="00371DED">
          <w:rPr>
            <w:noProof/>
            <w:webHidden/>
          </w:rPr>
        </w:r>
        <w:r w:rsidR="00371DED">
          <w:rPr>
            <w:noProof/>
            <w:webHidden/>
          </w:rPr>
          <w:fldChar w:fldCharType="separate"/>
        </w:r>
        <w:r w:rsidR="00371DED">
          <w:rPr>
            <w:noProof/>
            <w:webHidden/>
          </w:rPr>
          <w:t>34</w:t>
        </w:r>
        <w:r w:rsidR="00371DED">
          <w:rPr>
            <w:noProof/>
            <w:webHidden/>
          </w:rPr>
          <w:fldChar w:fldCharType="end"/>
        </w:r>
      </w:hyperlink>
    </w:p>
    <w:p w14:paraId="70815A43" w14:textId="6F5287F2" w:rsidR="00371DED" w:rsidRDefault="00C84E75">
      <w:pPr>
        <w:pStyle w:val="TableofFigures"/>
        <w:tabs>
          <w:tab w:val="right" w:leader="dot" w:pos="8301"/>
        </w:tabs>
        <w:rPr>
          <w:rFonts w:eastAsiaTheme="minorEastAsia"/>
          <w:noProof/>
          <w:lang w:val="fr-FR" w:eastAsia="fr-FR"/>
        </w:rPr>
      </w:pPr>
      <w:hyperlink w:anchor="_Toc71153645" w:history="1">
        <w:r w:rsidR="00371DED" w:rsidRPr="0049139B">
          <w:rPr>
            <w:rStyle w:val="Hyperlink"/>
            <w:noProof/>
          </w:rPr>
          <w:t>Figure 6: Funnel plot of studies reporting prevalence of hypertension in Africa</w:t>
        </w:r>
        <w:r w:rsidR="00371DED">
          <w:rPr>
            <w:noProof/>
            <w:webHidden/>
          </w:rPr>
          <w:tab/>
        </w:r>
        <w:r w:rsidR="00371DED">
          <w:rPr>
            <w:noProof/>
            <w:webHidden/>
          </w:rPr>
          <w:fldChar w:fldCharType="begin"/>
        </w:r>
        <w:r w:rsidR="00371DED">
          <w:rPr>
            <w:noProof/>
            <w:webHidden/>
          </w:rPr>
          <w:instrText xml:space="preserve"> PAGEREF _Toc71153645 \h </w:instrText>
        </w:r>
        <w:r w:rsidR="00371DED">
          <w:rPr>
            <w:noProof/>
            <w:webHidden/>
          </w:rPr>
        </w:r>
        <w:r w:rsidR="00371DED">
          <w:rPr>
            <w:noProof/>
            <w:webHidden/>
          </w:rPr>
          <w:fldChar w:fldCharType="separate"/>
        </w:r>
        <w:r w:rsidR="00371DED">
          <w:rPr>
            <w:noProof/>
            <w:webHidden/>
          </w:rPr>
          <w:t>35</w:t>
        </w:r>
        <w:r w:rsidR="00371DED">
          <w:rPr>
            <w:noProof/>
            <w:webHidden/>
          </w:rPr>
          <w:fldChar w:fldCharType="end"/>
        </w:r>
      </w:hyperlink>
    </w:p>
    <w:p w14:paraId="2D70B354" w14:textId="45E267D0" w:rsidR="00371DED" w:rsidRDefault="00C84E75">
      <w:pPr>
        <w:pStyle w:val="TableofFigures"/>
        <w:tabs>
          <w:tab w:val="left" w:pos="1100"/>
          <w:tab w:val="right" w:leader="dot" w:pos="8301"/>
        </w:tabs>
        <w:rPr>
          <w:rFonts w:eastAsiaTheme="minorEastAsia"/>
          <w:noProof/>
          <w:lang w:val="fr-FR" w:eastAsia="fr-FR"/>
        </w:rPr>
      </w:pPr>
      <w:hyperlink w:anchor="_Toc71153646" w:history="1">
        <w:r w:rsidR="00371DED" w:rsidRPr="0049139B">
          <w:rPr>
            <w:rStyle w:val="Hyperlink"/>
            <w:noProof/>
          </w:rPr>
          <w:t>Figure 7:</w:t>
        </w:r>
        <w:r w:rsidR="00371DED">
          <w:rPr>
            <w:rFonts w:eastAsiaTheme="minorEastAsia"/>
            <w:noProof/>
            <w:lang w:val="fr-FR" w:eastAsia="fr-FR"/>
          </w:rPr>
          <w:tab/>
        </w:r>
        <w:r w:rsidR="00371DED" w:rsidRPr="0049139B">
          <w:rPr>
            <w:rStyle w:val="Hyperlink"/>
            <w:noProof/>
          </w:rPr>
          <w:t>Rowe and Kahn model of successful ageing</w:t>
        </w:r>
        <w:r w:rsidR="00371DED">
          <w:rPr>
            <w:noProof/>
            <w:webHidden/>
          </w:rPr>
          <w:tab/>
        </w:r>
        <w:r w:rsidR="00371DED">
          <w:rPr>
            <w:noProof/>
            <w:webHidden/>
          </w:rPr>
          <w:fldChar w:fldCharType="begin"/>
        </w:r>
        <w:r w:rsidR="00371DED">
          <w:rPr>
            <w:noProof/>
            <w:webHidden/>
          </w:rPr>
          <w:instrText xml:space="preserve"> PAGEREF _Toc71153646 \h </w:instrText>
        </w:r>
        <w:r w:rsidR="00371DED">
          <w:rPr>
            <w:noProof/>
            <w:webHidden/>
          </w:rPr>
        </w:r>
        <w:r w:rsidR="00371DED">
          <w:rPr>
            <w:noProof/>
            <w:webHidden/>
          </w:rPr>
          <w:fldChar w:fldCharType="separate"/>
        </w:r>
        <w:r w:rsidR="00371DED">
          <w:rPr>
            <w:noProof/>
            <w:webHidden/>
          </w:rPr>
          <w:t>56</w:t>
        </w:r>
        <w:r w:rsidR="00371DED">
          <w:rPr>
            <w:noProof/>
            <w:webHidden/>
          </w:rPr>
          <w:fldChar w:fldCharType="end"/>
        </w:r>
      </w:hyperlink>
    </w:p>
    <w:p w14:paraId="579C6213" w14:textId="36139FF5" w:rsidR="00371DED" w:rsidRDefault="00C84E75">
      <w:pPr>
        <w:pStyle w:val="TableofFigures"/>
        <w:tabs>
          <w:tab w:val="left" w:pos="1100"/>
          <w:tab w:val="right" w:leader="dot" w:pos="8301"/>
        </w:tabs>
        <w:rPr>
          <w:rFonts w:eastAsiaTheme="minorEastAsia"/>
          <w:noProof/>
          <w:lang w:val="fr-FR" w:eastAsia="fr-FR"/>
        </w:rPr>
      </w:pPr>
      <w:hyperlink w:anchor="_Toc71153647" w:history="1">
        <w:r w:rsidR="00371DED" w:rsidRPr="0049139B">
          <w:rPr>
            <w:rStyle w:val="Hyperlink"/>
            <w:noProof/>
          </w:rPr>
          <w:t>Figure 8:</w:t>
        </w:r>
        <w:r w:rsidR="00371DED">
          <w:rPr>
            <w:rFonts w:eastAsiaTheme="minorEastAsia"/>
            <w:noProof/>
            <w:lang w:val="fr-FR" w:eastAsia="fr-FR"/>
          </w:rPr>
          <w:tab/>
        </w:r>
        <w:r w:rsidR="00371DED" w:rsidRPr="0049139B">
          <w:rPr>
            <w:rStyle w:val="Hyperlink"/>
            <w:noProof/>
          </w:rPr>
          <w:t>Conceptual framework, interfaced with the Rowe and Kahn model for successful ageing and the social determinants of health, for the analysis of factors associated with hypertension in older adults in Ghana and</w:t>
        </w:r>
        <w:r w:rsidR="00371DED">
          <w:rPr>
            <w:noProof/>
            <w:webHidden/>
          </w:rPr>
          <w:tab/>
        </w:r>
        <w:r w:rsidR="00371DED">
          <w:rPr>
            <w:noProof/>
            <w:webHidden/>
          </w:rPr>
          <w:fldChar w:fldCharType="begin"/>
        </w:r>
        <w:r w:rsidR="00371DED">
          <w:rPr>
            <w:noProof/>
            <w:webHidden/>
          </w:rPr>
          <w:instrText xml:space="preserve"> PAGEREF _Toc71153647 \h </w:instrText>
        </w:r>
        <w:r w:rsidR="00371DED">
          <w:rPr>
            <w:noProof/>
            <w:webHidden/>
          </w:rPr>
        </w:r>
        <w:r w:rsidR="00371DED">
          <w:rPr>
            <w:noProof/>
            <w:webHidden/>
          </w:rPr>
          <w:fldChar w:fldCharType="separate"/>
        </w:r>
        <w:r w:rsidR="00371DED">
          <w:rPr>
            <w:noProof/>
            <w:webHidden/>
          </w:rPr>
          <w:t>63</w:t>
        </w:r>
        <w:r w:rsidR="00371DED">
          <w:rPr>
            <w:noProof/>
            <w:webHidden/>
          </w:rPr>
          <w:fldChar w:fldCharType="end"/>
        </w:r>
      </w:hyperlink>
    </w:p>
    <w:p w14:paraId="256B5476" w14:textId="390C356F" w:rsidR="00371DED" w:rsidRDefault="00C84E75">
      <w:pPr>
        <w:pStyle w:val="TableofFigures"/>
        <w:tabs>
          <w:tab w:val="left" w:pos="1100"/>
          <w:tab w:val="right" w:leader="dot" w:pos="8301"/>
        </w:tabs>
        <w:rPr>
          <w:rFonts w:eastAsiaTheme="minorEastAsia"/>
          <w:noProof/>
          <w:lang w:val="fr-FR" w:eastAsia="fr-FR"/>
        </w:rPr>
      </w:pPr>
      <w:hyperlink w:anchor="_Toc71153648" w:history="1">
        <w:r w:rsidR="00371DED" w:rsidRPr="0049139B">
          <w:rPr>
            <w:rStyle w:val="Hyperlink"/>
            <w:noProof/>
          </w:rPr>
          <w:t>Figure 9:</w:t>
        </w:r>
        <w:r w:rsidR="00371DED">
          <w:rPr>
            <w:rFonts w:eastAsiaTheme="minorEastAsia"/>
            <w:noProof/>
            <w:lang w:val="fr-FR" w:eastAsia="fr-FR"/>
          </w:rPr>
          <w:tab/>
        </w:r>
        <w:r w:rsidR="00371DED" w:rsidRPr="0049139B">
          <w:rPr>
            <w:rStyle w:val="Hyperlink"/>
            <w:noProof/>
          </w:rPr>
          <w:t>Schematic diagram illustrating the sampling process in Ghana SAGE Waves 1 and 2</w:t>
        </w:r>
        <w:r w:rsidR="00371DED">
          <w:rPr>
            <w:noProof/>
            <w:webHidden/>
          </w:rPr>
          <w:tab/>
        </w:r>
        <w:r w:rsidR="00371DED">
          <w:rPr>
            <w:noProof/>
            <w:webHidden/>
          </w:rPr>
          <w:fldChar w:fldCharType="begin"/>
        </w:r>
        <w:r w:rsidR="00371DED">
          <w:rPr>
            <w:noProof/>
            <w:webHidden/>
          </w:rPr>
          <w:instrText xml:space="preserve"> PAGEREF _Toc71153648 \h </w:instrText>
        </w:r>
        <w:r w:rsidR="00371DED">
          <w:rPr>
            <w:noProof/>
            <w:webHidden/>
          </w:rPr>
        </w:r>
        <w:r w:rsidR="00371DED">
          <w:rPr>
            <w:noProof/>
            <w:webHidden/>
          </w:rPr>
          <w:fldChar w:fldCharType="separate"/>
        </w:r>
        <w:r w:rsidR="00371DED">
          <w:rPr>
            <w:noProof/>
            <w:webHidden/>
          </w:rPr>
          <w:t>68</w:t>
        </w:r>
        <w:r w:rsidR="00371DED">
          <w:rPr>
            <w:noProof/>
            <w:webHidden/>
          </w:rPr>
          <w:fldChar w:fldCharType="end"/>
        </w:r>
      </w:hyperlink>
    </w:p>
    <w:p w14:paraId="2193F960" w14:textId="75A0AAFA" w:rsidR="00371DED" w:rsidRDefault="00C84E75">
      <w:pPr>
        <w:pStyle w:val="TableofFigures"/>
        <w:tabs>
          <w:tab w:val="left" w:pos="1320"/>
          <w:tab w:val="right" w:leader="dot" w:pos="8301"/>
        </w:tabs>
        <w:rPr>
          <w:rFonts w:eastAsiaTheme="minorEastAsia"/>
          <w:noProof/>
          <w:lang w:val="fr-FR" w:eastAsia="fr-FR"/>
        </w:rPr>
      </w:pPr>
      <w:hyperlink w:anchor="_Toc71153649" w:history="1">
        <w:r w:rsidR="00371DED" w:rsidRPr="0049139B">
          <w:rPr>
            <w:rStyle w:val="Hyperlink"/>
            <w:noProof/>
          </w:rPr>
          <w:t>Figure 10:</w:t>
        </w:r>
        <w:r w:rsidR="00371DED">
          <w:rPr>
            <w:rFonts w:eastAsiaTheme="minorEastAsia"/>
            <w:noProof/>
            <w:lang w:val="fr-FR" w:eastAsia="fr-FR"/>
          </w:rPr>
          <w:tab/>
        </w:r>
        <w:r w:rsidR="00371DED" w:rsidRPr="0049139B">
          <w:rPr>
            <w:rStyle w:val="Hyperlink"/>
            <w:noProof/>
          </w:rPr>
          <w:t>Signpost of services available at an Aged Clinic in an urban centre in Ghana</w:t>
        </w:r>
        <w:r w:rsidR="00371DED">
          <w:rPr>
            <w:noProof/>
            <w:webHidden/>
          </w:rPr>
          <w:tab/>
        </w:r>
        <w:r w:rsidR="00371DED">
          <w:rPr>
            <w:noProof/>
            <w:webHidden/>
          </w:rPr>
          <w:fldChar w:fldCharType="begin"/>
        </w:r>
        <w:r w:rsidR="00371DED">
          <w:rPr>
            <w:noProof/>
            <w:webHidden/>
          </w:rPr>
          <w:instrText xml:space="preserve"> PAGEREF _Toc71153649 \h </w:instrText>
        </w:r>
        <w:r w:rsidR="00371DED">
          <w:rPr>
            <w:noProof/>
            <w:webHidden/>
          </w:rPr>
        </w:r>
        <w:r w:rsidR="00371DED">
          <w:rPr>
            <w:noProof/>
            <w:webHidden/>
          </w:rPr>
          <w:fldChar w:fldCharType="separate"/>
        </w:r>
        <w:r w:rsidR="00371DED">
          <w:rPr>
            <w:noProof/>
            <w:webHidden/>
          </w:rPr>
          <w:t>169</w:t>
        </w:r>
        <w:r w:rsidR="00371DED">
          <w:rPr>
            <w:noProof/>
            <w:webHidden/>
          </w:rPr>
          <w:fldChar w:fldCharType="end"/>
        </w:r>
      </w:hyperlink>
    </w:p>
    <w:p w14:paraId="10ABCE38" w14:textId="44D2AECB" w:rsidR="00CE128D" w:rsidRPr="00000849" w:rsidRDefault="00631EA0" w:rsidP="00FD3BF5">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fldChar w:fldCharType="end"/>
      </w:r>
    </w:p>
    <w:p w14:paraId="5C36E51D" w14:textId="77777777" w:rsidR="00631EA0" w:rsidRPr="00000849" w:rsidRDefault="00631EA0"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2A12E607" w14:textId="77777777" w:rsidR="00CE128D" w:rsidRPr="00000849" w:rsidRDefault="00CE128D">
      <w:pPr>
        <w:spacing w:after="160" w:line="259" w:lineRule="auto"/>
        <w:rPr>
          <w:rFonts w:ascii="Calibri" w:eastAsia="Times New Roman" w:hAnsi="Calibri" w:cs="Times New Roman"/>
          <w:b/>
          <w:bCs/>
          <w:kern w:val="36"/>
          <w:sz w:val="28"/>
          <w:szCs w:val="48"/>
          <w:lang w:eastAsia="en-GB"/>
        </w:rPr>
      </w:pPr>
      <w:r w:rsidRPr="00000849">
        <w:br w:type="page"/>
      </w:r>
    </w:p>
    <w:p w14:paraId="320F7069" w14:textId="3EA8B1F3" w:rsidR="00CD75DE" w:rsidRPr="00000849" w:rsidRDefault="00DC5300">
      <w:pPr>
        <w:pStyle w:val="Heading1"/>
      </w:pPr>
      <w:bookmarkStart w:id="7" w:name="_Toc51472067"/>
      <w:r w:rsidRPr="00000849">
        <w:lastRenderedPageBreak/>
        <w:t xml:space="preserve">List of </w:t>
      </w:r>
      <w:r w:rsidR="004953B6" w:rsidRPr="00000849">
        <w:t>Abbreviation</w:t>
      </w:r>
      <w:r w:rsidR="00BE40B6" w:rsidRPr="00000849">
        <w:t>s</w:t>
      </w:r>
      <w:bookmarkEnd w:id="7"/>
    </w:p>
    <w:p w14:paraId="15584C21" w14:textId="77777777" w:rsidR="00CE128D" w:rsidRPr="00000849" w:rsidRDefault="00CE128D">
      <w:pPr>
        <w:spacing w:after="160" w:line="259" w:lineRule="auto"/>
      </w:pPr>
    </w:p>
    <w:tbl>
      <w:tblPr>
        <w:tblW w:w="0" w:type="auto"/>
        <w:tblLook w:val="04A0" w:firstRow="1" w:lastRow="0" w:firstColumn="1" w:lastColumn="0" w:noHBand="0" w:noVBand="1"/>
      </w:tblPr>
      <w:tblGrid>
        <w:gridCol w:w="1555"/>
        <w:gridCol w:w="6633"/>
      </w:tblGrid>
      <w:tr w:rsidR="00A76F12" w:rsidRPr="00000849" w14:paraId="44B92A39" w14:textId="77777777" w:rsidTr="00143B7E">
        <w:tc>
          <w:tcPr>
            <w:tcW w:w="1555" w:type="dxa"/>
            <w:vAlign w:val="center"/>
          </w:tcPr>
          <w:p w14:paraId="776D5B9C" w14:textId="77777777" w:rsidR="00A76F12" w:rsidRPr="00000849" w:rsidRDefault="00A76F12">
            <w:pPr>
              <w:spacing w:after="160" w:line="259" w:lineRule="auto"/>
              <w:rPr>
                <w:sz w:val="20"/>
                <w:szCs w:val="20"/>
              </w:rPr>
            </w:pPr>
          </w:p>
        </w:tc>
        <w:tc>
          <w:tcPr>
            <w:tcW w:w="6633" w:type="dxa"/>
            <w:vAlign w:val="center"/>
          </w:tcPr>
          <w:p w14:paraId="396076C5" w14:textId="77777777" w:rsidR="00A76F12" w:rsidRPr="00000849" w:rsidRDefault="00A76F12">
            <w:pPr>
              <w:spacing w:after="160" w:line="259" w:lineRule="auto"/>
              <w:rPr>
                <w:sz w:val="20"/>
                <w:szCs w:val="20"/>
              </w:rPr>
            </w:pPr>
          </w:p>
        </w:tc>
      </w:tr>
      <w:tr w:rsidR="005B535D" w:rsidRPr="00000849" w14:paraId="212A9ED0" w14:textId="77777777" w:rsidTr="00143B7E">
        <w:tc>
          <w:tcPr>
            <w:tcW w:w="1555" w:type="dxa"/>
            <w:vAlign w:val="center"/>
          </w:tcPr>
          <w:p w14:paraId="748AF4CE" w14:textId="01C0E173" w:rsidR="005B535D" w:rsidRPr="00000849" w:rsidRDefault="005B535D">
            <w:pPr>
              <w:spacing w:after="160" w:line="259" w:lineRule="auto"/>
              <w:rPr>
                <w:sz w:val="20"/>
                <w:szCs w:val="20"/>
              </w:rPr>
            </w:pPr>
            <w:r w:rsidRPr="00000849">
              <w:rPr>
                <w:sz w:val="20"/>
                <w:szCs w:val="20"/>
              </w:rPr>
              <w:t>ADL</w:t>
            </w:r>
          </w:p>
        </w:tc>
        <w:tc>
          <w:tcPr>
            <w:tcW w:w="6633" w:type="dxa"/>
            <w:vAlign w:val="center"/>
          </w:tcPr>
          <w:p w14:paraId="11DE8896" w14:textId="06522F7D" w:rsidR="005B535D" w:rsidRPr="00000849" w:rsidRDefault="005B535D">
            <w:pPr>
              <w:spacing w:after="160" w:line="259" w:lineRule="auto"/>
              <w:rPr>
                <w:sz w:val="20"/>
                <w:szCs w:val="20"/>
              </w:rPr>
            </w:pPr>
            <w:r w:rsidRPr="00000849">
              <w:rPr>
                <w:rFonts w:cstheme="minorHAnsi"/>
                <w:sz w:val="20"/>
                <w:szCs w:val="20"/>
              </w:rPr>
              <w:t>Activities of Daily Living</w:t>
            </w:r>
          </w:p>
        </w:tc>
      </w:tr>
      <w:tr w:rsidR="00A74CE8" w:rsidRPr="00000849" w14:paraId="5AF3D36E" w14:textId="77777777" w:rsidTr="00143B7E">
        <w:tc>
          <w:tcPr>
            <w:tcW w:w="1555" w:type="dxa"/>
            <w:vAlign w:val="center"/>
          </w:tcPr>
          <w:p w14:paraId="186929E5" w14:textId="0D44BFE7" w:rsidR="00A74CE8" w:rsidRPr="00000849" w:rsidRDefault="00A74CE8">
            <w:pPr>
              <w:spacing w:after="160" w:line="259" w:lineRule="auto"/>
              <w:rPr>
                <w:sz w:val="20"/>
                <w:szCs w:val="20"/>
              </w:rPr>
            </w:pPr>
            <w:r w:rsidRPr="00000849">
              <w:rPr>
                <w:sz w:val="20"/>
                <w:szCs w:val="20"/>
              </w:rPr>
              <w:t>AIC</w:t>
            </w:r>
          </w:p>
        </w:tc>
        <w:tc>
          <w:tcPr>
            <w:tcW w:w="6633" w:type="dxa"/>
            <w:vAlign w:val="center"/>
          </w:tcPr>
          <w:p w14:paraId="1578EB9E" w14:textId="7A9FEE07" w:rsidR="00A74CE8" w:rsidRPr="00000849" w:rsidRDefault="00A74CE8">
            <w:pPr>
              <w:spacing w:after="160" w:line="259" w:lineRule="auto"/>
              <w:rPr>
                <w:sz w:val="20"/>
                <w:szCs w:val="20"/>
              </w:rPr>
            </w:pPr>
            <w:r w:rsidRPr="00000849">
              <w:rPr>
                <w:sz w:val="20"/>
                <w:szCs w:val="20"/>
              </w:rPr>
              <w:t xml:space="preserve">Akaike’s Information Criterion  </w:t>
            </w:r>
          </w:p>
        </w:tc>
      </w:tr>
      <w:tr w:rsidR="00A74CE8" w:rsidRPr="00000849" w14:paraId="76D1B988" w14:textId="77777777" w:rsidTr="00143B7E">
        <w:tc>
          <w:tcPr>
            <w:tcW w:w="1555" w:type="dxa"/>
            <w:vAlign w:val="center"/>
          </w:tcPr>
          <w:p w14:paraId="450EAD6F" w14:textId="579D3667" w:rsidR="00A74CE8" w:rsidRPr="00000849" w:rsidRDefault="00A74CE8">
            <w:pPr>
              <w:spacing w:after="160" w:line="259" w:lineRule="auto"/>
              <w:rPr>
                <w:sz w:val="20"/>
                <w:szCs w:val="20"/>
              </w:rPr>
            </w:pPr>
            <w:r w:rsidRPr="00000849">
              <w:rPr>
                <w:sz w:val="20"/>
                <w:szCs w:val="20"/>
              </w:rPr>
              <w:t>BIC</w:t>
            </w:r>
          </w:p>
        </w:tc>
        <w:tc>
          <w:tcPr>
            <w:tcW w:w="6633" w:type="dxa"/>
            <w:vAlign w:val="center"/>
          </w:tcPr>
          <w:p w14:paraId="5F2057B6" w14:textId="3FFDB27C" w:rsidR="00A74CE8" w:rsidRPr="00000849" w:rsidRDefault="00A74CE8">
            <w:pPr>
              <w:spacing w:after="160" w:line="259" w:lineRule="auto"/>
              <w:rPr>
                <w:sz w:val="20"/>
                <w:szCs w:val="20"/>
              </w:rPr>
            </w:pPr>
            <w:r w:rsidRPr="00000849">
              <w:rPr>
                <w:sz w:val="20"/>
                <w:szCs w:val="20"/>
              </w:rPr>
              <w:t>Bayesian Information Criterion</w:t>
            </w:r>
          </w:p>
        </w:tc>
      </w:tr>
      <w:tr w:rsidR="00324870" w:rsidRPr="00000849" w14:paraId="162C7ABA" w14:textId="77777777" w:rsidTr="00143B7E">
        <w:tc>
          <w:tcPr>
            <w:tcW w:w="1555" w:type="dxa"/>
            <w:vAlign w:val="center"/>
          </w:tcPr>
          <w:p w14:paraId="0E95B190" w14:textId="77777777" w:rsidR="00324870" w:rsidRPr="00000849" w:rsidRDefault="00324870">
            <w:pPr>
              <w:spacing w:after="160" w:line="259" w:lineRule="auto"/>
              <w:rPr>
                <w:sz w:val="20"/>
                <w:szCs w:val="20"/>
              </w:rPr>
            </w:pPr>
            <w:r w:rsidRPr="00000849">
              <w:rPr>
                <w:sz w:val="20"/>
                <w:szCs w:val="20"/>
              </w:rPr>
              <w:t>BMI</w:t>
            </w:r>
          </w:p>
        </w:tc>
        <w:tc>
          <w:tcPr>
            <w:tcW w:w="6633" w:type="dxa"/>
            <w:vAlign w:val="center"/>
          </w:tcPr>
          <w:p w14:paraId="1FC9A786" w14:textId="77777777" w:rsidR="00324870" w:rsidRPr="00000849" w:rsidRDefault="00324870">
            <w:pPr>
              <w:spacing w:after="160" w:line="259" w:lineRule="auto"/>
              <w:rPr>
                <w:sz w:val="20"/>
                <w:szCs w:val="20"/>
              </w:rPr>
            </w:pPr>
            <w:r w:rsidRPr="00000849">
              <w:rPr>
                <w:sz w:val="20"/>
                <w:szCs w:val="20"/>
              </w:rPr>
              <w:t>Body Mass Index</w:t>
            </w:r>
          </w:p>
        </w:tc>
      </w:tr>
      <w:tr w:rsidR="00A74CE8" w:rsidRPr="00000849" w14:paraId="2048D733" w14:textId="77777777" w:rsidTr="00143B7E">
        <w:tc>
          <w:tcPr>
            <w:tcW w:w="1555" w:type="dxa"/>
            <w:vAlign w:val="center"/>
          </w:tcPr>
          <w:p w14:paraId="5D06A77A" w14:textId="014CC971" w:rsidR="00A74CE8" w:rsidRPr="00000849" w:rsidRDefault="00A74CE8">
            <w:pPr>
              <w:spacing w:after="160" w:line="259" w:lineRule="auto"/>
              <w:rPr>
                <w:sz w:val="20"/>
                <w:szCs w:val="20"/>
              </w:rPr>
            </w:pPr>
            <w:r w:rsidRPr="00000849">
              <w:rPr>
                <w:sz w:val="20"/>
                <w:szCs w:val="20"/>
              </w:rPr>
              <w:t>BP</w:t>
            </w:r>
          </w:p>
        </w:tc>
        <w:tc>
          <w:tcPr>
            <w:tcW w:w="6633" w:type="dxa"/>
            <w:vAlign w:val="center"/>
          </w:tcPr>
          <w:p w14:paraId="6353C8BD" w14:textId="6783FC0D" w:rsidR="00A74CE8" w:rsidRPr="00000849" w:rsidRDefault="00A74CE8">
            <w:pPr>
              <w:spacing w:after="160" w:line="259" w:lineRule="auto"/>
              <w:rPr>
                <w:sz w:val="20"/>
                <w:szCs w:val="20"/>
              </w:rPr>
            </w:pPr>
            <w:r w:rsidRPr="00000849">
              <w:rPr>
                <w:sz w:val="20"/>
                <w:szCs w:val="20"/>
              </w:rPr>
              <w:t>Blood Pressure</w:t>
            </w:r>
          </w:p>
        </w:tc>
      </w:tr>
      <w:tr w:rsidR="00A74CE8" w:rsidRPr="00000849" w14:paraId="4EB4AE65" w14:textId="77777777" w:rsidTr="00143B7E">
        <w:tc>
          <w:tcPr>
            <w:tcW w:w="1555" w:type="dxa"/>
            <w:vAlign w:val="center"/>
          </w:tcPr>
          <w:p w14:paraId="0B830E91" w14:textId="72A48C48" w:rsidR="00A74CE8" w:rsidRPr="00000849" w:rsidRDefault="00A74CE8">
            <w:pPr>
              <w:spacing w:after="160" w:line="259" w:lineRule="auto"/>
              <w:rPr>
                <w:sz w:val="20"/>
                <w:szCs w:val="20"/>
              </w:rPr>
            </w:pPr>
            <w:r w:rsidRPr="00000849">
              <w:rPr>
                <w:sz w:val="20"/>
                <w:szCs w:val="20"/>
              </w:rPr>
              <w:t>CAR</w:t>
            </w:r>
          </w:p>
        </w:tc>
        <w:tc>
          <w:tcPr>
            <w:tcW w:w="6633" w:type="dxa"/>
            <w:vAlign w:val="center"/>
          </w:tcPr>
          <w:p w14:paraId="3DD27A90" w14:textId="342E262F" w:rsidR="00A74CE8" w:rsidRPr="00000849" w:rsidRDefault="00A74CE8">
            <w:pPr>
              <w:spacing w:after="160" w:line="259" w:lineRule="auto"/>
              <w:rPr>
                <w:sz w:val="20"/>
                <w:szCs w:val="20"/>
              </w:rPr>
            </w:pPr>
            <w:r w:rsidRPr="00000849">
              <w:rPr>
                <w:sz w:val="20"/>
                <w:szCs w:val="20"/>
              </w:rPr>
              <w:t>Central African Republic</w:t>
            </w:r>
          </w:p>
        </w:tc>
      </w:tr>
      <w:tr w:rsidR="00A74CE8" w:rsidRPr="00000849" w14:paraId="3268A16A" w14:textId="77777777" w:rsidTr="00143B7E">
        <w:tc>
          <w:tcPr>
            <w:tcW w:w="1555" w:type="dxa"/>
            <w:vAlign w:val="center"/>
          </w:tcPr>
          <w:p w14:paraId="1BB7B608" w14:textId="29F762B2" w:rsidR="00A74CE8" w:rsidRPr="00000849" w:rsidRDefault="00A74CE8">
            <w:pPr>
              <w:spacing w:after="160" w:line="259" w:lineRule="auto"/>
              <w:rPr>
                <w:sz w:val="20"/>
                <w:szCs w:val="20"/>
              </w:rPr>
            </w:pPr>
            <w:r w:rsidRPr="00000849">
              <w:rPr>
                <w:sz w:val="20"/>
                <w:szCs w:val="20"/>
              </w:rPr>
              <w:t>CI</w:t>
            </w:r>
          </w:p>
        </w:tc>
        <w:tc>
          <w:tcPr>
            <w:tcW w:w="6633" w:type="dxa"/>
            <w:vAlign w:val="center"/>
          </w:tcPr>
          <w:p w14:paraId="71CF226D" w14:textId="45FB1D6C" w:rsidR="00A74CE8" w:rsidRPr="00000849" w:rsidRDefault="00A74CE8">
            <w:pPr>
              <w:spacing w:after="160" w:line="259" w:lineRule="auto"/>
              <w:rPr>
                <w:sz w:val="20"/>
                <w:szCs w:val="20"/>
              </w:rPr>
            </w:pPr>
            <w:r w:rsidRPr="00000849">
              <w:rPr>
                <w:sz w:val="20"/>
                <w:szCs w:val="20"/>
              </w:rPr>
              <w:t>Confidence Interval</w:t>
            </w:r>
          </w:p>
        </w:tc>
      </w:tr>
      <w:tr w:rsidR="00A76F12" w:rsidRPr="00000849" w14:paraId="16165FDD" w14:textId="77777777" w:rsidTr="00143B7E">
        <w:tc>
          <w:tcPr>
            <w:tcW w:w="1555" w:type="dxa"/>
            <w:vAlign w:val="center"/>
          </w:tcPr>
          <w:p w14:paraId="436CEA24" w14:textId="77777777" w:rsidR="00A76F12" w:rsidRPr="00000849" w:rsidRDefault="00A76F12">
            <w:pPr>
              <w:spacing w:after="160" w:line="259" w:lineRule="auto"/>
              <w:rPr>
                <w:sz w:val="20"/>
                <w:szCs w:val="20"/>
              </w:rPr>
            </w:pPr>
            <w:r w:rsidRPr="00000849">
              <w:rPr>
                <w:sz w:val="20"/>
                <w:szCs w:val="20"/>
              </w:rPr>
              <w:t>CVD</w:t>
            </w:r>
          </w:p>
        </w:tc>
        <w:tc>
          <w:tcPr>
            <w:tcW w:w="6633" w:type="dxa"/>
            <w:vAlign w:val="center"/>
          </w:tcPr>
          <w:p w14:paraId="445F463D" w14:textId="77777777" w:rsidR="00A76F12" w:rsidRPr="00000849" w:rsidRDefault="00A76F12">
            <w:pPr>
              <w:spacing w:after="160" w:line="259" w:lineRule="auto"/>
              <w:rPr>
                <w:sz w:val="20"/>
                <w:szCs w:val="20"/>
              </w:rPr>
            </w:pPr>
            <w:r w:rsidRPr="00000849">
              <w:rPr>
                <w:sz w:val="20"/>
                <w:szCs w:val="20"/>
              </w:rPr>
              <w:t>Cardiovascular Diseases</w:t>
            </w:r>
          </w:p>
        </w:tc>
      </w:tr>
      <w:tr w:rsidR="00A76F12" w:rsidRPr="00000849" w14:paraId="387ABC04" w14:textId="77777777" w:rsidTr="00143B7E">
        <w:tc>
          <w:tcPr>
            <w:tcW w:w="1555" w:type="dxa"/>
            <w:vAlign w:val="center"/>
          </w:tcPr>
          <w:p w14:paraId="1BD3531B" w14:textId="77777777" w:rsidR="00A76F12" w:rsidRPr="00000849" w:rsidRDefault="00A76F12">
            <w:pPr>
              <w:spacing w:after="160" w:line="259" w:lineRule="auto"/>
              <w:rPr>
                <w:sz w:val="20"/>
                <w:szCs w:val="20"/>
              </w:rPr>
            </w:pPr>
            <w:r w:rsidRPr="00000849">
              <w:rPr>
                <w:sz w:val="20"/>
                <w:szCs w:val="20"/>
              </w:rPr>
              <w:t>DALY</w:t>
            </w:r>
          </w:p>
        </w:tc>
        <w:tc>
          <w:tcPr>
            <w:tcW w:w="6633" w:type="dxa"/>
            <w:vAlign w:val="center"/>
          </w:tcPr>
          <w:p w14:paraId="1527F1FA" w14:textId="0C289DC0" w:rsidR="00A76F12" w:rsidRPr="00000849" w:rsidRDefault="00D118B2">
            <w:pPr>
              <w:spacing w:after="160" w:line="259" w:lineRule="auto"/>
              <w:rPr>
                <w:rFonts w:cstheme="minorHAnsi"/>
                <w:sz w:val="20"/>
                <w:szCs w:val="20"/>
              </w:rPr>
            </w:pPr>
            <w:r w:rsidRPr="00000849">
              <w:rPr>
                <w:rFonts w:cstheme="minorHAnsi"/>
                <w:sz w:val="20"/>
                <w:szCs w:val="20"/>
              </w:rPr>
              <w:t>Disability-Adjusted Life Year</w:t>
            </w:r>
          </w:p>
        </w:tc>
      </w:tr>
      <w:tr w:rsidR="00DD0EFB" w:rsidRPr="00000849" w14:paraId="3136405E" w14:textId="77777777" w:rsidTr="00143B7E">
        <w:tc>
          <w:tcPr>
            <w:tcW w:w="1555" w:type="dxa"/>
            <w:vAlign w:val="center"/>
          </w:tcPr>
          <w:p w14:paraId="0D0EC337" w14:textId="0E75A5EC" w:rsidR="00DD0EFB" w:rsidRPr="00000849" w:rsidRDefault="00DD0EFB">
            <w:pPr>
              <w:spacing w:after="160" w:line="259" w:lineRule="auto"/>
              <w:rPr>
                <w:sz w:val="20"/>
                <w:szCs w:val="20"/>
              </w:rPr>
            </w:pPr>
            <w:r w:rsidRPr="00000849">
              <w:rPr>
                <w:sz w:val="20"/>
                <w:szCs w:val="20"/>
              </w:rPr>
              <w:t>DBP</w:t>
            </w:r>
          </w:p>
        </w:tc>
        <w:tc>
          <w:tcPr>
            <w:tcW w:w="6633" w:type="dxa"/>
            <w:vAlign w:val="center"/>
          </w:tcPr>
          <w:p w14:paraId="0A63C982" w14:textId="141330E1" w:rsidR="00DD0EFB" w:rsidRPr="00000849" w:rsidRDefault="00DD0EFB">
            <w:pPr>
              <w:spacing w:after="160" w:line="259" w:lineRule="auto"/>
              <w:rPr>
                <w:rFonts w:cstheme="minorHAnsi"/>
                <w:sz w:val="20"/>
                <w:szCs w:val="20"/>
              </w:rPr>
            </w:pPr>
            <w:r w:rsidRPr="00000849">
              <w:rPr>
                <w:rFonts w:cstheme="minorHAnsi"/>
                <w:sz w:val="20"/>
                <w:szCs w:val="20"/>
              </w:rPr>
              <w:t>Diastolic Blood Pressure</w:t>
            </w:r>
          </w:p>
        </w:tc>
      </w:tr>
      <w:tr w:rsidR="00DD0EFB" w:rsidRPr="00000849" w14:paraId="246C2E8E" w14:textId="77777777" w:rsidTr="00143B7E">
        <w:tc>
          <w:tcPr>
            <w:tcW w:w="1555" w:type="dxa"/>
            <w:vAlign w:val="center"/>
          </w:tcPr>
          <w:p w14:paraId="2DE41E85" w14:textId="1F2A8334" w:rsidR="00DD0EFB" w:rsidRPr="00000849" w:rsidRDefault="00DD0EFB">
            <w:pPr>
              <w:spacing w:after="160" w:line="259" w:lineRule="auto"/>
              <w:rPr>
                <w:sz w:val="20"/>
                <w:szCs w:val="20"/>
              </w:rPr>
            </w:pPr>
            <w:r w:rsidRPr="00000849">
              <w:rPr>
                <w:sz w:val="20"/>
                <w:szCs w:val="20"/>
              </w:rPr>
              <w:t>DTHN</w:t>
            </w:r>
          </w:p>
        </w:tc>
        <w:tc>
          <w:tcPr>
            <w:tcW w:w="6633" w:type="dxa"/>
            <w:vAlign w:val="center"/>
          </w:tcPr>
          <w:p w14:paraId="237396C8" w14:textId="6026D14A" w:rsidR="00DD0EFB" w:rsidRPr="00000849" w:rsidRDefault="00DD0EFB">
            <w:pPr>
              <w:spacing w:after="160" w:line="259" w:lineRule="auto"/>
              <w:rPr>
                <w:rFonts w:cstheme="minorHAnsi"/>
                <w:sz w:val="20"/>
                <w:szCs w:val="20"/>
              </w:rPr>
            </w:pPr>
            <w:r w:rsidRPr="00000849">
              <w:rPr>
                <w:rFonts w:cstheme="minorHAnsi"/>
                <w:sz w:val="20"/>
                <w:szCs w:val="20"/>
              </w:rPr>
              <w:t>Diastolic Hypertension</w:t>
            </w:r>
          </w:p>
        </w:tc>
      </w:tr>
      <w:tr w:rsidR="00EE5271" w:rsidRPr="00000849" w14:paraId="697EAE0F" w14:textId="77777777" w:rsidTr="00143B7E">
        <w:tc>
          <w:tcPr>
            <w:tcW w:w="1555" w:type="dxa"/>
            <w:vAlign w:val="center"/>
          </w:tcPr>
          <w:p w14:paraId="0D45B3E6" w14:textId="5D6CB691" w:rsidR="00EE5271" w:rsidRPr="00000849" w:rsidRDefault="00EE5271">
            <w:pPr>
              <w:spacing w:after="160" w:line="259" w:lineRule="auto"/>
              <w:rPr>
                <w:sz w:val="20"/>
                <w:szCs w:val="20"/>
              </w:rPr>
            </w:pPr>
            <w:r w:rsidRPr="00000849">
              <w:rPr>
                <w:sz w:val="20"/>
                <w:szCs w:val="20"/>
              </w:rPr>
              <w:t>EA</w:t>
            </w:r>
          </w:p>
        </w:tc>
        <w:tc>
          <w:tcPr>
            <w:tcW w:w="6633" w:type="dxa"/>
            <w:vAlign w:val="center"/>
          </w:tcPr>
          <w:p w14:paraId="46133255" w14:textId="6297D8BF" w:rsidR="00EE5271" w:rsidRPr="00000849" w:rsidRDefault="00EE5271">
            <w:pPr>
              <w:spacing w:after="160" w:line="259" w:lineRule="auto"/>
              <w:rPr>
                <w:rFonts w:cstheme="minorHAnsi"/>
                <w:color w:val="383838"/>
                <w:sz w:val="20"/>
                <w:szCs w:val="20"/>
              </w:rPr>
            </w:pPr>
            <w:r w:rsidRPr="00000849">
              <w:rPr>
                <w:rFonts w:cstheme="minorHAnsi"/>
                <w:color w:val="383838"/>
                <w:sz w:val="20"/>
                <w:szCs w:val="20"/>
              </w:rPr>
              <w:t>Enumeration Area</w:t>
            </w:r>
          </w:p>
        </w:tc>
      </w:tr>
      <w:tr w:rsidR="00A74CE8" w:rsidRPr="00000849" w14:paraId="40D195F2" w14:textId="77777777" w:rsidTr="00143B7E">
        <w:tc>
          <w:tcPr>
            <w:tcW w:w="1555" w:type="dxa"/>
            <w:vAlign w:val="center"/>
          </w:tcPr>
          <w:p w14:paraId="79737F01" w14:textId="1F809BC6" w:rsidR="00A74CE8" w:rsidRPr="00000849" w:rsidRDefault="00A74CE8">
            <w:pPr>
              <w:spacing w:after="160" w:line="259" w:lineRule="auto"/>
              <w:rPr>
                <w:sz w:val="20"/>
                <w:szCs w:val="20"/>
              </w:rPr>
            </w:pPr>
            <w:r w:rsidRPr="00000849">
              <w:rPr>
                <w:sz w:val="20"/>
                <w:szCs w:val="20"/>
              </w:rPr>
              <w:t>GAR</w:t>
            </w:r>
          </w:p>
        </w:tc>
        <w:tc>
          <w:tcPr>
            <w:tcW w:w="6633" w:type="dxa"/>
            <w:vAlign w:val="center"/>
          </w:tcPr>
          <w:p w14:paraId="5EDC345C" w14:textId="071B15F7" w:rsidR="00A74CE8" w:rsidRPr="00000849" w:rsidRDefault="00A74CE8">
            <w:pPr>
              <w:spacing w:after="160" w:line="259" w:lineRule="auto"/>
              <w:rPr>
                <w:rFonts w:cstheme="minorHAnsi"/>
                <w:color w:val="383838"/>
                <w:sz w:val="20"/>
                <w:szCs w:val="20"/>
              </w:rPr>
            </w:pPr>
            <w:r w:rsidRPr="00000849">
              <w:rPr>
                <w:rFonts w:cstheme="minorHAnsi"/>
                <w:color w:val="383838"/>
                <w:sz w:val="20"/>
                <w:szCs w:val="20"/>
              </w:rPr>
              <w:t>Greater Accra Region</w:t>
            </w:r>
          </w:p>
        </w:tc>
      </w:tr>
      <w:tr w:rsidR="00EE5271" w:rsidRPr="00000849" w14:paraId="0CB1FEBE" w14:textId="77777777" w:rsidTr="00143B7E">
        <w:tc>
          <w:tcPr>
            <w:tcW w:w="1555" w:type="dxa"/>
            <w:vAlign w:val="center"/>
          </w:tcPr>
          <w:p w14:paraId="40A1E852" w14:textId="6E1B9E64" w:rsidR="00EE5271" w:rsidRPr="00000849" w:rsidRDefault="00EE5271">
            <w:pPr>
              <w:spacing w:after="160" w:line="259" w:lineRule="auto"/>
              <w:rPr>
                <w:sz w:val="20"/>
                <w:szCs w:val="20"/>
              </w:rPr>
            </w:pPr>
            <w:r w:rsidRPr="00000849">
              <w:rPr>
                <w:sz w:val="20"/>
                <w:szCs w:val="20"/>
              </w:rPr>
              <w:t>GBD</w:t>
            </w:r>
          </w:p>
        </w:tc>
        <w:tc>
          <w:tcPr>
            <w:tcW w:w="6633" w:type="dxa"/>
            <w:vAlign w:val="center"/>
          </w:tcPr>
          <w:p w14:paraId="1E5A63C3" w14:textId="5587E35D" w:rsidR="00EE5271" w:rsidRPr="00000849" w:rsidRDefault="00EE5271">
            <w:pPr>
              <w:spacing w:after="160" w:line="259" w:lineRule="auto"/>
              <w:rPr>
                <w:rFonts w:cstheme="minorHAnsi"/>
                <w:color w:val="383838"/>
                <w:sz w:val="20"/>
                <w:szCs w:val="20"/>
              </w:rPr>
            </w:pPr>
            <w:r w:rsidRPr="00000849">
              <w:rPr>
                <w:rFonts w:cstheme="minorHAnsi"/>
                <w:color w:val="383838"/>
                <w:sz w:val="20"/>
                <w:szCs w:val="20"/>
              </w:rPr>
              <w:t>Global Burden of Disease</w:t>
            </w:r>
          </w:p>
        </w:tc>
      </w:tr>
      <w:tr w:rsidR="00437DC3" w:rsidRPr="00000849" w14:paraId="443629EC" w14:textId="77777777" w:rsidTr="00143B7E">
        <w:tc>
          <w:tcPr>
            <w:tcW w:w="1555" w:type="dxa"/>
            <w:vAlign w:val="center"/>
          </w:tcPr>
          <w:p w14:paraId="0806080A" w14:textId="432C4123" w:rsidR="00437DC3" w:rsidRPr="00000849" w:rsidRDefault="00437DC3">
            <w:pPr>
              <w:spacing w:after="160" w:line="259" w:lineRule="auto"/>
              <w:rPr>
                <w:sz w:val="20"/>
                <w:szCs w:val="20"/>
              </w:rPr>
            </w:pPr>
            <w:r w:rsidRPr="00000849">
              <w:rPr>
                <w:sz w:val="20"/>
                <w:szCs w:val="20"/>
              </w:rPr>
              <w:t>GDHS</w:t>
            </w:r>
          </w:p>
        </w:tc>
        <w:tc>
          <w:tcPr>
            <w:tcW w:w="6633" w:type="dxa"/>
            <w:vAlign w:val="center"/>
          </w:tcPr>
          <w:p w14:paraId="6A6F2047" w14:textId="6CF30C50" w:rsidR="00437DC3" w:rsidRPr="00000849" w:rsidRDefault="00437DC3">
            <w:pPr>
              <w:spacing w:after="160" w:line="259" w:lineRule="auto"/>
              <w:rPr>
                <w:rFonts w:cstheme="minorHAnsi"/>
                <w:sz w:val="20"/>
                <w:szCs w:val="20"/>
              </w:rPr>
            </w:pPr>
            <w:r w:rsidRPr="00000849">
              <w:rPr>
                <w:rFonts w:cstheme="minorHAnsi"/>
                <w:color w:val="383838"/>
                <w:sz w:val="20"/>
                <w:szCs w:val="20"/>
              </w:rPr>
              <w:t>Ghana Demographic and Health Survey</w:t>
            </w:r>
          </w:p>
        </w:tc>
      </w:tr>
      <w:tr w:rsidR="00A74CE8" w:rsidRPr="00000849" w14:paraId="44C774BE" w14:textId="77777777" w:rsidTr="00143B7E">
        <w:tc>
          <w:tcPr>
            <w:tcW w:w="1555" w:type="dxa"/>
            <w:vAlign w:val="center"/>
          </w:tcPr>
          <w:p w14:paraId="39800423" w14:textId="529B087F" w:rsidR="00A74CE8" w:rsidRPr="00000849" w:rsidRDefault="00A74CE8">
            <w:pPr>
              <w:spacing w:after="160" w:line="259" w:lineRule="auto"/>
              <w:rPr>
                <w:sz w:val="20"/>
                <w:szCs w:val="20"/>
              </w:rPr>
            </w:pPr>
            <w:r w:rsidRPr="00000849">
              <w:rPr>
                <w:sz w:val="20"/>
                <w:szCs w:val="20"/>
              </w:rPr>
              <w:t>GLSS</w:t>
            </w:r>
          </w:p>
        </w:tc>
        <w:tc>
          <w:tcPr>
            <w:tcW w:w="6633" w:type="dxa"/>
            <w:vAlign w:val="center"/>
          </w:tcPr>
          <w:p w14:paraId="7F2B8CDA" w14:textId="0711DE7D" w:rsidR="00A74CE8" w:rsidRPr="00000849" w:rsidRDefault="00A74CE8">
            <w:pPr>
              <w:spacing w:after="160" w:line="259" w:lineRule="auto"/>
              <w:rPr>
                <w:rFonts w:cstheme="minorHAnsi"/>
                <w:color w:val="383838"/>
                <w:sz w:val="20"/>
                <w:szCs w:val="20"/>
              </w:rPr>
            </w:pPr>
            <w:r w:rsidRPr="00000849">
              <w:rPr>
                <w:rFonts w:cstheme="minorHAnsi"/>
                <w:color w:val="383838"/>
                <w:sz w:val="20"/>
                <w:szCs w:val="20"/>
              </w:rPr>
              <w:t>Ghana Living Standards Survey</w:t>
            </w:r>
          </w:p>
        </w:tc>
      </w:tr>
      <w:tr w:rsidR="00870DBF" w:rsidRPr="00000849" w14:paraId="3F77AC5A" w14:textId="77777777" w:rsidTr="00143B7E">
        <w:tc>
          <w:tcPr>
            <w:tcW w:w="1555" w:type="dxa"/>
            <w:vAlign w:val="center"/>
          </w:tcPr>
          <w:p w14:paraId="7CAE0A9E" w14:textId="17A2B19E" w:rsidR="00870DBF" w:rsidRPr="00000849" w:rsidRDefault="00870DBF">
            <w:pPr>
              <w:spacing w:after="160" w:line="259" w:lineRule="auto"/>
              <w:rPr>
                <w:sz w:val="20"/>
                <w:szCs w:val="20"/>
              </w:rPr>
            </w:pPr>
            <w:r w:rsidRPr="00000849">
              <w:rPr>
                <w:sz w:val="20"/>
                <w:szCs w:val="20"/>
              </w:rPr>
              <w:t>GOG</w:t>
            </w:r>
          </w:p>
        </w:tc>
        <w:tc>
          <w:tcPr>
            <w:tcW w:w="6633" w:type="dxa"/>
            <w:vAlign w:val="center"/>
          </w:tcPr>
          <w:p w14:paraId="3BDA4436" w14:textId="0B75B1F0" w:rsidR="00870DBF" w:rsidRPr="00000849" w:rsidRDefault="00870DBF">
            <w:pPr>
              <w:spacing w:after="160" w:line="259" w:lineRule="auto"/>
              <w:rPr>
                <w:rFonts w:cstheme="minorHAnsi"/>
                <w:color w:val="383838"/>
                <w:sz w:val="20"/>
                <w:szCs w:val="20"/>
              </w:rPr>
            </w:pPr>
            <w:r w:rsidRPr="00000849">
              <w:rPr>
                <w:rFonts w:cstheme="minorHAnsi"/>
                <w:color w:val="383838"/>
                <w:sz w:val="20"/>
                <w:szCs w:val="20"/>
              </w:rPr>
              <w:t>Government of Ghana</w:t>
            </w:r>
          </w:p>
        </w:tc>
      </w:tr>
      <w:tr w:rsidR="007F1B53" w:rsidRPr="00000849" w14:paraId="5B375D45" w14:textId="77777777" w:rsidTr="00143B7E">
        <w:tc>
          <w:tcPr>
            <w:tcW w:w="1555" w:type="dxa"/>
            <w:vAlign w:val="center"/>
          </w:tcPr>
          <w:p w14:paraId="1AD56EAA" w14:textId="4B86DFD0" w:rsidR="007F1B53" w:rsidRPr="00000849" w:rsidRDefault="007F1B53">
            <w:pPr>
              <w:spacing w:after="160" w:line="259" w:lineRule="auto"/>
              <w:rPr>
                <w:sz w:val="20"/>
                <w:szCs w:val="20"/>
              </w:rPr>
            </w:pPr>
            <w:r w:rsidRPr="00000849">
              <w:rPr>
                <w:sz w:val="20"/>
                <w:szCs w:val="20"/>
              </w:rPr>
              <w:t>GSS</w:t>
            </w:r>
          </w:p>
        </w:tc>
        <w:tc>
          <w:tcPr>
            <w:tcW w:w="6633" w:type="dxa"/>
            <w:vAlign w:val="center"/>
          </w:tcPr>
          <w:p w14:paraId="090335E6" w14:textId="756CAF29" w:rsidR="007F1B53" w:rsidRPr="00000849" w:rsidRDefault="007F1B53">
            <w:pPr>
              <w:spacing w:after="160" w:line="259" w:lineRule="auto"/>
              <w:rPr>
                <w:rFonts w:cstheme="minorHAnsi"/>
                <w:color w:val="383838"/>
                <w:sz w:val="20"/>
                <w:szCs w:val="20"/>
              </w:rPr>
            </w:pPr>
            <w:r w:rsidRPr="00000849">
              <w:rPr>
                <w:rFonts w:cstheme="minorHAnsi"/>
                <w:color w:val="383838"/>
                <w:sz w:val="20"/>
                <w:szCs w:val="20"/>
              </w:rPr>
              <w:t>Ghana Statistical Service</w:t>
            </w:r>
          </w:p>
        </w:tc>
      </w:tr>
      <w:tr w:rsidR="00A624A9" w:rsidRPr="00000849" w14:paraId="4331ECDC" w14:textId="77777777" w:rsidTr="00143B7E">
        <w:tc>
          <w:tcPr>
            <w:tcW w:w="1555" w:type="dxa"/>
            <w:vAlign w:val="center"/>
          </w:tcPr>
          <w:p w14:paraId="578BC822" w14:textId="77777777" w:rsidR="00A624A9" w:rsidRPr="00000849" w:rsidRDefault="00A624A9">
            <w:pPr>
              <w:spacing w:after="160" w:line="259" w:lineRule="auto"/>
              <w:rPr>
                <w:sz w:val="20"/>
                <w:szCs w:val="20"/>
              </w:rPr>
            </w:pPr>
            <w:r w:rsidRPr="00000849">
              <w:rPr>
                <w:sz w:val="20"/>
                <w:szCs w:val="20"/>
              </w:rPr>
              <w:t>HBP</w:t>
            </w:r>
          </w:p>
        </w:tc>
        <w:tc>
          <w:tcPr>
            <w:tcW w:w="6633" w:type="dxa"/>
            <w:vAlign w:val="center"/>
          </w:tcPr>
          <w:p w14:paraId="2889A2A9" w14:textId="324E050A" w:rsidR="00A624A9" w:rsidRPr="00000849" w:rsidRDefault="00D118B2">
            <w:pPr>
              <w:spacing w:after="160" w:line="259" w:lineRule="auto"/>
              <w:rPr>
                <w:rFonts w:cstheme="minorHAnsi"/>
                <w:sz w:val="20"/>
                <w:szCs w:val="20"/>
              </w:rPr>
            </w:pPr>
            <w:r w:rsidRPr="00000849">
              <w:rPr>
                <w:rFonts w:cstheme="minorHAnsi"/>
                <w:sz w:val="20"/>
                <w:szCs w:val="20"/>
              </w:rPr>
              <w:t>High Blood Pressure</w:t>
            </w:r>
          </w:p>
        </w:tc>
      </w:tr>
      <w:tr w:rsidR="00E211A8" w:rsidRPr="00000849" w14:paraId="5A83D604" w14:textId="77777777" w:rsidTr="00143B7E">
        <w:tc>
          <w:tcPr>
            <w:tcW w:w="1555" w:type="dxa"/>
            <w:vAlign w:val="center"/>
          </w:tcPr>
          <w:p w14:paraId="34DF65E9" w14:textId="59F0EED5" w:rsidR="00E211A8" w:rsidRPr="00000849" w:rsidRDefault="00E211A8">
            <w:pPr>
              <w:spacing w:after="160" w:line="259" w:lineRule="auto"/>
              <w:rPr>
                <w:sz w:val="20"/>
                <w:szCs w:val="20"/>
              </w:rPr>
            </w:pPr>
            <w:r w:rsidRPr="00000849">
              <w:rPr>
                <w:sz w:val="20"/>
                <w:szCs w:val="20"/>
              </w:rPr>
              <w:t>HC</w:t>
            </w:r>
          </w:p>
        </w:tc>
        <w:tc>
          <w:tcPr>
            <w:tcW w:w="6633" w:type="dxa"/>
            <w:vAlign w:val="center"/>
          </w:tcPr>
          <w:p w14:paraId="79555AA8" w14:textId="0A323510" w:rsidR="00E211A8" w:rsidRPr="00000849" w:rsidRDefault="00E211A8">
            <w:pPr>
              <w:spacing w:after="160" w:line="259" w:lineRule="auto"/>
              <w:rPr>
                <w:rFonts w:cstheme="minorHAnsi"/>
                <w:sz w:val="20"/>
                <w:szCs w:val="20"/>
              </w:rPr>
            </w:pPr>
            <w:r w:rsidRPr="00000849">
              <w:rPr>
                <w:sz w:val="20"/>
                <w:szCs w:val="20"/>
              </w:rPr>
              <w:t>Hip Circumference</w:t>
            </w:r>
          </w:p>
        </w:tc>
      </w:tr>
      <w:tr w:rsidR="007F1B53" w:rsidRPr="00000849" w14:paraId="0B5353C7" w14:textId="77777777" w:rsidTr="00143B7E">
        <w:tc>
          <w:tcPr>
            <w:tcW w:w="1555" w:type="dxa"/>
            <w:vAlign w:val="center"/>
          </w:tcPr>
          <w:p w14:paraId="7079FE67" w14:textId="56574C91" w:rsidR="007F1B53" w:rsidRPr="00000849" w:rsidRDefault="007F1B53">
            <w:pPr>
              <w:spacing w:after="160" w:line="259" w:lineRule="auto"/>
              <w:rPr>
                <w:sz w:val="20"/>
                <w:szCs w:val="20"/>
              </w:rPr>
            </w:pPr>
            <w:r w:rsidRPr="00000849">
              <w:rPr>
                <w:sz w:val="20"/>
                <w:szCs w:val="20"/>
              </w:rPr>
              <w:t>HIC</w:t>
            </w:r>
          </w:p>
        </w:tc>
        <w:tc>
          <w:tcPr>
            <w:tcW w:w="6633" w:type="dxa"/>
            <w:vAlign w:val="center"/>
          </w:tcPr>
          <w:p w14:paraId="13219B66" w14:textId="76F8FA9E" w:rsidR="007F1B53" w:rsidRPr="00000849" w:rsidRDefault="007F1B53">
            <w:pPr>
              <w:spacing w:after="160" w:line="259" w:lineRule="auto"/>
              <w:rPr>
                <w:rFonts w:cstheme="minorHAnsi"/>
                <w:sz w:val="20"/>
                <w:szCs w:val="20"/>
              </w:rPr>
            </w:pPr>
            <w:r w:rsidRPr="00000849">
              <w:rPr>
                <w:rFonts w:cstheme="minorHAnsi"/>
                <w:sz w:val="20"/>
                <w:szCs w:val="20"/>
              </w:rPr>
              <w:t>High-Income Country</w:t>
            </w:r>
          </w:p>
        </w:tc>
      </w:tr>
      <w:tr w:rsidR="00A76F12" w:rsidRPr="00000849" w14:paraId="7953F878" w14:textId="77777777" w:rsidTr="00143B7E">
        <w:tc>
          <w:tcPr>
            <w:tcW w:w="1555" w:type="dxa"/>
            <w:vAlign w:val="center"/>
          </w:tcPr>
          <w:p w14:paraId="6D5887FD" w14:textId="77777777" w:rsidR="00A76F12" w:rsidRPr="00000849" w:rsidRDefault="00A76F12">
            <w:pPr>
              <w:spacing w:after="160" w:line="259" w:lineRule="auto"/>
              <w:rPr>
                <w:sz w:val="20"/>
                <w:szCs w:val="20"/>
              </w:rPr>
            </w:pPr>
            <w:r w:rsidRPr="00000849">
              <w:rPr>
                <w:sz w:val="20"/>
                <w:szCs w:val="20"/>
              </w:rPr>
              <w:t>HIV</w:t>
            </w:r>
          </w:p>
        </w:tc>
        <w:tc>
          <w:tcPr>
            <w:tcW w:w="6633" w:type="dxa"/>
            <w:vAlign w:val="center"/>
          </w:tcPr>
          <w:p w14:paraId="7865ED77" w14:textId="27BAF20A" w:rsidR="00A76F12" w:rsidRPr="00000849" w:rsidRDefault="00A76F12">
            <w:pPr>
              <w:spacing w:after="160" w:line="259" w:lineRule="auto"/>
              <w:rPr>
                <w:sz w:val="20"/>
                <w:szCs w:val="20"/>
              </w:rPr>
            </w:pPr>
            <w:r w:rsidRPr="00000849">
              <w:rPr>
                <w:sz w:val="20"/>
                <w:szCs w:val="20"/>
              </w:rPr>
              <w:t xml:space="preserve">Human Immunodeficiency </w:t>
            </w:r>
            <w:r w:rsidR="00EE5271" w:rsidRPr="00000849">
              <w:rPr>
                <w:sz w:val="20"/>
                <w:szCs w:val="20"/>
              </w:rPr>
              <w:t>Virus</w:t>
            </w:r>
          </w:p>
        </w:tc>
      </w:tr>
      <w:tr w:rsidR="007F1B53" w:rsidRPr="00000849" w14:paraId="223AE7B1" w14:textId="77777777" w:rsidTr="00143B7E">
        <w:tc>
          <w:tcPr>
            <w:tcW w:w="1555" w:type="dxa"/>
            <w:vAlign w:val="center"/>
          </w:tcPr>
          <w:p w14:paraId="356FB25C" w14:textId="77777777" w:rsidR="007F1B53" w:rsidRPr="00000849" w:rsidRDefault="007F1B53" w:rsidP="009D4073">
            <w:pPr>
              <w:spacing w:after="160" w:line="259" w:lineRule="auto"/>
              <w:rPr>
                <w:sz w:val="20"/>
                <w:szCs w:val="20"/>
              </w:rPr>
            </w:pPr>
            <w:r w:rsidRPr="00000849">
              <w:rPr>
                <w:sz w:val="20"/>
                <w:szCs w:val="20"/>
              </w:rPr>
              <w:t>HTN</w:t>
            </w:r>
          </w:p>
        </w:tc>
        <w:tc>
          <w:tcPr>
            <w:tcW w:w="6633" w:type="dxa"/>
            <w:vAlign w:val="center"/>
          </w:tcPr>
          <w:p w14:paraId="191A54FB" w14:textId="77777777" w:rsidR="007F1B53" w:rsidRPr="00000849" w:rsidRDefault="007F1B53" w:rsidP="009D4073">
            <w:pPr>
              <w:spacing w:after="160" w:line="259" w:lineRule="auto"/>
              <w:rPr>
                <w:sz w:val="20"/>
                <w:szCs w:val="20"/>
              </w:rPr>
            </w:pPr>
            <w:r w:rsidRPr="00000849">
              <w:rPr>
                <w:sz w:val="20"/>
                <w:szCs w:val="20"/>
              </w:rPr>
              <w:t>Hypertension</w:t>
            </w:r>
          </w:p>
        </w:tc>
      </w:tr>
      <w:tr w:rsidR="00A74CE8" w:rsidRPr="00000849" w14:paraId="37F1DFB6" w14:textId="77777777" w:rsidTr="00143B7E">
        <w:tc>
          <w:tcPr>
            <w:tcW w:w="1555" w:type="dxa"/>
            <w:vAlign w:val="center"/>
          </w:tcPr>
          <w:p w14:paraId="0F82E563" w14:textId="4571A732" w:rsidR="00A74CE8" w:rsidRPr="00000849" w:rsidRDefault="00A74CE8">
            <w:pPr>
              <w:spacing w:after="160" w:line="259" w:lineRule="auto"/>
              <w:rPr>
                <w:sz w:val="20"/>
                <w:szCs w:val="20"/>
              </w:rPr>
            </w:pPr>
            <w:r w:rsidRPr="00000849">
              <w:rPr>
                <w:sz w:val="20"/>
                <w:szCs w:val="20"/>
              </w:rPr>
              <w:t>ICC</w:t>
            </w:r>
          </w:p>
        </w:tc>
        <w:tc>
          <w:tcPr>
            <w:tcW w:w="6633" w:type="dxa"/>
            <w:vAlign w:val="center"/>
          </w:tcPr>
          <w:p w14:paraId="2BA6C575" w14:textId="0B1A0D70" w:rsidR="00A74CE8" w:rsidRPr="00000849" w:rsidRDefault="00A74CE8">
            <w:pPr>
              <w:spacing w:after="160" w:line="259" w:lineRule="auto"/>
              <w:rPr>
                <w:sz w:val="20"/>
                <w:szCs w:val="20"/>
              </w:rPr>
            </w:pPr>
            <w:r w:rsidRPr="00000849">
              <w:rPr>
                <w:sz w:val="20"/>
                <w:szCs w:val="20"/>
              </w:rPr>
              <w:t>Intra-Class Correlation Coefficient</w:t>
            </w:r>
          </w:p>
        </w:tc>
      </w:tr>
      <w:tr w:rsidR="00EE5271" w:rsidRPr="00000849" w14:paraId="6A773895" w14:textId="77777777" w:rsidTr="00143B7E">
        <w:tc>
          <w:tcPr>
            <w:tcW w:w="1555" w:type="dxa"/>
            <w:vAlign w:val="center"/>
          </w:tcPr>
          <w:p w14:paraId="3E34D53B" w14:textId="6D38D0CB" w:rsidR="00EE5271" w:rsidRPr="00000849" w:rsidRDefault="00EE5271">
            <w:pPr>
              <w:spacing w:after="160" w:line="259" w:lineRule="auto"/>
              <w:rPr>
                <w:sz w:val="20"/>
                <w:szCs w:val="20"/>
              </w:rPr>
            </w:pPr>
            <w:r w:rsidRPr="00000849">
              <w:rPr>
                <w:sz w:val="20"/>
                <w:szCs w:val="20"/>
              </w:rPr>
              <w:t>IHME</w:t>
            </w:r>
          </w:p>
        </w:tc>
        <w:tc>
          <w:tcPr>
            <w:tcW w:w="6633" w:type="dxa"/>
            <w:vAlign w:val="center"/>
          </w:tcPr>
          <w:p w14:paraId="0BE4FAD3" w14:textId="7AC2945A" w:rsidR="00EE5271" w:rsidRPr="00000849" w:rsidRDefault="00EE5271">
            <w:pPr>
              <w:spacing w:after="160" w:line="259" w:lineRule="auto"/>
              <w:rPr>
                <w:sz w:val="20"/>
                <w:szCs w:val="20"/>
              </w:rPr>
            </w:pPr>
            <w:r w:rsidRPr="00000849">
              <w:rPr>
                <w:sz w:val="20"/>
                <w:szCs w:val="20"/>
              </w:rPr>
              <w:t>Institute for Health Metrics and Evaluation</w:t>
            </w:r>
          </w:p>
        </w:tc>
      </w:tr>
      <w:tr w:rsidR="00EE5271" w:rsidRPr="00000849" w14:paraId="32CF4475" w14:textId="77777777" w:rsidTr="00143B7E">
        <w:tc>
          <w:tcPr>
            <w:tcW w:w="1555" w:type="dxa"/>
            <w:vAlign w:val="center"/>
          </w:tcPr>
          <w:p w14:paraId="5B43A133" w14:textId="08B6CED7" w:rsidR="00EE5271" w:rsidRPr="00000849" w:rsidRDefault="00EE5271">
            <w:pPr>
              <w:spacing w:after="160" w:line="259" w:lineRule="auto"/>
              <w:rPr>
                <w:sz w:val="20"/>
                <w:szCs w:val="20"/>
              </w:rPr>
            </w:pPr>
            <w:r w:rsidRPr="00000849">
              <w:rPr>
                <w:sz w:val="20"/>
                <w:szCs w:val="20"/>
              </w:rPr>
              <w:t>KMO</w:t>
            </w:r>
          </w:p>
        </w:tc>
        <w:tc>
          <w:tcPr>
            <w:tcW w:w="6633" w:type="dxa"/>
            <w:vAlign w:val="center"/>
          </w:tcPr>
          <w:p w14:paraId="4C8C0601" w14:textId="3A2A9ED6" w:rsidR="00EE5271" w:rsidRPr="00000849" w:rsidRDefault="00EE5271">
            <w:pPr>
              <w:spacing w:after="160" w:line="259" w:lineRule="auto"/>
              <w:rPr>
                <w:sz w:val="20"/>
                <w:szCs w:val="20"/>
              </w:rPr>
            </w:pPr>
            <w:r w:rsidRPr="00000849">
              <w:rPr>
                <w:sz w:val="20"/>
                <w:szCs w:val="20"/>
              </w:rPr>
              <w:t>Kaiser–Meyer–Olkin statistic</w:t>
            </w:r>
          </w:p>
        </w:tc>
      </w:tr>
      <w:tr w:rsidR="0015152D" w:rsidRPr="00000849" w14:paraId="28CFE0B4" w14:textId="77777777" w:rsidTr="00143B7E">
        <w:tc>
          <w:tcPr>
            <w:tcW w:w="1555" w:type="dxa"/>
            <w:vAlign w:val="center"/>
          </w:tcPr>
          <w:p w14:paraId="257018BE" w14:textId="77777777" w:rsidR="0015152D" w:rsidRPr="00000849" w:rsidRDefault="0015152D">
            <w:pPr>
              <w:spacing w:after="160" w:line="259" w:lineRule="auto"/>
              <w:rPr>
                <w:sz w:val="20"/>
                <w:szCs w:val="20"/>
              </w:rPr>
            </w:pPr>
            <w:r w:rsidRPr="00000849">
              <w:rPr>
                <w:sz w:val="20"/>
                <w:szCs w:val="20"/>
              </w:rPr>
              <w:t>LEAP</w:t>
            </w:r>
          </w:p>
        </w:tc>
        <w:tc>
          <w:tcPr>
            <w:tcW w:w="6633" w:type="dxa"/>
            <w:vAlign w:val="center"/>
          </w:tcPr>
          <w:p w14:paraId="58720252" w14:textId="1A82FDC4" w:rsidR="0015152D" w:rsidRPr="00000849" w:rsidRDefault="00261C53">
            <w:pPr>
              <w:spacing w:after="160" w:line="259" w:lineRule="auto"/>
              <w:rPr>
                <w:sz w:val="20"/>
                <w:szCs w:val="20"/>
              </w:rPr>
            </w:pPr>
            <w:r w:rsidRPr="00000849">
              <w:rPr>
                <w:sz w:val="20"/>
                <w:szCs w:val="20"/>
              </w:rPr>
              <w:t>Livelihood Empowerment Against Poverty</w:t>
            </w:r>
          </w:p>
        </w:tc>
      </w:tr>
      <w:tr w:rsidR="007F1B53" w:rsidRPr="00000849" w14:paraId="7D151B9E" w14:textId="77777777" w:rsidTr="00143B7E">
        <w:tc>
          <w:tcPr>
            <w:tcW w:w="1555" w:type="dxa"/>
            <w:vAlign w:val="center"/>
          </w:tcPr>
          <w:p w14:paraId="368EE04C" w14:textId="555E57B2" w:rsidR="007F1B53" w:rsidRPr="00000849" w:rsidRDefault="007F1B53">
            <w:pPr>
              <w:spacing w:after="160" w:line="259" w:lineRule="auto"/>
              <w:rPr>
                <w:sz w:val="20"/>
                <w:szCs w:val="20"/>
              </w:rPr>
            </w:pPr>
            <w:r w:rsidRPr="00000849">
              <w:rPr>
                <w:sz w:val="20"/>
                <w:szCs w:val="20"/>
              </w:rPr>
              <w:t>LIC</w:t>
            </w:r>
          </w:p>
        </w:tc>
        <w:tc>
          <w:tcPr>
            <w:tcW w:w="6633" w:type="dxa"/>
            <w:vAlign w:val="center"/>
          </w:tcPr>
          <w:p w14:paraId="223F9A74" w14:textId="16856F49" w:rsidR="007F1B53" w:rsidRPr="00000849" w:rsidRDefault="007F1B53">
            <w:pPr>
              <w:spacing w:after="160" w:line="259" w:lineRule="auto"/>
              <w:rPr>
                <w:sz w:val="20"/>
                <w:szCs w:val="20"/>
              </w:rPr>
            </w:pPr>
            <w:r w:rsidRPr="00000849">
              <w:rPr>
                <w:rFonts w:cstheme="minorHAnsi"/>
                <w:sz w:val="20"/>
                <w:szCs w:val="20"/>
              </w:rPr>
              <w:t>Low-Income Country</w:t>
            </w:r>
          </w:p>
        </w:tc>
      </w:tr>
      <w:tr w:rsidR="005B535D" w:rsidRPr="00000849" w14:paraId="5D84074B" w14:textId="7C926AEB" w:rsidTr="00143B7E">
        <w:tc>
          <w:tcPr>
            <w:tcW w:w="1555" w:type="dxa"/>
            <w:vAlign w:val="center"/>
          </w:tcPr>
          <w:p w14:paraId="6D461402" w14:textId="2A782709" w:rsidR="005B535D" w:rsidRPr="00000849" w:rsidRDefault="005B535D">
            <w:pPr>
              <w:spacing w:after="160" w:line="259" w:lineRule="auto"/>
              <w:rPr>
                <w:sz w:val="20"/>
                <w:szCs w:val="20"/>
              </w:rPr>
            </w:pPr>
            <w:r w:rsidRPr="00000849">
              <w:rPr>
                <w:sz w:val="20"/>
                <w:szCs w:val="20"/>
              </w:rPr>
              <w:lastRenderedPageBreak/>
              <w:t>MDS</w:t>
            </w:r>
          </w:p>
        </w:tc>
        <w:tc>
          <w:tcPr>
            <w:tcW w:w="6633" w:type="dxa"/>
            <w:vAlign w:val="center"/>
          </w:tcPr>
          <w:p w14:paraId="347A93C7" w14:textId="2C66BDF7" w:rsidR="005B535D" w:rsidRPr="00000849" w:rsidRDefault="005B535D">
            <w:pPr>
              <w:spacing w:after="160" w:line="259" w:lineRule="auto"/>
              <w:rPr>
                <w:sz w:val="20"/>
                <w:szCs w:val="20"/>
              </w:rPr>
            </w:pPr>
            <w:r w:rsidRPr="00000849">
              <w:rPr>
                <w:sz w:val="20"/>
                <w:szCs w:val="20"/>
              </w:rPr>
              <w:t>Minimum Dataset</w:t>
            </w:r>
          </w:p>
        </w:tc>
      </w:tr>
      <w:tr w:rsidR="00A74CE8" w:rsidRPr="00000849" w14:paraId="1019C4B9" w14:textId="77777777" w:rsidTr="00143B7E">
        <w:tc>
          <w:tcPr>
            <w:tcW w:w="1555" w:type="dxa"/>
            <w:vAlign w:val="center"/>
          </w:tcPr>
          <w:p w14:paraId="3FDA7AA8" w14:textId="0F764401" w:rsidR="00A74CE8" w:rsidRPr="00000849" w:rsidRDefault="00A74CE8">
            <w:pPr>
              <w:spacing w:after="160" w:line="259" w:lineRule="auto"/>
              <w:rPr>
                <w:rFonts w:cstheme="minorHAnsi"/>
                <w:sz w:val="20"/>
                <w:szCs w:val="20"/>
              </w:rPr>
            </w:pPr>
            <w:r w:rsidRPr="00000849">
              <w:rPr>
                <w:rFonts w:cstheme="minorHAnsi"/>
                <w:sz w:val="20"/>
                <w:szCs w:val="20"/>
              </w:rPr>
              <w:t>MIC</w:t>
            </w:r>
          </w:p>
        </w:tc>
        <w:tc>
          <w:tcPr>
            <w:tcW w:w="6633" w:type="dxa"/>
            <w:vAlign w:val="center"/>
          </w:tcPr>
          <w:p w14:paraId="3BA04F94" w14:textId="4B917475" w:rsidR="00A74CE8" w:rsidRPr="00000849" w:rsidRDefault="00A74CE8">
            <w:pPr>
              <w:spacing w:after="160" w:line="259" w:lineRule="auto"/>
              <w:rPr>
                <w:rFonts w:cstheme="minorHAnsi"/>
                <w:sz w:val="20"/>
                <w:szCs w:val="20"/>
              </w:rPr>
            </w:pPr>
            <w:r w:rsidRPr="00000849">
              <w:rPr>
                <w:rFonts w:cstheme="minorHAnsi"/>
                <w:sz w:val="20"/>
                <w:szCs w:val="20"/>
              </w:rPr>
              <w:t>Middle Income Country</w:t>
            </w:r>
          </w:p>
        </w:tc>
      </w:tr>
      <w:tr w:rsidR="00EE5271" w:rsidRPr="00000849" w14:paraId="00273030" w14:textId="77777777" w:rsidTr="00143B7E">
        <w:tc>
          <w:tcPr>
            <w:tcW w:w="1555" w:type="dxa"/>
            <w:vAlign w:val="center"/>
          </w:tcPr>
          <w:p w14:paraId="10303A31" w14:textId="47C59392" w:rsidR="00EE5271" w:rsidRPr="00000849" w:rsidRDefault="00EE5271">
            <w:pPr>
              <w:spacing w:after="160" w:line="259" w:lineRule="auto"/>
              <w:rPr>
                <w:rFonts w:cstheme="minorHAnsi"/>
                <w:sz w:val="20"/>
                <w:szCs w:val="20"/>
              </w:rPr>
            </w:pPr>
            <w:r w:rsidRPr="00000849">
              <w:rPr>
                <w:rFonts w:cstheme="minorHAnsi"/>
                <w:sz w:val="20"/>
                <w:szCs w:val="20"/>
              </w:rPr>
              <w:t>MLM</w:t>
            </w:r>
          </w:p>
        </w:tc>
        <w:tc>
          <w:tcPr>
            <w:tcW w:w="6633" w:type="dxa"/>
            <w:vAlign w:val="center"/>
          </w:tcPr>
          <w:p w14:paraId="25351303" w14:textId="5EA4E069" w:rsidR="00EE5271" w:rsidRPr="00000849" w:rsidRDefault="00EE5271">
            <w:pPr>
              <w:spacing w:after="160" w:line="259" w:lineRule="auto"/>
              <w:rPr>
                <w:rFonts w:cstheme="minorHAnsi"/>
                <w:sz w:val="20"/>
                <w:szCs w:val="20"/>
              </w:rPr>
            </w:pPr>
            <w:r w:rsidRPr="00000849">
              <w:rPr>
                <w:rFonts w:cstheme="minorHAnsi"/>
                <w:sz w:val="20"/>
                <w:szCs w:val="20"/>
              </w:rPr>
              <w:t>Multi-Level Modelling</w:t>
            </w:r>
          </w:p>
        </w:tc>
      </w:tr>
      <w:tr w:rsidR="005348A9" w:rsidRPr="00000849" w14:paraId="10BB3788" w14:textId="77777777" w:rsidTr="00143B7E">
        <w:tc>
          <w:tcPr>
            <w:tcW w:w="1555" w:type="dxa"/>
            <w:vAlign w:val="center"/>
          </w:tcPr>
          <w:p w14:paraId="04873D95" w14:textId="0C9E90CD" w:rsidR="005348A9" w:rsidRPr="00000849" w:rsidRDefault="005348A9">
            <w:pPr>
              <w:spacing w:after="160" w:line="259" w:lineRule="auto"/>
              <w:rPr>
                <w:sz w:val="20"/>
                <w:szCs w:val="20"/>
              </w:rPr>
            </w:pPr>
            <w:r w:rsidRPr="00000849">
              <w:rPr>
                <w:rFonts w:cstheme="minorHAnsi"/>
                <w:sz w:val="20"/>
                <w:szCs w:val="20"/>
              </w:rPr>
              <w:t>MoGCSP</w:t>
            </w:r>
          </w:p>
        </w:tc>
        <w:tc>
          <w:tcPr>
            <w:tcW w:w="6633" w:type="dxa"/>
            <w:vAlign w:val="center"/>
          </w:tcPr>
          <w:p w14:paraId="535220A5" w14:textId="73EFA297" w:rsidR="005348A9" w:rsidRPr="00000849" w:rsidRDefault="005348A9">
            <w:pPr>
              <w:spacing w:after="160" w:line="259" w:lineRule="auto"/>
              <w:rPr>
                <w:sz w:val="20"/>
                <w:szCs w:val="20"/>
              </w:rPr>
            </w:pPr>
            <w:r w:rsidRPr="00000849">
              <w:rPr>
                <w:rFonts w:cstheme="minorHAnsi"/>
                <w:sz w:val="20"/>
                <w:szCs w:val="20"/>
              </w:rPr>
              <w:t>Ministry of Gender, Children and Social Protection</w:t>
            </w:r>
          </w:p>
        </w:tc>
      </w:tr>
      <w:tr w:rsidR="005348A9" w:rsidRPr="00000849" w14:paraId="632A6539" w14:textId="77777777" w:rsidTr="00143B7E">
        <w:tc>
          <w:tcPr>
            <w:tcW w:w="1555" w:type="dxa"/>
            <w:vAlign w:val="center"/>
          </w:tcPr>
          <w:p w14:paraId="6E1C99ED" w14:textId="2F57B207" w:rsidR="005348A9" w:rsidRPr="00000849" w:rsidRDefault="005348A9">
            <w:pPr>
              <w:spacing w:after="160" w:line="259" w:lineRule="auto"/>
              <w:rPr>
                <w:rFonts w:cstheme="minorHAnsi"/>
                <w:sz w:val="20"/>
                <w:szCs w:val="20"/>
              </w:rPr>
            </w:pPr>
            <w:r w:rsidRPr="00000849">
              <w:rPr>
                <w:rFonts w:cstheme="minorHAnsi"/>
                <w:sz w:val="20"/>
                <w:szCs w:val="20"/>
              </w:rPr>
              <w:t>MOH</w:t>
            </w:r>
          </w:p>
        </w:tc>
        <w:tc>
          <w:tcPr>
            <w:tcW w:w="6633" w:type="dxa"/>
            <w:vAlign w:val="center"/>
          </w:tcPr>
          <w:p w14:paraId="5A49FAE1" w14:textId="1A95172C" w:rsidR="005348A9" w:rsidRPr="00000849" w:rsidRDefault="005348A9">
            <w:pPr>
              <w:spacing w:after="160" w:line="259" w:lineRule="auto"/>
              <w:rPr>
                <w:rFonts w:cstheme="minorHAnsi"/>
                <w:sz w:val="20"/>
                <w:szCs w:val="20"/>
              </w:rPr>
            </w:pPr>
            <w:r w:rsidRPr="00000849">
              <w:rPr>
                <w:rFonts w:cstheme="minorHAnsi"/>
                <w:sz w:val="20"/>
                <w:szCs w:val="20"/>
              </w:rPr>
              <w:t>Ministry of Health</w:t>
            </w:r>
          </w:p>
        </w:tc>
      </w:tr>
      <w:tr w:rsidR="00A76F12" w:rsidRPr="00000849" w14:paraId="53349B3D" w14:textId="77777777" w:rsidTr="00143B7E">
        <w:tc>
          <w:tcPr>
            <w:tcW w:w="1555" w:type="dxa"/>
            <w:vAlign w:val="center"/>
          </w:tcPr>
          <w:p w14:paraId="5F7A05BB" w14:textId="77777777" w:rsidR="00A76F12" w:rsidRPr="00000849" w:rsidRDefault="00A76F12">
            <w:pPr>
              <w:spacing w:after="160" w:line="259" w:lineRule="auto"/>
              <w:rPr>
                <w:sz w:val="20"/>
                <w:szCs w:val="20"/>
              </w:rPr>
            </w:pPr>
            <w:r w:rsidRPr="00000849">
              <w:rPr>
                <w:sz w:val="20"/>
                <w:szCs w:val="20"/>
              </w:rPr>
              <w:t>NCD</w:t>
            </w:r>
          </w:p>
        </w:tc>
        <w:tc>
          <w:tcPr>
            <w:tcW w:w="6633" w:type="dxa"/>
            <w:vAlign w:val="center"/>
          </w:tcPr>
          <w:p w14:paraId="673ABB69" w14:textId="77777777" w:rsidR="00A76F12" w:rsidRPr="00000849" w:rsidRDefault="00A76F12">
            <w:pPr>
              <w:spacing w:after="160" w:line="259" w:lineRule="auto"/>
              <w:rPr>
                <w:sz w:val="20"/>
                <w:szCs w:val="20"/>
              </w:rPr>
            </w:pPr>
            <w:r w:rsidRPr="00000849">
              <w:rPr>
                <w:sz w:val="20"/>
                <w:szCs w:val="20"/>
              </w:rPr>
              <w:t>Noncommunicable Diseases</w:t>
            </w:r>
          </w:p>
        </w:tc>
      </w:tr>
      <w:tr w:rsidR="0015152D" w:rsidRPr="00000849" w14:paraId="3D55C0BE" w14:textId="77777777" w:rsidTr="00143B7E">
        <w:tc>
          <w:tcPr>
            <w:tcW w:w="1555" w:type="dxa"/>
            <w:vAlign w:val="center"/>
          </w:tcPr>
          <w:p w14:paraId="243442D0" w14:textId="77777777" w:rsidR="0015152D" w:rsidRPr="00000849" w:rsidRDefault="0015152D">
            <w:pPr>
              <w:spacing w:after="160" w:line="259" w:lineRule="auto"/>
              <w:rPr>
                <w:sz w:val="20"/>
                <w:szCs w:val="20"/>
              </w:rPr>
            </w:pPr>
            <w:r w:rsidRPr="00000849">
              <w:rPr>
                <w:sz w:val="20"/>
                <w:szCs w:val="20"/>
              </w:rPr>
              <w:t>NGO</w:t>
            </w:r>
          </w:p>
        </w:tc>
        <w:tc>
          <w:tcPr>
            <w:tcW w:w="6633" w:type="dxa"/>
            <w:vAlign w:val="center"/>
          </w:tcPr>
          <w:p w14:paraId="03F3DC44" w14:textId="784A134F" w:rsidR="0015152D" w:rsidRPr="00000849" w:rsidRDefault="00261C53">
            <w:pPr>
              <w:spacing w:after="160" w:line="259" w:lineRule="auto"/>
              <w:rPr>
                <w:sz w:val="20"/>
                <w:szCs w:val="20"/>
              </w:rPr>
            </w:pPr>
            <w:r w:rsidRPr="00000849">
              <w:rPr>
                <w:sz w:val="20"/>
                <w:szCs w:val="20"/>
              </w:rPr>
              <w:t>Non-Governmental Organisations</w:t>
            </w:r>
          </w:p>
        </w:tc>
      </w:tr>
      <w:tr w:rsidR="0015152D" w:rsidRPr="00000849" w14:paraId="29FFB2BB" w14:textId="77777777" w:rsidTr="00143B7E">
        <w:tc>
          <w:tcPr>
            <w:tcW w:w="1555" w:type="dxa"/>
            <w:vAlign w:val="center"/>
          </w:tcPr>
          <w:p w14:paraId="1DD02107" w14:textId="77777777" w:rsidR="0015152D" w:rsidRPr="00000849" w:rsidRDefault="0015152D">
            <w:pPr>
              <w:spacing w:after="160" w:line="259" w:lineRule="auto"/>
              <w:rPr>
                <w:sz w:val="20"/>
                <w:szCs w:val="20"/>
              </w:rPr>
            </w:pPr>
            <w:r w:rsidRPr="00000849">
              <w:rPr>
                <w:sz w:val="20"/>
                <w:szCs w:val="20"/>
              </w:rPr>
              <w:t>NHIS</w:t>
            </w:r>
          </w:p>
        </w:tc>
        <w:tc>
          <w:tcPr>
            <w:tcW w:w="6633" w:type="dxa"/>
            <w:vAlign w:val="center"/>
          </w:tcPr>
          <w:p w14:paraId="548FC183" w14:textId="7CE96EBC" w:rsidR="0015152D" w:rsidRPr="00000849" w:rsidRDefault="00261C53">
            <w:pPr>
              <w:spacing w:after="160" w:line="259" w:lineRule="auto"/>
              <w:rPr>
                <w:sz w:val="20"/>
                <w:szCs w:val="20"/>
              </w:rPr>
            </w:pPr>
            <w:r w:rsidRPr="00000849">
              <w:rPr>
                <w:rFonts w:cstheme="minorHAnsi"/>
                <w:color w:val="383838"/>
                <w:sz w:val="20"/>
                <w:szCs w:val="20"/>
              </w:rPr>
              <w:t>N</w:t>
            </w:r>
            <w:r w:rsidR="003C6E60" w:rsidRPr="00000849">
              <w:rPr>
                <w:rFonts w:cstheme="minorHAnsi"/>
                <w:color w:val="383838"/>
                <w:sz w:val="20"/>
                <w:szCs w:val="20"/>
              </w:rPr>
              <w:t xml:space="preserve">ational </w:t>
            </w:r>
            <w:r w:rsidRPr="00000849">
              <w:rPr>
                <w:rFonts w:cstheme="minorHAnsi"/>
                <w:color w:val="383838"/>
                <w:sz w:val="20"/>
                <w:szCs w:val="20"/>
              </w:rPr>
              <w:t>H</w:t>
            </w:r>
            <w:r w:rsidR="003C6E60" w:rsidRPr="00000849">
              <w:rPr>
                <w:rFonts w:cstheme="minorHAnsi"/>
                <w:color w:val="383838"/>
                <w:sz w:val="20"/>
                <w:szCs w:val="20"/>
              </w:rPr>
              <w:t xml:space="preserve">ealth </w:t>
            </w:r>
            <w:r w:rsidRPr="00000849">
              <w:rPr>
                <w:rFonts w:cstheme="minorHAnsi"/>
                <w:color w:val="383838"/>
                <w:sz w:val="20"/>
                <w:szCs w:val="20"/>
              </w:rPr>
              <w:t>I</w:t>
            </w:r>
            <w:r w:rsidR="003C6E60" w:rsidRPr="00000849">
              <w:rPr>
                <w:rFonts w:cstheme="minorHAnsi"/>
                <w:color w:val="383838"/>
                <w:sz w:val="20"/>
                <w:szCs w:val="20"/>
              </w:rPr>
              <w:t xml:space="preserve">nsurance </w:t>
            </w:r>
            <w:r w:rsidRPr="00000849">
              <w:rPr>
                <w:rFonts w:cstheme="minorHAnsi"/>
                <w:color w:val="383838"/>
                <w:sz w:val="20"/>
                <w:szCs w:val="20"/>
              </w:rPr>
              <w:t>S</w:t>
            </w:r>
            <w:r w:rsidR="003C6E60" w:rsidRPr="00000849">
              <w:rPr>
                <w:rFonts w:cstheme="minorHAnsi"/>
                <w:color w:val="383838"/>
                <w:sz w:val="20"/>
                <w:szCs w:val="20"/>
              </w:rPr>
              <w:t>cheme</w:t>
            </w:r>
          </w:p>
        </w:tc>
      </w:tr>
      <w:tr w:rsidR="00A74CE8" w:rsidRPr="00000849" w14:paraId="028EC9C3" w14:textId="77777777" w:rsidTr="00143B7E">
        <w:tc>
          <w:tcPr>
            <w:tcW w:w="1555" w:type="dxa"/>
            <w:vAlign w:val="center"/>
          </w:tcPr>
          <w:p w14:paraId="798D6184" w14:textId="17C80BFD" w:rsidR="00A74CE8" w:rsidRPr="00000849" w:rsidRDefault="00A74CE8">
            <w:pPr>
              <w:spacing w:after="160" w:line="259" w:lineRule="auto"/>
              <w:rPr>
                <w:rFonts w:cstheme="minorHAnsi"/>
                <w:sz w:val="20"/>
                <w:szCs w:val="20"/>
              </w:rPr>
            </w:pPr>
            <w:r w:rsidRPr="00000849">
              <w:rPr>
                <w:rFonts w:cstheme="minorHAnsi"/>
                <w:sz w:val="20"/>
                <w:szCs w:val="20"/>
              </w:rPr>
              <w:t>OR</w:t>
            </w:r>
          </w:p>
        </w:tc>
        <w:tc>
          <w:tcPr>
            <w:tcW w:w="6633" w:type="dxa"/>
            <w:vAlign w:val="center"/>
          </w:tcPr>
          <w:p w14:paraId="3FE30049" w14:textId="04352383" w:rsidR="00A74CE8" w:rsidRPr="00000849" w:rsidRDefault="00A74CE8">
            <w:pPr>
              <w:spacing w:after="160" w:line="259" w:lineRule="auto"/>
              <w:rPr>
                <w:rFonts w:cstheme="minorHAnsi"/>
                <w:sz w:val="20"/>
                <w:szCs w:val="20"/>
              </w:rPr>
            </w:pPr>
            <w:r w:rsidRPr="00000849">
              <w:rPr>
                <w:rFonts w:cstheme="minorHAnsi"/>
                <w:sz w:val="20"/>
                <w:szCs w:val="20"/>
              </w:rPr>
              <w:t>Odds Ratio</w:t>
            </w:r>
          </w:p>
        </w:tc>
      </w:tr>
      <w:tr w:rsidR="00A74CE8" w:rsidRPr="00000849" w14:paraId="44FD5A15" w14:textId="77777777" w:rsidTr="00143B7E">
        <w:tc>
          <w:tcPr>
            <w:tcW w:w="1555" w:type="dxa"/>
            <w:vAlign w:val="center"/>
          </w:tcPr>
          <w:p w14:paraId="06C9C66C" w14:textId="49E42952" w:rsidR="00A74CE8" w:rsidRPr="00000849" w:rsidRDefault="00A74CE8">
            <w:pPr>
              <w:spacing w:after="160" w:line="259" w:lineRule="auto"/>
              <w:rPr>
                <w:rFonts w:cstheme="minorHAnsi"/>
                <w:sz w:val="20"/>
                <w:szCs w:val="20"/>
              </w:rPr>
            </w:pPr>
            <w:r w:rsidRPr="00000849">
              <w:rPr>
                <w:rFonts w:cstheme="minorHAnsi"/>
                <w:sz w:val="20"/>
                <w:szCs w:val="20"/>
              </w:rPr>
              <w:t>P</w:t>
            </w:r>
            <w:r w:rsidR="00EE5271" w:rsidRPr="00000849">
              <w:rPr>
                <w:rFonts w:cstheme="minorHAnsi"/>
                <w:sz w:val="20"/>
                <w:szCs w:val="20"/>
              </w:rPr>
              <w:t>CA</w:t>
            </w:r>
          </w:p>
        </w:tc>
        <w:tc>
          <w:tcPr>
            <w:tcW w:w="6633" w:type="dxa"/>
            <w:vAlign w:val="center"/>
          </w:tcPr>
          <w:p w14:paraId="05CDD8A8" w14:textId="3E268009" w:rsidR="00A74CE8" w:rsidRPr="00000849" w:rsidRDefault="00A74CE8">
            <w:pPr>
              <w:spacing w:after="160" w:line="259" w:lineRule="auto"/>
              <w:rPr>
                <w:rFonts w:cstheme="minorHAnsi"/>
                <w:bCs/>
                <w:sz w:val="20"/>
                <w:szCs w:val="20"/>
              </w:rPr>
            </w:pPr>
            <w:r w:rsidRPr="00000849">
              <w:rPr>
                <w:rFonts w:cstheme="minorHAnsi"/>
                <w:sz w:val="20"/>
                <w:szCs w:val="20"/>
              </w:rPr>
              <w:t>Pr</w:t>
            </w:r>
            <w:r w:rsidR="00EE5271" w:rsidRPr="00000849">
              <w:rPr>
                <w:rFonts w:cstheme="minorHAnsi"/>
                <w:sz w:val="20"/>
                <w:szCs w:val="20"/>
              </w:rPr>
              <w:t xml:space="preserve">incipal Component Analysis </w:t>
            </w:r>
          </w:p>
        </w:tc>
      </w:tr>
      <w:tr w:rsidR="005F15F6" w:rsidRPr="00000849" w14:paraId="4D9D3562" w14:textId="77777777" w:rsidTr="00143B7E">
        <w:tc>
          <w:tcPr>
            <w:tcW w:w="1555" w:type="dxa"/>
            <w:vAlign w:val="center"/>
          </w:tcPr>
          <w:p w14:paraId="2C7FC015" w14:textId="55DB0D52" w:rsidR="005F15F6" w:rsidRPr="00000849" w:rsidRDefault="005F15F6">
            <w:pPr>
              <w:spacing w:after="160" w:line="259" w:lineRule="auto"/>
              <w:rPr>
                <w:rFonts w:cstheme="minorHAnsi"/>
                <w:sz w:val="20"/>
                <w:szCs w:val="20"/>
              </w:rPr>
            </w:pPr>
            <w:r w:rsidRPr="00000849">
              <w:rPr>
                <w:rFonts w:cstheme="minorHAnsi"/>
                <w:sz w:val="20"/>
                <w:szCs w:val="20"/>
              </w:rPr>
              <w:t>PRISMA</w:t>
            </w:r>
          </w:p>
        </w:tc>
        <w:tc>
          <w:tcPr>
            <w:tcW w:w="6633" w:type="dxa"/>
            <w:vAlign w:val="center"/>
          </w:tcPr>
          <w:p w14:paraId="3BF8A9F7" w14:textId="4F9ADD4D" w:rsidR="005F15F6" w:rsidRPr="00000849" w:rsidRDefault="005F15F6">
            <w:pPr>
              <w:spacing w:after="160" w:line="259" w:lineRule="auto"/>
              <w:rPr>
                <w:rFonts w:cstheme="minorHAnsi"/>
                <w:bCs/>
                <w:sz w:val="20"/>
                <w:szCs w:val="20"/>
              </w:rPr>
            </w:pPr>
            <w:r w:rsidRPr="00000849">
              <w:rPr>
                <w:rFonts w:cstheme="minorHAnsi"/>
                <w:sz w:val="20"/>
                <w:szCs w:val="20"/>
              </w:rPr>
              <w:t>Preferred Reporting Items for Systematic Reviews and Meta-Analysis</w:t>
            </w:r>
          </w:p>
        </w:tc>
      </w:tr>
      <w:tr w:rsidR="00AA4C97" w:rsidRPr="00000849" w14:paraId="4B728059" w14:textId="77777777" w:rsidTr="00143B7E">
        <w:tc>
          <w:tcPr>
            <w:tcW w:w="1555" w:type="dxa"/>
            <w:vAlign w:val="center"/>
          </w:tcPr>
          <w:p w14:paraId="33E5C268" w14:textId="2DF27AE9" w:rsidR="00AA4C97" w:rsidRPr="00000849" w:rsidRDefault="00AA4C97">
            <w:pPr>
              <w:spacing w:after="160" w:line="259" w:lineRule="auto"/>
              <w:rPr>
                <w:rFonts w:cstheme="minorHAnsi"/>
                <w:sz w:val="20"/>
                <w:szCs w:val="20"/>
              </w:rPr>
            </w:pPr>
            <w:r w:rsidRPr="00000849">
              <w:rPr>
                <w:rFonts w:cstheme="minorHAnsi"/>
                <w:sz w:val="20"/>
                <w:szCs w:val="20"/>
              </w:rPr>
              <w:t>SAGE</w:t>
            </w:r>
          </w:p>
        </w:tc>
        <w:tc>
          <w:tcPr>
            <w:tcW w:w="6633" w:type="dxa"/>
            <w:vAlign w:val="center"/>
          </w:tcPr>
          <w:p w14:paraId="105FEF78" w14:textId="4A620D1E" w:rsidR="00AA4C97" w:rsidRPr="00000849" w:rsidRDefault="00AA4C97">
            <w:pPr>
              <w:spacing w:after="160" w:line="259" w:lineRule="auto"/>
              <w:rPr>
                <w:rFonts w:cstheme="minorHAnsi"/>
                <w:bCs/>
                <w:sz w:val="20"/>
                <w:szCs w:val="20"/>
              </w:rPr>
            </w:pPr>
            <w:r w:rsidRPr="00000849">
              <w:rPr>
                <w:rFonts w:cstheme="minorHAnsi"/>
                <w:bCs/>
                <w:sz w:val="20"/>
                <w:szCs w:val="20"/>
              </w:rPr>
              <w:t>Study on global AGEing</w:t>
            </w:r>
          </w:p>
        </w:tc>
      </w:tr>
      <w:tr w:rsidR="00DD0EFB" w:rsidRPr="00000849" w14:paraId="3280C2A7" w14:textId="77777777" w:rsidTr="00143B7E">
        <w:tc>
          <w:tcPr>
            <w:tcW w:w="1555" w:type="dxa"/>
            <w:vAlign w:val="center"/>
          </w:tcPr>
          <w:p w14:paraId="682034DF" w14:textId="0CBD1B9B" w:rsidR="00DD0EFB" w:rsidRPr="00000849" w:rsidRDefault="00DD0EFB">
            <w:pPr>
              <w:spacing w:after="160" w:line="259" w:lineRule="auto"/>
              <w:rPr>
                <w:rFonts w:cstheme="minorHAnsi"/>
                <w:sz w:val="20"/>
                <w:szCs w:val="20"/>
              </w:rPr>
            </w:pPr>
            <w:r w:rsidRPr="00000849">
              <w:rPr>
                <w:rFonts w:cstheme="minorHAnsi"/>
                <w:sz w:val="20"/>
                <w:szCs w:val="20"/>
              </w:rPr>
              <w:t>SBP</w:t>
            </w:r>
          </w:p>
        </w:tc>
        <w:tc>
          <w:tcPr>
            <w:tcW w:w="6633" w:type="dxa"/>
            <w:vAlign w:val="center"/>
          </w:tcPr>
          <w:p w14:paraId="36994F37" w14:textId="2E71F86B" w:rsidR="00DD0EFB" w:rsidRPr="00000849" w:rsidRDefault="00DD0EFB">
            <w:pPr>
              <w:spacing w:after="160" w:line="259" w:lineRule="auto"/>
              <w:rPr>
                <w:rFonts w:cstheme="minorHAnsi"/>
                <w:sz w:val="20"/>
                <w:szCs w:val="20"/>
              </w:rPr>
            </w:pPr>
            <w:r w:rsidRPr="00000849">
              <w:rPr>
                <w:rFonts w:cstheme="minorHAnsi"/>
                <w:sz w:val="20"/>
                <w:szCs w:val="20"/>
              </w:rPr>
              <w:t>Systolic Blood Pressure</w:t>
            </w:r>
          </w:p>
        </w:tc>
      </w:tr>
      <w:tr w:rsidR="00A76F12" w:rsidRPr="00000849" w14:paraId="0C3BC148" w14:textId="77777777" w:rsidTr="00143B7E">
        <w:tc>
          <w:tcPr>
            <w:tcW w:w="1555" w:type="dxa"/>
            <w:vAlign w:val="center"/>
          </w:tcPr>
          <w:p w14:paraId="6B9B4D05" w14:textId="77777777" w:rsidR="00A76F12" w:rsidRPr="00000849" w:rsidRDefault="00A76F12">
            <w:pPr>
              <w:spacing w:after="160" w:line="259" w:lineRule="auto"/>
              <w:rPr>
                <w:sz w:val="20"/>
                <w:szCs w:val="20"/>
              </w:rPr>
            </w:pPr>
            <w:r w:rsidRPr="00000849">
              <w:rPr>
                <w:sz w:val="20"/>
                <w:szCs w:val="20"/>
              </w:rPr>
              <w:t>SDG</w:t>
            </w:r>
          </w:p>
        </w:tc>
        <w:tc>
          <w:tcPr>
            <w:tcW w:w="6633" w:type="dxa"/>
            <w:vAlign w:val="center"/>
          </w:tcPr>
          <w:p w14:paraId="3FE69700" w14:textId="77777777" w:rsidR="00A76F12" w:rsidRPr="00000849" w:rsidRDefault="00A76F12">
            <w:pPr>
              <w:spacing w:after="160" w:line="259" w:lineRule="auto"/>
              <w:rPr>
                <w:sz w:val="20"/>
                <w:szCs w:val="20"/>
              </w:rPr>
            </w:pPr>
            <w:r w:rsidRPr="00000849">
              <w:rPr>
                <w:sz w:val="20"/>
                <w:szCs w:val="20"/>
              </w:rPr>
              <w:t>Sustainable Development Goals</w:t>
            </w:r>
          </w:p>
        </w:tc>
      </w:tr>
      <w:tr w:rsidR="001B3829" w:rsidRPr="00000849" w14:paraId="5E51443A" w14:textId="77777777" w:rsidTr="00A22112">
        <w:tc>
          <w:tcPr>
            <w:tcW w:w="1555" w:type="dxa"/>
            <w:vAlign w:val="center"/>
          </w:tcPr>
          <w:p w14:paraId="51D51BEC" w14:textId="77777777" w:rsidR="001B3829" w:rsidRPr="00000849" w:rsidRDefault="001B3829" w:rsidP="00A22112">
            <w:pPr>
              <w:spacing w:after="160" w:line="259" w:lineRule="auto"/>
              <w:rPr>
                <w:rFonts w:cstheme="minorHAnsi"/>
                <w:sz w:val="20"/>
                <w:szCs w:val="20"/>
              </w:rPr>
            </w:pPr>
            <w:r w:rsidRPr="00000849">
              <w:rPr>
                <w:rFonts w:cstheme="minorHAnsi"/>
                <w:sz w:val="20"/>
                <w:szCs w:val="20"/>
              </w:rPr>
              <w:t>SDH</w:t>
            </w:r>
          </w:p>
        </w:tc>
        <w:tc>
          <w:tcPr>
            <w:tcW w:w="6633" w:type="dxa"/>
            <w:vAlign w:val="center"/>
          </w:tcPr>
          <w:p w14:paraId="779D0838" w14:textId="77777777" w:rsidR="001B3829" w:rsidRPr="00000849" w:rsidRDefault="001B3829" w:rsidP="00A22112">
            <w:pPr>
              <w:spacing w:after="160" w:line="259" w:lineRule="auto"/>
              <w:rPr>
                <w:rFonts w:cstheme="minorHAnsi"/>
                <w:bCs/>
                <w:sz w:val="20"/>
                <w:szCs w:val="20"/>
              </w:rPr>
            </w:pPr>
            <w:r w:rsidRPr="00000849">
              <w:rPr>
                <w:rFonts w:cstheme="minorHAnsi"/>
                <w:bCs/>
                <w:sz w:val="20"/>
                <w:szCs w:val="20"/>
              </w:rPr>
              <w:t>Social Determinants of Health</w:t>
            </w:r>
          </w:p>
        </w:tc>
      </w:tr>
      <w:tr w:rsidR="001B3829" w:rsidRPr="00000849" w14:paraId="184BD852" w14:textId="77777777" w:rsidTr="00A22112">
        <w:tc>
          <w:tcPr>
            <w:tcW w:w="1555" w:type="dxa"/>
            <w:vAlign w:val="center"/>
          </w:tcPr>
          <w:p w14:paraId="0ABD80F2" w14:textId="77777777" w:rsidR="001B3829" w:rsidRPr="00000849" w:rsidRDefault="001B3829" w:rsidP="00A22112">
            <w:pPr>
              <w:spacing w:after="160" w:line="259" w:lineRule="auto"/>
              <w:rPr>
                <w:rFonts w:cstheme="minorHAnsi"/>
                <w:sz w:val="20"/>
                <w:szCs w:val="20"/>
              </w:rPr>
            </w:pPr>
            <w:r w:rsidRPr="00000849">
              <w:rPr>
                <w:rFonts w:cstheme="minorHAnsi"/>
                <w:sz w:val="20"/>
                <w:szCs w:val="20"/>
              </w:rPr>
              <w:t>SHTN</w:t>
            </w:r>
          </w:p>
        </w:tc>
        <w:tc>
          <w:tcPr>
            <w:tcW w:w="6633" w:type="dxa"/>
            <w:vAlign w:val="center"/>
          </w:tcPr>
          <w:p w14:paraId="2308810F" w14:textId="77777777" w:rsidR="001B3829" w:rsidRPr="00000849" w:rsidRDefault="001B3829" w:rsidP="00A22112">
            <w:pPr>
              <w:spacing w:after="160" w:line="259" w:lineRule="auto"/>
              <w:rPr>
                <w:rFonts w:cstheme="minorHAnsi"/>
                <w:sz w:val="20"/>
                <w:szCs w:val="20"/>
              </w:rPr>
            </w:pPr>
            <w:r w:rsidRPr="00000849">
              <w:rPr>
                <w:rFonts w:cstheme="minorHAnsi"/>
                <w:sz w:val="20"/>
                <w:szCs w:val="20"/>
              </w:rPr>
              <w:t>Systolic Hypertension</w:t>
            </w:r>
          </w:p>
        </w:tc>
      </w:tr>
      <w:tr w:rsidR="00A74CE8" w:rsidRPr="00000849" w14:paraId="7B389E81" w14:textId="77777777" w:rsidTr="00143B7E">
        <w:tc>
          <w:tcPr>
            <w:tcW w:w="1555" w:type="dxa"/>
            <w:vAlign w:val="center"/>
          </w:tcPr>
          <w:p w14:paraId="4E9050E9" w14:textId="181AF47B" w:rsidR="00A74CE8" w:rsidRPr="00000849" w:rsidRDefault="00A74CE8">
            <w:pPr>
              <w:spacing w:after="160" w:line="259" w:lineRule="auto"/>
              <w:rPr>
                <w:sz w:val="20"/>
                <w:szCs w:val="20"/>
              </w:rPr>
            </w:pPr>
            <w:r w:rsidRPr="00000849">
              <w:rPr>
                <w:sz w:val="20"/>
                <w:szCs w:val="20"/>
              </w:rPr>
              <w:t>SSA</w:t>
            </w:r>
          </w:p>
        </w:tc>
        <w:tc>
          <w:tcPr>
            <w:tcW w:w="6633" w:type="dxa"/>
            <w:vAlign w:val="center"/>
          </w:tcPr>
          <w:p w14:paraId="117CC906" w14:textId="3807155C" w:rsidR="00A74CE8" w:rsidRPr="00000849" w:rsidRDefault="00A74CE8">
            <w:pPr>
              <w:spacing w:after="160" w:line="259" w:lineRule="auto"/>
              <w:rPr>
                <w:sz w:val="20"/>
                <w:szCs w:val="20"/>
              </w:rPr>
            </w:pPr>
            <w:r w:rsidRPr="00000849">
              <w:rPr>
                <w:sz w:val="20"/>
                <w:szCs w:val="20"/>
              </w:rPr>
              <w:t>Sub-Saharan Africa</w:t>
            </w:r>
          </w:p>
        </w:tc>
      </w:tr>
      <w:tr w:rsidR="00A05CA5" w:rsidRPr="00000849" w14:paraId="57F2BBBB" w14:textId="77777777" w:rsidTr="00143B7E">
        <w:tc>
          <w:tcPr>
            <w:tcW w:w="1555" w:type="dxa"/>
            <w:vAlign w:val="center"/>
          </w:tcPr>
          <w:p w14:paraId="3616E50D" w14:textId="19B22B97" w:rsidR="00A05CA5" w:rsidRPr="00000849" w:rsidRDefault="00A05CA5">
            <w:pPr>
              <w:spacing w:after="160" w:line="259" w:lineRule="auto"/>
              <w:rPr>
                <w:sz w:val="20"/>
                <w:szCs w:val="20"/>
              </w:rPr>
            </w:pPr>
            <w:r w:rsidRPr="00000849">
              <w:rPr>
                <w:sz w:val="20"/>
                <w:szCs w:val="20"/>
              </w:rPr>
              <w:t>TOD</w:t>
            </w:r>
          </w:p>
        </w:tc>
        <w:tc>
          <w:tcPr>
            <w:tcW w:w="6633" w:type="dxa"/>
            <w:vAlign w:val="center"/>
          </w:tcPr>
          <w:p w14:paraId="275DE3A3" w14:textId="04EDE6CB" w:rsidR="00A05CA5" w:rsidRPr="00000849" w:rsidRDefault="00A05CA5">
            <w:pPr>
              <w:spacing w:after="160" w:line="259" w:lineRule="auto"/>
              <w:rPr>
                <w:rFonts w:cstheme="minorHAnsi"/>
                <w:sz w:val="20"/>
                <w:szCs w:val="20"/>
              </w:rPr>
            </w:pPr>
            <w:r w:rsidRPr="00000849">
              <w:rPr>
                <w:rFonts w:cstheme="minorHAnsi"/>
                <w:color w:val="383838"/>
                <w:sz w:val="20"/>
                <w:szCs w:val="20"/>
              </w:rPr>
              <w:t>Target Organ Damage</w:t>
            </w:r>
          </w:p>
        </w:tc>
      </w:tr>
      <w:tr w:rsidR="00A76F12" w:rsidRPr="00000849" w14:paraId="7B100AD3" w14:textId="77777777" w:rsidTr="00143B7E">
        <w:tc>
          <w:tcPr>
            <w:tcW w:w="1555" w:type="dxa"/>
            <w:vAlign w:val="center"/>
          </w:tcPr>
          <w:p w14:paraId="1D83FA5A" w14:textId="7BB49823" w:rsidR="00A76F12" w:rsidRPr="00000849" w:rsidRDefault="007F1B53">
            <w:pPr>
              <w:spacing w:after="160" w:line="259" w:lineRule="auto"/>
              <w:rPr>
                <w:sz w:val="20"/>
                <w:szCs w:val="20"/>
              </w:rPr>
            </w:pPr>
            <w:r w:rsidRPr="00000849">
              <w:rPr>
                <w:sz w:val="20"/>
                <w:szCs w:val="20"/>
              </w:rPr>
              <w:t>UN</w:t>
            </w:r>
          </w:p>
        </w:tc>
        <w:tc>
          <w:tcPr>
            <w:tcW w:w="6633" w:type="dxa"/>
            <w:vAlign w:val="center"/>
          </w:tcPr>
          <w:p w14:paraId="6B28108E" w14:textId="1415817D" w:rsidR="00A76F12" w:rsidRPr="00000849" w:rsidRDefault="007F1B53">
            <w:pPr>
              <w:spacing w:after="160" w:line="259" w:lineRule="auto"/>
              <w:rPr>
                <w:rFonts w:cstheme="minorHAnsi"/>
                <w:sz w:val="20"/>
                <w:szCs w:val="20"/>
              </w:rPr>
            </w:pPr>
            <w:r w:rsidRPr="00000849">
              <w:rPr>
                <w:rFonts w:cstheme="minorHAnsi"/>
                <w:sz w:val="20"/>
                <w:szCs w:val="20"/>
              </w:rPr>
              <w:t>United Nations</w:t>
            </w:r>
          </w:p>
        </w:tc>
      </w:tr>
      <w:tr w:rsidR="00AE11D4" w:rsidRPr="00000849" w14:paraId="042EAF2F" w14:textId="77777777" w:rsidTr="00143B7E">
        <w:tc>
          <w:tcPr>
            <w:tcW w:w="1555" w:type="dxa"/>
            <w:vAlign w:val="center"/>
          </w:tcPr>
          <w:p w14:paraId="7ED15453" w14:textId="792E49F8" w:rsidR="00AE11D4" w:rsidRPr="00000849" w:rsidRDefault="00AE11D4">
            <w:pPr>
              <w:spacing w:after="160" w:line="259" w:lineRule="auto"/>
              <w:rPr>
                <w:sz w:val="20"/>
                <w:szCs w:val="20"/>
              </w:rPr>
            </w:pPr>
            <w:r w:rsidRPr="00000849">
              <w:rPr>
                <w:sz w:val="20"/>
                <w:szCs w:val="20"/>
              </w:rPr>
              <w:t>USA</w:t>
            </w:r>
          </w:p>
        </w:tc>
        <w:tc>
          <w:tcPr>
            <w:tcW w:w="6633" w:type="dxa"/>
            <w:vAlign w:val="center"/>
          </w:tcPr>
          <w:p w14:paraId="3F9CF9FA" w14:textId="0E035CDE" w:rsidR="00AE11D4" w:rsidRPr="00000849" w:rsidRDefault="00AE11D4">
            <w:pPr>
              <w:spacing w:after="160" w:line="259" w:lineRule="auto"/>
              <w:rPr>
                <w:rFonts w:cstheme="minorHAnsi"/>
                <w:sz w:val="20"/>
                <w:szCs w:val="20"/>
              </w:rPr>
            </w:pPr>
            <w:r w:rsidRPr="00000849">
              <w:rPr>
                <w:rFonts w:cstheme="minorHAnsi"/>
                <w:color w:val="383838"/>
                <w:sz w:val="20"/>
                <w:szCs w:val="20"/>
              </w:rPr>
              <w:t>United States of America</w:t>
            </w:r>
          </w:p>
        </w:tc>
      </w:tr>
      <w:tr w:rsidR="00E6132E" w:rsidRPr="00000849" w14:paraId="3DBC0B51" w14:textId="77777777" w:rsidTr="00143B7E">
        <w:tc>
          <w:tcPr>
            <w:tcW w:w="1555" w:type="dxa"/>
            <w:vAlign w:val="center"/>
          </w:tcPr>
          <w:p w14:paraId="2FBB2882" w14:textId="0F0A62AC" w:rsidR="00E6132E" w:rsidRPr="00000849" w:rsidRDefault="00E6132E">
            <w:pPr>
              <w:spacing w:after="160" w:line="259" w:lineRule="auto"/>
              <w:rPr>
                <w:sz w:val="20"/>
                <w:szCs w:val="20"/>
              </w:rPr>
            </w:pPr>
            <w:r w:rsidRPr="00000849">
              <w:rPr>
                <w:sz w:val="20"/>
                <w:szCs w:val="20"/>
              </w:rPr>
              <w:t>VIF</w:t>
            </w:r>
          </w:p>
        </w:tc>
        <w:tc>
          <w:tcPr>
            <w:tcW w:w="6633" w:type="dxa"/>
            <w:vAlign w:val="center"/>
          </w:tcPr>
          <w:p w14:paraId="3A0DC7F0" w14:textId="6CEDA72F" w:rsidR="00E6132E" w:rsidRPr="00000849" w:rsidRDefault="00E6132E">
            <w:pPr>
              <w:spacing w:after="160" w:line="259" w:lineRule="auto"/>
              <w:rPr>
                <w:rFonts w:cstheme="minorHAnsi"/>
                <w:sz w:val="20"/>
                <w:szCs w:val="20"/>
              </w:rPr>
            </w:pPr>
            <w:r w:rsidRPr="00000849">
              <w:rPr>
                <w:rFonts w:cstheme="minorHAnsi"/>
                <w:sz w:val="20"/>
                <w:szCs w:val="20"/>
              </w:rPr>
              <w:t>Variance Inflation Factor</w:t>
            </w:r>
          </w:p>
        </w:tc>
      </w:tr>
      <w:tr w:rsidR="00F14E8E" w:rsidRPr="00000849" w14:paraId="7C0D99C6" w14:textId="77777777" w:rsidTr="00143B7E">
        <w:tc>
          <w:tcPr>
            <w:tcW w:w="1555" w:type="dxa"/>
            <w:vAlign w:val="center"/>
          </w:tcPr>
          <w:p w14:paraId="3B436300" w14:textId="53F12F18" w:rsidR="00F14E8E" w:rsidRPr="00000849" w:rsidRDefault="00F14E8E">
            <w:pPr>
              <w:spacing w:after="160" w:line="259" w:lineRule="auto"/>
              <w:rPr>
                <w:sz w:val="20"/>
                <w:szCs w:val="20"/>
              </w:rPr>
            </w:pPr>
            <w:r w:rsidRPr="00000849">
              <w:rPr>
                <w:sz w:val="20"/>
                <w:szCs w:val="20"/>
              </w:rPr>
              <w:t>VPC</w:t>
            </w:r>
          </w:p>
        </w:tc>
        <w:tc>
          <w:tcPr>
            <w:tcW w:w="6633" w:type="dxa"/>
            <w:vAlign w:val="center"/>
          </w:tcPr>
          <w:p w14:paraId="2339D0D7" w14:textId="29ED95C2" w:rsidR="00F14E8E" w:rsidRPr="00000849" w:rsidRDefault="00F14E8E">
            <w:pPr>
              <w:spacing w:after="160" w:line="259" w:lineRule="auto"/>
              <w:rPr>
                <w:rFonts w:cstheme="minorHAnsi"/>
                <w:sz w:val="20"/>
                <w:szCs w:val="20"/>
              </w:rPr>
            </w:pPr>
            <w:r w:rsidRPr="00000849">
              <w:rPr>
                <w:rFonts w:cstheme="minorHAnsi"/>
                <w:color w:val="383838"/>
                <w:sz w:val="20"/>
                <w:szCs w:val="20"/>
              </w:rPr>
              <w:t>Variance Partition Coefficient</w:t>
            </w:r>
          </w:p>
        </w:tc>
      </w:tr>
      <w:tr w:rsidR="009B1260" w:rsidRPr="00000849" w14:paraId="4BE25880" w14:textId="77777777" w:rsidTr="00143B7E">
        <w:tc>
          <w:tcPr>
            <w:tcW w:w="1555" w:type="dxa"/>
            <w:vAlign w:val="center"/>
          </w:tcPr>
          <w:p w14:paraId="198A9B83" w14:textId="7C46AAEA" w:rsidR="009B1260" w:rsidRPr="00000849" w:rsidRDefault="009B1260">
            <w:pPr>
              <w:spacing w:after="160" w:line="259" w:lineRule="auto"/>
              <w:rPr>
                <w:sz w:val="20"/>
                <w:szCs w:val="20"/>
              </w:rPr>
            </w:pPr>
            <w:r w:rsidRPr="00000849">
              <w:rPr>
                <w:sz w:val="20"/>
                <w:szCs w:val="20"/>
              </w:rPr>
              <w:t>W1</w:t>
            </w:r>
          </w:p>
        </w:tc>
        <w:tc>
          <w:tcPr>
            <w:tcW w:w="6633" w:type="dxa"/>
            <w:vAlign w:val="center"/>
          </w:tcPr>
          <w:p w14:paraId="757CB2C0" w14:textId="3AC379C2" w:rsidR="009B1260" w:rsidRPr="00000849" w:rsidRDefault="009B1260">
            <w:pPr>
              <w:spacing w:after="160" w:line="259" w:lineRule="auto"/>
              <w:rPr>
                <w:rFonts w:cstheme="minorHAnsi"/>
                <w:sz w:val="20"/>
                <w:szCs w:val="20"/>
              </w:rPr>
            </w:pPr>
            <w:r w:rsidRPr="00000849">
              <w:rPr>
                <w:rFonts w:cstheme="minorHAnsi"/>
                <w:sz w:val="20"/>
                <w:szCs w:val="20"/>
              </w:rPr>
              <w:t>Wave 1</w:t>
            </w:r>
          </w:p>
        </w:tc>
      </w:tr>
      <w:tr w:rsidR="009B1260" w:rsidRPr="00000849" w14:paraId="436ACFAE" w14:textId="77777777" w:rsidTr="00143B7E">
        <w:tc>
          <w:tcPr>
            <w:tcW w:w="1555" w:type="dxa"/>
            <w:vAlign w:val="center"/>
          </w:tcPr>
          <w:p w14:paraId="4569FDF1" w14:textId="4056ADBB" w:rsidR="009B1260" w:rsidRPr="00000849" w:rsidRDefault="009B1260">
            <w:pPr>
              <w:spacing w:after="160" w:line="259" w:lineRule="auto"/>
              <w:rPr>
                <w:sz w:val="20"/>
                <w:szCs w:val="20"/>
              </w:rPr>
            </w:pPr>
            <w:r w:rsidRPr="00000849">
              <w:rPr>
                <w:sz w:val="20"/>
                <w:szCs w:val="20"/>
              </w:rPr>
              <w:t>W2</w:t>
            </w:r>
          </w:p>
        </w:tc>
        <w:tc>
          <w:tcPr>
            <w:tcW w:w="6633" w:type="dxa"/>
            <w:vAlign w:val="center"/>
          </w:tcPr>
          <w:p w14:paraId="0E3FDF6B" w14:textId="6717A833" w:rsidR="009B1260" w:rsidRPr="00000849" w:rsidRDefault="009B1260">
            <w:pPr>
              <w:spacing w:after="160" w:line="259" w:lineRule="auto"/>
              <w:rPr>
                <w:rFonts w:cstheme="minorHAnsi"/>
                <w:sz w:val="20"/>
                <w:szCs w:val="20"/>
              </w:rPr>
            </w:pPr>
            <w:r w:rsidRPr="00000849">
              <w:rPr>
                <w:rFonts w:cstheme="minorHAnsi"/>
                <w:sz w:val="20"/>
                <w:szCs w:val="20"/>
              </w:rPr>
              <w:t>Wave 2</w:t>
            </w:r>
          </w:p>
        </w:tc>
      </w:tr>
      <w:tr w:rsidR="00E211A8" w:rsidRPr="00000849" w14:paraId="669B624D" w14:textId="77777777" w:rsidTr="00143B7E">
        <w:tc>
          <w:tcPr>
            <w:tcW w:w="1555" w:type="dxa"/>
            <w:vAlign w:val="center"/>
          </w:tcPr>
          <w:p w14:paraId="7C3D99C2" w14:textId="7B275749" w:rsidR="00E211A8" w:rsidRPr="00000849" w:rsidRDefault="00E211A8">
            <w:pPr>
              <w:spacing w:after="160" w:line="259" w:lineRule="auto"/>
              <w:rPr>
                <w:sz w:val="20"/>
                <w:szCs w:val="20"/>
              </w:rPr>
            </w:pPr>
            <w:r w:rsidRPr="00000849">
              <w:rPr>
                <w:sz w:val="20"/>
                <w:szCs w:val="20"/>
              </w:rPr>
              <w:t>WC</w:t>
            </w:r>
          </w:p>
        </w:tc>
        <w:tc>
          <w:tcPr>
            <w:tcW w:w="6633" w:type="dxa"/>
            <w:vAlign w:val="center"/>
          </w:tcPr>
          <w:p w14:paraId="6240AF8B" w14:textId="40177118" w:rsidR="00E211A8" w:rsidRPr="00000849" w:rsidRDefault="00E211A8">
            <w:pPr>
              <w:spacing w:after="160" w:line="259" w:lineRule="auto"/>
              <w:rPr>
                <w:rFonts w:cstheme="minorHAnsi"/>
                <w:sz w:val="20"/>
                <w:szCs w:val="20"/>
              </w:rPr>
            </w:pPr>
            <w:r w:rsidRPr="00000849">
              <w:rPr>
                <w:rFonts w:cstheme="minorHAnsi"/>
                <w:sz w:val="20"/>
                <w:szCs w:val="20"/>
              </w:rPr>
              <w:t xml:space="preserve">Waist </w:t>
            </w:r>
            <w:r w:rsidRPr="00000849">
              <w:rPr>
                <w:sz w:val="20"/>
                <w:szCs w:val="20"/>
              </w:rPr>
              <w:t>Circumference</w:t>
            </w:r>
          </w:p>
        </w:tc>
      </w:tr>
      <w:tr w:rsidR="00A76F12" w:rsidRPr="00000849" w14:paraId="058F031F" w14:textId="77777777" w:rsidTr="00143B7E">
        <w:tc>
          <w:tcPr>
            <w:tcW w:w="1555" w:type="dxa"/>
            <w:vAlign w:val="center"/>
          </w:tcPr>
          <w:p w14:paraId="317C2894" w14:textId="0BBA200F" w:rsidR="00A76F12" w:rsidRPr="00000849" w:rsidRDefault="00DD0EFB">
            <w:pPr>
              <w:spacing w:after="160" w:line="259" w:lineRule="auto"/>
              <w:rPr>
                <w:sz w:val="20"/>
                <w:szCs w:val="20"/>
              </w:rPr>
            </w:pPr>
            <w:r w:rsidRPr="00000849">
              <w:rPr>
                <w:sz w:val="20"/>
                <w:szCs w:val="20"/>
              </w:rPr>
              <w:t>WHO</w:t>
            </w:r>
          </w:p>
        </w:tc>
        <w:tc>
          <w:tcPr>
            <w:tcW w:w="6633" w:type="dxa"/>
            <w:vAlign w:val="center"/>
          </w:tcPr>
          <w:p w14:paraId="032D8D36" w14:textId="0D366687" w:rsidR="00A76F12" w:rsidRPr="00000849" w:rsidRDefault="00DD0EFB">
            <w:pPr>
              <w:spacing w:after="160" w:line="259" w:lineRule="auto"/>
              <w:rPr>
                <w:rFonts w:cstheme="minorHAnsi"/>
                <w:sz w:val="20"/>
                <w:szCs w:val="20"/>
              </w:rPr>
            </w:pPr>
            <w:r w:rsidRPr="00000849">
              <w:rPr>
                <w:rFonts w:cstheme="minorHAnsi"/>
                <w:sz w:val="20"/>
                <w:szCs w:val="20"/>
              </w:rPr>
              <w:t>World Health Organization</w:t>
            </w:r>
          </w:p>
        </w:tc>
      </w:tr>
      <w:tr w:rsidR="00A74CE8" w:rsidRPr="00000849" w14:paraId="22FB20E1" w14:textId="77777777" w:rsidTr="00143B7E">
        <w:tc>
          <w:tcPr>
            <w:tcW w:w="1555" w:type="dxa"/>
            <w:vAlign w:val="center"/>
          </w:tcPr>
          <w:p w14:paraId="1739A0FC" w14:textId="0E4CC062" w:rsidR="00A74CE8" w:rsidRPr="00000849" w:rsidRDefault="00A74CE8">
            <w:pPr>
              <w:spacing w:after="160" w:line="259" w:lineRule="auto"/>
              <w:rPr>
                <w:sz w:val="20"/>
                <w:szCs w:val="20"/>
              </w:rPr>
            </w:pPr>
          </w:p>
        </w:tc>
        <w:tc>
          <w:tcPr>
            <w:tcW w:w="6633" w:type="dxa"/>
            <w:vAlign w:val="center"/>
          </w:tcPr>
          <w:p w14:paraId="18E1A171" w14:textId="77777777" w:rsidR="00A74CE8" w:rsidRPr="00000849" w:rsidRDefault="00A74CE8">
            <w:pPr>
              <w:spacing w:after="160" w:line="259" w:lineRule="auto"/>
              <w:rPr>
                <w:rFonts w:cstheme="minorHAnsi"/>
                <w:sz w:val="20"/>
                <w:szCs w:val="20"/>
              </w:rPr>
            </w:pPr>
          </w:p>
        </w:tc>
      </w:tr>
    </w:tbl>
    <w:p w14:paraId="0C3C4687" w14:textId="77777777" w:rsidR="00CE128D" w:rsidRPr="00000849" w:rsidRDefault="00CE128D">
      <w:pPr>
        <w:spacing w:after="160" w:line="259" w:lineRule="auto"/>
      </w:pPr>
    </w:p>
    <w:p w14:paraId="3082D3EF" w14:textId="77777777" w:rsidR="00CE128D" w:rsidRPr="00000849" w:rsidRDefault="00CE128D">
      <w:pPr>
        <w:spacing w:after="160" w:line="259" w:lineRule="auto"/>
        <w:rPr>
          <w:rFonts w:ascii="Calibri" w:eastAsia="Times New Roman" w:hAnsi="Calibri" w:cs="Times New Roman"/>
          <w:b/>
          <w:bCs/>
          <w:kern w:val="36"/>
          <w:sz w:val="28"/>
          <w:szCs w:val="48"/>
          <w:lang w:eastAsia="en-GB"/>
        </w:rPr>
      </w:pPr>
      <w:r w:rsidRPr="00000849">
        <w:br w:type="page"/>
      </w:r>
    </w:p>
    <w:p w14:paraId="260951F7" w14:textId="26C2ED90" w:rsidR="00BC01D7" w:rsidRPr="00000849" w:rsidRDefault="00BC01D7">
      <w:pPr>
        <w:pStyle w:val="Heading1"/>
      </w:pPr>
      <w:bookmarkStart w:id="8" w:name="_Toc51472068"/>
      <w:r w:rsidRPr="00000849">
        <w:lastRenderedPageBreak/>
        <w:t>Acknowledgement</w:t>
      </w:r>
      <w:r w:rsidR="005C05B1" w:rsidRPr="00000849">
        <w:t>s</w:t>
      </w:r>
      <w:bookmarkEnd w:id="8"/>
    </w:p>
    <w:p w14:paraId="4E9A37E9" w14:textId="77777777" w:rsidR="00CE128D" w:rsidRPr="00000849" w:rsidRDefault="00CE128D" w:rsidP="002F0380">
      <w:pPr>
        <w:spacing w:after="160" w:line="480" w:lineRule="auto"/>
        <w:jc w:val="both"/>
      </w:pPr>
    </w:p>
    <w:p w14:paraId="03C2BE8D" w14:textId="64BA978E" w:rsidR="00FE546C" w:rsidRPr="00000849" w:rsidRDefault="00FD3BF5" w:rsidP="002F0380">
      <w:pPr>
        <w:spacing w:after="160" w:line="480" w:lineRule="auto"/>
        <w:jc w:val="both"/>
      </w:pPr>
      <w:r w:rsidRPr="00000849">
        <w:t>This journey has taken longer than I expected</w:t>
      </w:r>
      <w:r w:rsidR="001435CB" w:rsidRPr="00000849">
        <w:t xml:space="preserve"> but I thank God for all His mercies at every stage.  I am immensely grateful to my Academic Supervisors, Dr Eugenio Zucchelli </w:t>
      </w:r>
      <w:r w:rsidR="00BB5472" w:rsidRPr="00000849">
        <w:t>and Dr Siobhan Reilly of the Faculty of Health and Medicine for their guidance and encouragement.  Their meticulousness has served to enrich this thesis.</w:t>
      </w:r>
      <w:r w:rsidR="00E8317B" w:rsidRPr="00000849">
        <w:t xml:space="preserve">  I thank the teaching and non-teaching staff for their tuition and general support which helped to prepare me for this research project. </w:t>
      </w:r>
    </w:p>
    <w:p w14:paraId="30F86AE6" w14:textId="77777777" w:rsidR="00BB5472" w:rsidRPr="00000849" w:rsidRDefault="00BB5472" w:rsidP="002F0380">
      <w:pPr>
        <w:spacing w:after="160" w:line="480" w:lineRule="auto"/>
        <w:jc w:val="both"/>
      </w:pPr>
    </w:p>
    <w:p w14:paraId="3C84E701" w14:textId="4AF9DDC0" w:rsidR="00E052C5" w:rsidRPr="00000849" w:rsidRDefault="005F0A73" w:rsidP="002F0380">
      <w:pPr>
        <w:spacing w:after="160" w:line="480" w:lineRule="auto"/>
        <w:jc w:val="both"/>
      </w:pPr>
      <w:r w:rsidRPr="00000849">
        <w:t xml:space="preserve">I would like to thank Dr Justice MK Aheto for </w:t>
      </w:r>
      <w:r w:rsidR="00B21B0B" w:rsidRPr="00000849">
        <w:t xml:space="preserve">his contributions to the systematic reviews </w:t>
      </w:r>
      <w:r w:rsidR="001C36E1" w:rsidRPr="00000849">
        <w:t>and encouraging me on my statistical journey</w:t>
      </w:r>
      <w:r w:rsidR="00B21B0B" w:rsidRPr="00000849">
        <w:t>.  I thank the peer reviewers for their insightful comments on the three published papers on these systematic reviews.</w:t>
      </w:r>
      <w:r w:rsidR="00E8317B" w:rsidRPr="00000849">
        <w:t xml:space="preserve">  </w:t>
      </w:r>
      <w:r w:rsidR="002F0380" w:rsidRPr="00000849">
        <w:t xml:space="preserve">I am deeply grateful to the </w:t>
      </w:r>
      <w:r w:rsidR="00E052C5" w:rsidRPr="00000849">
        <w:t>SAGE</w:t>
      </w:r>
      <w:r w:rsidR="002F0380" w:rsidRPr="00000849">
        <w:t xml:space="preserve"> Team at WHO for releasing the</w:t>
      </w:r>
      <w:r w:rsidR="00E052C5" w:rsidRPr="00000849">
        <w:t xml:space="preserve"> datasets</w:t>
      </w:r>
      <w:r w:rsidR="00E8317B" w:rsidRPr="00000849">
        <w:t xml:space="preserve"> for this thesis.  I thank Prof Richard Biritwum and his </w:t>
      </w:r>
      <w:r w:rsidR="00E052C5" w:rsidRPr="00000849">
        <w:t>SAGE Ghana</w:t>
      </w:r>
      <w:r w:rsidR="001C36E1" w:rsidRPr="00000849">
        <w:t xml:space="preserve"> team </w:t>
      </w:r>
      <w:r w:rsidR="00E8317B" w:rsidRPr="00000849">
        <w:t xml:space="preserve">for their kind support for this project.  </w:t>
      </w:r>
    </w:p>
    <w:p w14:paraId="169C65AB" w14:textId="77777777" w:rsidR="00E8317B" w:rsidRPr="00000849" w:rsidRDefault="00E8317B" w:rsidP="002F0380">
      <w:pPr>
        <w:spacing w:after="160" w:line="480" w:lineRule="auto"/>
        <w:jc w:val="both"/>
      </w:pPr>
    </w:p>
    <w:p w14:paraId="0D1FD30E" w14:textId="3488D553" w:rsidR="0012775A" w:rsidRPr="00000849" w:rsidRDefault="001435CB" w:rsidP="002F0380">
      <w:pPr>
        <w:spacing w:after="160" w:line="480" w:lineRule="auto"/>
        <w:jc w:val="both"/>
      </w:pPr>
      <w:r w:rsidRPr="00000849">
        <w:t>I lost both parents</w:t>
      </w:r>
      <w:r w:rsidR="00E8317B" w:rsidRPr="00000849">
        <w:t xml:space="preserve"> within nine months of each other in 2017-2018</w:t>
      </w:r>
      <w:r w:rsidRPr="00000849">
        <w:t xml:space="preserve"> during this journey</w:t>
      </w:r>
      <w:r w:rsidR="007B4960" w:rsidRPr="00000849">
        <w:t>.  I thank them</w:t>
      </w:r>
      <w:r w:rsidR="005B1A13" w:rsidRPr="00000849">
        <w:t xml:space="preserve"> very much</w:t>
      </w:r>
      <w:r w:rsidR="007B4960" w:rsidRPr="00000849">
        <w:t xml:space="preserve"> for their love, care and support throughout my life.  </w:t>
      </w:r>
      <w:r w:rsidR="00786724" w:rsidRPr="00000849">
        <w:t>I thank my own family profusely for tolerating my periods of absence and silence, for their sacrifice and their support.  Thank you for always being there for me.  Finally, I thank Our Heavenly Father for his provisions, grace and mercies, without which this project could not have happened.</w:t>
      </w:r>
    </w:p>
    <w:p w14:paraId="3077E4BC" w14:textId="77777777" w:rsidR="00CE128D" w:rsidRPr="00000849" w:rsidRDefault="00CE128D" w:rsidP="002F0380">
      <w:pPr>
        <w:spacing w:after="160" w:line="480" w:lineRule="auto"/>
      </w:pPr>
    </w:p>
    <w:p w14:paraId="05552A7A" w14:textId="14FBFB56" w:rsidR="00972857" w:rsidRPr="00000849" w:rsidRDefault="00972857">
      <w:pPr>
        <w:spacing w:after="160" w:line="259" w:lineRule="auto"/>
        <w:rPr>
          <w:rFonts w:ascii="Calibri" w:eastAsia="Times New Roman" w:hAnsi="Calibri" w:cs="Times New Roman"/>
          <w:b/>
          <w:bCs/>
          <w:kern w:val="36"/>
          <w:sz w:val="28"/>
          <w:szCs w:val="48"/>
          <w:lang w:eastAsia="en-GB"/>
        </w:rPr>
      </w:pPr>
    </w:p>
    <w:p w14:paraId="2F4B34BB" w14:textId="77777777" w:rsidR="0082545F" w:rsidRPr="00000849" w:rsidRDefault="0082545F">
      <w:pPr>
        <w:pStyle w:val="Heading1"/>
        <w:sectPr w:rsidR="0082545F" w:rsidRPr="00000849" w:rsidSect="0082545F">
          <w:pgSz w:w="11906" w:h="16838"/>
          <w:pgMar w:top="1440" w:right="1440" w:bottom="1440" w:left="2155" w:header="708" w:footer="708" w:gutter="0"/>
          <w:pgNumType w:fmt="lowerRoman"/>
          <w:cols w:space="708"/>
          <w:docGrid w:linePitch="360"/>
        </w:sectPr>
      </w:pPr>
    </w:p>
    <w:p w14:paraId="7332BC6D" w14:textId="060461BE" w:rsidR="002B0B4B" w:rsidRPr="00000849" w:rsidRDefault="002B0B4B">
      <w:pPr>
        <w:pStyle w:val="Heading1"/>
      </w:pPr>
      <w:bookmarkStart w:id="9" w:name="_Toc51472069"/>
      <w:r w:rsidRPr="00000849">
        <w:lastRenderedPageBreak/>
        <w:t xml:space="preserve">Chapter 1: </w:t>
      </w:r>
      <w:r w:rsidR="00D32827" w:rsidRPr="00000849">
        <w:t>I</w:t>
      </w:r>
      <w:r w:rsidRPr="00000849">
        <w:t>ntroduction</w:t>
      </w:r>
      <w:bookmarkEnd w:id="9"/>
    </w:p>
    <w:p w14:paraId="7C73A146" w14:textId="36C85B68" w:rsidR="00A01508" w:rsidRPr="00000849" w:rsidRDefault="00A01508" w:rsidP="00A0150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3F6774F4" w14:textId="642DE662" w:rsidR="00390D77" w:rsidRPr="00000849" w:rsidRDefault="00390D77" w:rsidP="00A01508">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This chapter sets out the context for the study with</w:t>
      </w:r>
      <w:r w:rsidR="00AB19F1" w:rsidRPr="00000849">
        <w:rPr>
          <w:rFonts w:asciiTheme="minorHAnsi" w:hAnsiTheme="minorHAnsi" w:cstheme="minorHAnsi"/>
          <w:color w:val="383838"/>
        </w:rPr>
        <w:t xml:space="preserve"> a description of </w:t>
      </w:r>
      <w:r w:rsidR="00957B02" w:rsidRPr="00000849">
        <w:rPr>
          <w:rFonts w:asciiTheme="minorHAnsi" w:hAnsiTheme="minorHAnsi" w:cstheme="minorHAnsi"/>
          <w:color w:val="383838"/>
        </w:rPr>
        <w:t xml:space="preserve">the </w:t>
      </w:r>
      <w:r w:rsidR="00AB19F1" w:rsidRPr="00000849">
        <w:rPr>
          <w:rFonts w:asciiTheme="minorHAnsi" w:hAnsiTheme="minorHAnsi" w:cstheme="minorHAnsi"/>
          <w:color w:val="383838"/>
        </w:rPr>
        <w:t>socioeconomic profile of Ghana,</w:t>
      </w:r>
      <w:r w:rsidRPr="00000849">
        <w:rPr>
          <w:rFonts w:asciiTheme="minorHAnsi" w:hAnsiTheme="minorHAnsi" w:cstheme="minorHAnsi"/>
          <w:color w:val="383838"/>
        </w:rPr>
        <w:t xml:space="preserve"> an analysis of the trends in ageing in Ghana and its associated epidemiological changes with a shift in the disease profile towards noncommunicable diseases (NCDs).  </w:t>
      </w:r>
      <w:r w:rsidR="00AB19F1" w:rsidRPr="00000849">
        <w:rPr>
          <w:rFonts w:asciiTheme="minorHAnsi" w:hAnsiTheme="minorHAnsi" w:cstheme="minorHAnsi"/>
          <w:color w:val="383838"/>
        </w:rPr>
        <w:t>After</w:t>
      </w:r>
      <w:r w:rsidRPr="00000849">
        <w:rPr>
          <w:rFonts w:asciiTheme="minorHAnsi" w:hAnsiTheme="minorHAnsi" w:cstheme="minorHAnsi"/>
          <w:color w:val="383838"/>
        </w:rPr>
        <w:t xml:space="preserve"> </w:t>
      </w:r>
      <w:r w:rsidR="00D32827" w:rsidRPr="00000849">
        <w:rPr>
          <w:rFonts w:asciiTheme="minorHAnsi" w:hAnsiTheme="minorHAnsi" w:cstheme="minorHAnsi"/>
          <w:color w:val="383838"/>
        </w:rPr>
        <w:t>justifying</w:t>
      </w:r>
      <w:r w:rsidRPr="00000849">
        <w:rPr>
          <w:rFonts w:asciiTheme="minorHAnsi" w:hAnsiTheme="minorHAnsi" w:cstheme="minorHAnsi"/>
          <w:color w:val="383838"/>
        </w:rPr>
        <w:t xml:space="preserve"> </w:t>
      </w:r>
      <w:r w:rsidR="00AB19F1" w:rsidRPr="00000849">
        <w:rPr>
          <w:rFonts w:asciiTheme="minorHAnsi" w:hAnsiTheme="minorHAnsi" w:cstheme="minorHAnsi"/>
          <w:color w:val="383838"/>
        </w:rPr>
        <w:t xml:space="preserve">the choice of the age group </w:t>
      </w:r>
      <w:r w:rsidR="00957B02" w:rsidRPr="00000849">
        <w:rPr>
          <w:rFonts w:asciiTheme="minorHAnsi" w:hAnsiTheme="minorHAnsi" w:cstheme="minorHAnsi"/>
          <w:color w:val="383838"/>
        </w:rPr>
        <w:t>of interest (</w:t>
      </w:r>
      <w:r w:rsidR="00AB19F1" w:rsidRPr="00000849">
        <w:rPr>
          <w:rFonts w:asciiTheme="minorHAnsi" w:hAnsiTheme="minorHAnsi" w:cstheme="minorHAnsi"/>
          <w:color w:val="383838"/>
        </w:rPr>
        <w:t>50 years and older</w:t>
      </w:r>
      <w:r w:rsidR="00957B02" w:rsidRPr="00000849">
        <w:rPr>
          <w:rFonts w:asciiTheme="minorHAnsi" w:hAnsiTheme="minorHAnsi" w:cstheme="minorHAnsi"/>
          <w:color w:val="383838"/>
        </w:rPr>
        <w:t>)</w:t>
      </w:r>
      <w:r w:rsidR="00AB19F1" w:rsidRPr="00000849">
        <w:rPr>
          <w:rFonts w:asciiTheme="minorHAnsi" w:hAnsiTheme="minorHAnsi" w:cstheme="minorHAnsi"/>
          <w:color w:val="383838"/>
        </w:rPr>
        <w:t xml:space="preserve"> as</w:t>
      </w:r>
      <w:r w:rsidR="00957B02" w:rsidRPr="00000849">
        <w:rPr>
          <w:rFonts w:asciiTheme="minorHAnsi" w:hAnsiTheme="minorHAnsi" w:cstheme="minorHAnsi"/>
          <w:color w:val="383838"/>
        </w:rPr>
        <w:t xml:space="preserve"> well as</w:t>
      </w:r>
      <w:r w:rsidR="00AB19F1" w:rsidRPr="00000849">
        <w:rPr>
          <w:rFonts w:asciiTheme="minorHAnsi" w:hAnsiTheme="minorHAnsi" w:cstheme="minorHAnsi"/>
          <w:color w:val="383838"/>
        </w:rPr>
        <w:t xml:space="preserve"> the age threshold for defining older adults in Africa, the chapter discusses the health and social experiences of older people </w:t>
      </w:r>
      <w:r w:rsidR="00D32827" w:rsidRPr="00000849">
        <w:rPr>
          <w:rFonts w:asciiTheme="minorHAnsi" w:hAnsiTheme="minorHAnsi" w:cstheme="minorHAnsi"/>
          <w:color w:val="383838"/>
        </w:rPr>
        <w:t xml:space="preserve">in Ghana </w:t>
      </w:r>
      <w:r w:rsidR="00957B02" w:rsidRPr="00000849">
        <w:rPr>
          <w:rFonts w:asciiTheme="minorHAnsi" w:hAnsiTheme="minorHAnsi" w:cstheme="minorHAnsi"/>
          <w:color w:val="383838"/>
        </w:rPr>
        <w:t>together with</w:t>
      </w:r>
      <w:r w:rsidR="00AB19F1" w:rsidRPr="00000849">
        <w:rPr>
          <w:rFonts w:asciiTheme="minorHAnsi" w:hAnsiTheme="minorHAnsi" w:cstheme="minorHAnsi"/>
          <w:color w:val="383838"/>
        </w:rPr>
        <w:t xml:space="preserve"> government efforts to mitigate their living circumstances.  </w:t>
      </w:r>
      <w:r w:rsidR="00F17737" w:rsidRPr="00000849">
        <w:rPr>
          <w:rFonts w:asciiTheme="minorHAnsi" w:hAnsiTheme="minorHAnsi" w:cstheme="minorHAnsi"/>
          <w:color w:val="383838"/>
        </w:rPr>
        <w:t>The chapter concludes with a presentation of</w:t>
      </w:r>
      <w:r w:rsidR="00AB19F1" w:rsidRPr="00000849">
        <w:rPr>
          <w:rFonts w:asciiTheme="minorHAnsi" w:hAnsiTheme="minorHAnsi" w:cstheme="minorHAnsi"/>
          <w:color w:val="383838"/>
        </w:rPr>
        <w:t xml:space="preserve"> the study ob</w:t>
      </w:r>
      <w:r w:rsidR="00F17737" w:rsidRPr="00000849">
        <w:rPr>
          <w:rFonts w:asciiTheme="minorHAnsi" w:hAnsiTheme="minorHAnsi" w:cstheme="minorHAnsi"/>
          <w:color w:val="383838"/>
        </w:rPr>
        <w:t>jectives, research questions and the motivation for the study.</w:t>
      </w:r>
    </w:p>
    <w:p w14:paraId="08B7FED2" w14:textId="595C1B8D" w:rsidR="00390D77" w:rsidRPr="00000849" w:rsidRDefault="00390D77" w:rsidP="00A0150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5156A90F" w14:textId="7EDE602C" w:rsidR="00F17737" w:rsidRPr="00000849" w:rsidRDefault="00F17737" w:rsidP="00A61BAB">
      <w:pPr>
        <w:pStyle w:val="Heading2"/>
      </w:pPr>
      <w:bookmarkStart w:id="10" w:name="_Toc51472070"/>
      <w:r w:rsidRPr="00000849">
        <w:t>1.1</w:t>
      </w:r>
      <w:r w:rsidRPr="00000849">
        <w:tab/>
        <w:t>Socioeconomic profile of Ghana</w:t>
      </w:r>
      <w:bookmarkEnd w:id="10"/>
      <w:r w:rsidRPr="00000849">
        <w:t xml:space="preserve"> </w:t>
      </w:r>
    </w:p>
    <w:p w14:paraId="04A08B8E" w14:textId="77777777" w:rsidR="00F17737" w:rsidRPr="00000849" w:rsidRDefault="00F17737" w:rsidP="00F17737">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1E1677AB" w14:textId="2926E3DC" w:rsidR="00F17737" w:rsidRPr="00000849" w:rsidRDefault="00F17737" w:rsidP="00F17737">
      <w:pPr>
        <w:spacing w:line="480" w:lineRule="auto"/>
        <w:jc w:val="both"/>
        <w:rPr>
          <w:sz w:val="24"/>
          <w:szCs w:val="24"/>
        </w:rPr>
      </w:pPr>
      <w:r w:rsidRPr="00000849">
        <w:rPr>
          <w:sz w:val="24"/>
          <w:szCs w:val="24"/>
        </w:rPr>
        <w:t>Ghana is located around the central part of the West African coastline, covering a land area of 238,533 km</w:t>
      </w:r>
      <w:r w:rsidRPr="00000849">
        <w:rPr>
          <w:sz w:val="24"/>
          <w:szCs w:val="24"/>
          <w:vertAlign w:val="superscript"/>
        </w:rPr>
        <w:t>2</w:t>
      </w:r>
      <w:r w:rsidR="00356715" w:rsidRPr="00000849">
        <w:rPr>
          <w:sz w:val="24"/>
          <w:szCs w:val="24"/>
        </w:rPr>
        <w:t>.  The United Nations (UN) estimates that Ghana has a</w:t>
      </w:r>
      <w:r w:rsidRPr="00000849">
        <w:rPr>
          <w:sz w:val="24"/>
          <w:szCs w:val="24"/>
        </w:rPr>
        <w:t xml:space="preserve"> population of 31.1 million (20</w:t>
      </w:r>
      <w:r w:rsidR="00475629" w:rsidRPr="00000849">
        <w:rPr>
          <w:sz w:val="24"/>
          <w:szCs w:val="24"/>
        </w:rPr>
        <w:t>20)</w:t>
      </w:r>
      <w:r w:rsidRPr="00000849">
        <w:rPr>
          <w:sz w:val="24"/>
          <w:szCs w:val="24"/>
        </w:rPr>
        <w:t xml:space="preserve"> grow</w:t>
      </w:r>
      <w:r w:rsidR="00356715" w:rsidRPr="00000849">
        <w:rPr>
          <w:sz w:val="24"/>
          <w:szCs w:val="24"/>
        </w:rPr>
        <w:t xml:space="preserve">ing at </w:t>
      </w:r>
      <w:r w:rsidRPr="00000849">
        <w:rPr>
          <w:sz w:val="24"/>
          <w:szCs w:val="24"/>
        </w:rPr>
        <w:t>th</w:t>
      </w:r>
      <w:r w:rsidR="00356715" w:rsidRPr="00000849">
        <w:rPr>
          <w:sz w:val="24"/>
          <w:szCs w:val="24"/>
        </w:rPr>
        <w:t>e</w:t>
      </w:r>
      <w:r w:rsidRPr="00000849">
        <w:rPr>
          <w:sz w:val="24"/>
          <w:szCs w:val="24"/>
        </w:rPr>
        <w:t xml:space="preserve"> rate of 2.5%</w:t>
      </w:r>
      <w:r w:rsidR="00475629" w:rsidRPr="00000849">
        <w:rPr>
          <w:sz w:val="24"/>
          <w:szCs w:val="24"/>
        </w:rPr>
        <w:t xml:space="preserve"> </w:t>
      </w:r>
      <w:r w:rsidR="00356715" w:rsidRPr="00000849">
        <w:rPr>
          <w:sz w:val="24"/>
          <w:szCs w:val="24"/>
        </w:rPr>
        <w:t xml:space="preserve">per annum </w:t>
      </w:r>
      <w:r w:rsidR="00475629" w:rsidRPr="00000849">
        <w:rPr>
          <w:sz w:val="24"/>
          <w:szCs w:val="24"/>
        </w:rPr>
        <w:fldChar w:fldCharType="begin"/>
      </w:r>
      <w:r w:rsidR="00E02ED9" w:rsidRPr="00000849">
        <w:rPr>
          <w:sz w:val="24"/>
          <w:szCs w:val="24"/>
        </w:rPr>
        <w:instrText xml:space="preserve"> ADDIN EN.CITE &lt;EndNote&gt;&lt;Cite&gt;&lt;Author&gt;UN&lt;/Author&gt;&lt;Year&gt;2019&lt;/Year&gt;&lt;RecNum&gt;1632&lt;/RecNum&gt;&lt;DisplayText&gt;(UN, 2019c)&lt;/DisplayText&gt;&lt;record&gt;&lt;rec-number&gt;1632&lt;/rec-number&gt;&lt;foreign-keys&gt;&lt;key app="EN" db-id="9tzf2rda8re2a9es5tuxart3swzx2zws2s02" timestamp="1591570507"&gt;1632&lt;/key&gt;&lt;/foreign-keys&gt;&lt;ref-type name="Online Database"&gt;45&lt;/ref-type&gt;&lt;contributors&gt;&lt;authors&gt;&lt;author&gt;UN,&lt;/author&gt;&lt;/authors&gt;&lt;/contributors&gt;&lt;titles&gt;&lt;title&gt;World Population Prospects 2019, Online Edition. Rev. 1.&lt;/title&gt;&lt;/titles&gt;&lt;dates&gt;&lt;year&gt;2019&lt;/year&gt;&lt;pub-dates&gt;&lt;date&gt;02 June 2020&lt;/date&gt;&lt;/pub-dates&gt;&lt;/dates&gt;&lt;pub-location&gt;New York, NY, USA&lt;/pub-location&gt;&lt;publisher&gt;Department of Economic and Social Affairs, Population Division, UN&lt;/publisher&gt;&lt;urls&gt;&lt;related-urls&gt;&lt;url&gt;https://population.un.org/wpp/&lt;/url&gt;&lt;/related-urls&gt;&lt;/urls&gt;&lt;/record&gt;&lt;/Cite&gt;&lt;/EndNote&gt;</w:instrText>
      </w:r>
      <w:r w:rsidR="00475629" w:rsidRPr="00000849">
        <w:rPr>
          <w:sz w:val="24"/>
          <w:szCs w:val="24"/>
        </w:rPr>
        <w:fldChar w:fldCharType="separate"/>
      </w:r>
      <w:r w:rsidR="00E02ED9" w:rsidRPr="00000849">
        <w:rPr>
          <w:noProof/>
          <w:sz w:val="24"/>
          <w:szCs w:val="24"/>
        </w:rPr>
        <w:t>(UN, 2019c)</w:t>
      </w:r>
      <w:r w:rsidR="00475629" w:rsidRPr="00000849">
        <w:rPr>
          <w:sz w:val="24"/>
          <w:szCs w:val="24"/>
        </w:rPr>
        <w:fldChar w:fldCharType="end"/>
      </w:r>
      <w:r w:rsidRPr="00000849">
        <w:rPr>
          <w:sz w:val="24"/>
          <w:szCs w:val="24"/>
        </w:rPr>
        <w:t xml:space="preserve">.  Until 2019, it was divided into ten administrative regions with Accra in the Greater Accra Region as its capital.  In June 2019, six additional regions were carved out of the existing regions </w:t>
      </w:r>
      <w:r w:rsidR="00475629" w:rsidRPr="00000849">
        <w:rPr>
          <w:sz w:val="24"/>
          <w:szCs w:val="24"/>
        </w:rPr>
        <w:t xml:space="preserve">to bring the total to 16 regions, which are </w:t>
      </w:r>
      <w:r w:rsidRPr="00000849">
        <w:rPr>
          <w:sz w:val="24"/>
          <w:szCs w:val="24"/>
        </w:rPr>
        <w:t>further divided into 216 districts.</w:t>
      </w:r>
    </w:p>
    <w:p w14:paraId="26BAF6F0" w14:textId="0731466D" w:rsidR="00F17737" w:rsidRPr="00000849" w:rsidRDefault="00F17737" w:rsidP="00F17737">
      <w:pPr>
        <w:spacing w:line="480" w:lineRule="auto"/>
        <w:ind w:firstLine="567"/>
        <w:jc w:val="both"/>
        <w:rPr>
          <w:rFonts w:cstheme="minorHAnsi"/>
          <w:color w:val="383838"/>
          <w:sz w:val="24"/>
          <w:szCs w:val="24"/>
        </w:rPr>
      </w:pPr>
      <w:r w:rsidRPr="00000849">
        <w:rPr>
          <w:rFonts w:cstheme="minorHAnsi"/>
          <w:color w:val="383838"/>
          <w:sz w:val="24"/>
          <w:szCs w:val="24"/>
        </w:rPr>
        <w:lastRenderedPageBreak/>
        <w:t xml:space="preserve">Living standards surveys by the </w:t>
      </w:r>
      <w:r w:rsidR="00431DA0" w:rsidRPr="00000849">
        <w:rPr>
          <w:rFonts w:cstheme="minorHAnsi"/>
          <w:color w:val="383838"/>
          <w:sz w:val="24"/>
          <w:szCs w:val="24"/>
        </w:rPr>
        <w:t>Ghana Statistical Service (</w:t>
      </w:r>
      <w:r w:rsidRPr="00000849">
        <w:rPr>
          <w:rFonts w:cstheme="minorHAnsi"/>
          <w:color w:val="383838"/>
          <w:sz w:val="24"/>
          <w:szCs w:val="24"/>
        </w:rPr>
        <w:t>GSS</w:t>
      </w:r>
      <w:r w:rsidR="00431DA0" w:rsidRPr="00000849">
        <w:rPr>
          <w:rFonts w:cstheme="minorHAnsi"/>
          <w:color w:val="383838"/>
          <w:sz w:val="24"/>
          <w:szCs w:val="24"/>
        </w:rPr>
        <w:t>)</w:t>
      </w:r>
      <w:r w:rsidRPr="00000849">
        <w:rPr>
          <w:rFonts w:cstheme="minorHAnsi"/>
          <w:color w:val="383838"/>
          <w:sz w:val="24"/>
          <w:szCs w:val="24"/>
        </w:rPr>
        <w:t xml:space="preserve"> show that the incidence of poverty reduced from 51.7% in 1991/1992 to </w:t>
      </w:r>
      <w:r w:rsidR="00625107" w:rsidRPr="00000849">
        <w:rPr>
          <w:sz w:val="24"/>
          <w:szCs w:val="24"/>
        </w:rPr>
        <w:t>23.4% i</w:t>
      </w:r>
      <w:r w:rsidR="00625107" w:rsidRPr="00000849">
        <w:rPr>
          <w:rFonts w:cstheme="minorHAnsi"/>
          <w:color w:val="383838"/>
          <w:sz w:val="24"/>
          <w:szCs w:val="24"/>
        </w:rPr>
        <w:t>n 2</w:t>
      </w:r>
      <w:r w:rsidR="00625107" w:rsidRPr="00000849">
        <w:rPr>
          <w:sz w:val="24"/>
          <w:szCs w:val="24"/>
        </w:rPr>
        <w:t xml:space="preserve">016/17, with urban and rural poverty being 24.2% and 31.9% respectively </w:t>
      </w:r>
      <w:r w:rsidRPr="00000849">
        <w:rPr>
          <w:sz w:val="24"/>
          <w:szCs w:val="24"/>
        </w:rPr>
        <w:fldChar w:fldCharType="begin"/>
      </w:r>
      <w:r w:rsidRPr="00000849">
        <w:rPr>
          <w:sz w:val="24"/>
          <w:szCs w:val="24"/>
        </w:rPr>
        <w:instrText xml:space="preserve"> ADDIN EN.CITE &lt;EndNote&gt;&lt;Cite&gt;&lt;Author&gt;GSS&lt;/Author&gt;&lt;Year&gt;2018&lt;/Year&gt;&lt;RecNum&gt;1124&lt;/RecNum&gt;&lt;DisplayText&gt;(GSS, 2018a)&lt;/DisplayText&gt;&lt;record&gt;&lt;rec-number&gt;1124&lt;/rec-number&gt;&lt;foreign-keys&gt;&lt;key app="EN" db-id="9tzf2rda8re2a9es5tuxart3swzx2zws2s02" timestamp="1567551415"&gt;1124&lt;/key&gt;&lt;/foreign-keys&gt;&lt;ref-type name="Report"&gt;27&lt;/ref-type&gt;&lt;contributors&gt;&lt;authors&gt;&lt;author&gt;GSS,&lt;/author&gt;&lt;/authors&gt;&lt;/contributors&gt;&lt;titles&gt;&lt;title&gt;Ghana Living Standards Survey  Round 7 (GLSS 7): Poverty trends in Ghana 2005-2017&lt;/title&gt;&lt;/titles&gt;&lt;dates&gt;&lt;year&gt;2018&lt;/year&gt;&lt;/dates&gt;&lt;pub-location&gt;Accra&lt;/pub-location&gt;&lt;publisher&gt;Ghana Statistical Service (GSS)&lt;/publisher&gt;&lt;urls&gt;&lt;related-urls&gt;&lt;url&gt;http://www2.statsghana.gov.gh/docfiles/publications/GLSS7/Poverty%20Profile%20Report_2005%20-%202017.pdf&lt;/url&gt;&lt;/related-urls&gt;&lt;/urls&gt;&lt;/record&gt;&lt;/Cite&gt;&lt;/EndNote&gt;</w:instrText>
      </w:r>
      <w:r w:rsidRPr="00000849">
        <w:rPr>
          <w:sz w:val="24"/>
          <w:szCs w:val="24"/>
        </w:rPr>
        <w:fldChar w:fldCharType="separate"/>
      </w:r>
      <w:r w:rsidRPr="00000849">
        <w:rPr>
          <w:noProof/>
          <w:sz w:val="24"/>
          <w:szCs w:val="24"/>
        </w:rPr>
        <w:t>(GSS, 2018a)</w:t>
      </w:r>
      <w:r w:rsidRPr="00000849">
        <w:rPr>
          <w:sz w:val="24"/>
          <w:szCs w:val="24"/>
        </w:rPr>
        <w:fldChar w:fldCharType="end"/>
      </w:r>
      <w:r w:rsidRPr="00000849">
        <w:rPr>
          <w:sz w:val="24"/>
          <w:szCs w:val="24"/>
        </w:rPr>
        <w:t xml:space="preserve">. </w:t>
      </w:r>
      <w:r w:rsidRPr="00000849">
        <w:rPr>
          <w:rFonts w:cstheme="minorHAnsi"/>
          <w:color w:val="383838"/>
          <w:sz w:val="24"/>
          <w:szCs w:val="24"/>
        </w:rPr>
        <w:t xml:space="preserve"> </w:t>
      </w:r>
      <w:r w:rsidRPr="00000849">
        <w:rPr>
          <w:sz w:val="24"/>
          <w:szCs w:val="24"/>
        </w:rPr>
        <w:t>The</w:t>
      </w:r>
      <w:r w:rsidR="00625107" w:rsidRPr="00000849">
        <w:rPr>
          <w:sz w:val="24"/>
          <w:szCs w:val="24"/>
        </w:rPr>
        <w:t xml:space="preserve"> then</w:t>
      </w:r>
      <w:r w:rsidRPr="00000849">
        <w:rPr>
          <w:sz w:val="24"/>
          <w:szCs w:val="24"/>
        </w:rPr>
        <w:t xml:space="preserve"> three northern regions (Northern, Upper East, and Upper West regions) with poverty levels of 54.8%-70.9%, account</w:t>
      </w:r>
      <w:r w:rsidR="00625107" w:rsidRPr="00000849">
        <w:rPr>
          <w:sz w:val="24"/>
          <w:szCs w:val="24"/>
        </w:rPr>
        <w:t>ed</w:t>
      </w:r>
      <w:r w:rsidRPr="00000849">
        <w:rPr>
          <w:sz w:val="24"/>
          <w:szCs w:val="24"/>
        </w:rPr>
        <w:t xml:space="preserve"> for 44.4% of the total poverty in the country.  In contrast, the Greater Accra Region with poverty level of 2.5% account</w:t>
      </w:r>
      <w:r w:rsidR="00625107" w:rsidRPr="00000849">
        <w:rPr>
          <w:sz w:val="24"/>
          <w:szCs w:val="24"/>
        </w:rPr>
        <w:t>ed</w:t>
      </w:r>
      <w:r w:rsidRPr="00000849">
        <w:rPr>
          <w:sz w:val="24"/>
          <w:szCs w:val="24"/>
        </w:rPr>
        <w:t xml:space="preserve"> for 1.7% of national poverty.</w:t>
      </w:r>
    </w:p>
    <w:p w14:paraId="33E658E3" w14:textId="396F9A7C" w:rsidR="00F17737" w:rsidRPr="00000849" w:rsidRDefault="00F17737" w:rsidP="00F17737">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About 5.9% of Ghana’s</w:t>
      </w:r>
      <w:r w:rsidR="00E765A6" w:rsidRPr="00000849">
        <w:rPr>
          <w:rFonts w:asciiTheme="minorHAnsi" w:hAnsiTheme="minorHAnsi" w:cstheme="minorHAnsi"/>
          <w:color w:val="383838"/>
        </w:rPr>
        <w:t xml:space="preserve"> gross domestic product</w:t>
      </w:r>
      <w:r w:rsidRPr="00000849">
        <w:rPr>
          <w:rFonts w:asciiTheme="minorHAnsi" w:hAnsiTheme="minorHAnsi" w:cstheme="minorHAnsi"/>
          <w:color w:val="383838"/>
        </w:rPr>
        <w:t xml:space="preserve"> is spent on health.  </w:t>
      </w:r>
      <w:r w:rsidR="00C72FE1" w:rsidRPr="00000849">
        <w:rPr>
          <w:rFonts w:asciiTheme="minorHAnsi" w:hAnsiTheme="minorHAnsi" w:cstheme="minorHAnsi"/>
          <w:color w:val="383838"/>
        </w:rPr>
        <w:t xml:space="preserve">The </w:t>
      </w:r>
      <w:r w:rsidR="004D6FBD" w:rsidRPr="00000849">
        <w:rPr>
          <w:rFonts w:asciiTheme="minorHAnsi" w:hAnsiTheme="minorHAnsi" w:cstheme="minorHAnsi"/>
          <w:color w:val="383838"/>
        </w:rPr>
        <w:t xml:space="preserve">World Health Organization (WHO) </w:t>
      </w:r>
      <w:r w:rsidR="00C72FE1" w:rsidRPr="00000849">
        <w:rPr>
          <w:rFonts w:asciiTheme="minorHAnsi" w:hAnsiTheme="minorHAnsi" w:cstheme="minorHAnsi"/>
          <w:color w:val="383838"/>
        </w:rPr>
        <w:t>reports</w:t>
      </w:r>
      <w:r w:rsidR="004D6FBD" w:rsidRPr="00000849">
        <w:rPr>
          <w:rFonts w:asciiTheme="minorHAnsi" w:hAnsiTheme="minorHAnsi" w:cstheme="minorHAnsi"/>
          <w:color w:val="383838"/>
        </w:rPr>
        <w:t xml:space="preserve"> that t</w:t>
      </w:r>
      <w:r w:rsidRPr="00000849">
        <w:rPr>
          <w:rFonts w:asciiTheme="minorHAnsi" w:hAnsiTheme="minorHAnsi" w:cstheme="minorHAnsi"/>
          <w:color w:val="383838"/>
        </w:rPr>
        <w:t>he per capita expenditure on health</w:t>
      </w:r>
      <w:r w:rsidR="002A3891" w:rsidRPr="00000849">
        <w:rPr>
          <w:rFonts w:asciiTheme="minorHAnsi" w:hAnsiTheme="minorHAnsi" w:cstheme="minorHAnsi"/>
          <w:color w:val="383838"/>
        </w:rPr>
        <w:t xml:space="preserve"> in Ghana</w:t>
      </w:r>
      <w:r w:rsidRPr="00000849">
        <w:rPr>
          <w:rFonts w:asciiTheme="minorHAnsi" w:hAnsiTheme="minorHAnsi" w:cstheme="minorHAnsi"/>
          <w:color w:val="383838"/>
        </w:rPr>
        <w:t xml:space="preserve"> in </w:t>
      </w:r>
      <w:r w:rsidR="006505F0" w:rsidRPr="00000849">
        <w:rPr>
          <w:rFonts w:asciiTheme="minorHAnsi" w:hAnsiTheme="minorHAnsi" w:cstheme="minorHAnsi"/>
          <w:color w:val="383838"/>
        </w:rPr>
        <w:t xml:space="preserve">2017 </w:t>
      </w:r>
      <w:r w:rsidRPr="00000849">
        <w:rPr>
          <w:rFonts w:asciiTheme="minorHAnsi" w:hAnsiTheme="minorHAnsi" w:cstheme="minorHAnsi"/>
          <w:color w:val="383838"/>
        </w:rPr>
        <w:t xml:space="preserve">was </w:t>
      </w:r>
      <w:r w:rsidR="006505F0" w:rsidRPr="00000849">
        <w:rPr>
          <w:rFonts w:asciiTheme="minorHAnsi" w:hAnsiTheme="minorHAnsi" w:cstheme="minorHAnsi"/>
          <w:color w:val="383838"/>
        </w:rPr>
        <w:t>USD66</w:t>
      </w:r>
      <w:r w:rsidRPr="00000849">
        <w:rPr>
          <w:rFonts w:asciiTheme="minorHAnsi" w:hAnsiTheme="minorHAnsi" w:cstheme="minorHAnsi"/>
          <w:color w:val="383838"/>
        </w:rPr>
        <w:t>.</w:t>
      </w:r>
      <w:r w:rsidR="006505F0" w:rsidRPr="00000849">
        <w:rPr>
          <w:rFonts w:asciiTheme="minorHAnsi" w:hAnsiTheme="minorHAnsi" w:cstheme="minorHAnsi"/>
          <w:color w:val="383838"/>
        </w:rPr>
        <w:t>7</w:t>
      </w:r>
      <w:r w:rsidR="004D6FBD" w:rsidRPr="00000849">
        <w:rPr>
          <w:rFonts w:asciiTheme="minorHAnsi" w:hAnsiTheme="minorHAnsi" w:cstheme="minorHAnsi"/>
          <w:color w:val="383838"/>
        </w:rPr>
        <w:t xml:space="preserve"> </w:t>
      </w:r>
      <w:r w:rsidR="004D6FBD" w:rsidRPr="00000849">
        <w:rPr>
          <w:rFonts w:asciiTheme="minorHAnsi" w:hAnsiTheme="minorHAnsi" w:cstheme="minorHAnsi"/>
          <w:color w:val="383838"/>
        </w:rPr>
        <w:fldChar w:fldCharType="begin"/>
      </w:r>
      <w:r w:rsidR="004D6FBD" w:rsidRPr="00000849">
        <w:rPr>
          <w:rFonts w:asciiTheme="minorHAnsi" w:hAnsiTheme="minorHAnsi" w:cstheme="minorHAnsi"/>
          <w:color w:val="383838"/>
        </w:rPr>
        <w:instrText xml:space="preserve"> ADDIN EN.CITE &lt;EndNote&gt;&lt;Cite&gt;&lt;Author&gt;WHO&lt;/Author&gt;&lt;Year&gt;2020&lt;/Year&gt;&lt;RecNum&gt;1637&lt;/RecNum&gt;&lt;DisplayText&gt;(WHO, 2020)&lt;/DisplayText&gt;&lt;record&gt;&lt;rec-number&gt;1637&lt;/rec-number&gt;&lt;foreign-keys&gt;&lt;key app="EN" db-id="9tzf2rda8re2a9es5tuxart3swzx2zws2s02" timestamp="1591579262"&gt;1637&lt;/key&gt;&lt;/foreign-keys&gt;&lt;ref-type name="Online Database"&gt;45&lt;/ref-type&gt;&lt;contributors&gt;&lt;authors&gt;&lt;author&gt;WHO,&lt;/author&gt;&lt;/authors&gt;&lt;/contributors&gt;&lt;titles&gt;&lt;title&gt;Global Health Expenditure Database&lt;/title&gt;&lt;/titles&gt;&lt;dates&gt;&lt;year&gt;2020&lt;/year&gt;&lt;pub-dates&gt;&lt;date&gt;8 June 2020&lt;/date&gt;&lt;/pub-dates&gt;&lt;/dates&gt;&lt;pub-location&gt;Geneva&lt;/pub-location&gt;&lt;publisher&gt;World Health Organization&lt;/publisher&gt;&lt;urls&gt;&lt;related-urls&gt;&lt;url&gt;https://apps.who.int/nha/database/ViewData/Indicators/en&lt;/url&gt;&lt;/related-urls&gt;&lt;/urls&gt;&lt;/record&gt;&lt;/Cite&gt;&lt;/EndNote&gt;</w:instrText>
      </w:r>
      <w:r w:rsidR="004D6FBD" w:rsidRPr="00000849">
        <w:rPr>
          <w:rFonts w:asciiTheme="minorHAnsi" w:hAnsiTheme="minorHAnsi" w:cstheme="minorHAnsi"/>
          <w:color w:val="383838"/>
        </w:rPr>
        <w:fldChar w:fldCharType="separate"/>
      </w:r>
      <w:r w:rsidR="004D6FBD" w:rsidRPr="00000849">
        <w:rPr>
          <w:rFonts w:asciiTheme="minorHAnsi" w:hAnsiTheme="minorHAnsi" w:cstheme="minorHAnsi"/>
          <w:noProof/>
          <w:color w:val="383838"/>
        </w:rPr>
        <w:t>(WHO, 2020)</w:t>
      </w:r>
      <w:r w:rsidR="004D6FBD"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Health services </w:t>
      </w:r>
      <w:r w:rsidR="009A0A6A" w:rsidRPr="00000849">
        <w:rPr>
          <w:rFonts w:asciiTheme="minorHAnsi" w:hAnsiTheme="minorHAnsi" w:cstheme="minorHAnsi"/>
          <w:color w:val="383838"/>
        </w:rPr>
        <w:t xml:space="preserve">of the Ministry of Health (MOH) </w:t>
      </w:r>
      <w:r w:rsidRPr="00000849">
        <w:rPr>
          <w:rFonts w:asciiTheme="minorHAnsi" w:hAnsiTheme="minorHAnsi" w:cstheme="minorHAnsi"/>
          <w:color w:val="383838"/>
        </w:rPr>
        <w:t xml:space="preserve">are organized hierarchically with </w:t>
      </w:r>
      <w:r w:rsidR="003D67F8" w:rsidRPr="00000849">
        <w:rPr>
          <w:rFonts w:asciiTheme="minorHAnsi" w:hAnsiTheme="minorHAnsi" w:cstheme="minorHAnsi"/>
          <w:color w:val="383838"/>
        </w:rPr>
        <w:t xml:space="preserve">community-based health planning and service </w:t>
      </w:r>
      <w:r w:rsidRPr="00000849">
        <w:rPr>
          <w:rFonts w:asciiTheme="minorHAnsi" w:hAnsiTheme="minorHAnsi" w:cstheme="minorHAnsi"/>
          <w:color w:val="383838"/>
        </w:rPr>
        <w:t>compounds at the community level, health centres at the sub-district level, district hospitals at the district level providing primary and secondary care services</w:t>
      </w:r>
      <w:r w:rsidR="003D67F8" w:rsidRPr="00000849">
        <w:rPr>
          <w:rFonts w:asciiTheme="minorHAnsi" w:hAnsiTheme="minorHAnsi" w:cstheme="minorHAnsi"/>
          <w:color w:val="383838"/>
        </w:rPr>
        <w:t xml:space="preserve"> </w:t>
      </w:r>
      <w:r w:rsidR="003D67F8"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&lt;EndNote&gt;&lt;Cite&gt;&lt;Author&gt;Nyonator&lt;/Author&gt;&lt;Year&gt;2005&lt;/Year&gt;&lt;RecNum&gt;1633&lt;/RecNum&gt;&lt;DisplayText&gt;(Nyonator et al., 2005)&lt;/DisplayText&gt;&lt;record&gt;&lt;rec-number&gt;1633&lt;/rec-number&gt;&lt;foreign-keys&gt;&lt;key app="EN" db-id="9tzf2rda8re2a9es5tuxart3swzx2zws2s02" timestamp="1591572673"&gt;1633&lt;/key&gt;&lt;/foreign-keys&gt;&lt;ref-type name="Journal Article"&gt;17&lt;/ref-type&gt;&lt;contributors&gt;&lt;authors&gt;&lt;author&gt;Nyonator, Frank K&lt;/author&gt;&lt;author&gt;Awoonor-Williams, J Koku&lt;/author&gt;&lt;author&gt;Phillips, James F&lt;/author&gt;&lt;author&gt;Jones, Tanya C&lt;/author&gt;&lt;author&gt;Miller, Robert A&lt;/author&gt;&lt;/authors&gt;&lt;/contributors&gt;&lt;titles&gt;&lt;title&gt;The Ghana Community-based Health Planning and Services Initiative for scaling up service delivery innovation&lt;/title&gt;&lt;secondary-title&gt;Health Policy and Planning&lt;/secondary-title&gt;&lt;/titles&gt;&lt;periodical&gt;&lt;full-title&gt;Health Policy Plan&lt;/full-title&gt;&lt;abbr-1&gt;Health policy and planning&lt;/abbr-1&gt;&lt;/periodical&gt;&lt;pages&gt;25-34&lt;/pages&gt;&lt;volume&gt;20&lt;/volume&gt;&lt;number&gt;1&lt;/number&gt;&lt;dates&gt;&lt;year&gt;2005&lt;/year&gt;&lt;/dates&gt;&lt;isbn&gt;0268-1080&lt;/isbn&gt;&lt;urls&gt;&lt;related-urls&gt;&lt;url&gt;https://doi.org/10.1093/heapol/czi003&lt;/url&gt;&lt;/related-urls&gt;&lt;/urls&gt;&lt;electronic-resource-num&gt;10.1093/heapol/czi003&lt;/electronic-resource-num&gt;&lt;access-date&gt;6/7/2020&lt;/access-date&gt;&lt;/record&gt;&lt;/Cite&gt;&lt;/EndNote&gt;</w:instrText>
      </w:r>
      <w:r w:rsidR="003D67F8"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(Nyonator et al., 2005)</w:t>
      </w:r>
      <w:r w:rsidR="003D67F8"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Regional hospitals and Teaching Hospitals provide secondary and tertiary care services.  About 35.7% of public hospitals in the country have functional hypertension and diabetes clinics </w:t>
      </w:r>
      <w:r w:rsidRPr="00000849">
        <w:rPr>
          <w:rFonts w:asciiTheme="minorHAnsi" w:hAnsiTheme="minorHAnsi" w:cstheme="minorHAnsi"/>
          <w:color w:val="383838"/>
        </w:rPr>
        <w:fldChar w:fldCharType="begin"/>
      </w:r>
      <w:r w:rsidR="00E4120F" w:rsidRPr="00000849">
        <w:rPr>
          <w:rFonts w:asciiTheme="minorHAnsi" w:hAnsiTheme="minorHAnsi" w:cstheme="minorHAnsi"/>
          <w:color w:val="383838"/>
        </w:rPr>
        <w:instrText xml:space="preserve"> ADDIN EN.CITE &lt;EndNote&gt;&lt;Cite&gt;&lt;Author&gt;MOH Ghana&lt;/Author&gt;&lt;Year&gt;2014&lt;/Year&gt;&lt;RecNum&gt;579&lt;/RecNum&gt;&lt;DisplayText&gt;(MOH Ghana, 2014b)&lt;/DisplayText&gt;&lt;record&gt;&lt;rec-number&gt;579&lt;/rec-number&gt;&lt;foreign-keys&gt;&lt;key app="EN" db-id="9tzf2rda8re2a9es5tuxart3swzx2zws2s02" timestamp="1496500683"&gt;579&lt;/key&gt;&lt;/foreign-keys&gt;&lt;ref-type name="Report"&gt;27&lt;/ref-type&gt;&lt;contributors&gt;&lt;authors&gt;&lt;author&gt;MOH Ghana,&lt;/author&gt;&lt;/authors&gt;&lt;/contributors&gt;&lt;titles&gt;&lt;title&gt;Holistic Assessment of the Health Sector Programme of Work 2013 &lt;/title&gt;&lt;/titles&gt;&lt;dates&gt;&lt;year&gt;2014&lt;/year&gt;&lt;/dates&gt;&lt;pub-location&gt;Accra&lt;/pub-location&gt;&lt;publisher&gt;MOH&lt;/publisher&gt;&lt;urls&gt;&lt;related-urls&gt;&lt;url&gt;http://www.moh.gov.gh/wp-content/uploads/2016/02/Holistic-Assessment-Report-June-2014140811072318.pdf&lt;/url&gt;&lt;/related-urls&gt;&lt;/urls&gt;&lt;/record&gt;&lt;/Cite&gt;&lt;/EndNote&gt;</w:instrText>
      </w:r>
      <w:r w:rsidRPr="00000849">
        <w:rPr>
          <w:rFonts w:asciiTheme="minorHAnsi" w:hAnsiTheme="minorHAnsi" w:cstheme="minorHAnsi"/>
          <w:color w:val="383838"/>
        </w:rPr>
        <w:fldChar w:fldCharType="separate"/>
      </w:r>
      <w:r w:rsidR="00E4120F" w:rsidRPr="00000849">
        <w:rPr>
          <w:rFonts w:asciiTheme="minorHAnsi" w:hAnsiTheme="minorHAnsi" w:cstheme="minorHAnsi"/>
          <w:noProof/>
          <w:color w:val="383838"/>
        </w:rPr>
        <w:t>(MOH Ghana, 2014b)</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r w:rsidR="00913D94" w:rsidRPr="00000849">
        <w:rPr>
          <w:rFonts w:asciiTheme="minorHAnsi" w:hAnsiTheme="minorHAnsi" w:cstheme="minorHAnsi"/>
          <w:color w:val="383838"/>
        </w:rPr>
        <w:t xml:space="preserve">  Cardiovascular diseases (CVDs) account for about 8% of medical admissions and deaths in Ghana, </w:t>
      </w:r>
      <w:r w:rsidR="00191DCA" w:rsidRPr="00000849">
        <w:rPr>
          <w:rFonts w:asciiTheme="minorHAnsi" w:hAnsiTheme="minorHAnsi" w:cstheme="minorHAnsi"/>
          <w:color w:val="383838"/>
        </w:rPr>
        <w:t xml:space="preserve">up from 4%-5% about a decade earlier </w:t>
      </w:r>
      <w:r w:rsidR="00191DCA" w:rsidRPr="00000849">
        <w:rPr>
          <w:rFonts w:asciiTheme="minorHAnsi" w:hAnsiTheme="minorHAnsi" w:cstheme="minorHAnsi"/>
          <w:color w:val="383838"/>
        </w:rPr>
        <w:fldChar w:fldCharType="begin"/>
      </w:r>
      <w:r w:rsidR="00191DCA" w:rsidRPr="00000849">
        <w:rPr>
          <w:rFonts w:asciiTheme="minorHAnsi" w:hAnsiTheme="minorHAnsi" w:cstheme="minorHAnsi"/>
          <w:color w:val="383838"/>
        </w:rPr>
        <w:instrText xml:space="preserve"> ADDIN EN.CITE &lt;EndNote&gt;&lt;Cite&gt;&lt;Author&gt;Appiah&lt;/Author&gt;&lt;Year&gt;2017&lt;/Year&gt;&lt;RecNum&gt;1635&lt;/RecNum&gt;&lt;DisplayText&gt;(Appiah et al., 2017)&lt;/DisplayText&gt;&lt;record&gt;&lt;rec-number&gt;1635&lt;/rec-number&gt;&lt;foreign-keys&gt;&lt;key app="EN" db-id="9tzf2rda8re2a9es5tuxart3swzx2zws2s02" timestamp="1591574179"&gt;1635&lt;/key&gt;&lt;/foreign-keys&gt;&lt;ref-type name="Journal Article"&gt;17&lt;/ref-type&gt;&lt;contributors&gt;&lt;authors&gt;&lt;author&gt;Appiah, Lambert T.&lt;/author&gt;&lt;author&gt;Sarfo, Fred S.&lt;/author&gt;&lt;author&gt;Agyemang, Charles&lt;/author&gt;&lt;author&gt;Tweneboah, Humphrey O.&lt;/author&gt;&lt;author&gt;Appiah, Nana Akua B.A.&lt;/author&gt;&lt;author&gt;Bedu-Addo, George&lt;/author&gt;&lt;author&gt;Opare-Sem, Ohene&lt;/author&gt;&lt;/authors&gt;&lt;/contributors&gt;&lt;titles&gt;&lt;title&gt;Current trends in admissions and outcomes of cardiac diseases in Ghana&lt;/title&gt;&lt;secondary-title&gt;Clinical Cardiology&lt;/secondary-title&gt;&lt;/titles&gt;&lt;periodical&gt;&lt;full-title&gt;Clinical Cardiology&lt;/full-title&gt;&lt;/periodical&gt;&lt;pages&gt;783-788&lt;/pages&gt;&lt;volume&gt;40&lt;/volume&gt;&lt;number&gt;10&lt;/number&gt;&lt;dates&gt;&lt;year&gt;2017&lt;/year&gt;&lt;/dates&gt;&lt;isbn&gt;0160-9289&lt;/isbn&gt;&lt;urls&gt;&lt;related-urls&gt;&lt;url&gt;https://onlinelibrary.wiley.com/doi/abs/10.1002/clc.22753&lt;/url&gt;&lt;/related-urls&gt;&lt;/urls&gt;&lt;electronic-resource-num&gt;10.1002/clc.22753&lt;/electronic-resource-num&gt;&lt;/record&gt;&lt;/Cite&gt;&lt;/EndNote&gt;</w:instrText>
      </w:r>
      <w:r w:rsidR="00191DCA" w:rsidRPr="00000849">
        <w:rPr>
          <w:rFonts w:asciiTheme="minorHAnsi" w:hAnsiTheme="minorHAnsi" w:cstheme="minorHAnsi"/>
          <w:color w:val="383838"/>
        </w:rPr>
        <w:fldChar w:fldCharType="separate"/>
      </w:r>
      <w:r w:rsidR="00191DCA" w:rsidRPr="00000849">
        <w:rPr>
          <w:rFonts w:asciiTheme="minorHAnsi" w:hAnsiTheme="minorHAnsi" w:cstheme="minorHAnsi"/>
          <w:noProof/>
          <w:color w:val="383838"/>
        </w:rPr>
        <w:t>(Appiah et al., 2017)</w:t>
      </w:r>
      <w:r w:rsidR="00191DCA" w:rsidRPr="00000849">
        <w:rPr>
          <w:rFonts w:asciiTheme="minorHAnsi" w:hAnsiTheme="minorHAnsi" w:cstheme="minorHAnsi"/>
          <w:color w:val="383838"/>
        </w:rPr>
        <w:fldChar w:fldCharType="end"/>
      </w:r>
      <w:r w:rsidR="00191DCA" w:rsidRPr="00000849">
        <w:rPr>
          <w:rFonts w:asciiTheme="minorHAnsi" w:hAnsiTheme="minorHAnsi" w:cstheme="minorHAnsi"/>
          <w:color w:val="383838"/>
        </w:rPr>
        <w:t xml:space="preserve">.  Nearly a quarter of patients admitted with CVDs die.  </w:t>
      </w:r>
      <w:r w:rsidR="00E62F66" w:rsidRPr="00000849">
        <w:rPr>
          <w:rFonts w:asciiTheme="minorHAnsi" w:hAnsiTheme="minorHAnsi" w:cstheme="minorHAnsi"/>
          <w:color w:val="383838"/>
        </w:rPr>
        <w:t xml:space="preserve">Hypertension is the leading risk factor for stroke, accounting for about 91% of its occurrence in Ghana and Nigeria </w:t>
      </w:r>
      <w:r w:rsidR="00E62F66"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&lt;EndNote&gt;&lt;Cite&gt;&lt;Author&gt;Owolabi&lt;/Author&gt;&lt;Year&gt;2018&lt;/Year&gt;&lt;RecNum&gt;1636&lt;/RecNum&gt;&lt;DisplayText&gt;(Owolabi et al., 2018)&lt;/DisplayText&gt;&lt;record&gt;&lt;rec-number&gt;1636&lt;/rec-number&gt;&lt;foreign-keys&gt;&lt;key app="EN" db-id="9tzf2rda8re2a9es5tuxart3swzx2zws2s02" timestamp="1591576036"&gt;1636&lt;/key&gt;&lt;/foreign-keys&gt;&lt;ref-type name="Journal Article"&gt;17&lt;/ref-type&gt;&lt;contributors&gt;&lt;authors&gt;&lt;author&gt;Owolabi, Mayowa O&lt;/author&gt;&lt;author&gt;Sarfo, Fred&lt;/author&gt;&lt;author&gt;Akinyemi, Rufus&lt;/author&gt;&lt;author&gt;Gebregziabher, Mulugeta&lt;/author&gt;&lt;author&gt;Akpa, Onoja&lt;/author&gt;&lt;author&gt;Akpalu, Albert&lt;/author&gt;&lt;author&gt;Wahab, Kolawole&lt;/author&gt;&lt;author&gt;Obiako, Reginald&lt;/author&gt;&lt;author&gt;Owolabi, Lukman&lt;/author&gt;&lt;author&gt;Ovbiagele, Bruce&lt;/author&gt;&lt;/authors&gt;&lt;/contributors&gt;&lt;titles&gt;&lt;title&gt;Dominant modifiable risk factors for stroke in Ghana and Nigeria (SIREN): a case-control study&lt;/title&gt;&lt;secondary-title&gt;The Lancet Global Health&lt;/secondary-title&gt;&lt;/titles&gt;&lt;periodical&gt;&lt;full-title&gt;The Lancet Global Health&lt;/full-title&gt;&lt;/periodical&gt;&lt;pages&gt;e436-e446&lt;/pages&gt;&lt;volume&gt;6&lt;/volume&gt;&lt;number&gt;4&lt;/number&gt;&lt;dates&gt;&lt;year&gt;2018&lt;/year&gt;&lt;/dates&gt;&lt;isbn&gt;2214-109X&lt;/isbn&gt;&lt;urls&gt;&lt;/urls&gt;&lt;/record&gt;&lt;/Cite&gt;&lt;/EndNote&gt;</w:instrText>
      </w:r>
      <w:r w:rsidR="00E62F66" w:rsidRPr="00000849">
        <w:rPr>
          <w:rFonts w:asciiTheme="minorHAnsi" w:hAnsiTheme="minorHAnsi" w:cstheme="minorHAnsi"/>
          <w:color w:val="383838"/>
        </w:rPr>
        <w:fldChar w:fldCharType="separate"/>
      </w:r>
      <w:r w:rsidR="00E62F66" w:rsidRPr="00000849">
        <w:rPr>
          <w:rFonts w:asciiTheme="minorHAnsi" w:hAnsiTheme="minorHAnsi" w:cstheme="minorHAnsi"/>
          <w:noProof/>
          <w:color w:val="383838"/>
        </w:rPr>
        <w:t>(Owolabi et al., 2018)</w:t>
      </w:r>
      <w:r w:rsidR="00E62F66" w:rsidRPr="00000849">
        <w:rPr>
          <w:rFonts w:asciiTheme="minorHAnsi" w:hAnsiTheme="minorHAnsi" w:cstheme="minorHAnsi"/>
          <w:color w:val="383838"/>
        </w:rPr>
        <w:fldChar w:fldCharType="end"/>
      </w:r>
      <w:r w:rsidR="00E62F66" w:rsidRPr="00000849">
        <w:rPr>
          <w:rFonts w:asciiTheme="minorHAnsi" w:hAnsiTheme="minorHAnsi" w:cstheme="minorHAnsi"/>
          <w:color w:val="383838"/>
        </w:rPr>
        <w:t>.</w:t>
      </w:r>
    </w:p>
    <w:p w14:paraId="65536B28" w14:textId="77777777" w:rsidR="00191DCA" w:rsidRPr="00000849" w:rsidRDefault="00191DCA" w:rsidP="00063693">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7AFEE80C" w14:textId="3CEB0A58" w:rsidR="002B0B4B" w:rsidRPr="00000849" w:rsidRDefault="005D4040" w:rsidP="00C1662B">
      <w:pPr>
        <w:pStyle w:val="Heading2"/>
      </w:pPr>
      <w:bookmarkStart w:id="11" w:name="_Toc51472071"/>
      <w:r w:rsidRPr="00000849">
        <w:lastRenderedPageBreak/>
        <w:t>1.</w:t>
      </w:r>
      <w:r w:rsidR="00B21F0A" w:rsidRPr="00000849">
        <w:t>2</w:t>
      </w:r>
      <w:r w:rsidRPr="00000849">
        <w:tab/>
      </w:r>
      <w:r w:rsidR="00B21F0A" w:rsidRPr="00000849">
        <w:t xml:space="preserve">Trends in ageing </w:t>
      </w:r>
      <w:r w:rsidR="008F350C" w:rsidRPr="00000849">
        <w:t xml:space="preserve">and associated health effects </w:t>
      </w:r>
      <w:r w:rsidR="00B21F0A" w:rsidRPr="00000849">
        <w:t>in Ghana</w:t>
      </w:r>
      <w:bookmarkEnd w:id="11"/>
    </w:p>
    <w:p w14:paraId="20190AAC" w14:textId="77777777" w:rsidR="003863CE" w:rsidRPr="00000849" w:rsidRDefault="003863CE" w:rsidP="00000849">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p>
    <w:p w14:paraId="12FEF330" w14:textId="71B08E5B" w:rsidR="003F4C44" w:rsidRPr="00000849" w:rsidRDefault="00D542C9" w:rsidP="00000849">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Ghana’s socio-economic development has been accompanied by demographic changes reflected in a</w:t>
      </w:r>
      <w:r w:rsidR="00895392" w:rsidRPr="00000849">
        <w:rPr>
          <w:rFonts w:asciiTheme="minorHAnsi" w:hAnsiTheme="minorHAnsi" w:cstheme="minorHAnsi"/>
          <w:color w:val="383838"/>
        </w:rPr>
        <w:t xml:space="preserve"> rapidly</w:t>
      </w:r>
      <w:r w:rsidRPr="00000849">
        <w:rPr>
          <w:rFonts w:asciiTheme="minorHAnsi" w:hAnsiTheme="minorHAnsi" w:cstheme="minorHAnsi"/>
          <w:color w:val="383838"/>
        </w:rPr>
        <w:t xml:space="preserve"> ageing population</w:t>
      </w:r>
      <w:r w:rsidR="003821DA" w:rsidRPr="00000849">
        <w:rPr>
          <w:rFonts w:asciiTheme="minorHAnsi" w:hAnsiTheme="minorHAnsi" w:cstheme="minorHAnsi"/>
          <w:color w:val="383838"/>
        </w:rPr>
        <w:t xml:space="preserve">, declining death </w:t>
      </w:r>
      <w:r w:rsidR="00F52EB2" w:rsidRPr="00000849">
        <w:rPr>
          <w:rFonts w:asciiTheme="minorHAnsi" w:hAnsiTheme="minorHAnsi" w:cstheme="minorHAnsi"/>
          <w:color w:val="383838"/>
        </w:rPr>
        <w:t>as well as</w:t>
      </w:r>
      <w:r w:rsidR="009D10BA" w:rsidRPr="00000849">
        <w:rPr>
          <w:rFonts w:asciiTheme="minorHAnsi" w:hAnsiTheme="minorHAnsi" w:cstheme="minorHAnsi"/>
          <w:color w:val="383838"/>
        </w:rPr>
        <w:t xml:space="preserve"> fertility rates </w:t>
      </w:r>
      <w:r w:rsidRPr="00000849">
        <w:rPr>
          <w:rFonts w:asciiTheme="minorHAnsi" w:hAnsiTheme="minorHAnsi" w:cstheme="minorHAnsi"/>
          <w:color w:val="383838"/>
        </w:rPr>
        <w:t xml:space="preserve">and </w:t>
      </w:r>
      <w:r w:rsidR="00F52EB2" w:rsidRPr="00000849">
        <w:rPr>
          <w:rFonts w:asciiTheme="minorHAnsi" w:hAnsiTheme="minorHAnsi" w:cstheme="minorHAnsi"/>
          <w:color w:val="383838"/>
        </w:rPr>
        <w:t xml:space="preserve">a </w:t>
      </w:r>
      <w:r w:rsidRPr="00000849">
        <w:rPr>
          <w:rFonts w:asciiTheme="minorHAnsi" w:hAnsiTheme="minorHAnsi" w:cstheme="minorHAnsi"/>
          <w:color w:val="383838"/>
        </w:rPr>
        <w:t>rapid urbanization</w:t>
      </w:r>
      <w:r w:rsidR="008A6AB6" w:rsidRPr="00000849">
        <w:rPr>
          <w:rFonts w:asciiTheme="minorHAnsi" w:hAnsiTheme="minorHAnsi" w:cstheme="minorHAnsi"/>
          <w:color w:val="383838"/>
        </w:rPr>
        <w:t xml:space="preserve"> </w:t>
      </w:r>
      <w:r w:rsidR="008A6AB6" w:rsidRPr="00000849">
        <w:rPr>
          <w:rFonts w:asciiTheme="minorHAnsi" w:hAnsiTheme="minorHAnsi" w:cstheme="minorHAnsi"/>
          <w:color w:val="383838"/>
        </w:rPr>
        <w:fldChar w:fldCharType="begin"/>
      </w:r>
      <w:r w:rsidR="00343EFD" w:rsidRPr="00000849">
        <w:rPr>
          <w:rFonts w:asciiTheme="minorHAnsi" w:hAnsiTheme="minorHAnsi" w:cstheme="minorHAnsi"/>
          <w:color w:val="383838"/>
        </w:rPr>
        <w:instrText xml:space="preserve"> ADDIN EN.CITE &lt;EndNote&gt;&lt;Cite&gt;&lt;Author&gt;GSS&lt;/Author&gt;&lt;Year&gt;2013&lt;/Year&gt;&lt;RecNum&gt;2&lt;/RecNum&gt;&lt;DisplayText&gt;(GSS, 2013, 2014a)&lt;/DisplayText&gt;&lt;record&gt;&lt;rec-number&gt;2&lt;/rec-number&gt;&lt;foreign-keys&gt;&lt;key app="EN" db-id="9tzf2rda8re2a9es5tuxart3swzx2zws2s02" timestamp="1463387343"&gt;2&lt;/key&gt;&lt;/foreign-keys&gt;&lt;ref-type name="Book"&gt;6&lt;/ref-type&gt;&lt;contributors&gt;&lt;authors&gt;&lt;author&gt;GSS,&lt;/author&gt;&lt;/authors&gt;&lt;/contributors&gt;&lt;titles&gt;&lt;title&gt;2010 Population and housing Census Report: the elderly in Ghana&lt;/title&gt;&lt;/titles&gt;&lt;dates&gt;&lt;year&gt;2013&lt;/year&gt;&lt;/dates&gt;&lt;pub-location&gt;Accra&lt;/pub-location&gt;&lt;publisher&gt;Ghana Statistical Service (GSS)&lt;/publisher&gt;&lt;urls&gt;&lt;/urls&gt;&lt;/record&gt;&lt;/Cite&gt;&lt;Cite&gt;&lt;Author&gt;GSS&lt;/Author&gt;&lt;Year&gt;2014&lt;/Year&gt;&lt;RecNum&gt;988&lt;/RecNum&gt;&lt;record&gt;&lt;rec-number&gt;988&lt;/rec-number&gt;&lt;foreign-keys&gt;&lt;key app="EN" db-id="9tzf2rda8re2a9es5tuxart3swzx2zws2s02" timestamp="1575711318"&gt;988&lt;/key&gt;&lt;/foreign-keys&gt;&lt;ref-type name="Book"&gt;6&lt;/ref-type&gt;&lt;contributors&gt;&lt;authors&gt;&lt;author&gt;GSS,&lt;/author&gt;&lt;/authors&gt;&lt;/contributors&gt;&lt;titles&gt;&lt;title&gt;2010 Population and housing Census Report: urbanisation&lt;/title&gt;&lt;/titles&gt;&lt;dates&gt;&lt;year&gt;2014&lt;/year&gt;&lt;/dates&gt;&lt;pub-location&gt;Accra&lt;/pub-location&gt;&lt;publisher&gt;Ghana Statistical Service (GSS)&lt;/publisher&gt;&lt;urls&gt;&lt;/urls&gt;&lt;/record&gt;&lt;/Cite&gt;&lt;/EndNote&gt;</w:instrText>
      </w:r>
      <w:r w:rsidR="008A6AB6" w:rsidRPr="00000849">
        <w:rPr>
          <w:rFonts w:asciiTheme="minorHAnsi" w:hAnsiTheme="minorHAnsi" w:cstheme="minorHAnsi"/>
          <w:color w:val="383838"/>
        </w:rPr>
        <w:fldChar w:fldCharType="separate"/>
      </w:r>
      <w:r w:rsidR="00343EFD" w:rsidRPr="00000849">
        <w:rPr>
          <w:rFonts w:asciiTheme="minorHAnsi" w:hAnsiTheme="minorHAnsi" w:cstheme="minorHAnsi"/>
          <w:noProof/>
          <w:color w:val="383838"/>
        </w:rPr>
        <w:t>(GSS, 2013, 2014a)</w:t>
      </w:r>
      <w:r w:rsidR="008A6AB6" w:rsidRPr="00000849">
        <w:rPr>
          <w:rFonts w:asciiTheme="minorHAnsi" w:hAnsiTheme="minorHAnsi" w:cstheme="minorHAnsi"/>
          <w:color w:val="383838"/>
        </w:rPr>
        <w:fldChar w:fldCharType="end"/>
      </w:r>
      <w:r w:rsidR="008A6AB6" w:rsidRPr="00000849">
        <w:rPr>
          <w:rFonts w:asciiTheme="minorHAnsi" w:hAnsiTheme="minorHAnsi" w:cstheme="minorHAnsi"/>
          <w:color w:val="383838"/>
        </w:rPr>
        <w:t>.</w:t>
      </w:r>
      <w:r w:rsidRPr="00000849">
        <w:rPr>
          <w:rFonts w:asciiTheme="minorHAnsi" w:hAnsiTheme="minorHAnsi" w:cstheme="minorHAnsi"/>
          <w:color w:val="383838"/>
        </w:rPr>
        <w:t xml:space="preserve"> </w:t>
      </w:r>
      <w:r w:rsidR="00A3272A" w:rsidRPr="00000849">
        <w:rPr>
          <w:rFonts w:asciiTheme="minorHAnsi" w:hAnsiTheme="minorHAnsi" w:cstheme="minorHAnsi"/>
          <w:color w:val="383838"/>
        </w:rPr>
        <w:t xml:space="preserve"> </w:t>
      </w:r>
      <w:r w:rsidR="008A6AB6" w:rsidRPr="00000849">
        <w:rPr>
          <w:rFonts w:asciiTheme="minorHAnsi" w:hAnsiTheme="minorHAnsi" w:cstheme="minorHAnsi"/>
          <w:color w:val="383838"/>
        </w:rPr>
        <w:t>T</w:t>
      </w:r>
      <w:r w:rsidR="00383BD8" w:rsidRPr="00000849">
        <w:rPr>
          <w:rFonts w:asciiTheme="minorHAnsi" w:hAnsiTheme="minorHAnsi" w:cstheme="minorHAnsi"/>
          <w:color w:val="383838"/>
        </w:rPr>
        <w:t>he total national population aged 60 years and older</w:t>
      </w:r>
      <w:r w:rsidR="008B26E3" w:rsidRPr="00000849">
        <w:rPr>
          <w:rFonts w:asciiTheme="minorHAnsi" w:hAnsiTheme="minorHAnsi" w:cstheme="minorHAnsi"/>
          <w:color w:val="383838"/>
        </w:rPr>
        <w:t xml:space="preserve"> </w:t>
      </w:r>
      <w:r w:rsidR="00383BD8" w:rsidRPr="00000849">
        <w:rPr>
          <w:rFonts w:asciiTheme="minorHAnsi" w:hAnsiTheme="minorHAnsi" w:cstheme="minorHAnsi"/>
          <w:color w:val="383838"/>
        </w:rPr>
        <w:t>increased 7.</w:t>
      </w:r>
      <w:r w:rsidR="0005746A" w:rsidRPr="00000849">
        <w:rPr>
          <w:rFonts w:asciiTheme="minorHAnsi" w:hAnsiTheme="minorHAnsi" w:cstheme="minorHAnsi"/>
          <w:color w:val="383838"/>
        </w:rPr>
        <w:t>7</w:t>
      </w:r>
      <w:r w:rsidR="00383BD8" w:rsidRPr="00000849">
        <w:rPr>
          <w:rFonts w:asciiTheme="minorHAnsi" w:hAnsiTheme="minorHAnsi" w:cstheme="minorHAnsi"/>
          <w:color w:val="383838"/>
        </w:rPr>
        <w:t>-fold from 213,477 in 1960 to 1,643,381 in 2010</w:t>
      </w:r>
      <w:r w:rsidR="008B26E3" w:rsidRPr="00000849">
        <w:rPr>
          <w:rFonts w:asciiTheme="minorHAnsi" w:hAnsiTheme="minorHAnsi" w:cstheme="minorHAnsi"/>
          <w:color w:val="383838"/>
        </w:rPr>
        <w:t>,</w:t>
      </w:r>
      <w:r w:rsidR="00B21F0A" w:rsidRPr="00000849">
        <w:rPr>
          <w:rFonts w:asciiTheme="minorHAnsi" w:hAnsiTheme="minorHAnsi" w:cstheme="minorHAnsi"/>
          <w:color w:val="383838"/>
        </w:rPr>
        <w:t xml:space="preserve"> </w:t>
      </w:r>
      <w:r w:rsidR="004A76B9" w:rsidRPr="00000849">
        <w:rPr>
          <w:rFonts w:asciiTheme="minorHAnsi" w:hAnsiTheme="minorHAnsi" w:cstheme="minorHAnsi"/>
          <w:color w:val="383838"/>
        </w:rPr>
        <w:t xml:space="preserve">when </w:t>
      </w:r>
      <w:r w:rsidR="00B21F0A" w:rsidRPr="00000849">
        <w:rPr>
          <w:rFonts w:asciiTheme="minorHAnsi" w:hAnsiTheme="minorHAnsi" w:cstheme="minorHAnsi"/>
          <w:color w:val="383838"/>
        </w:rPr>
        <w:t>last</w:t>
      </w:r>
      <w:r w:rsidR="00993E2A" w:rsidRPr="00000849">
        <w:rPr>
          <w:rFonts w:asciiTheme="minorHAnsi" w:hAnsiTheme="minorHAnsi" w:cstheme="minorHAnsi"/>
          <w:color w:val="383838"/>
        </w:rPr>
        <w:t xml:space="preserve"> </w:t>
      </w:r>
      <w:r w:rsidR="008B26E3" w:rsidRPr="00000849">
        <w:rPr>
          <w:rFonts w:asciiTheme="minorHAnsi" w:hAnsiTheme="minorHAnsi" w:cstheme="minorHAnsi"/>
          <w:color w:val="383838"/>
        </w:rPr>
        <w:t xml:space="preserve">decennial </w:t>
      </w:r>
      <w:r w:rsidR="00B21F0A" w:rsidRPr="00000849">
        <w:rPr>
          <w:rFonts w:asciiTheme="minorHAnsi" w:hAnsiTheme="minorHAnsi" w:cstheme="minorHAnsi"/>
          <w:color w:val="383838"/>
        </w:rPr>
        <w:t>census</w:t>
      </w:r>
      <w:r w:rsidR="004A76B9" w:rsidRPr="00000849">
        <w:rPr>
          <w:rFonts w:asciiTheme="minorHAnsi" w:hAnsiTheme="minorHAnsi" w:cstheme="minorHAnsi"/>
          <w:color w:val="383838"/>
        </w:rPr>
        <w:t xml:space="preserve"> was </w:t>
      </w:r>
      <w:r w:rsidR="008B26E3" w:rsidRPr="00000849">
        <w:rPr>
          <w:rFonts w:asciiTheme="minorHAnsi" w:hAnsiTheme="minorHAnsi" w:cstheme="minorHAnsi"/>
          <w:color w:val="383838"/>
        </w:rPr>
        <w:t xml:space="preserve">taken </w:t>
      </w:r>
      <w:r w:rsidR="00895392" w:rsidRPr="00000849">
        <w:rPr>
          <w:rFonts w:asciiTheme="minorHAnsi" w:hAnsiTheme="minorHAnsi" w:cstheme="minorHAnsi"/>
          <w:color w:val="383838"/>
        </w:rPr>
        <w:fldChar w:fldCharType="begin"/>
      </w:r>
      <w:r w:rsidR="00E64390" w:rsidRPr="00000849">
        <w:rPr>
          <w:rFonts w:asciiTheme="minorHAnsi" w:hAnsiTheme="minorHAnsi" w:cstheme="minorHAnsi"/>
          <w:color w:val="383838"/>
        </w:rPr>
        <w:instrText xml:space="preserve"> ADDIN EN.CITE &lt;EndNote&gt;&lt;Cite&gt;&lt;Author&gt;GSS&lt;/Author&gt;&lt;Year&gt;2013&lt;/Year&gt;&lt;RecNum&gt;2&lt;/RecNum&gt;&lt;DisplayText&gt;(GSS, 2013)&lt;/DisplayText&gt;&lt;record&gt;&lt;rec-number&gt;2&lt;/rec-number&gt;&lt;foreign-keys&gt;&lt;key app="EN" db-id="9tzf2rda8re2a9es5tuxart3swzx2zws2s02" timestamp="1463387343"&gt;2&lt;/key&gt;&lt;/foreign-keys&gt;&lt;ref-type name="Book"&gt;6&lt;/ref-type&gt;&lt;contributors&gt;&lt;authors&gt;&lt;author&gt;GSS,&lt;/author&gt;&lt;/authors&gt;&lt;/contributors&gt;&lt;titles&gt;&lt;title&gt;2010 Population and housing Census Report: the elderly in Ghana&lt;/title&gt;&lt;/titles&gt;&lt;dates&gt;&lt;year&gt;2013&lt;/year&gt;&lt;/dates&gt;&lt;pub-location&gt;Accra&lt;/pub-location&gt;&lt;publisher&gt;Ghana Statistical Service (GSS)&lt;/publisher&gt;&lt;urls&gt;&lt;/urls&gt;&lt;/record&gt;&lt;/Cite&gt;&lt;/EndNote&gt;</w:instrText>
      </w:r>
      <w:r w:rsidR="00895392" w:rsidRPr="00000849">
        <w:rPr>
          <w:rFonts w:asciiTheme="minorHAnsi" w:hAnsiTheme="minorHAnsi" w:cstheme="minorHAnsi"/>
          <w:color w:val="383838"/>
        </w:rPr>
        <w:fldChar w:fldCharType="separate"/>
      </w:r>
      <w:r w:rsidR="00E64390" w:rsidRPr="00000849">
        <w:rPr>
          <w:rFonts w:asciiTheme="minorHAnsi" w:hAnsiTheme="minorHAnsi" w:cstheme="minorHAnsi"/>
          <w:noProof/>
          <w:color w:val="383838"/>
        </w:rPr>
        <w:t>(GSS, 2013)</w:t>
      </w:r>
      <w:r w:rsidR="00895392" w:rsidRPr="00000849">
        <w:rPr>
          <w:rFonts w:asciiTheme="minorHAnsi" w:hAnsiTheme="minorHAnsi" w:cstheme="minorHAnsi"/>
          <w:color w:val="383838"/>
        </w:rPr>
        <w:fldChar w:fldCharType="end"/>
      </w:r>
      <w:r w:rsidR="00383BD8" w:rsidRPr="00000849">
        <w:rPr>
          <w:rFonts w:asciiTheme="minorHAnsi" w:hAnsiTheme="minorHAnsi" w:cstheme="minorHAnsi"/>
          <w:color w:val="383838"/>
        </w:rPr>
        <w:t>.</w:t>
      </w:r>
      <w:r w:rsidR="00895392" w:rsidRPr="00000849">
        <w:rPr>
          <w:rFonts w:asciiTheme="minorHAnsi" w:hAnsiTheme="minorHAnsi" w:cstheme="minorHAnsi"/>
          <w:color w:val="383838"/>
        </w:rPr>
        <w:t xml:space="preserve">  As a proportion of the total national population, th</w:t>
      </w:r>
      <w:r w:rsidR="008B26E3" w:rsidRPr="00000849">
        <w:rPr>
          <w:rFonts w:asciiTheme="minorHAnsi" w:hAnsiTheme="minorHAnsi" w:cstheme="minorHAnsi"/>
          <w:color w:val="383838"/>
        </w:rPr>
        <w:t>e population</w:t>
      </w:r>
      <w:r w:rsidR="00895392" w:rsidRPr="00000849">
        <w:rPr>
          <w:rFonts w:asciiTheme="minorHAnsi" w:hAnsiTheme="minorHAnsi" w:cstheme="minorHAnsi"/>
          <w:color w:val="383838"/>
        </w:rPr>
        <w:t xml:space="preserve"> </w:t>
      </w:r>
      <w:r w:rsidR="003D34AD" w:rsidRPr="00000849">
        <w:rPr>
          <w:rFonts w:asciiTheme="minorHAnsi" w:hAnsiTheme="minorHAnsi" w:cstheme="minorHAnsi"/>
          <w:color w:val="383838"/>
        </w:rPr>
        <w:t xml:space="preserve">aged </w:t>
      </w:r>
      <w:r w:rsidR="003D5CCE" w:rsidRPr="00000849">
        <w:rPr>
          <w:rFonts w:asciiTheme="minorHAnsi" w:hAnsiTheme="minorHAnsi" w:cstheme="minorHAnsi"/>
          <w:color w:val="383838"/>
        </w:rPr>
        <w:t>≥</w:t>
      </w:r>
      <w:r w:rsidR="003D34AD" w:rsidRPr="00000849">
        <w:rPr>
          <w:rFonts w:asciiTheme="minorHAnsi" w:hAnsiTheme="minorHAnsi" w:cstheme="minorHAnsi"/>
          <w:color w:val="383838"/>
        </w:rPr>
        <w:t xml:space="preserve">60 years </w:t>
      </w:r>
      <w:r w:rsidR="00895392" w:rsidRPr="00000849">
        <w:rPr>
          <w:rFonts w:asciiTheme="minorHAnsi" w:hAnsiTheme="minorHAnsi" w:cstheme="minorHAnsi"/>
          <w:color w:val="383838"/>
        </w:rPr>
        <w:t xml:space="preserve">increased from 4.5% to 6.7% over the same </w:t>
      </w:r>
      <w:r w:rsidR="003B09C4" w:rsidRPr="00000849">
        <w:rPr>
          <w:rFonts w:asciiTheme="minorHAnsi" w:hAnsiTheme="minorHAnsi" w:cstheme="minorHAnsi"/>
          <w:color w:val="383838"/>
        </w:rPr>
        <w:t xml:space="preserve">1960-2010 </w:t>
      </w:r>
      <w:r w:rsidR="00F52EB2" w:rsidRPr="00000849">
        <w:rPr>
          <w:rFonts w:asciiTheme="minorHAnsi" w:hAnsiTheme="minorHAnsi" w:cstheme="minorHAnsi"/>
          <w:color w:val="383838"/>
        </w:rPr>
        <w:t xml:space="preserve">time </w:t>
      </w:r>
      <w:r w:rsidR="00895392" w:rsidRPr="00000849">
        <w:rPr>
          <w:rFonts w:asciiTheme="minorHAnsi" w:hAnsiTheme="minorHAnsi" w:cstheme="minorHAnsi"/>
          <w:color w:val="383838"/>
        </w:rPr>
        <w:t>period</w:t>
      </w:r>
      <w:r w:rsidR="003B09C4" w:rsidRPr="00000849">
        <w:rPr>
          <w:rFonts w:asciiTheme="minorHAnsi" w:hAnsiTheme="minorHAnsi" w:cstheme="minorHAnsi"/>
          <w:color w:val="383838"/>
        </w:rPr>
        <w:t xml:space="preserve">.  </w:t>
      </w:r>
      <w:r w:rsidR="00993E2A" w:rsidRPr="00000849">
        <w:rPr>
          <w:rFonts w:asciiTheme="minorHAnsi" w:hAnsiTheme="minorHAnsi" w:cstheme="minorHAnsi"/>
          <w:color w:val="383838"/>
        </w:rPr>
        <w:t xml:space="preserve">Of Ghana’s population aged ≥60 years in 2010, 68.2% were aged 60-74 years old, 55.9% were female, 54.2% lived in rural areas, 51.4% were currently married and 58.5% were economically active </w:t>
      </w:r>
      <w:r w:rsidR="00993E2A" w:rsidRPr="00000849">
        <w:rPr>
          <w:rFonts w:asciiTheme="minorHAnsi" w:hAnsiTheme="minorHAnsi" w:cstheme="minorHAnsi"/>
          <w:color w:val="383838"/>
        </w:rPr>
        <w:fldChar w:fldCharType="begin"/>
      </w:r>
      <w:r w:rsidR="00993E2A" w:rsidRPr="00000849">
        <w:rPr>
          <w:rFonts w:asciiTheme="minorHAnsi" w:hAnsiTheme="minorHAnsi" w:cstheme="minorHAnsi"/>
          <w:color w:val="383838"/>
        </w:rPr>
        <w:instrText xml:space="preserve"> ADDIN EN.CITE &lt;EndNote&gt;&lt;Cite&gt;&lt;Author&gt;GSS&lt;/Author&gt;&lt;Year&gt;2013&lt;/Year&gt;&lt;RecNum&gt;2&lt;/RecNum&gt;&lt;DisplayText&gt;(GSS, 2013)&lt;/DisplayText&gt;&lt;record&gt;&lt;rec-number&gt;2&lt;/rec-number&gt;&lt;foreign-keys&gt;&lt;key app="EN" db-id="9tzf2rda8re2a9es5tuxart3swzx2zws2s02" timestamp="1463387343"&gt;2&lt;/key&gt;&lt;/foreign-keys&gt;&lt;ref-type name="Book"&gt;6&lt;/ref-type&gt;&lt;contributors&gt;&lt;authors&gt;&lt;author&gt;GSS,&lt;/author&gt;&lt;/authors&gt;&lt;/contributors&gt;&lt;titles&gt;&lt;title&gt;2010 Population and housing Census Report: the elderly in Ghana&lt;/title&gt;&lt;/titles&gt;&lt;dates&gt;&lt;year&gt;2013&lt;/year&gt;&lt;/dates&gt;&lt;pub-location&gt;Accra&lt;/pub-location&gt;&lt;publisher&gt;Ghana Statistical Service (GSS)&lt;/publisher&gt;&lt;urls&gt;&lt;/urls&gt;&lt;/record&gt;&lt;/Cite&gt;&lt;/EndNote&gt;</w:instrText>
      </w:r>
      <w:r w:rsidR="00993E2A" w:rsidRPr="00000849">
        <w:rPr>
          <w:rFonts w:asciiTheme="minorHAnsi" w:hAnsiTheme="minorHAnsi" w:cstheme="minorHAnsi"/>
          <w:color w:val="383838"/>
        </w:rPr>
        <w:fldChar w:fldCharType="separate"/>
      </w:r>
      <w:r w:rsidR="00993E2A" w:rsidRPr="00000849">
        <w:rPr>
          <w:rFonts w:asciiTheme="minorHAnsi" w:hAnsiTheme="minorHAnsi" w:cstheme="minorHAnsi"/>
          <w:noProof/>
          <w:color w:val="383838"/>
        </w:rPr>
        <w:t>(GSS, 2013)</w:t>
      </w:r>
      <w:r w:rsidR="00993E2A" w:rsidRPr="00000849">
        <w:rPr>
          <w:rFonts w:asciiTheme="minorHAnsi" w:hAnsiTheme="minorHAnsi" w:cstheme="minorHAnsi"/>
          <w:color w:val="383838"/>
        </w:rPr>
        <w:fldChar w:fldCharType="end"/>
      </w:r>
      <w:r w:rsidR="00993E2A" w:rsidRPr="00000849">
        <w:rPr>
          <w:rFonts w:asciiTheme="minorHAnsi" w:hAnsiTheme="minorHAnsi" w:cstheme="minorHAnsi"/>
          <w:color w:val="383838"/>
        </w:rPr>
        <w:t xml:space="preserve">.  </w:t>
      </w:r>
    </w:p>
    <w:p w14:paraId="791BF73C" w14:textId="7312D852" w:rsidR="005E05C5" w:rsidRPr="00000849" w:rsidRDefault="00207294" w:rsidP="005E05C5">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Using </w:t>
      </w:r>
      <w:r w:rsidR="008B26E3" w:rsidRPr="00000849">
        <w:rPr>
          <w:rFonts w:asciiTheme="minorHAnsi" w:hAnsiTheme="minorHAnsi" w:cstheme="minorHAnsi"/>
          <w:color w:val="383838"/>
        </w:rPr>
        <w:t xml:space="preserve">census </w:t>
      </w:r>
      <w:r w:rsidRPr="00000849">
        <w:rPr>
          <w:rFonts w:asciiTheme="minorHAnsi" w:hAnsiTheme="minorHAnsi" w:cstheme="minorHAnsi"/>
          <w:color w:val="383838"/>
        </w:rPr>
        <w:t xml:space="preserve">data, </w:t>
      </w:r>
      <w:r w:rsidR="00880BB6" w:rsidRPr="00000849">
        <w:rPr>
          <w:rFonts w:asciiTheme="minorHAnsi" w:hAnsiTheme="minorHAnsi" w:cstheme="minorHAnsi"/>
          <w:color w:val="383838"/>
        </w:rPr>
        <w:t xml:space="preserve">the </w:t>
      </w:r>
      <w:r w:rsidR="00993E2A" w:rsidRPr="00000849">
        <w:rPr>
          <w:rFonts w:asciiTheme="minorHAnsi" w:hAnsiTheme="minorHAnsi" w:cstheme="minorHAnsi"/>
          <w:color w:val="383838"/>
        </w:rPr>
        <w:t>GSS project</w:t>
      </w:r>
      <w:r w:rsidRPr="00000849">
        <w:rPr>
          <w:rFonts w:asciiTheme="minorHAnsi" w:hAnsiTheme="minorHAnsi" w:cstheme="minorHAnsi"/>
          <w:color w:val="383838"/>
        </w:rPr>
        <w:t>ed</w:t>
      </w:r>
      <w:r w:rsidR="00993E2A" w:rsidRPr="00000849">
        <w:rPr>
          <w:rFonts w:asciiTheme="minorHAnsi" w:hAnsiTheme="minorHAnsi" w:cstheme="minorHAnsi"/>
          <w:color w:val="383838"/>
        </w:rPr>
        <w:t xml:space="preserve"> that</w:t>
      </w:r>
      <w:r w:rsidRPr="00000849">
        <w:rPr>
          <w:rFonts w:asciiTheme="minorHAnsi" w:hAnsiTheme="minorHAnsi" w:cstheme="minorHAnsi"/>
          <w:color w:val="383838"/>
        </w:rPr>
        <w:t xml:space="preserve"> </w:t>
      </w:r>
      <w:r w:rsidR="00993E2A" w:rsidRPr="00000849">
        <w:rPr>
          <w:rFonts w:asciiTheme="minorHAnsi" w:hAnsiTheme="minorHAnsi" w:cstheme="minorHAnsi"/>
          <w:color w:val="383838"/>
        </w:rPr>
        <w:t xml:space="preserve">the total </w:t>
      </w:r>
      <w:r w:rsidRPr="00000849">
        <w:rPr>
          <w:rFonts w:asciiTheme="minorHAnsi" w:hAnsiTheme="minorHAnsi" w:cstheme="minorHAnsi"/>
          <w:color w:val="383838"/>
        </w:rPr>
        <w:t>pro</w:t>
      </w:r>
      <w:r w:rsidR="00880BB6" w:rsidRPr="00000849">
        <w:rPr>
          <w:rFonts w:asciiTheme="minorHAnsi" w:hAnsiTheme="minorHAnsi" w:cstheme="minorHAnsi"/>
          <w:color w:val="383838"/>
        </w:rPr>
        <w:t>po</w:t>
      </w:r>
      <w:r w:rsidRPr="00000849">
        <w:rPr>
          <w:rFonts w:asciiTheme="minorHAnsi" w:hAnsiTheme="minorHAnsi" w:cstheme="minorHAnsi"/>
          <w:color w:val="383838"/>
        </w:rPr>
        <w:t xml:space="preserve">rtion of the </w:t>
      </w:r>
      <w:r w:rsidR="00993E2A" w:rsidRPr="00000849">
        <w:rPr>
          <w:rFonts w:asciiTheme="minorHAnsi" w:hAnsiTheme="minorHAnsi" w:cstheme="minorHAnsi"/>
          <w:color w:val="383838"/>
        </w:rPr>
        <w:t xml:space="preserve">population aged ≥60 years </w:t>
      </w:r>
      <w:r w:rsidRPr="00000849">
        <w:rPr>
          <w:rFonts w:asciiTheme="minorHAnsi" w:hAnsiTheme="minorHAnsi" w:cstheme="minorHAnsi"/>
          <w:color w:val="383838"/>
        </w:rPr>
        <w:t xml:space="preserve">was </w:t>
      </w:r>
      <w:r w:rsidR="00880BB6" w:rsidRPr="00000849">
        <w:rPr>
          <w:rFonts w:asciiTheme="minorHAnsi" w:hAnsiTheme="minorHAnsi" w:cstheme="minorHAnsi"/>
          <w:color w:val="383838"/>
        </w:rPr>
        <w:t>5</w:t>
      </w:r>
      <w:r w:rsidRPr="00000849">
        <w:rPr>
          <w:rFonts w:asciiTheme="minorHAnsi" w:hAnsiTheme="minorHAnsi" w:cstheme="minorHAnsi"/>
          <w:color w:val="383838"/>
        </w:rPr>
        <w:t>.</w:t>
      </w:r>
      <w:r w:rsidR="00A12DA8" w:rsidRPr="00000849">
        <w:rPr>
          <w:rFonts w:asciiTheme="minorHAnsi" w:hAnsiTheme="minorHAnsi" w:cstheme="minorHAnsi"/>
          <w:color w:val="383838"/>
        </w:rPr>
        <w:t>4</w:t>
      </w:r>
      <w:r w:rsidR="00880BB6" w:rsidRPr="00000849">
        <w:rPr>
          <w:rFonts w:asciiTheme="minorHAnsi" w:hAnsiTheme="minorHAnsi" w:cstheme="minorHAnsi"/>
          <w:color w:val="383838"/>
        </w:rPr>
        <w:t xml:space="preserve">% in 2010 (lower than </w:t>
      </w:r>
      <w:r w:rsidR="005F33D0">
        <w:rPr>
          <w:rFonts w:asciiTheme="minorHAnsi" w:hAnsiTheme="minorHAnsi" w:cstheme="minorHAnsi"/>
          <w:color w:val="383838"/>
        </w:rPr>
        <w:t>the 6.7%</w:t>
      </w:r>
      <w:r w:rsidR="005F33D0" w:rsidRPr="00000849">
        <w:rPr>
          <w:rFonts w:asciiTheme="minorHAnsi" w:hAnsiTheme="minorHAnsi" w:cstheme="minorHAnsi"/>
          <w:color w:val="383838"/>
        </w:rPr>
        <w:t xml:space="preserve"> </w:t>
      </w:r>
      <w:r w:rsidR="00AB2332" w:rsidRPr="00000849">
        <w:rPr>
          <w:rFonts w:asciiTheme="minorHAnsi" w:hAnsiTheme="minorHAnsi" w:cstheme="minorHAnsi"/>
          <w:color w:val="383838"/>
        </w:rPr>
        <w:t>census figure</w:t>
      </w:r>
      <w:r w:rsidR="00880BB6" w:rsidRPr="00000849">
        <w:rPr>
          <w:rFonts w:asciiTheme="minorHAnsi" w:hAnsiTheme="minorHAnsi" w:cstheme="minorHAnsi"/>
          <w:color w:val="383838"/>
        </w:rPr>
        <w:t>) and</w:t>
      </w:r>
      <w:r w:rsidR="00A12DA8" w:rsidRPr="00000849">
        <w:rPr>
          <w:rFonts w:asciiTheme="minorHAnsi" w:hAnsiTheme="minorHAnsi" w:cstheme="minorHAnsi"/>
          <w:color w:val="383838"/>
        </w:rPr>
        <w:t xml:space="preserve"> </w:t>
      </w:r>
      <w:r w:rsidR="00993E2A" w:rsidRPr="00000849">
        <w:rPr>
          <w:rFonts w:asciiTheme="minorHAnsi" w:hAnsiTheme="minorHAnsi" w:cstheme="minorHAnsi"/>
          <w:color w:val="383838"/>
        </w:rPr>
        <w:t>will reach</w:t>
      </w:r>
      <w:r w:rsidRPr="00000849">
        <w:rPr>
          <w:rFonts w:asciiTheme="minorHAnsi" w:hAnsiTheme="minorHAnsi" w:cstheme="minorHAnsi"/>
          <w:color w:val="383838"/>
        </w:rPr>
        <w:t xml:space="preserve"> 6.2% in 2020 and </w:t>
      </w:r>
      <w:r w:rsidR="00993E2A" w:rsidRPr="00000849">
        <w:rPr>
          <w:rFonts w:asciiTheme="minorHAnsi" w:hAnsiTheme="minorHAnsi" w:cstheme="minorHAnsi"/>
          <w:color w:val="383838"/>
        </w:rPr>
        <w:t>12.6% in 2050</w:t>
      </w:r>
      <w:r w:rsidR="00E02ED9" w:rsidRPr="00000849">
        <w:rPr>
          <w:rFonts w:asciiTheme="minorHAnsi" w:hAnsiTheme="minorHAnsi" w:cstheme="minorHAnsi"/>
          <w:color w:val="383838"/>
        </w:rPr>
        <w:t xml:space="preserve"> (Table 1.1)</w:t>
      </w:r>
      <w:r w:rsidR="00993E2A" w:rsidRPr="00000849">
        <w:rPr>
          <w:rFonts w:asciiTheme="minorHAnsi" w:hAnsiTheme="minorHAnsi" w:cstheme="minorHAnsi"/>
          <w:color w:val="383838"/>
        </w:rPr>
        <w:t xml:space="preserve"> </w:t>
      </w:r>
      <w:r w:rsidR="00993E2A" w:rsidRPr="00000849">
        <w:rPr>
          <w:rFonts w:asciiTheme="minorHAnsi" w:hAnsiTheme="minorHAnsi" w:cstheme="minorHAnsi"/>
          <w:color w:val="383838"/>
        </w:rPr>
        <w:fldChar w:fldCharType="begin"/>
      </w:r>
      <w:r w:rsidR="00993E2A" w:rsidRPr="00000849">
        <w:rPr>
          <w:rFonts w:asciiTheme="minorHAnsi" w:hAnsiTheme="minorHAnsi" w:cstheme="minorHAnsi"/>
          <w:color w:val="383838"/>
        </w:rPr>
        <w:instrText xml:space="preserve"> ADDIN EN.CITE &lt;EndNote&gt;&lt;Cite&gt;&lt;Author&gt;GSS&lt;/Author&gt;&lt;Year&gt;2013&lt;/Year&gt;&lt;RecNum&gt;2&lt;/RecNum&gt;&lt;DisplayText&gt;(GSS, 2013)&lt;/DisplayText&gt;&lt;record&gt;&lt;rec-number&gt;2&lt;/rec-number&gt;&lt;foreign-keys&gt;&lt;key app="EN" db-id="9tzf2rda8re2a9es5tuxart3swzx2zws2s02" timestamp="1463387343"&gt;2&lt;/key&gt;&lt;/foreign-keys&gt;&lt;ref-type name="Book"&gt;6&lt;/ref-type&gt;&lt;contributors&gt;&lt;authors&gt;&lt;author&gt;GSS,&lt;/author&gt;&lt;/authors&gt;&lt;/contributors&gt;&lt;titles&gt;&lt;title&gt;2010 Population and housing Census Report: the elderly in Ghana&lt;/title&gt;&lt;/titles&gt;&lt;dates&gt;&lt;year&gt;2013&lt;/year&gt;&lt;/dates&gt;&lt;pub-location&gt;Accra&lt;/pub-location&gt;&lt;publisher&gt;Ghana Statistical Service (GSS)&lt;/publisher&gt;&lt;urls&gt;&lt;/urls&gt;&lt;/record&gt;&lt;/Cite&gt;&lt;/EndNote&gt;</w:instrText>
      </w:r>
      <w:r w:rsidR="00993E2A" w:rsidRPr="00000849">
        <w:rPr>
          <w:rFonts w:asciiTheme="minorHAnsi" w:hAnsiTheme="minorHAnsi" w:cstheme="minorHAnsi"/>
          <w:color w:val="383838"/>
        </w:rPr>
        <w:fldChar w:fldCharType="separate"/>
      </w:r>
      <w:r w:rsidR="00993E2A" w:rsidRPr="00000849">
        <w:rPr>
          <w:rFonts w:asciiTheme="minorHAnsi" w:hAnsiTheme="minorHAnsi" w:cstheme="minorHAnsi"/>
          <w:noProof/>
          <w:color w:val="383838"/>
        </w:rPr>
        <w:t>(GSS, 2013)</w:t>
      </w:r>
      <w:r w:rsidR="00993E2A" w:rsidRPr="00000849">
        <w:rPr>
          <w:rFonts w:asciiTheme="minorHAnsi" w:hAnsiTheme="minorHAnsi" w:cstheme="minorHAnsi"/>
          <w:color w:val="383838"/>
        </w:rPr>
        <w:fldChar w:fldCharType="end"/>
      </w:r>
      <w:r w:rsidR="00993E2A" w:rsidRPr="00000849">
        <w:rPr>
          <w:rFonts w:asciiTheme="minorHAnsi" w:hAnsiTheme="minorHAnsi" w:cstheme="minorHAnsi"/>
          <w:color w:val="383838"/>
        </w:rPr>
        <w:t xml:space="preserve">.  </w:t>
      </w:r>
      <w:r w:rsidR="00880BB6" w:rsidRPr="00000849">
        <w:rPr>
          <w:rFonts w:asciiTheme="minorHAnsi" w:hAnsiTheme="minorHAnsi" w:cstheme="minorHAnsi"/>
          <w:color w:val="383838"/>
        </w:rPr>
        <w:t xml:space="preserve">In absolute terms, the </w:t>
      </w:r>
      <w:r w:rsidR="00FD6E25" w:rsidRPr="00000849">
        <w:rPr>
          <w:rFonts w:asciiTheme="minorHAnsi" w:hAnsiTheme="minorHAnsi" w:cstheme="minorHAnsi"/>
          <w:color w:val="383838"/>
        </w:rPr>
        <w:t xml:space="preserve">predicted </w:t>
      </w:r>
      <w:r w:rsidR="00880BB6" w:rsidRPr="00000849">
        <w:rPr>
          <w:rFonts w:asciiTheme="minorHAnsi" w:hAnsiTheme="minorHAnsi" w:cstheme="minorHAnsi"/>
          <w:color w:val="383838"/>
        </w:rPr>
        <w:t xml:space="preserve">population size for those aged ≥60 years was 1.39 million in 2010, 1.97 million in 2020 and 6.32 million in 2050.  </w:t>
      </w:r>
      <w:r w:rsidR="00E02ED9" w:rsidRPr="00000849">
        <w:rPr>
          <w:rFonts w:asciiTheme="minorHAnsi" w:hAnsiTheme="minorHAnsi" w:cstheme="minorHAnsi"/>
          <w:color w:val="383838"/>
        </w:rPr>
        <w:t xml:space="preserve">Similarly, the UN model projection for the same population group in 2010 was 4.6% in 2010 (lower than actually recorded), reaching 5.3% in 2020, 9.9% in 2050 and 20.1% in 2100 (Figure 1) </w:t>
      </w:r>
      <w:r w:rsidR="00E02ED9" w:rsidRPr="00000849">
        <w:rPr>
          <w:rFonts w:asciiTheme="minorHAnsi" w:hAnsiTheme="minorHAnsi" w:cstheme="minorHAnsi"/>
          <w:color w:val="383838"/>
        </w:rPr>
        <w:fldChar w:fldCharType="begin"/>
      </w:r>
      <w:r w:rsidR="00E02ED9" w:rsidRPr="00000849">
        <w:rPr>
          <w:rFonts w:asciiTheme="minorHAnsi" w:hAnsiTheme="minorHAnsi" w:cstheme="minorHAnsi"/>
          <w:color w:val="383838"/>
        </w:rPr>
        <w:instrText xml:space="preserve"> ADDIN EN.CITE &lt;EndNote&gt;&lt;Cite&gt;&lt;Author&gt;UN&lt;/Author&gt;&lt;Year&gt;2019&lt;/Year&gt;&lt;RecNum&gt;1638&lt;/RecNum&gt;&lt;DisplayText&gt;(UN, 2019b)&lt;/DisplayText&gt;&lt;record&gt;&lt;rec-number&gt;1638&lt;/rec-number&gt;&lt;foreign-keys&gt;&lt;key app="EN" db-id="9tzf2rda8re2a9es5tuxart3swzx2zws2s02" timestamp="1591598470"&gt;1638&lt;/key&gt;&lt;/foreign-keys&gt;&lt;ref-type name="Online Database"&gt;45&lt;/ref-type&gt;&lt;contributors&gt;&lt;authors&gt;&lt;author&gt;UN,&lt;/author&gt;&lt;/authors&gt;&lt;/contributors&gt;&lt;titles&gt;&lt;title&gt;World Population Prospects 2019, custom data acquired via website&lt;/title&gt;&lt;/titles&gt;&lt;dates&gt;&lt;year&gt;2019&lt;/year&gt;&lt;pub-dates&gt;&lt;date&gt;08 June 2020&lt;/date&gt;&lt;/pub-dates&gt;&lt;/dates&gt;&lt;pub-location&gt;New York, NY, USA&lt;/pub-location&gt;&lt;publisher&gt;Department of Economic and Social Affairs, Population Division, UN&lt;/publisher&gt;&lt;urls&gt;&lt;related-urls&gt;&lt;url&gt;https://esa.un.org/unpd/wpp/DataQuery/&lt;/url&gt;&lt;/related-urls&gt;&lt;/urls&gt;&lt;/record&gt;&lt;/Cite&gt;&lt;/EndNote&gt;</w:instrText>
      </w:r>
      <w:r w:rsidR="00E02ED9" w:rsidRPr="00000849">
        <w:rPr>
          <w:rFonts w:asciiTheme="minorHAnsi" w:hAnsiTheme="minorHAnsi" w:cstheme="minorHAnsi"/>
          <w:color w:val="383838"/>
        </w:rPr>
        <w:fldChar w:fldCharType="separate"/>
      </w:r>
      <w:r w:rsidR="00E02ED9" w:rsidRPr="00000849">
        <w:rPr>
          <w:rFonts w:asciiTheme="minorHAnsi" w:hAnsiTheme="minorHAnsi" w:cstheme="minorHAnsi"/>
          <w:noProof/>
          <w:color w:val="383838"/>
        </w:rPr>
        <w:t>(UN, 2019b)</w:t>
      </w:r>
      <w:r w:rsidR="00E02ED9" w:rsidRPr="00000849">
        <w:rPr>
          <w:rFonts w:asciiTheme="minorHAnsi" w:hAnsiTheme="minorHAnsi" w:cstheme="minorHAnsi"/>
          <w:color w:val="383838"/>
        </w:rPr>
        <w:fldChar w:fldCharType="end"/>
      </w:r>
      <w:r w:rsidR="00E02ED9" w:rsidRPr="00000849">
        <w:rPr>
          <w:rFonts w:asciiTheme="minorHAnsi" w:hAnsiTheme="minorHAnsi" w:cstheme="minorHAnsi"/>
          <w:color w:val="383838"/>
        </w:rPr>
        <w:t>.</w:t>
      </w:r>
    </w:p>
    <w:p w14:paraId="50E0BE06" w14:textId="77777777" w:rsidR="00E02ED9" w:rsidRPr="00000849" w:rsidRDefault="00E02ED9" w:rsidP="005E05C5">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7398F78A" w14:textId="7C09E0D1" w:rsidR="00E02ED9" w:rsidRPr="00000849" w:rsidRDefault="00E02ED9" w:rsidP="00143B7E">
      <w:pPr>
        <w:pStyle w:val="Caption"/>
        <w:keepNext/>
        <w:keepLines/>
      </w:pPr>
      <w:bookmarkStart w:id="12" w:name="_Toc71153629"/>
      <w:r w:rsidRPr="00000849">
        <w:lastRenderedPageBreak/>
        <w:t xml:space="preserve">Table 1. </w:t>
      </w:r>
      <w:fldSimple w:instr=" SEQ Table_5. \* ARABIC ">
        <w:r w:rsidR="00C0100F">
          <w:rPr>
            <w:noProof/>
          </w:rPr>
          <w:t>1</w:t>
        </w:r>
      </w:fldSimple>
      <w:r w:rsidRPr="00000849">
        <w:t xml:space="preserve">: </w:t>
      </w:r>
      <w:r w:rsidRPr="00000849">
        <w:tab/>
        <w:t xml:space="preserve">Projected population size and proportion aged </w:t>
      </w:r>
      <w:r w:rsidRPr="00000849">
        <w:rPr>
          <w:rFonts w:cstheme="minorHAnsi"/>
        </w:rPr>
        <w:t>≥</w:t>
      </w:r>
      <w:r w:rsidRPr="00000849">
        <w:t>60 years in Ghana by the Ghana Statistical Service (GSS) and the United Nations (UN), 2020-2100</w:t>
      </w:r>
      <w:bookmarkEnd w:id="12"/>
      <w:r w:rsidRPr="00000849">
        <w:t xml:space="preserve"> </w:t>
      </w:r>
    </w:p>
    <w:tbl>
      <w:tblPr>
        <w:tblW w:w="5000" w:type="pct"/>
        <w:tblLook w:val="04A0" w:firstRow="1" w:lastRow="0" w:firstColumn="1" w:lastColumn="0" w:noHBand="0" w:noVBand="1"/>
      </w:tblPr>
      <w:tblGrid>
        <w:gridCol w:w="1528"/>
        <w:gridCol w:w="1694"/>
        <w:gridCol w:w="1693"/>
        <w:gridCol w:w="1693"/>
        <w:gridCol w:w="1693"/>
      </w:tblGrid>
      <w:tr w:rsidR="00E02ED9" w:rsidRPr="00000849" w14:paraId="2EE20941" w14:textId="77777777" w:rsidTr="00063693">
        <w:trPr>
          <w:trHeight w:val="295"/>
        </w:trPr>
        <w:tc>
          <w:tcPr>
            <w:tcW w:w="92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4F23A74" w14:textId="77777777" w:rsidR="00E02ED9" w:rsidRPr="00000849" w:rsidRDefault="00E02ED9" w:rsidP="000977CC">
            <w:pPr>
              <w:keepNext/>
              <w:keepLines/>
              <w:spacing w:after="0" w:line="480" w:lineRule="auto"/>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Year</w:t>
            </w:r>
          </w:p>
        </w:tc>
        <w:tc>
          <w:tcPr>
            <w:tcW w:w="2040" w:type="pct"/>
            <w:gridSpan w:val="2"/>
            <w:tcBorders>
              <w:top w:val="single" w:sz="4" w:space="0" w:color="auto"/>
              <w:left w:val="nil"/>
              <w:bottom w:val="single" w:sz="4" w:space="0" w:color="auto"/>
              <w:right w:val="single" w:sz="4" w:space="0" w:color="000000"/>
            </w:tcBorders>
            <w:shd w:val="clear" w:color="auto" w:fill="auto"/>
            <w:vAlign w:val="center"/>
            <w:hideMark/>
          </w:tcPr>
          <w:p w14:paraId="6BB944E9" w14:textId="77777777" w:rsidR="00E02ED9" w:rsidRPr="00000849" w:rsidRDefault="00E02ED9" w:rsidP="000977CC">
            <w:pPr>
              <w:keepNext/>
              <w:keepLines/>
              <w:spacing w:after="0" w:line="48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GSS</w:t>
            </w:r>
          </w:p>
        </w:tc>
        <w:tc>
          <w:tcPr>
            <w:tcW w:w="2040" w:type="pct"/>
            <w:gridSpan w:val="2"/>
            <w:tcBorders>
              <w:top w:val="single" w:sz="4" w:space="0" w:color="auto"/>
              <w:left w:val="nil"/>
              <w:bottom w:val="single" w:sz="4" w:space="0" w:color="auto"/>
              <w:right w:val="single" w:sz="4" w:space="0" w:color="000000"/>
            </w:tcBorders>
            <w:shd w:val="clear" w:color="auto" w:fill="auto"/>
            <w:vAlign w:val="center"/>
            <w:hideMark/>
          </w:tcPr>
          <w:p w14:paraId="3D959781" w14:textId="77777777" w:rsidR="00E02ED9" w:rsidRPr="00000849" w:rsidRDefault="00E02ED9" w:rsidP="000977CC">
            <w:pPr>
              <w:keepNext/>
              <w:keepLines/>
              <w:spacing w:after="0" w:line="48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UN</w:t>
            </w:r>
          </w:p>
        </w:tc>
      </w:tr>
      <w:tr w:rsidR="00E02ED9" w:rsidRPr="00000849" w14:paraId="7FCFB9E5" w14:textId="77777777" w:rsidTr="00063693">
        <w:trPr>
          <w:trHeight w:val="295"/>
        </w:trPr>
        <w:tc>
          <w:tcPr>
            <w:tcW w:w="920" w:type="pct"/>
            <w:vMerge/>
            <w:tcBorders>
              <w:top w:val="single" w:sz="4" w:space="0" w:color="auto"/>
              <w:left w:val="single" w:sz="4" w:space="0" w:color="auto"/>
              <w:bottom w:val="single" w:sz="4" w:space="0" w:color="000000"/>
              <w:right w:val="single" w:sz="4" w:space="0" w:color="auto"/>
            </w:tcBorders>
            <w:vAlign w:val="center"/>
            <w:hideMark/>
          </w:tcPr>
          <w:p w14:paraId="3089D0D7" w14:textId="77777777" w:rsidR="00E02ED9" w:rsidRPr="00000849" w:rsidRDefault="00E02ED9" w:rsidP="00FD3BF5">
            <w:pPr>
              <w:keepNext/>
              <w:keepLines/>
              <w:spacing w:after="0" w:line="480" w:lineRule="auto"/>
              <w:rPr>
                <w:rFonts w:ascii="Calibri" w:eastAsia="Times New Roman" w:hAnsi="Calibri" w:cs="Calibri"/>
                <w:b/>
                <w:bCs/>
                <w:color w:val="000000"/>
                <w:sz w:val="20"/>
                <w:szCs w:val="20"/>
                <w:lang w:eastAsia="en-GB"/>
              </w:rPr>
            </w:pPr>
          </w:p>
        </w:tc>
        <w:tc>
          <w:tcPr>
            <w:tcW w:w="1020" w:type="pct"/>
            <w:tcBorders>
              <w:top w:val="nil"/>
              <w:left w:val="nil"/>
              <w:bottom w:val="single" w:sz="4" w:space="0" w:color="auto"/>
              <w:right w:val="single" w:sz="4" w:space="0" w:color="auto"/>
            </w:tcBorders>
            <w:shd w:val="clear" w:color="auto" w:fill="auto"/>
            <w:vAlign w:val="center"/>
            <w:hideMark/>
          </w:tcPr>
          <w:p w14:paraId="321D93DC" w14:textId="77777777" w:rsidR="00E02ED9" w:rsidRPr="00000849" w:rsidRDefault="00E02ED9" w:rsidP="00FD3BF5">
            <w:pPr>
              <w:keepNext/>
              <w:keepLines/>
              <w:spacing w:after="0" w:line="48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No. (millions)</w:t>
            </w:r>
          </w:p>
        </w:tc>
        <w:tc>
          <w:tcPr>
            <w:tcW w:w="1020" w:type="pct"/>
            <w:tcBorders>
              <w:top w:val="nil"/>
              <w:left w:val="nil"/>
              <w:bottom w:val="single" w:sz="4" w:space="0" w:color="auto"/>
              <w:right w:val="single" w:sz="4" w:space="0" w:color="auto"/>
            </w:tcBorders>
            <w:shd w:val="clear" w:color="auto" w:fill="auto"/>
            <w:vAlign w:val="center"/>
            <w:hideMark/>
          </w:tcPr>
          <w:p w14:paraId="33BE2AE6" w14:textId="77777777" w:rsidR="00E02ED9" w:rsidRPr="00000849" w:rsidRDefault="00E02ED9" w:rsidP="00FD3BF5">
            <w:pPr>
              <w:keepNext/>
              <w:keepLines/>
              <w:spacing w:after="0" w:line="48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w:t>
            </w:r>
          </w:p>
        </w:tc>
        <w:tc>
          <w:tcPr>
            <w:tcW w:w="1020" w:type="pct"/>
            <w:tcBorders>
              <w:top w:val="nil"/>
              <w:left w:val="nil"/>
              <w:bottom w:val="single" w:sz="4" w:space="0" w:color="auto"/>
              <w:right w:val="single" w:sz="4" w:space="0" w:color="auto"/>
            </w:tcBorders>
            <w:shd w:val="clear" w:color="auto" w:fill="auto"/>
            <w:vAlign w:val="center"/>
            <w:hideMark/>
          </w:tcPr>
          <w:p w14:paraId="21809A70" w14:textId="4AC7CBF9" w:rsidR="00E02ED9" w:rsidRPr="00000849" w:rsidRDefault="00E02ED9" w:rsidP="00FD3BF5">
            <w:pPr>
              <w:keepNext/>
              <w:keepLines/>
              <w:spacing w:after="0" w:line="48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No. (millions)</w:t>
            </w:r>
          </w:p>
        </w:tc>
        <w:tc>
          <w:tcPr>
            <w:tcW w:w="1020" w:type="pct"/>
            <w:tcBorders>
              <w:top w:val="nil"/>
              <w:left w:val="nil"/>
              <w:bottom w:val="single" w:sz="4" w:space="0" w:color="auto"/>
              <w:right w:val="single" w:sz="4" w:space="0" w:color="auto"/>
            </w:tcBorders>
            <w:shd w:val="clear" w:color="auto" w:fill="auto"/>
            <w:vAlign w:val="center"/>
            <w:hideMark/>
          </w:tcPr>
          <w:p w14:paraId="5DB18F35" w14:textId="77777777" w:rsidR="00E02ED9" w:rsidRPr="00000849" w:rsidRDefault="00E02ED9" w:rsidP="00FD3BF5">
            <w:pPr>
              <w:keepNext/>
              <w:keepLines/>
              <w:spacing w:after="0" w:line="48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w:t>
            </w:r>
          </w:p>
        </w:tc>
      </w:tr>
      <w:tr w:rsidR="00E02ED9" w:rsidRPr="00000849" w14:paraId="74BFBEAD" w14:textId="77777777" w:rsidTr="00063693">
        <w:trPr>
          <w:trHeight w:val="295"/>
        </w:trPr>
        <w:tc>
          <w:tcPr>
            <w:tcW w:w="920" w:type="pct"/>
            <w:tcBorders>
              <w:top w:val="nil"/>
              <w:left w:val="single" w:sz="4" w:space="0" w:color="auto"/>
              <w:bottom w:val="single" w:sz="4" w:space="0" w:color="auto"/>
              <w:right w:val="single" w:sz="4" w:space="0" w:color="auto"/>
            </w:tcBorders>
            <w:shd w:val="clear" w:color="auto" w:fill="auto"/>
            <w:vAlign w:val="center"/>
            <w:hideMark/>
          </w:tcPr>
          <w:p w14:paraId="5F1B77A2" w14:textId="77777777" w:rsidR="00E02ED9" w:rsidRPr="00000849" w:rsidRDefault="00E02ED9" w:rsidP="00063693">
            <w:pPr>
              <w:spacing w:after="0" w:line="48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2010</w:t>
            </w:r>
          </w:p>
        </w:tc>
        <w:tc>
          <w:tcPr>
            <w:tcW w:w="1020" w:type="pct"/>
            <w:tcBorders>
              <w:top w:val="nil"/>
              <w:left w:val="nil"/>
              <w:bottom w:val="single" w:sz="4" w:space="0" w:color="auto"/>
              <w:right w:val="single" w:sz="4" w:space="0" w:color="auto"/>
            </w:tcBorders>
            <w:shd w:val="clear" w:color="auto" w:fill="auto"/>
            <w:vAlign w:val="center"/>
            <w:hideMark/>
          </w:tcPr>
          <w:p w14:paraId="3BC95BFE"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1.386</w:t>
            </w:r>
          </w:p>
        </w:tc>
        <w:tc>
          <w:tcPr>
            <w:tcW w:w="1020" w:type="pct"/>
            <w:tcBorders>
              <w:top w:val="nil"/>
              <w:left w:val="nil"/>
              <w:bottom w:val="single" w:sz="4" w:space="0" w:color="auto"/>
              <w:right w:val="single" w:sz="4" w:space="0" w:color="auto"/>
            </w:tcBorders>
            <w:shd w:val="clear" w:color="auto" w:fill="auto"/>
            <w:vAlign w:val="center"/>
            <w:hideMark/>
          </w:tcPr>
          <w:p w14:paraId="36DAE675"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5.4</w:t>
            </w:r>
          </w:p>
        </w:tc>
        <w:tc>
          <w:tcPr>
            <w:tcW w:w="1020" w:type="pct"/>
            <w:tcBorders>
              <w:top w:val="nil"/>
              <w:left w:val="nil"/>
              <w:bottom w:val="single" w:sz="4" w:space="0" w:color="auto"/>
              <w:right w:val="single" w:sz="4" w:space="0" w:color="auto"/>
            </w:tcBorders>
            <w:shd w:val="clear" w:color="auto" w:fill="auto"/>
            <w:noWrap/>
            <w:vAlign w:val="center"/>
            <w:hideMark/>
          </w:tcPr>
          <w:p w14:paraId="06C7DF6A" w14:textId="4E6EDEAE"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1.144</w:t>
            </w:r>
          </w:p>
        </w:tc>
        <w:tc>
          <w:tcPr>
            <w:tcW w:w="1020" w:type="pct"/>
            <w:tcBorders>
              <w:top w:val="nil"/>
              <w:left w:val="nil"/>
              <w:bottom w:val="single" w:sz="4" w:space="0" w:color="auto"/>
              <w:right w:val="single" w:sz="4" w:space="0" w:color="auto"/>
            </w:tcBorders>
            <w:shd w:val="clear" w:color="auto" w:fill="auto"/>
            <w:vAlign w:val="center"/>
            <w:hideMark/>
          </w:tcPr>
          <w:p w14:paraId="3CD28EDE"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4.6</w:t>
            </w:r>
          </w:p>
        </w:tc>
      </w:tr>
      <w:tr w:rsidR="00E02ED9" w:rsidRPr="00000849" w14:paraId="29B64C7A" w14:textId="77777777" w:rsidTr="00063693">
        <w:trPr>
          <w:trHeight w:val="295"/>
        </w:trPr>
        <w:tc>
          <w:tcPr>
            <w:tcW w:w="920" w:type="pct"/>
            <w:tcBorders>
              <w:top w:val="nil"/>
              <w:left w:val="single" w:sz="4" w:space="0" w:color="auto"/>
              <w:bottom w:val="single" w:sz="4" w:space="0" w:color="auto"/>
              <w:right w:val="single" w:sz="4" w:space="0" w:color="auto"/>
            </w:tcBorders>
            <w:shd w:val="clear" w:color="auto" w:fill="auto"/>
            <w:vAlign w:val="center"/>
            <w:hideMark/>
          </w:tcPr>
          <w:p w14:paraId="7B02DF7E" w14:textId="77777777" w:rsidR="00E02ED9" w:rsidRPr="00000849" w:rsidRDefault="00E02ED9" w:rsidP="00063693">
            <w:pPr>
              <w:spacing w:after="0" w:line="48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2020</w:t>
            </w:r>
          </w:p>
        </w:tc>
        <w:tc>
          <w:tcPr>
            <w:tcW w:w="1020" w:type="pct"/>
            <w:tcBorders>
              <w:top w:val="nil"/>
              <w:left w:val="nil"/>
              <w:bottom w:val="single" w:sz="4" w:space="0" w:color="auto"/>
              <w:right w:val="single" w:sz="4" w:space="0" w:color="auto"/>
            </w:tcBorders>
            <w:shd w:val="clear" w:color="auto" w:fill="auto"/>
            <w:vAlign w:val="center"/>
            <w:hideMark/>
          </w:tcPr>
          <w:p w14:paraId="3844CD4D"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1.974</w:t>
            </w:r>
          </w:p>
        </w:tc>
        <w:tc>
          <w:tcPr>
            <w:tcW w:w="1020" w:type="pct"/>
            <w:tcBorders>
              <w:top w:val="nil"/>
              <w:left w:val="nil"/>
              <w:bottom w:val="single" w:sz="4" w:space="0" w:color="auto"/>
              <w:right w:val="single" w:sz="4" w:space="0" w:color="auto"/>
            </w:tcBorders>
            <w:shd w:val="clear" w:color="auto" w:fill="auto"/>
            <w:vAlign w:val="center"/>
            <w:hideMark/>
          </w:tcPr>
          <w:p w14:paraId="4284C56F"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6.2</w:t>
            </w:r>
          </w:p>
        </w:tc>
        <w:tc>
          <w:tcPr>
            <w:tcW w:w="1020" w:type="pct"/>
            <w:tcBorders>
              <w:top w:val="nil"/>
              <w:left w:val="nil"/>
              <w:bottom w:val="single" w:sz="4" w:space="0" w:color="auto"/>
              <w:right w:val="single" w:sz="4" w:space="0" w:color="auto"/>
            </w:tcBorders>
            <w:shd w:val="clear" w:color="auto" w:fill="auto"/>
            <w:noWrap/>
            <w:vAlign w:val="center"/>
            <w:hideMark/>
          </w:tcPr>
          <w:p w14:paraId="7A971195" w14:textId="53108BD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1.643</w:t>
            </w:r>
          </w:p>
        </w:tc>
        <w:tc>
          <w:tcPr>
            <w:tcW w:w="1020" w:type="pct"/>
            <w:tcBorders>
              <w:top w:val="nil"/>
              <w:left w:val="nil"/>
              <w:bottom w:val="single" w:sz="4" w:space="0" w:color="auto"/>
              <w:right w:val="single" w:sz="4" w:space="0" w:color="auto"/>
            </w:tcBorders>
            <w:shd w:val="clear" w:color="auto" w:fill="auto"/>
            <w:vAlign w:val="center"/>
            <w:hideMark/>
          </w:tcPr>
          <w:p w14:paraId="108A6E4D"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5.3</w:t>
            </w:r>
          </w:p>
        </w:tc>
      </w:tr>
      <w:tr w:rsidR="00E02ED9" w:rsidRPr="00000849" w14:paraId="3C3D3211" w14:textId="77777777" w:rsidTr="00063693">
        <w:trPr>
          <w:trHeight w:val="295"/>
        </w:trPr>
        <w:tc>
          <w:tcPr>
            <w:tcW w:w="920" w:type="pct"/>
            <w:tcBorders>
              <w:top w:val="nil"/>
              <w:left w:val="single" w:sz="4" w:space="0" w:color="auto"/>
              <w:bottom w:val="single" w:sz="4" w:space="0" w:color="auto"/>
              <w:right w:val="single" w:sz="4" w:space="0" w:color="auto"/>
            </w:tcBorders>
            <w:shd w:val="clear" w:color="auto" w:fill="auto"/>
            <w:vAlign w:val="center"/>
            <w:hideMark/>
          </w:tcPr>
          <w:p w14:paraId="51A0A941" w14:textId="77777777" w:rsidR="00E02ED9" w:rsidRPr="00000849" w:rsidRDefault="00E02ED9" w:rsidP="00063693">
            <w:pPr>
              <w:spacing w:after="0" w:line="48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2050</w:t>
            </w:r>
          </w:p>
        </w:tc>
        <w:tc>
          <w:tcPr>
            <w:tcW w:w="1020" w:type="pct"/>
            <w:tcBorders>
              <w:top w:val="nil"/>
              <w:left w:val="nil"/>
              <w:bottom w:val="single" w:sz="4" w:space="0" w:color="auto"/>
              <w:right w:val="single" w:sz="4" w:space="0" w:color="auto"/>
            </w:tcBorders>
            <w:shd w:val="clear" w:color="auto" w:fill="auto"/>
            <w:vAlign w:val="center"/>
            <w:hideMark/>
          </w:tcPr>
          <w:p w14:paraId="1B8A00A7"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6.319</w:t>
            </w:r>
          </w:p>
        </w:tc>
        <w:tc>
          <w:tcPr>
            <w:tcW w:w="1020" w:type="pct"/>
            <w:tcBorders>
              <w:top w:val="nil"/>
              <w:left w:val="nil"/>
              <w:bottom w:val="single" w:sz="4" w:space="0" w:color="auto"/>
              <w:right w:val="single" w:sz="4" w:space="0" w:color="auto"/>
            </w:tcBorders>
            <w:shd w:val="clear" w:color="auto" w:fill="auto"/>
            <w:vAlign w:val="center"/>
            <w:hideMark/>
          </w:tcPr>
          <w:p w14:paraId="1847B893"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12.6</w:t>
            </w:r>
          </w:p>
        </w:tc>
        <w:tc>
          <w:tcPr>
            <w:tcW w:w="1020" w:type="pct"/>
            <w:tcBorders>
              <w:top w:val="nil"/>
              <w:left w:val="nil"/>
              <w:bottom w:val="single" w:sz="4" w:space="0" w:color="auto"/>
              <w:right w:val="single" w:sz="4" w:space="0" w:color="auto"/>
            </w:tcBorders>
            <w:shd w:val="clear" w:color="auto" w:fill="auto"/>
            <w:vAlign w:val="center"/>
            <w:hideMark/>
          </w:tcPr>
          <w:p w14:paraId="128091D5" w14:textId="3CD1886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5.162</w:t>
            </w:r>
          </w:p>
        </w:tc>
        <w:tc>
          <w:tcPr>
            <w:tcW w:w="1020" w:type="pct"/>
            <w:tcBorders>
              <w:top w:val="nil"/>
              <w:left w:val="nil"/>
              <w:bottom w:val="single" w:sz="4" w:space="0" w:color="auto"/>
              <w:right w:val="single" w:sz="4" w:space="0" w:color="auto"/>
            </w:tcBorders>
            <w:shd w:val="clear" w:color="auto" w:fill="auto"/>
            <w:vAlign w:val="center"/>
            <w:hideMark/>
          </w:tcPr>
          <w:p w14:paraId="69675538"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9.9</w:t>
            </w:r>
          </w:p>
        </w:tc>
      </w:tr>
      <w:tr w:rsidR="00E02ED9" w:rsidRPr="00000849" w14:paraId="06F96AC3" w14:textId="77777777" w:rsidTr="00063693">
        <w:trPr>
          <w:trHeight w:val="485"/>
        </w:trPr>
        <w:tc>
          <w:tcPr>
            <w:tcW w:w="920" w:type="pct"/>
            <w:tcBorders>
              <w:top w:val="nil"/>
              <w:left w:val="single" w:sz="4" w:space="0" w:color="auto"/>
              <w:bottom w:val="single" w:sz="4" w:space="0" w:color="auto"/>
              <w:right w:val="single" w:sz="4" w:space="0" w:color="auto"/>
            </w:tcBorders>
            <w:shd w:val="clear" w:color="auto" w:fill="auto"/>
            <w:vAlign w:val="center"/>
            <w:hideMark/>
          </w:tcPr>
          <w:p w14:paraId="12B67F29" w14:textId="77777777" w:rsidR="00E02ED9" w:rsidRPr="00000849" w:rsidRDefault="00E02ED9" w:rsidP="00063693">
            <w:pPr>
              <w:spacing w:after="0" w:line="48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2100</w:t>
            </w:r>
          </w:p>
        </w:tc>
        <w:tc>
          <w:tcPr>
            <w:tcW w:w="1020" w:type="pct"/>
            <w:tcBorders>
              <w:top w:val="nil"/>
              <w:left w:val="nil"/>
              <w:bottom w:val="single" w:sz="4" w:space="0" w:color="auto"/>
              <w:right w:val="single" w:sz="4" w:space="0" w:color="auto"/>
            </w:tcBorders>
            <w:shd w:val="clear" w:color="auto" w:fill="auto"/>
            <w:vAlign w:val="center"/>
            <w:hideMark/>
          </w:tcPr>
          <w:p w14:paraId="7E38F838"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Not reported</w:t>
            </w:r>
          </w:p>
        </w:tc>
        <w:tc>
          <w:tcPr>
            <w:tcW w:w="1020" w:type="pct"/>
            <w:tcBorders>
              <w:top w:val="nil"/>
              <w:left w:val="nil"/>
              <w:bottom w:val="single" w:sz="4" w:space="0" w:color="auto"/>
              <w:right w:val="single" w:sz="4" w:space="0" w:color="auto"/>
            </w:tcBorders>
            <w:shd w:val="clear" w:color="auto" w:fill="auto"/>
            <w:vAlign w:val="center"/>
            <w:hideMark/>
          </w:tcPr>
          <w:p w14:paraId="6A97829D"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Not reported</w:t>
            </w:r>
          </w:p>
        </w:tc>
        <w:tc>
          <w:tcPr>
            <w:tcW w:w="1020" w:type="pct"/>
            <w:tcBorders>
              <w:top w:val="nil"/>
              <w:left w:val="nil"/>
              <w:bottom w:val="single" w:sz="4" w:space="0" w:color="auto"/>
              <w:right w:val="single" w:sz="4" w:space="0" w:color="auto"/>
            </w:tcBorders>
            <w:shd w:val="clear" w:color="auto" w:fill="auto"/>
            <w:vAlign w:val="center"/>
            <w:hideMark/>
          </w:tcPr>
          <w:p w14:paraId="517AAE0E" w14:textId="4D6AB454"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15.855</w:t>
            </w:r>
          </w:p>
        </w:tc>
        <w:tc>
          <w:tcPr>
            <w:tcW w:w="1020" w:type="pct"/>
            <w:tcBorders>
              <w:top w:val="nil"/>
              <w:left w:val="nil"/>
              <w:bottom w:val="single" w:sz="4" w:space="0" w:color="auto"/>
              <w:right w:val="single" w:sz="4" w:space="0" w:color="auto"/>
            </w:tcBorders>
            <w:shd w:val="clear" w:color="auto" w:fill="auto"/>
            <w:vAlign w:val="center"/>
            <w:hideMark/>
          </w:tcPr>
          <w:p w14:paraId="6A7433F0" w14:textId="77777777" w:rsidR="00E02ED9" w:rsidRPr="00000849" w:rsidRDefault="00E02ED9" w:rsidP="00063693">
            <w:pPr>
              <w:spacing w:after="0" w:line="48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20.1</w:t>
            </w:r>
          </w:p>
        </w:tc>
      </w:tr>
    </w:tbl>
    <w:p w14:paraId="33A1AB2F" w14:textId="10A03BAB" w:rsidR="00E02ED9" w:rsidRPr="00000849" w:rsidRDefault="00E02ED9" w:rsidP="00E02ED9">
      <w:pPr>
        <w:pStyle w:val="NormalWeb"/>
        <w:shd w:val="clear" w:color="auto" w:fill="FFFFFF"/>
        <w:spacing w:before="0" w:beforeAutospacing="0" w:after="165" w:afterAutospacing="0" w:line="480" w:lineRule="auto"/>
        <w:jc w:val="both"/>
        <w:rPr>
          <w:rFonts w:asciiTheme="minorHAnsi" w:hAnsiTheme="minorHAnsi" w:cstheme="minorHAnsi"/>
          <w:color w:val="383838"/>
          <w:sz w:val="20"/>
          <w:szCs w:val="20"/>
        </w:rPr>
      </w:pPr>
      <w:r w:rsidRPr="00000849">
        <w:rPr>
          <w:rFonts w:asciiTheme="minorHAnsi" w:hAnsiTheme="minorHAnsi" w:cstheme="minorHAnsi"/>
          <w:color w:val="383838"/>
          <w:sz w:val="20"/>
          <w:szCs w:val="20"/>
        </w:rPr>
        <w:t xml:space="preserve">Source: </w:t>
      </w:r>
      <w:r w:rsidR="00553561" w:rsidRPr="00000849">
        <w:rPr>
          <w:rFonts w:asciiTheme="minorHAnsi" w:hAnsiTheme="minorHAnsi" w:cstheme="minorHAnsi"/>
          <w:color w:val="383838"/>
          <w:sz w:val="20"/>
          <w:szCs w:val="20"/>
        </w:rPr>
        <w:fldChar w:fldCharType="begin"/>
      </w:r>
      <w:r w:rsidR="00553561" w:rsidRPr="00000849">
        <w:rPr>
          <w:rFonts w:asciiTheme="minorHAnsi" w:hAnsiTheme="minorHAnsi" w:cstheme="minorHAnsi"/>
          <w:color w:val="383838"/>
          <w:sz w:val="20"/>
          <w:szCs w:val="20"/>
        </w:rPr>
        <w:instrText xml:space="preserve"> ADDIN EN.CITE &lt;EndNote&gt;&lt;Cite&gt;&lt;Author&gt;GSS&lt;/Author&gt;&lt;Year&gt;2013&lt;/Year&gt;&lt;RecNum&gt;2&lt;/RecNum&gt;&lt;DisplayText&gt;(GSS, 2013)&lt;/DisplayText&gt;&lt;record&gt;&lt;rec-number&gt;2&lt;/rec-number&gt;&lt;foreign-keys&gt;&lt;key app="EN" db-id="9tzf2rda8re2a9es5tuxart3swzx2zws2s02" timestamp="1463387343"&gt;2&lt;/key&gt;&lt;/foreign-keys&gt;&lt;ref-type name="Book"&gt;6&lt;/ref-type&gt;&lt;contributors&gt;&lt;authors&gt;&lt;author&gt;GSS,&lt;/author&gt;&lt;/authors&gt;&lt;/contributors&gt;&lt;titles&gt;&lt;title&gt;2010 Population and housing Census Report: the elderly in Ghana&lt;/title&gt;&lt;/titles&gt;&lt;dates&gt;&lt;year&gt;2013&lt;/year&gt;&lt;/dates&gt;&lt;pub-location&gt;Accra&lt;/pub-location&gt;&lt;publisher&gt;Ghana Statistical Service (GSS)&lt;/publisher&gt;&lt;urls&gt;&lt;/urls&gt;&lt;/record&gt;&lt;/Cite&gt;&lt;/EndNote&gt;</w:instrText>
      </w:r>
      <w:r w:rsidR="00553561" w:rsidRPr="00000849">
        <w:rPr>
          <w:rFonts w:asciiTheme="minorHAnsi" w:hAnsiTheme="minorHAnsi" w:cstheme="minorHAnsi"/>
          <w:color w:val="383838"/>
          <w:sz w:val="20"/>
          <w:szCs w:val="20"/>
        </w:rPr>
        <w:fldChar w:fldCharType="separate"/>
      </w:r>
      <w:r w:rsidR="00553561" w:rsidRPr="00000849">
        <w:rPr>
          <w:rFonts w:asciiTheme="minorHAnsi" w:hAnsiTheme="minorHAnsi" w:cstheme="minorHAnsi"/>
          <w:noProof/>
          <w:color w:val="383838"/>
          <w:sz w:val="20"/>
          <w:szCs w:val="20"/>
        </w:rPr>
        <w:t>(GSS, 2013)</w:t>
      </w:r>
      <w:r w:rsidR="00553561" w:rsidRPr="00000849">
        <w:rPr>
          <w:rFonts w:asciiTheme="minorHAnsi" w:hAnsiTheme="minorHAnsi" w:cstheme="minorHAnsi"/>
          <w:color w:val="383838"/>
          <w:sz w:val="20"/>
          <w:szCs w:val="20"/>
        </w:rPr>
        <w:fldChar w:fldCharType="end"/>
      </w:r>
      <w:r w:rsidRPr="00000849">
        <w:rPr>
          <w:rFonts w:asciiTheme="minorHAnsi" w:hAnsiTheme="minorHAnsi" w:cstheme="minorHAnsi"/>
          <w:color w:val="383838"/>
          <w:sz w:val="20"/>
          <w:szCs w:val="20"/>
        </w:rPr>
        <w:t xml:space="preserve"> ; </w:t>
      </w:r>
      <w:r w:rsidRPr="00000849">
        <w:rPr>
          <w:rFonts w:asciiTheme="minorHAnsi" w:hAnsiTheme="minorHAnsi" w:cstheme="minorHAnsi"/>
          <w:color w:val="383838"/>
          <w:sz w:val="20"/>
          <w:szCs w:val="20"/>
        </w:rPr>
        <w:fldChar w:fldCharType="begin"/>
      </w:r>
      <w:r w:rsidRPr="00000849">
        <w:rPr>
          <w:rFonts w:asciiTheme="minorHAnsi" w:hAnsiTheme="minorHAnsi" w:cstheme="minorHAnsi"/>
          <w:color w:val="383838"/>
          <w:sz w:val="20"/>
          <w:szCs w:val="20"/>
        </w:rPr>
        <w:instrText xml:space="preserve"> ADDIN EN.CITE &lt;EndNote&gt;&lt;Cite&gt;&lt;Author&gt;UN&lt;/Author&gt;&lt;Year&gt;2019&lt;/Year&gt;&lt;RecNum&gt;1632&lt;/RecNum&gt;&lt;DisplayText&gt;(UN, 2019c)&lt;/DisplayText&gt;&lt;record&gt;&lt;rec-number&gt;1632&lt;/rec-number&gt;&lt;foreign-keys&gt;&lt;key app="EN" db-id="9tzf2rda8re2a9es5tuxart3swzx2zws2s02" timestamp="1591570507"&gt;1632&lt;/key&gt;&lt;/foreign-keys&gt;&lt;ref-type name="Online Database"&gt;45&lt;/ref-type&gt;&lt;contributors&gt;&lt;authors&gt;&lt;author&gt;UN,&lt;/author&gt;&lt;/authors&gt;&lt;/contributors&gt;&lt;titles&gt;&lt;title&gt;World Population Prospects 2019, Online Edition. Rev. 1.&lt;/title&gt;&lt;/titles&gt;&lt;dates&gt;&lt;year&gt;2019&lt;/year&gt;&lt;pub-dates&gt;&lt;date&gt;02 June 2020&lt;/date&gt;&lt;/pub-dates&gt;&lt;/dates&gt;&lt;pub-location&gt;New York, NY, USA&lt;/pub-location&gt;&lt;publisher&gt;Department of Economic and Social Affairs, Population Division, UN&lt;/publisher&gt;&lt;urls&gt;&lt;related-urls&gt;&lt;url&gt;https://population.un.org/wpp/&lt;/url&gt;&lt;/related-urls&gt;&lt;/urls&gt;&lt;/record&gt;&lt;/Cite&gt;&lt;/EndNote&gt;</w:instrText>
      </w:r>
      <w:r w:rsidRPr="00000849">
        <w:rPr>
          <w:rFonts w:asciiTheme="minorHAnsi" w:hAnsiTheme="minorHAnsi" w:cstheme="minorHAnsi"/>
          <w:color w:val="383838"/>
          <w:sz w:val="20"/>
          <w:szCs w:val="20"/>
        </w:rPr>
        <w:fldChar w:fldCharType="separate"/>
      </w:r>
      <w:r w:rsidRPr="00000849">
        <w:rPr>
          <w:rFonts w:asciiTheme="minorHAnsi" w:hAnsiTheme="minorHAnsi" w:cstheme="minorHAnsi"/>
          <w:noProof/>
          <w:color w:val="383838"/>
          <w:sz w:val="20"/>
          <w:szCs w:val="20"/>
        </w:rPr>
        <w:t>(UN, 2019c)</w:t>
      </w:r>
      <w:r w:rsidRPr="00000849">
        <w:rPr>
          <w:rFonts w:asciiTheme="minorHAnsi" w:hAnsiTheme="minorHAnsi" w:cstheme="minorHAnsi"/>
          <w:color w:val="383838"/>
          <w:sz w:val="20"/>
          <w:szCs w:val="20"/>
        </w:rPr>
        <w:fldChar w:fldCharType="end"/>
      </w:r>
    </w:p>
    <w:p w14:paraId="4F1DA2BB" w14:textId="06857E19" w:rsidR="00E02ED9" w:rsidRPr="00000849" w:rsidRDefault="00E02ED9" w:rsidP="00063693">
      <w:r w:rsidRPr="00000849">
        <w:t xml:space="preserve"> </w:t>
      </w:r>
    </w:p>
    <w:p w14:paraId="4A631C35" w14:textId="1D27F28D" w:rsidR="00907F16" w:rsidRPr="00000849" w:rsidRDefault="00907F16" w:rsidP="00D8136B">
      <w:pPr>
        <w:pStyle w:val="TableSAGE1"/>
        <w:keepNext/>
        <w:ind w:left="1276" w:hanging="992"/>
      </w:pPr>
      <w:bookmarkStart w:id="13" w:name="_Toc71153640"/>
      <w:r w:rsidRPr="00000849">
        <w:rPr>
          <w:szCs w:val="24"/>
        </w:rPr>
        <w:t xml:space="preserve">Figure </w:t>
      </w:r>
      <w:r w:rsidRPr="00000849">
        <w:rPr>
          <w:szCs w:val="24"/>
        </w:rPr>
        <w:fldChar w:fldCharType="begin"/>
      </w:r>
      <w:r w:rsidRPr="00000849">
        <w:rPr>
          <w:szCs w:val="24"/>
        </w:rPr>
        <w:instrText xml:space="preserve"> SEQ Figure \* ARABIC </w:instrText>
      </w:r>
      <w:r w:rsidRPr="00000849">
        <w:rPr>
          <w:szCs w:val="24"/>
        </w:rPr>
        <w:fldChar w:fldCharType="separate"/>
      </w:r>
      <w:r w:rsidR="00C0100F">
        <w:rPr>
          <w:noProof/>
          <w:szCs w:val="24"/>
        </w:rPr>
        <w:t>1</w:t>
      </w:r>
      <w:r w:rsidRPr="00000849">
        <w:rPr>
          <w:szCs w:val="24"/>
        </w:rPr>
        <w:fldChar w:fldCharType="end"/>
      </w:r>
      <w:r w:rsidRPr="00000849">
        <w:rPr>
          <w:szCs w:val="24"/>
        </w:rPr>
        <w:t>:</w:t>
      </w:r>
      <w:r w:rsidR="00D8136B" w:rsidRPr="00000849">
        <w:rPr>
          <w:szCs w:val="24"/>
        </w:rPr>
        <w:tab/>
      </w:r>
      <w:r w:rsidR="00D8136B" w:rsidRPr="00000849">
        <w:t>Projected proportion of the population aged 60 years and older in Ghana, Western Africa and Africa, 1950-2100 using data obtained from the United Nations Population Division</w:t>
      </w:r>
      <w:bookmarkEnd w:id="13"/>
    </w:p>
    <w:p w14:paraId="69752998" w14:textId="3F3F52D2" w:rsidR="0051405C" w:rsidRPr="00000849" w:rsidRDefault="0051405C" w:rsidP="0051405C">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noProof/>
        </w:rPr>
        <w:drawing>
          <wp:inline distT="0" distB="0" distL="0" distR="0" wp14:anchorId="7B591169" wp14:editId="5467F427">
            <wp:extent cx="4867275" cy="3273425"/>
            <wp:effectExtent l="0" t="0" r="9525" b="3175"/>
            <wp:docPr id="40" name="Chart 40">
              <a:extLst xmlns:a="http://schemas.openxmlformats.org/drawingml/2006/main">
                <a:ext uri="{FF2B5EF4-FFF2-40B4-BE49-F238E27FC236}">
                  <a16:creationId xmlns:a16="http://schemas.microsoft.com/office/drawing/2014/main" id="{F94E9641-0D59-4492-9E77-AFD33FA996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225660B" w14:textId="488764A6" w:rsidR="005A5803" w:rsidRPr="00000849" w:rsidRDefault="005A5803" w:rsidP="005A5803">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sz w:val="20"/>
        </w:rPr>
      </w:pPr>
      <w:r w:rsidRPr="00000849">
        <w:rPr>
          <w:rFonts w:asciiTheme="minorHAnsi" w:hAnsiTheme="minorHAnsi" w:cstheme="minorHAnsi"/>
          <w:color w:val="383838"/>
          <w:sz w:val="20"/>
        </w:rPr>
        <w:t>Source</w:t>
      </w:r>
      <w:r w:rsidR="0051405C" w:rsidRPr="00000849">
        <w:rPr>
          <w:rFonts w:asciiTheme="minorHAnsi" w:hAnsiTheme="minorHAnsi" w:cstheme="minorHAnsi"/>
          <w:color w:val="383838"/>
          <w:sz w:val="20"/>
        </w:rPr>
        <w:t xml:space="preserve">: </w:t>
      </w:r>
      <w:r w:rsidR="0051405C" w:rsidRPr="00000849">
        <w:rPr>
          <w:rFonts w:asciiTheme="minorHAnsi" w:hAnsiTheme="minorHAnsi" w:cstheme="minorHAnsi"/>
          <w:color w:val="383838"/>
          <w:sz w:val="20"/>
        </w:rPr>
        <w:fldChar w:fldCharType="begin"/>
      </w:r>
      <w:r w:rsidR="00E02ED9" w:rsidRPr="00000849">
        <w:rPr>
          <w:rFonts w:asciiTheme="minorHAnsi" w:hAnsiTheme="minorHAnsi" w:cstheme="minorHAnsi"/>
          <w:color w:val="383838"/>
          <w:sz w:val="20"/>
        </w:rPr>
        <w:instrText xml:space="preserve"> ADDIN EN.CITE &lt;EndNote&gt;&lt;Cite&gt;&lt;Author&gt;UN&lt;/Author&gt;&lt;Year&gt;2019&lt;/Year&gt;&lt;RecNum&gt;1638&lt;/RecNum&gt;&lt;DisplayText&gt;(UN, 2019b)&lt;/DisplayText&gt;&lt;record&gt;&lt;rec-number&gt;1638&lt;/rec-number&gt;&lt;foreign-keys&gt;&lt;key app="EN" db-id="9tzf2rda8re2a9es5tuxart3swzx2zws2s02" timestamp="1591598470"&gt;1638&lt;/key&gt;&lt;/foreign-keys&gt;&lt;ref-type name="Online Database"&gt;45&lt;/ref-type&gt;&lt;contributors&gt;&lt;authors&gt;&lt;author&gt;UN,&lt;/author&gt;&lt;/authors&gt;&lt;/contributors&gt;&lt;titles&gt;&lt;title&gt;World Population Prospects 2019, custom data acquired via website&lt;/title&gt;&lt;/titles&gt;&lt;dates&gt;&lt;year&gt;2019&lt;/year&gt;&lt;pub-dates&gt;&lt;date&gt;08 June 2020&lt;/date&gt;&lt;/pub-dates&gt;&lt;/dates&gt;&lt;pub-location&gt;New York, NY, USA&lt;/pub-location&gt;&lt;publisher&gt;Department of Economic and Social Affairs, Population Division, UN&lt;/publisher&gt;&lt;urls&gt;&lt;related-urls&gt;&lt;url&gt;https://esa.un.org/unpd/wpp/DataQuery/&lt;/url&gt;&lt;/related-urls&gt;&lt;/urls&gt;&lt;/record&gt;&lt;/Cite&gt;&lt;/EndNote&gt;</w:instrText>
      </w:r>
      <w:r w:rsidR="0051405C" w:rsidRPr="00000849">
        <w:rPr>
          <w:rFonts w:asciiTheme="minorHAnsi" w:hAnsiTheme="minorHAnsi" w:cstheme="minorHAnsi"/>
          <w:color w:val="383838"/>
          <w:sz w:val="20"/>
        </w:rPr>
        <w:fldChar w:fldCharType="separate"/>
      </w:r>
      <w:r w:rsidR="00E02ED9" w:rsidRPr="00000849">
        <w:rPr>
          <w:rFonts w:asciiTheme="minorHAnsi" w:hAnsiTheme="minorHAnsi" w:cstheme="minorHAnsi"/>
          <w:noProof/>
          <w:color w:val="383838"/>
          <w:sz w:val="20"/>
        </w:rPr>
        <w:t>(UN, 2019b)</w:t>
      </w:r>
      <w:r w:rsidR="0051405C" w:rsidRPr="00000849">
        <w:rPr>
          <w:rFonts w:asciiTheme="minorHAnsi" w:hAnsiTheme="minorHAnsi" w:cstheme="minorHAnsi"/>
          <w:color w:val="383838"/>
          <w:sz w:val="20"/>
        </w:rPr>
        <w:fldChar w:fldCharType="end"/>
      </w:r>
    </w:p>
    <w:p w14:paraId="2FC888E4" w14:textId="69186B76" w:rsidR="005A5803" w:rsidRPr="00000849" w:rsidRDefault="005A5803" w:rsidP="00CC2A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68DF8A52" w14:textId="427F416E" w:rsidR="00E02ED9" w:rsidRPr="00000849" w:rsidRDefault="00E02ED9" w:rsidP="00CC2A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lastRenderedPageBreak/>
        <w:t>In absolute terms, the population aged ≥60 years is projected by the UN at 5.16 million and 15.86 million in 2050 and 2100</w:t>
      </w:r>
      <w:r w:rsidR="0012525D" w:rsidRPr="00000849">
        <w:rPr>
          <w:rFonts w:asciiTheme="minorHAnsi" w:hAnsiTheme="minorHAnsi" w:cstheme="minorHAnsi"/>
          <w:color w:val="383838"/>
        </w:rPr>
        <w:t xml:space="preserve"> respectively</w:t>
      </w:r>
      <w:r w:rsidRPr="00000849">
        <w:rPr>
          <w:rFonts w:asciiTheme="minorHAnsi" w:hAnsiTheme="minorHAnsi" w:cstheme="minorHAnsi"/>
          <w:color w:val="383838"/>
        </w:rPr>
        <w:t xml:space="preserve"> (Table 1.1).  </w:t>
      </w:r>
      <w:r w:rsidR="0012525D" w:rsidRPr="00000849">
        <w:rPr>
          <w:rFonts w:asciiTheme="minorHAnsi" w:hAnsiTheme="minorHAnsi" w:cstheme="minorHAnsi"/>
          <w:color w:val="383838"/>
        </w:rPr>
        <w:t xml:space="preserve">While </w:t>
      </w:r>
      <w:r w:rsidRPr="00000849">
        <w:rPr>
          <w:rFonts w:asciiTheme="minorHAnsi" w:hAnsiTheme="minorHAnsi" w:cstheme="minorHAnsi"/>
          <w:color w:val="383838"/>
        </w:rPr>
        <w:t>the proportion is relatively small, SSA</w:t>
      </w:r>
      <w:r w:rsidR="0012525D" w:rsidRPr="00000849">
        <w:rPr>
          <w:rFonts w:asciiTheme="minorHAnsi" w:hAnsiTheme="minorHAnsi" w:cstheme="minorHAnsi"/>
          <w:color w:val="383838"/>
        </w:rPr>
        <w:t>’s</w:t>
      </w:r>
      <w:r w:rsidRPr="00000849">
        <w:rPr>
          <w:rFonts w:asciiTheme="minorHAnsi" w:hAnsiTheme="minorHAnsi" w:cstheme="minorHAnsi"/>
          <w:color w:val="383838"/>
        </w:rPr>
        <w:t xml:space="preserve"> population aged ≥65 years is projected to increase by 218% between the years 2019 and 2050, the second fastest growth rate in the world after the Latin America and the Caribbean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&lt;EndNote&gt;&lt;Cite&gt;&lt;Author&gt;UN&lt;/Author&gt;&lt;Year&gt;2019&lt;/Year&gt;&lt;RecNum&gt;1639&lt;/RecNum&gt;&lt;DisplayText&gt;(UN, 2019a)&lt;/DisplayText&gt;&lt;record&gt;&lt;rec-number&gt;1639&lt;/rec-number&gt;&lt;foreign-keys&gt;&lt;key app="EN" db-id="9tzf2rda8re2a9es5tuxart3swzx2zws2s02" timestamp="1591601305"&gt;1639&lt;/key&gt;&lt;/foreign-keys&gt;&lt;ref-type name="Report"&gt;27&lt;/ref-type&gt;&lt;contributors&gt;&lt;authors&gt;&lt;author&gt;UN,&lt;/author&gt;&lt;/authors&gt;&lt;/contributors&gt;&lt;titles&gt;&lt;title&gt;World Population Ageing 2019: Highlights (ST/ESA/SER.A/430)&lt;/title&gt;&lt;/titles&gt;&lt;dates&gt;&lt;year&gt;2019&lt;/year&gt;&lt;/dates&gt;&lt;pub-location&gt;New York, USA&lt;/pub-location&gt;&lt;publisher&gt;United Nations, Department of Economic and Social Affairs, Population Division&lt;/publisher&gt;&lt;urls&gt;&lt;related-urls&gt;&lt;url&gt;https://www.un.org/en/development/desa/population/publications/pdf/ageing/WorldPopulationAgeing2019-Highlights.pdf&lt;/url&gt;&lt;/related-urls&gt;&lt;/urls&gt;&lt;/record&gt;&lt;/Cite&gt;&lt;/EndNote&gt;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(UN, 2019a)</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p>
    <w:p w14:paraId="2E2EA7B4" w14:textId="6D867DD9" w:rsidR="00252151" w:rsidRPr="00000849" w:rsidRDefault="00252151" w:rsidP="0025215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Life expectancy in women at age 60 years in Ghana is projected to increase from 15.3 years in 1990 to 16.4 years in 2020 </w:t>
      </w:r>
      <w:r w:rsidRPr="00000849">
        <w:rPr>
          <w:rFonts w:asciiTheme="minorHAnsi" w:hAnsiTheme="minorHAnsi" w:cstheme="minorHAnsi"/>
          <w:color w:val="383838"/>
        </w:rPr>
        <w:fldChar w:fldCharType="begin"/>
      </w:r>
      <w:r w:rsidR="00E02ED9" w:rsidRPr="00000849">
        <w:rPr>
          <w:rFonts w:asciiTheme="minorHAnsi" w:hAnsiTheme="minorHAnsi" w:cstheme="minorHAnsi"/>
          <w:color w:val="383838"/>
        </w:rPr>
        <w:instrText xml:space="preserve"> ADDIN EN.CITE &lt;EndNote&gt;&lt;Cite&gt;&lt;Author&gt;UN&lt;/Author&gt;&lt;Year&gt;2019&lt;/Year&gt;&lt;RecNum&gt;1632&lt;/RecNum&gt;&lt;DisplayText&gt;(UN, 2019c)&lt;/DisplayText&gt;&lt;record&gt;&lt;rec-number&gt;1632&lt;/rec-number&gt;&lt;foreign-keys&gt;&lt;key app="EN" db-id="9tzf2rda8re2a9es5tuxart3swzx2zws2s02" timestamp="1591570507"&gt;1632&lt;/key&gt;&lt;/foreign-keys&gt;&lt;ref-type name="Online Database"&gt;45&lt;/ref-type&gt;&lt;contributors&gt;&lt;authors&gt;&lt;author&gt;UN,&lt;/author&gt;&lt;/authors&gt;&lt;/contributors&gt;&lt;titles&gt;&lt;title&gt;World Population Prospects 2019, Online Edition. Rev. 1.&lt;/title&gt;&lt;/titles&gt;&lt;dates&gt;&lt;year&gt;2019&lt;/year&gt;&lt;pub-dates&gt;&lt;date&gt;02 June 2020&lt;/date&gt;&lt;/pub-dates&gt;&lt;/dates&gt;&lt;pub-location&gt;New York, NY, USA&lt;/pub-location&gt;&lt;publisher&gt;Department of Economic and Social Affairs, Population Division, UN&lt;/publisher&gt;&lt;urls&gt;&lt;related-urls&gt;&lt;url&gt;https://population.un.org/wpp/&lt;/url&gt;&lt;/related-urls&gt;&lt;/urls&gt;&lt;/record&gt;&lt;/Cite&gt;&lt;/EndNote&gt;</w:instrText>
      </w:r>
      <w:r w:rsidRPr="00000849">
        <w:rPr>
          <w:rFonts w:asciiTheme="minorHAnsi" w:hAnsiTheme="minorHAnsi" w:cstheme="minorHAnsi"/>
          <w:color w:val="383838"/>
        </w:rPr>
        <w:fldChar w:fldCharType="separate"/>
      </w:r>
      <w:r w:rsidR="00E02ED9" w:rsidRPr="00000849">
        <w:rPr>
          <w:rFonts w:asciiTheme="minorHAnsi" w:hAnsiTheme="minorHAnsi" w:cstheme="minorHAnsi"/>
          <w:noProof/>
          <w:color w:val="383838"/>
        </w:rPr>
        <w:t>(UN, 2019c)</w:t>
      </w:r>
      <w:r w:rsidRPr="00000849">
        <w:rPr>
          <w:rFonts w:asciiTheme="minorHAnsi" w:hAnsiTheme="minorHAnsi" w:cstheme="minorHAnsi"/>
          <w:color w:val="383838"/>
        </w:rPr>
        <w:fldChar w:fldCharType="end"/>
      </w:r>
      <w:r w:rsidRPr="00000849">
        <w:rPr>
          <w:rFonts w:asciiTheme="minorHAnsi" w:hAnsiTheme="minorHAnsi" w:cstheme="minorHAnsi"/>
          <w:color w:val="383838"/>
        </w:rPr>
        <w:t>.  This contrasts with the more rapid increase in women in high-income countries (HICs) from 22.2 years to 26.</w:t>
      </w:r>
      <w:r w:rsidR="00553561" w:rsidRPr="00000849">
        <w:rPr>
          <w:rFonts w:asciiTheme="minorHAnsi" w:hAnsiTheme="minorHAnsi" w:cstheme="minorHAnsi"/>
          <w:color w:val="383838"/>
        </w:rPr>
        <w:t>2</w:t>
      </w:r>
      <w:r w:rsidRPr="00000849">
        <w:rPr>
          <w:rFonts w:asciiTheme="minorHAnsi" w:hAnsiTheme="minorHAnsi" w:cstheme="minorHAnsi"/>
          <w:color w:val="383838"/>
        </w:rPr>
        <w:t xml:space="preserve"> years over the same period. </w:t>
      </w:r>
      <w:r w:rsidR="00FA4370" w:rsidRPr="00000849">
        <w:rPr>
          <w:rFonts w:asciiTheme="minorHAnsi" w:hAnsiTheme="minorHAnsi" w:cstheme="minorHAnsi"/>
          <w:color w:val="383838"/>
        </w:rPr>
        <w:t xml:space="preserve"> </w:t>
      </w:r>
      <w:r w:rsidR="00553561" w:rsidRPr="00000849">
        <w:rPr>
          <w:rFonts w:asciiTheme="minorHAnsi" w:hAnsiTheme="minorHAnsi" w:cstheme="minorHAnsi"/>
          <w:color w:val="383838"/>
        </w:rPr>
        <w:t>However, a</w:t>
      </w:r>
      <w:r w:rsidRPr="00000849">
        <w:rPr>
          <w:rFonts w:asciiTheme="minorHAnsi" w:hAnsiTheme="minorHAnsi" w:cstheme="minorHAnsi"/>
          <w:color w:val="383838"/>
        </w:rPr>
        <w:t xml:space="preserve"> national maternal health survey in Ghana in 2007 estimated a higher life expectancy of 73.5 years at birth and 29.2 years at age 60 years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&lt;EndNote&gt;&lt;Cite&gt;&lt;Author&gt;GSS&lt;/Author&gt;&lt;Year&gt;2009&lt;/Year&gt;&lt;RecNum&gt;534&lt;/RecNum&gt;&lt;DisplayText&gt;(GSS, 2009)&lt;/DisplayText&gt;&lt;record&gt;&lt;rec-number&gt;534&lt;/rec-number&gt;&lt;foreign-keys&gt;&lt;key app="EN" db-id="9tzf2rda8re2a9es5tuxart3swzx2zws2s02" timestamp="1495876124"&gt;534&lt;/key&gt;&lt;/foreign-keys&gt;&lt;ref-type name="Book"&gt;6&lt;/ref-type&gt;&lt;contributors&gt;&lt;authors&gt;&lt;author&gt;GSS,&lt;/author&gt;&lt;/authors&gt;&lt;/contributors&gt;&lt;titles&gt;&lt;title&gt;Ghana Maternal Health Survey 2007&lt;/title&gt;&lt;/titles&gt;&lt;dates&gt;&lt;year&gt;2009&lt;/year&gt;&lt;/dates&gt;&lt;pub-location&gt;Accra&lt;/pub-location&gt;&lt;publisher&gt;Ghana Statistical Service&lt;/publisher&gt;&lt;urls&gt;&lt;/urls&gt;&lt;/record&gt;&lt;/Cite&gt;&lt;/EndNote&gt;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(GSS, 2009)</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p>
    <w:p w14:paraId="7D859B1C" w14:textId="6F3F7B14" w:rsidR="004855FD" w:rsidRPr="00000849" w:rsidRDefault="004855FD" w:rsidP="004855FD">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In HICs, much of the gains in life expectancy at 60 years that occurred between 2008 and 2011 </w:t>
      </w:r>
      <w:r w:rsidR="0012525D" w:rsidRPr="00000849">
        <w:rPr>
          <w:rFonts w:asciiTheme="minorHAnsi" w:hAnsiTheme="minorHAnsi" w:cstheme="minorHAnsi"/>
          <w:color w:val="383838"/>
        </w:rPr>
        <w:t>was</w:t>
      </w:r>
      <w:r w:rsidRPr="00000849">
        <w:rPr>
          <w:rFonts w:asciiTheme="minorHAnsi" w:hAnsiTheme="minorHAnsi" w:cstheme="minorHAnsi"/>
          <w:color w:val="383838"/>
        </w:rPr>
        <w:t xml:space="preserve"> </w:t>
      </w:r>
      <w:r w:rsidR="00553561" w:rsidRPr="00000849">
        <w:rPr>
          <w:rFonts w:asciiTheme="minorHAnsi" w:hAnsiTheme="minorHAnsi" w:cstheme="minorHAnsi"/>
          <w:color w:val="383838"/>
        </w:rPr>
        <w:t>driven by</w:t>
      </w:r>
      <w:r w:rsidRPr="00000849">
        <w:rPr>
          <w:rFonts w:asciiTheme="minorHAnsi" w:hAnsiTheme="minorHAnsi" w:cstheme="minorHAnsi"/>
          <w:color w:val="383838"/>
        </w:rPr>
        <w:t xml:space="preserve"> reduction in mortality from NCDs, particularly </w:t>
      </w:r>
      <w:r w:rsidR="00553561" w:rsidRPr="00000849">
        <w:rPr>
          <w:rFonts w:asciiTheme="minorHAnsi" w:hAnsiTheme="minorHAnsi" w:cstheme="minorHAnsi"/>
          <w:color w:val="383838"/>
        </w:rPr>
        <w:t>CVDs</w:t>
      </w:r>
      <w:r w:rsidRPr="00000849">
        <w:rPr>
          <w:rFonts w:asciiTheme="minorHAnsi" w:hAnsiTheme="minorHAnsi" w:cstheme="minorHAnsi"/>
          <w:color w:val="383838"/>
        </w:rPr>
        <w:t xml:space="preserve"> and diabetes in both sexes and in men, tobacco-related deaths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&lt;EndNote&gt;&lt;Cite&gt;&lt;Author&gt;Mathers&lt;/Author&gt;&lt;Year&gt;2015&lt;/Year&gt;&lt;RecNum&gt;151&lt;/RecNum&gt;&lt;DisplayText&gt;(Mathers et al., 2015)&lt;/DisplayText&gt;&lt;record&gt;&lt;rec-number&gt;151&lt;/rec-number&gt;&lt;foreign-keys&gt;&lt;key app="EN" db-id="9tzf2rda8re2a9es5tuxart3swzx2zws2s02" timestamp="1479814755"&gt;151&lt;/key&gt;&lt;/foreign-keys&gt;&lt;ref-type name="Journal Article"&gt;17&lt;/ref-type&gt;&lt;contributors&gt;&lt;authors&gt;&lt;author&gt;Mathers, Colin D&lt;/author&gt;&lt;author&gt;Stevens, Gretchen A&lt;/author&gt;&lt;author&gt;Boerma, Ties&lt;/author&gt;&lt;author&gt;White, Richard A&lt;/author&gt;&lt;author&gt;Tobias, Martin I&lt;/author&gt;&lt;/authors&gt;&lt;/contributors&gt;&lt;titles&gt;&lt;title&gt;Causes of international increases in older age life expectancy&lt;/title&gt;&lt;secondary-title&gt;The Lancet&lt;/secondary-title&gt;&lt;/titles&gt;&lt;pages&gt;540-548&lt;/pages&gt;&lt;volume&gt;385&lt;/volume&gt;&lt;number&gt;9967&lt;/number&gt;&lt;dates&gt;&lt;year&gt;2015&lt;/year&gt;&lt;/dates&gt;&lt;isbn&gt;0140-6736&lt;/isbn&gt;&lt;urls&gt;&lt;/urls&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(Mathers et al., 2015)</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However, in low-income countries (LICs), the double burden of communicable diseases and NCDs </w:t>
      </w:r>
      <w:r w:rsidR="00213C67" w:rsidRPr="00000849">
        <w:rPr>
          <w:rFonts w:asciiTheme="minorHAnsi" w:hAnsiTheme="minorHAnsi" w:cstheme="minorHAnsi"/>
          <w:color w:val="383838"/>
        </w:rPr>
        <w:t xml:space="preserve">has </w:t>
      </w:r>
      <w:r w:rsidR="000F3DD3" w:rsidRPr="00000849">
        <w:rPr>
          <w:rFonts w:asciiTheme="minorHAnsi" w:hAnsiTheme="minorHAnsi" w:cstheme="minorHAnsi"/>
          <w:color w:val="383838"/>
        </w:rPr>
        <w:t>resulted in</w:t>
      </w:r>
      <w:r w:rsidRPr="00000849">
        <w:rPr>
          <w:rFonts w:asciiTheme="minorHAnsi" w:hAnsiTheme="minorHAnsi" w:cstheme="minorHAnsi"/>
          <w:color w:val="383838"/>
        </w:rPr>
        <w:t xml:space="preserve"> </w:t>
      </w:r>
      <w:r w:rsidR="00213C67" w:rsidRPr="00000849">
        <w:rPr>
          <w:rFonts w:asciiTheme="minorHAnsi" w:hAnsiTheme="minorHAnsi" w:cstheme="minorHAnsi"/>
          <w:color w:val="383838"/>
        </w:rPr>
        <w:t>a</w:t>
      </w:r>
      <w:r w:rsidRPr="00000849">
        <w:rPr>
          <w:rFonts w:asciiTheme="minorHAnsi" w:hAnsiTheme="minorHAnsi" w:cstheme="minorHAnsi"/>
          <w:color w:val="383838"/>
        </w:rPr>
        <w:t xml:space="preserve"> slower reduction in mortality at 60 years.  The experience of the </w:t>
      </w:r>
      <w:r w:rsidR="00343EFD" w:rsidRPr="00000849">
        <w:rPr>
          <w:rFonts w:asciiTheme="minorHAnsi" w:hAnsiTheme="minorHAnsi" w:cstheme="minorHAnsi"/>
          <w:color w:val="383838"/>
        </w:rPr>
        <w:t>H</w:t>
      </w:r>
      <w:r w:rsidRPr="00000849">
        <w:rPr>
          <w:rFonts w:asciiTheme="minorHAnsi" w:hAnsiTheme="minorHAnsi" w:cstheme="minorHAnsi"/>
          <w:color w:val="383838"/>
        </w:rPr>
        <w:t>ICs demonstrates the potential for significant reduction or delay in mortality at older ages in LICs w</w:t>
      </w:r>
      <w:r w:rsidR="000F3DD3" w:rsidRPr="00000849">
        <w:rPr>
          <w:rFonts w:asciiTheme="minorHAnsi" w:hAnsiTheme="minorHAnsi" w:cstheme="minorHAnsi"/>
          <w:color w:val="383838"/>
        </w:rPr>
        <w:t>ith w</w:t>
      </w:r>
      <w:r w:rsidRPr="00000849">
        <w:rPr>
          <w:rFonts w:asciiTheme="minorHAnsi" w:hAnsiTheme="minorHAnsi" w:cstheme="minorHAnsi"/>
          <w:color w:val="383838"/>
        </w:rPr>
        <w:t xml:space="preserve">hen effective </w:t>
      </w:r>
      <w:r w:rsidR="000F3DD3" w:rsidRPr="00000849">
        <w:rPr>
          <w:rFonts w:asciiTheme="minorHAnsi" w:hAnsiTheme="minorHAnsi" w:cstheme="minorHAnsi"/>
          <w:color w:val="383838"/>
        </w:rPr>
        <w:t xml:space="preserve">lifestyle </w:t>
      </w:r>
      <w:r w:rsidRPr="00000849">
        <w:rPr>
          <w:rFonts w:asciiTheme="minorHAnsi" w:hAnsiTheme="minorHAnsi" w:cstheme="minorHAnsi"/>
          <w:color w:val="383838"/>
        </w:rPr>
        <w:t xml:space="preserve">interventions are implemented early in life to prevent their </w:t>
      </w:r>
      <w:r w:rsidR="001B4977" w:rsidRPr="00000849">
        <w:rPr>
          <w:rFonts w:asciiTheme="minorHAnsi" w:hAnsiTheme="minorHAnsi" w:cstheme="minorHAnsi"/>
          <w:color w:val="383838"/>
        </w:rPr>
        <w:t>persistence</w:t>
      </w:r>
      <w:r w:rsidRPr="00000849">
        <w:rPr>
          <w:rFonts w:asciiTheme="minorHAnsi" w:hAnsiTheme="minorHAnsi" w:cstheme="minorHAnsi"/>
          <w:color w:val="383838"/>
        </w:rPr>
        <w:t xml:space="preserve"> into old age </w:t>
      </w:r>
      <w:r w:rsidRPr="00000849">
        <w:rPr>
          <w:rFonts w:asciiTheme="minorHAnsi" w:hAnsiTheme="minorHAnsi" w:cstheme="minorHAnsi"/>
          <w:color w:val="383838"/>
        </w:rPr>
        <w:fldChar w:fldCharType="begin"/>
      </w:r>
      <w:r w:rsidR="00BE1747" w:rsidRPr="00000849">
        <w:rPr>
          <w:rFonts w:asciiTheme="minorHAnsi" w:hAnsiTheme="minorHAnsi" w:cstheme="minorHAnsi"/>
          <w:color w:val="383838"/>
        </w:rPr>
        <w:instrText xml:space="preserve"> ADDIN EN.CITE &lt;EndNote&gt;&lt;Cite&gt;&lt;Author&gt;Beard&lt;/Author&gt;&lt;Year&gt;2015&lt;/Year&gt;&lt;RecNum&gt;152&lt;/RecNum&gt;&lt;DisplayText&gt;(Beard &amp;amp; Bloom, 2015)&lt;/DisplayText&gt;&lt;record&gt;&lt;rec-number&gt;152&lt;/rec-number&gt;&lt;foreign-keys&gt;&lt;key app="EN" db-id="9tzf2rda8re2a9es5tuxart3swzx2zws2s02" timestamp="1479815781"&gt;152&lt;/key&gt;&lt;/foreign-keys&gt;&lt;ref-type name="Journal Article"&gt;17&lt;/ref-type&gt;&lt;contributors&gt;&lt;authors&gt;&lt;author&gt;Beard, John R&lt;/author&gt;&lt;author&gt;Bloom, David E&lt;/author&gt;&lt;/authors&gt;&lt;/contributors&gt;&lt;titles&gt;&lt;title&gt;Towards a comprehensive public health response to population ageing&lt;/title&gt;&lt;secondary-title&gt;Lancet&lt;/secondary-title&gt;&lt;/titles&gt;&lt;periodical&gt;&lt;full-title&gt;The Lancet&lt;/full-title&gt;&lt;abbr-1&gt;Lancet&lt;/abbr-1&gt;&lt;/periodical&gt;&lt;pages&gt;658-661&lt;/pages&gt;&lt;volume&gt;385&lt;/volume&gt;&lt;number&gt;9968&lt;/number&gt;&lt;dates&gt;&lt;year&gt;2015&lt;/year&gt;&lt;/dates&gt;&lt;isbn&gt;0140-6736&lt;/isbn&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(Beard &amp; Bloom, 2015)</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p>
    <w:p w14:paraId="099C8367" w14:textId="37A0353E" w:rsidR="004855FD" w:rsidRPr="00000849" w:rsidRDefault="004855FD" w:rsidP="004855FD">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lastRenderedPageBreak/>
        <w:t xml:space="preserve">Another feature of Ghana’s socioeconomic development has been </w:t>
      </w:r>
      <w:r w:rsidR="00343EFD" w:rsidRPr="00000849">
        <w:rPr>
          <w:rFonts w:asciiTheme="minorHAnsi" w:hAnsiTheme="minorHAnsi" w:cstheme="minorHAnsi"/>
          <w:color w:val="383838"/>
        </w:rPr>
        <w:t xml:space="preserve">its </w:t>
      </w:r>
      <w:r w:rsidRPr="00000849">
        <w:rPr>
          <w:rFonts w:asciiTheme="minorHAnsi" w:hAnsiTheme="minorHAnsi" w:cstheme="minorHAnsi"/>
          <w:color w:val="383838"/>
        </w:rPr>
        <w:t xml:space="preserve">rapid urbanization.  </w:t>
      </w:r>
      <w:r w:rsidR="00A10F48" w:rsidRPr="00000849">
        <w:rPr>
          <w:rFonts w:asciiTheme="minorHAnsi" w:hAnsiTheme="minorHAnsi" w:cstheme="minorHAnsi"/>
          <w:color w:val="383838"/>
        </w:rPr>
        <w:t>The urba</w:t>
      </w:r>
      <w:r w:rsidR="00343EFD" w:rsidRPr="00000849">
        <w:rPr>
          <w:rFonts w:asciiTheme="minorHAnsi" w:hAnsiTheme="minorHAnsi" w:cstheme="minorHAnsi"/>
          <w:color w:val="383838"/>
        </w:rPr>
        <w:t>n populatio</w:t>
      </w:r>
      <w:r w:rsidR="00A10F48" w:rsidRPr="00000849">
        <w:rPr>
          <w:rFonts w:asciiTheme="minorHAnsi" w:hAnsiTheme="minorHAnsi" w:cstheme="minorHAnsi"/>
          <w:color w:val="383838"/>
        </w:rPr>
        <w:t>n</w:t>
      </w:r>
      <w:r w:rsidR="009207A0" w:rsidRPr="00000849">
        <w:rPr>
          <w:rStyle w:val="FootnoteReference"/>
          <w:rFonts w:asciiTheme="minorHAnsi" w:hAnsiTheme="minorHAnsi" w:cstheme="minorHAnsi"/>
          <w:color w:val="383838"/>
        </w:rPr>
        <w:footnoteReference w:id="1"/>
      </w:r>
      <w:r w:rsidR="00A10F48" w:rsidRPr="00000849">
        <w:rPr>
          <w:rFonts w:asciiTheme="minorHAnsi" w:hAnsiTheme="minorHAnsi" w:cstheme="minorHAnsi"/>
          <w:color w:val="383838"/>
        </w:rPr>
        <w:t xml:space="preserve"> increased 2.2-fold from 23.1% in 1960 to 50.9% in 2010</w:t>
      </w:r>
      <w:r w:rsidR="00F503AA" w:rsidRPr="00000849">
        <w:rPr>
          <w:rFonts w:asciiTheme="minorHAnsi" w:hAnsiTheme="minorHAnsi" w:cstheme="minorHAnsi"/>
          <w:color w:val="383838"/>
        </w:rPr>
        <w:t xml:space="preserve"> </w:t>
      </w:r>
      <w:r w:rsidR="00F503AA" w:rsidRPr="00000849">
        <w:rPr>
          <w:rFonts w:asciiTheme="minorHAnsi" w:hAnsiTheme="minorHAnsi" w:cstheme="minorHAnsi"/>
          <w:color w:val="383838"/>
        </w:rPr>
        <w:fldChar w:fldCharType="begin"/>
      </w:r>
      <w:r w:rsidR="00F503AA" w:rsidRPr="00000849">
        <w:rPr>
          <w:rFonts w:asciiTheme="minorHAnsi" w:hAnsiTheme="minorHAnsi" w:cstheme="minorHAnsi"/>
          <w:color w:val="383838"/>
        </w:rPr>
        <w:instrText xml:space="preserve"> ADDIN EN.CITE &lt;EndNote&gt;&lt;Cite&gt;&lt;Author&gt;GSS&lt;/Author&gt;&lt;Year&gt;2014&lt;/Year&gt;&lt;RecNum&gt;988&lt;/RecNum&gt;&lt;DisplayText&gt;(GSS, 2014a)&lt;/DisplayText&gt;&lt;record&gt;&lt;rec-number&gt;988&lt;/rec-number&gt;&lt;foreign-keys&gt;&lt;key app="EN" db-id="9tzf2rda8re2a9es5tuxart3swzx2zws2s02" timestamp="1575711318"&gt;988&lt;/key&gt;&lt;/foreign-keys&gt;&lt;ref-type name="Book"&gt;6&lt;/ref-type&gt;&lt;contributors&gt;&lt;authors&gt;&lt;author&gt;GSS,&lt;/author&gt;&lt;/authors&gt;&lt;/contributors&gt;&lt;titles&gt;&lt;title&gt;2010 Population and housing Census Report: urbanisation&lt;/title&gt;&lt;/titles&gt;&lt;dates&gt;&lt;year&gt;2014&lt;/year&gt;&lt;/dates&gt;&lt;pub-location&gt;Accra&lt;/pub-location&gt;&lt;publisher&gt;Ghana Statistical Service (GSS)&lt;/publisher&gt;&lt;urls&gt;&lt;/urls&gt;&lt;/record&gt;&lt;/Cite&gt;&lt;/EndNote&gt;</w:instrText>
      </w:r>
      <w:r w:rsidR="00F503AA" w:rsidRPr="00000849">
        <w:rPr>
          <w:rFonts w:asciiTheme="minorHAnsi" w:hAnsiTheme="minorHAnsi" w:cstheme="minorHAnsi"/>
          <w:color w:val="383838"/>
        </w:rPr>
        <w:fldChar w:fldCharType="separate"/>
      </w:r>
      <w:r w:rsidR="00F503AA" w:rsidRPr="00000849">
        <w:rPr>
          <w:rFonts w:asciiTheme="minorHAnsi" w:hAnsiTheme="minorHAnsi" w:cstheme="minorHAnsi"/>
          <w:noProof/>
          <w:color w:val="383838"/>
        </w:rPr>
        <w:t>(GSS, 2014a)</w:t>
      </w:r>
      <w:r w:rsidR="00F503AA" w:rsidRPr="00000849">
        <w:rPr>
          <w:rFonts w:asciiTheme="minorHAnsi" w:hAnsiTheme="minorHAnsi" w:cstheme="minorHAnsi"/>
          <w:color w:val="383838"/>
        </w:rPr>
        <w:fldChar w:fldCharType="end"/>
      </w:r>
      <w:r w:rsidR="00A10F48"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The </w:t>
      </w:r>
      <w:r w:rsidR="00A10F48" w:rsidRPr="00000849">
        <w:rPr>
          <w:rFonts w:asciiTheme="minorHAnsi" w:hAnsiTheme="minorHAnsi" w:cstheme="minorHAnsi"/>
          <w:color w:val="383838"/>
        </w:rPr>
        <w:t xml:space="preserve">UN </w:t>
      </w:r>
      <w:r w:rsidRPr="00000849">
        <w:rPr>
          <w:rFonts w:asciiTheme="minorHAnsi" w:hAnsiTheme="minorHAnsi" w:cstheme="minorHAnsi"/>
          <w:color w:val="383838"/>
        </w:rPr>
        <w:t xml:space="preserve">estimates that the proportion of the </w:t>
      </w:r>
      <w:r w:rsidR="00A10F48" w:rsidRPr="00000849">
        <w:rPr>
          <w:rFonts w:asciiTheme="minorHAnsi" w:hAnsiTheme="minorHAnsi" w:cstheme="minorHAnsi"/>
          <w:color w:val="383838"/>
        </w:rPr>
        <w:t>urban</w:t>
      </w:r>
      <w:r w:rsidRPr="00000849">
        <w:rPr>
          <w:rFonts w:asciiTheme="minorHAnsi" w:hAnsiTheme="minorHAnsi" w:cstheme="minorHAnsi"/>
          <w:color w:val="383838"/>
        </w:rPr>
        <w:t xml:space="preserve"> population in 1960 (23.3%) in Ghana will increase 2.5-fold to 57.</w:t>
      </w:r>
      <w:r w:rsidR="00882906" w:rsidRPr="00000849">
        <w:rPr>
          <w:rFonts w:asciiTheme="minorHAnsi" w:hAnsiTheme="minorHAnsi" w:cstheme="minorHAnsi"/>
          <w:color w:val="383838"/>
        </w:rPr>
        <w:t>3</w:t>
      </w:r>
      <w:r w:rsidRPr="00000849">
        <w:rPr>
          <w:rFonts w:asciiTheme="minorHAnsi" w:hAnsiTheme="minorHAnsi" w:cstheme="minorHAnsi"/>
          <w:color w:val="383838"/>
        </w:rPr>
        <w:t>% in 2020 and 3.0-fold to 7</w:t>
      </w:r>
      <w:r w:rsidR="00882906" w:rsidRPr="00000849">
        <w:rPr>
          <w:rFonts w:asciiTheme="minorHAnsi" w:hAnsiTheme="minorHAnsi" w:cstheme="minorHAnsi"/>
          <w:color w:val="383838"/>
        </w:rPr>
        <w:t>3.2</w:t>
      </w:r>
      <w:r w:rsidRPr="00000849">
        <w:rPr>
          <w:rFonts w:asciiTheme="minorHAnsi" w:hAnsiTheme="minorHAnsi" w:cstheme="minorHAnsi"/>
          <w:color w:val="383838"/>
        </w:rPr>
        <w:t>% in 2050 (Figure 2)</w:t>
      </w:r>
      <w:r w:rsidR="00F503AA" w:rsidRPr="00000849">
        <w:rPr>
          <w:rFonts w:asciiTheme="minorHAnsi" w:hAnsiTheme="minorHAnsi" w:cstheme="minorHAnsi"/>
          <w:color w:val="383838"/>
        </w:rPr>
        <w:t xml:space="preserve"> </w:t>
      </w:r>
      <w:r w:rsidR="00F503AA" w:rsidRPr="00000849">
        <w:rPr>
          <w:rFonts w:asciiTheme="minorHAnsi" w:hAnsiTheme="minorHAnsi" w:cstheme="minorHAnsi"/>
          <w:color w:val="383838"/>
        </w:rPr>
        <w:fldChar w:fldCharType="begin"/>
      </w:r>
      <w:r w:rsidR="00F503AA" w:rsidRPr="00000849">
        <w:rPr>
          <w:rFonts w:asciiTheme="minorHAnsi" w:hAnsiTheme="minorHAnsi" w:cstheme="minorHAnsi"/>
          <w:color w:val="383838"/>
        </w:rPr>
        <w:instrText xml:space="preserve"> ADDIN EN.CITE &lt;EndNote&gt;&lt;Cite&gt;&lt;Author&gt;UN&lt;/Author&gt;&lt;Year&gt;2018&lt;/Year&gt;&lt;RecNum&gt;1640&lt;/RecNum&gt;&lt;DisplayText&gt;(UN, 2018)&lt;/DisplayText&gt;&lt;record&gt;&lt;rec-number&gt;1640&lt;/rec-number&gt;&lt;foreign-keys&gt;&lt;key app="EN" db-id="9tzf2rda8re2a9es5tuxart3swzx2zws2s02" timestamp="1591681306"&gt;1640&lt;/key&gt;&lt;/foreign-keys&gt;&lt;ref-type name="Online Database"&gt;45&lt;/ref-type&gt;&lt;contributors&gt;&lt;authors&gt;&lt;author&gt;UN,&lt;/author&gt;&lt;/authors&gt;&lt;/contributors&gt;&lt;titles&gt;&lt;title&gt;World Urbanization Prospects: The 2018 Revision, custom data acquired via website.&lt;/title&gt;&lt;/titles&gt;&lt;dates&gt;&lt;year&gt;2018&lt;/year&gt;&lt;pub-dates&gt;&lt;date&gt;08 June 2020&lt;/date&gt;&lt;/pub-dates&gt;&lt;/dates&gt;&lt;pub-location&gt;New York, NY, USA&lt;/pub-location&gt;&lt;publisher&gt;Department of Economic and Social Affairs, Population Division, UN&lt;/publisher&gt;&lt;urls&gt;&lt;related-urls&gt;&lt;url&gt;https://population.un.org/wup/DataQuery/&lt;/url&gt;&lt;/related-urls&gt;&lt;/urls&gt;&lt;/record&gt;&lt;/Cite&gt;&lt;/EndNote&gt;</w:instrText>
      </w:r>
      <w:r w:rsidR="00F503AA" w:rsidRPr="00000849">
        <w:rPr>
          <w:rFonts w:asciiTheme="minorHAnsi" w:hAnsiTheme="minorHAnsi" w:cstheme="minorHAnsi"/>
          <w:color w:val="383838"/>
        </w:rPr>
        <w:fldChar w:fldCharType="separate"/>
      </w:r>
      <w:r w:rsidR="00F503AA" w:rsidRPr="00000849">
        <w:rPr>
          <w:rFonts w:asciiTheme="minorHAnsi" w:hAnsiTheme="minorHAnsi" w:cstheme="minorHAnsi"/>
          <w:noProof/>
          <w:color w:val="383838"/>
        </w:rPr>
        <w:t>(UN, 2018)</w:t>
      </w:r>
      <w:r w:rsidR="00F503AA"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A10F48" w:rsidRPr="00000849">
        <w:rPr>
          <w:rFonts w:asciiTheme="minorHAnsi" w:hAnsiTheme="minorHAnsi" w:cstheme="minorHAnsi"/>
          <w:color w:val="383838"/>
        </w:rPr>
        <w:t xml:space="preserve">Ghana’s </w:t>
      </w:r>
      <w:r w:rsidR="00882906" w:rsidRPr="00000849">
        <w:rPr>
          <w:rFonts w:asciiTheme="minorHAnsi" w:hAnsiTheme="minorHAnsi" w:cstheme="minorHAnsi"/>
          <w:color w:val="383838"/>
        </w:rPr>
        <w:t xml:space="preserve">projected urban population is higher than that of </w:t>
      </w:r>
      <w:r w:rsidR="00A54C89" w:rsidRPr="00000849">
        <w:rPr>
          <w:rFonts w:asciiTheme="minorHAnsi" w:hAnsiTheme="minorHAnsi" w:cstheme="minorHAnsi"/>
          <w:color w:val="383838"/>
        </w:rPr>
        <w:t xml:space="preserve">western Africa or Africa as a whole.  </w:t>
      </w:r>
      <w:r w:rsidRPr="00000849">
        <w:rPr>
          <w:rFonts w:asciiTheme="minorHAnsi" w:hAnsiTheme="minorHAnsi" w:cstheme="minorHAnsi"/>
          <w:color w:val="383838"/>
        </w:rPr>
        <w:t>In comparison, the urban</w:t>
      </w:r>
      <w:r w:rsidR="00753ECF" w:rsidRPr="00000849">
        <w:rPr>
          <w:rFonts w:asciiTheme="minorHAnsi" w:hAnsiTheme="minorHAnsi" w:cstheme="minorHAnsi"/>
          <w:color w:val="383838"/>
        </w:rPr>
        <w:t xml:space="preserve"> population</w:t>
      </w:r>
      <w:r w:rsidRPr="00000849">
        <w:rPr>
          <w:rFonts w:asciiTheme="minorHAnsi" w:hAnsiTheme="minorHAnsi" w:cstheme="minorHAnsi"/>
          <w:color w:val="383838"/>
        </w:rPr>
        <w:t xml:space="preserve"> in HICs in 1960 (6</w:t>
      </w:r>
      <w:r w:rsidR="00A57038" w:rsidRPr="00000849">
        <w:rPr>
          <w:rFonts w:asciiTheme="minorHAnsi" w:hAnsiTheme="minorHAnsi" w:cstheme="minorHAnsi"/>
          <w:color w:val="383838"/>
        </w:rPr>
        <w:t>3</w:t>
      </w:r>
      <w:r w:rsidRPr="00000849">
        <w:rPr>
          <w:rFonts w:asciiTheme="minorHAnsi" w:hAnsiTheme="minorHAnsi" w:cstheme="minorHAnsi"/>
          <w:color w:val="383838"/>
        </w:rPr>
        <w:t>.</w:t>
      </w:r>
      <w:r w:rsidR="00A57038" w:rsidRPr="00000849">
        <w:rPr>
          <w:rFonts w:asciiTheme="minorHAnsi" w:hAnsiTheme="minorHAnsi" w:cstheme="minorHAnsi"/>
          <w:color w:val="383838"/>
        </w:rPr>
        <w:t>8</w:t>
      </w:r>
      <w:r w:rsidRPr="00000849">
        <w:rPr>
          <w:rFonts w:asciiTheme="minorHAnsi" w:hAnsiTheme="minorHAnsi" w:cstheme="minorHAnsi"/>
          <w:color w:val="383838"/>
        </w:rPr>
        <w:t>%) will increase more slowly 1.3-fold</w:t>
      </w:r>
      <w:r w:rsidR="00A57038" w:rsidRPr="00000849">
        <w:rPr>
          <w:rFonts w:asciiTheme="minorHAnsi" w:hAnsiTheme="minorHAnsi" w:cstheme="minorHAnsi"/>
          <w:color w:val="383838"/>
        </w:rPr>
        <w:t xml:space="preserve"> </w:t>
      </w:r>
      <w:r w:rsidRPr="00000849">
        <w:rPr>
          <w:rFonts w:asciiTheme="minorHAnsi" w:hAnsiTheme="minorHAnsi" w:cstheme="minorHAnsi"/>
          <w:color w:val="383838"/>
        </w:rPr>
        <w:t>in 2020 and 1.4-fold in 2050.</w:t>
      </w:r>
    </w:p>
    <w:p w14:paraId="5469AE34" w14:textId="77777777" w:rsidR="005A5803" w:rsidRPr="00000849" w:rsidRDefault="005A5803" w:rsidP="00CC2A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6F819FB6" w14:textId="3E23DF86" w:rsidR="00D8136B" w:rsidRPr="00000849" w:rsidRDefault="00D8136B" w:rsidP="0020393D">
      <w:pPr>
        <w:pStyle w:val="TableSAGE1"/>
        <w:keepNext/>
        <w:ind w:left="1276" w:hanging="992"/>
      </w:pPr>
      <w:bookmarkStart w:id="14" w:name="_Toc71153641"/>
      <w:r w:rsidRPr="00000849">
        <w:rPr>
          <w:szCs w:val="24"/>
        </w:rPr>
        <w:t xml:space="preserve">Figure </w:t>
      </w:r>
      <w:r w:rsidRPr="00000849">
        <w:rPr>
          <w:szCs w:val="24"/>
        </w:rPr>
        <w:fldChar w:fldCharType="begin"/>
      </w:r>
      <w:r w:rsidRPr="00000849">
        <w:rPr>
          <w:szCs w:val="24"/>
        </w:rPr>
        <w:instrText xml:space="preserve"> SEQ Figure \* ARABIC </w:instrText>
      </w:r>
      <w:r w:rsidRPr="00000849">
        <w:rPr>
          <w:szCs w:val="24"/>
        </w:rPr>
        <w:fldChar w:fldCharType="separate"/>
      </w:r>
      <w:r w:rsidR="00C0100F">
        <w:rPr>
          <w:noProof/>
          <w:szCs w:val="24"/>
        </w:rPr>
        <w:t>2</w:t>
      </w:r>
      <w:r w:rsidRPr="00000849">
        <w:rPr>
          <w:szCs w:val="24"/>
        </w:rPr>
        <w:fldChar w:fldCharType="end"/>
      </w:r>
      <w:r w:rsidRPr="00000849">
        <w:rPr>
          <w:szCs w:val="24"/>
        </w:rPr>
        <w:t>:</w:t>
      </w:r>
      <w:r w:rsidRPr="00000849">
        <w:rPr>
          <w:szCs w:val="24"/>
        </w:rPr>
        <w:tab/>
      </w:r>
      <w:r w:rsidR="0020393D" w:rsidRPr="00000849">
        <w:t>Trends in the proportion of the population living in urban areas in Ghana, Western Africa and Sub-Saharan Africa, 1950-2050</w:t>
      </w:r>
      <w:bookmarkEnd w:id="14"/>
      <w:r w:rsidR="0020393D" w:rsidRPr="00000849">
        <w:t xml:space="preserve"> </w:t>
      </w:r>
    </w:p>
    <w:p w14:paraId="0F3F6A89" w14:textId="5F3F65C6" w:rsidR="008F350C" w:rsidRPr="00000849" w:rsidRDefault="008F350C" w:rsidP="0020393D">
      <w:pPr>
        <w:pStyle w:val="TableSAGE1"/>
        <w:keepNext/>
        <w:ind w:left="1276" w:hanging="992"/>
        <w:rPr>
          <w:szCs w:val="24"/>
        </w:rPr>
      </w:pPr>
      <w:r w:rsidRPr="00000849">
        <w:rPr>
          <w:noProof/>
        </w:rPr>
        <w:drawing>
          <wp:inline distT="0" distB="0" distL="0" distR="0" wp14:anchorId="270492CA" wp14:editId="0DFF5776">
            <wp:extent cx="4416425" cy="2536825"/>
            <wp:effectExtent l="0" t="0" r="3175" b="15875"/>
            <wp:docPr id="41" name="Chart 41">
              <a:extLst xmlns:a="http://schemas.openxmlformats.org/drawingml/2006/main">
                <a:ext uri="{FF2B5EF4-FFF2-40B4-BE49-F238E27FC236}">
                  <a16:creationId xmlns:a16="http://schemas.microsoft.com/office/drawing/2014/main" id="{A0291A1B-BB73-45FC-BE64-A7F92C9D4E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5BFF24F" w14:textId="70178C10" w:rsidR="00F6006F" w:rsidRPr="00000849" w:rsidRDefault="00882906" w:rsidP="00CC2A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sz w:val="20"/>
          <w:szCs w:val="20"/>
        </w:rPr>
      </w:pPr>
      <w:r w:rsidRPr="00000849">
        <w:rPr>
          <w:rFonts w:asciiTheme="minorHAnsi" w:hAnsiTheme="minorHAnsi" w:cstheme="minorHAnsi"/>
          <w:color w:val="383838"/>
          <w:sz w:val="20"/>
          <w:szCs w:val="20"/>
        </w:rPr>
        <w:t xml:space="preserve">Source: </w:t>
      </w:r>
      <w:r w:rsidR="00F503AA" w:rsidRPr="00000849">
        <w:rPr>
          <w:rFonts w:asciiTheme="minorHAnsi" w:hAnsiTheme="minorHAnsi" w:cstheme="minorHAnsi"/>
          <w:color w:val="383838"/>
          <w:sz w:val="20"/>
          <w:szCs w:val="20"/>
        </w:rPr>
        <w:fldChar w:fldCharType="begin"/>
      </w:r>
      <w:r w:rsidR="00F503AA" w:rsidRPr="00000849">
        <w:rPr>
          <w:rFonts w:asciiTheme="minorHAnsi" w:hAnsiTheme="minorHAnsi" w:cstheme="minorHAnsi"/>
          <w:color w:val="383838"/>
          <w:sz w:val="20"/>
          <w:szCs w:val="20"/>
        </w:rPr>
        <w:instrText xml:space="preserve"> ADDIN EN.CITE &lt;EndNote&gt;&lt;Cite&gt;&lt;Author&gt;UN&lt;/Author&gt;&lt;Year&gt;2018&lt;/Year&gt;&lt;RecNum&gt;1640&lt;/RecNum&gt;&lt;DisplayText&gt;(UN, 2018)&lt;/DisplayText&gt;&lt;record&gt;&lt;rec-number&gt;1640&lt;/rec-number&gt;&lt;foreign-keys&gt;&lt;key app="EN" db-id="9tzf2rda8re2a9es5tuxart3swzx2zws2s02" timestamp="1591681306"&gt;1640&lt;/key&gt;&lt;/foreign-keys&gt;&lt;ref-type name="Online Database"&gt;45&lt;/ref-type&gt;&lt;contributors&gt;&lt;authors&gt;&lt;author&gt;UN,&lt;/author&gt;&lt;/authors&gt;&lt;/contributors&gt;&lt;titles&gt;&lt;title&gt;World Urbanization Prospects: The 2018 Revision, custom data acquired via website.&lt;/title&gt;&lt;/titles&gt;&lt;dates&gt;&lt;year&gt;2018&lt;/year&gt;&lt;pub-dates&gt;&lt;date&gt;08 June 2020&lt;/date&gt;&lt;/pub-dates&gt;&lt;/dates&gt;&lt;pub-location&gt;New York, NY, USA&lt;/pub-location&gt;&lt;publisher&gt;Department of Economic and Social Affairs, Population Division, UN&lt;/publisher&gt;&lt;urls&gt;&lt;related-urls&gt;&lt;url&gt;https://population.un.org/wup/DataQuery/&lt;/url&gt;&lt;/related-urls&gt;&lt;/urls&gt;&lt;/record&gt;&lt;/Cite&gt;&lt;/EndNote&gt;</w:instrText>
      </w:r>
      <w:r w:rsidR="00F503AA" w:rsidRPr="00000849">
        <w:rPr>
          <w:rFonts w:asciiTheme="minorHAnsi" w:hAnsiTheme="minorHAnsi" w:cstheme="minorHAnsi"/>
          <w:color w:val="383838"/>
          <w:sz w:val="20"/>
          <w:szCs w:val="20"/>
        </w:rPr>
        <w:fldChar w:fldCharType="separate"/>
      </w:r>
      <w:r w:rsidR="00F503AA" w:rsidRPr="00000849">
        <w:rPr>
          <w:rFonts w:asciiTheme="minorHAnsi" w:hAnsiTheme="minorHAnsi" w:cstheme="minorHAnsi"/>
          <w:noProof/>
          <w:color w:val="383838"/>
          <w:sz w:val="20"/>
          <w:szCs w:val="20"/>
        </w:rPr>
        <w:t>(UN, 2018)</w:t>
      </w:r>
      <w:r w:rsidR="00F503AA" w:rsidRPr="00000849">
        <w:rPr>
          <w:rFonts w:asciiTheme="minorHAnsi" w:hAnsiTheme="minorHAnsi" w:cstheme="minorHAnsi"/>
          <w:color w:val="383838"/>
          <w:sz w:val="20"/>
          <w:szCs w:val="20"/>
        </w:rPr>
        <w:fldChar w:fldCharType="end"/>
      </w:r>
    </w:p>
    <w:p w14:paraId="108500C1" w14:textId="597A9EEA" w:rsidR="00F6006F" w:rsidRPr="00000849" w:rsidRDefault="00F6006F" w:rsidP="00CC2A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74A66757" w14:textId="1C79F0C7" w:rsidR="00343EFD" w:rsidRPr="00920AA1" w:rsidRDefault="00343EFD" w:rsidP="00CC2A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lastRenderedPageBreak/>
        <w:t xml:space="preserve">As in other SSA countries, Ghana’s on-going demographic transition has implications for the disease profile and socio-economic consequences.  Older people aged ≥50 years </w:t>
      </w:r>
      <w:r w:rsidR="0012525D" w:rsidRPr="00000849">
        <w:rPr>
          <w:rFonts w:asciiTheme="minorHAnsi" w:hAnsiTheme="minorHAnsi" w:cstheme="minorHAnsi"/>
          <w:color w:val="383838"/>
        </w:rPr>
        <w:t>we</w:t>
      </w:r>
      <w:r w:rsidRPr="00000849">
        <w:rPr>
          <w:rFonts w:asciiTheme="minorHAnsi" w:hAnsiTheme="minorHAnsi" w:cstheme="minorHAnsi"/>
          <w:color w:val="383838"/>
        </w:rPr>
        <w:t xml:space="preserve">re more likely than </w:t>
      </w:r>
      <w:r w:rsidRPr="00920AA1">
        <w:rPr>
          <w:rFonts w:asciiTheme="minorHAnsi" w:hAnsiTheme="minorHAnsi" w:cstheme="minorHAnsi"/>
          <w:color w:val="383838"/>
        </w:rPr>
        <w:t xml:space="preserve">aged 20-49 years to report being recently ill or injured (22.4% versus 13.9%) </w:t>
      </w:r>
      <w:r w:rsidRPr="00920AA1">
        <w:rPr>
          <w:rFonts w:asciiTheme="minorHAnsi" w:hAnsiTheme="minorHAnsi" w:cstheme="minorHAnsi"/>
          <w:color w:val="383838"/>
        </w:rPr>
        <w:fldChar w:fldCharType="begin"/>
      </w:r>
      <w:r w:rsidRPr="00920AA1">
        <w:rPr>
          <w:rFonts w:asciiTheme="minorHAnsi" w:hAnsiTheme="minorHAnsi" w:cstheme="minorHAnsi"/>
          <w:color w:val="383838"/>
        </w:rPr>
        <w:instrText xml:space="preserve"> ADDIN EN.CITE &lt;EndNote&gt;&lt;Cite&gt;&lt;Author&gt;GSS&lt;/Author&gt;&lt;Year&gt;2014&lt;/Year&gt;&lt;RecNum&gt;59&lt;/RecNum&gt;&lt;DisplayText&gt;(GSS, 2014b)&lt;/DisplayText&gt;&lt;record&gt;&lt;rec-number&gt;59&lt;/rec-number&gt;&lt;foreign-keys&gt;&lt;key app="EN" db-id="9tzf2rda8re2a9es5tuxart3swzx2zws2s02" timestamp="1465112166"&gt;59&lt;/key&gt;&lt;/foreign-keys&gt;&lt;ref-type name="Report"&gt;27&lt;/ref-type&gt;&lt;contributors&gt;&lt;authors&gt;&lt;author&gt;GSS,&lt;/author&gt;&lt;/authors&gt;&lt;/contributors&gt;&lt;titles&gt;&lt;title&gt;Ghana Living Standards Survey  Round 6 (GLSS 6): Main Report.&lt;/title&gt;&lt;/titles&gt;&lt;dates&gt;&lt;year&gt;2014&lt;/year&gt;&lt;/dates&gt;&lt;pub-location&gt;Accra&lt;/pub-location&gt;&lt;publisher&gt;Ghana Statistical Service (GSS)&lt;/publisher&gt;&lt;urls&gt;&lt;/urls&gt;&lt;/record&gt;&lt;/Cite&gt;&lt;/EndNote&gt;</w:instrText>
      </w:r>
      <w:r w:rsidRPr="00920AA1">
        <w:rPr>
          <w:rFonts w:asciiTheme="minorHAnsi" w:hAnsiTheme="minorHAnsi" w:cstheme="minorHAnsi"/>
          <w:color w:val="383838"/>
        </w:rPr>
        <w:fldChar w:fldCharType="separate"/>
      </w:r>
      <w:r w:rsidRPr="00920AA1">
        <w:rPr>
          <w:rFonts w:asciiTheme="minorHAnsi" w:hAnsiTheme="minorHAnsi" w:cstheme="minorHAnsi"/>
          <w:color w:val="383838"/>
        </w:rPr>
        <w:t>(GSS, 2014b)</w:t>
      </w:r>
      <w:r w:rsidRPr="00920AA1">
        <w:rPr>
          <w:rFonts w:asciiTheme="minorHAnsi" w:hAnsiTheme="minorHAnsi" w:cstheme="minorHAnsi"/>
          <w:color w:val="383838"/>
        </w:rPr>
        <w:fldChar w:fldCharType="end"/>
      </w:r>
      <w:r w:rsidRPr="00920AA1">
        <w:rPr>
          <w:rFonts w:asciiTheme="minorHAnsi" w:hAnsiTheme="minorHAnsi" w:cstheme="minorHAnsi"/>
          <w:color w:val="383838"/>
        </w:rPr>
        <w:t xml:space="preserve">.  In Accra, women aged ≥50 years </w:t>
      </w:r>
      <w:r w:rsidR="0012525D" w:rsidRPr="00920AA1">
        <w:rPr>
          <w:rFonts w:asciiTheme="minorHAnsi" w:hAnsiTheme="minorHAnsi" w:cstheme="minorHAnsi"/>
          <w:color w:val="383838"/>
        </w:rPr>
        <w:t xml:space="preserve">were </w:t>
      </w:r>
      <w:r w:rsidRPr="00920AA1">
        <w:rPr>
          <w:rFonts w:asciiTheme="minorHAnsi" w:hAnsiTheme="minorHAnsi" w:cstheme="minorHAnsi"/>
          <w:color w:val="383838"/>
        </w:rPr>
        <w:t xml:space="preserve">more likely than younger women to report chronic NCDs, be obese and to have hypertension </w:t>
      </w:r>
      <w:r w:rsidRPr="00920AA1">
        <w:rPr>
          <w:rFonts w:asciiTheme="minorHAnsi" w:hAnsiTheme="minorHAnsi" w:cstheme="minorHAnsi"/>
          <w:color w:val="383838"/>
        </w:rPr>
        <w:fldChar w:fldCharType="begin"/>
      </w:r>
      <w:r w:rsidR="003E660C" w:rsidRPr="00920AA1">
        <w:rPr>
          <w:rFonts w:asciiTheme="minorHAnsi" w:hAnsiTheme="minorHAnsi" w:cstheme="minorHAnsi"/>
          <w:color w:val="383838"/>
        </w:rPr>
        <w:instrText xml:space="preserve"> ADDIN EN.CITE &lt;EndNote&gt;&lt;Cite&gt;&lt;Author&gt;Duda&lt;/Author&gt;&lt;Year&gt;2011&lt;/Year&gt;&lt;RecNum&gt;23&lt;/RecNum&gt;&lt;DisplayText&gt;(Duda et al., 2011)&lt;/DisplayText&gt;&lt;record&gt;&lt;rec-number&gt;23&lt;/rec-number&gt;&lt;foreign-keys&gt;&lt;key app="EN" db-id="9tzf2rda8re2a9es5tuxart3swzx2zws2s02" timestamp="1463899552"&gt;23&lt;/key&gt;&lt;/foreign-keys&gt;&lt;ref-type name="Journal Article"&gt;17&lt;/ref-type&gt;&lt;contributors&gt;&lt;authors&gt;&lt;author&gt;Duda, Rosemary B&lt;/author&gt;&lt;author&gt;Anarfi, John K&lt;/author&gt;&lt;author&gt;Adanu, Richard MK&lt;/author&gt;&lt;author&gt;Seffah, Joseph&lt;/author&gt;&lt;author&gt;Darko, Rudolph&lt;/author&gt;&lt;author&gt;Hill, Allan G&lt;/author&gt;&lt;/authors&gt;&lt;/contributors&gt;&lt;titles&gt;&lt;title&gt;The health of the “older women” in Accra, Ghana: results of the Women’s Health Study of Accra&lt;/title&gt;&lt;secondary-title&gt;Journal of Cross-Cultural Gerontology&lt;/secondary-title&gt;&lt;/titles&gt;&lt;periodical&gt;&lt;full-title&gt;Journal of Cross-cultural Gerontology&lt;/full-title&gt;&lt;abbr-1&gt;J Cross Cult Gerontol&lt;/abbr-1&gt;&lt;/periodical&gt;&lt;pages&gt;299-314&lt;/pages&gt;&lt;volume&gt;26&lt;/volume&gt;&lt;number&gt;3&lt;/number&gt;&lt;dates&gt;&lt;year&gt;2011&lt;/year&gt;&lt;/dates&gt;&lt;isbn&gt;0169-3816&lt;/isbn&gt;&lt;urls&gt;&lt;/urls&gt;&lt;/record&gt;&lt;/Cite&gt;&lt;/EndNote&gt;</w:instrText>
      </w:r>
      <w:r w:rsidRPr="00920AA1">
        <w:rPr>
          <w:rFonts w:asciiTheme="minorHAnsi" w:hAnsiTheme="minorHAnsi" w:cstheme="minorHAnsi"/>
          <w:color w:val="383838"/>
        </w:rPr>
        <w:fldChar w:fldCharType="separate"/>
      </w:r>
      <w:r w:rsidRPr="00920AA1">
        <w:rPr>
          <w:rFonts w:asciiTheme="minorHAnsi" w:hAnsiTheme="minorHAnsi" w:cstheme="minorHAnsi"/>
          <w:color w:val="383838"/>
        </w:rPr>
        <w:t>(Duda et al., 2011)</w:t>
      </w:r>
      <w:r w:rsidRPr="00920AA1">
        <w:rPr>
          <w:rFonts w:asciiTheme="minorHAnsi" w:hAnsiTheme="minorHAnsi" w:cstheme="minorHAnsi"/>
          <w:color w:val="383838"/>
        </w:rPr>
        <w:fldChar w:fldCharType="end"/>
      </w:r>
      <w:r w:rsidRPr="00920AA1">
        <w:rPr>
          <w:rFonts w:asciiTheme="minorHAnsi" w:hAnsiTheme="minorHAnsi" w:cstheme="minorHAnsi"/>
          <w:color w:val="383838"/>
        </w:rPr>
        <w:t>.</w:t>
      </w:r>
    </w:p>
    <w:p w14:paraId="4F8D8FB5" w14:textId="45304C3B" w:rsidR="00BB04EE" w:rsidRPr="00000849" w:rsidRDefault="00BB04EE" w:rsidP="00CC2AD1">
      <w:pPr>
        <w:pStyle w:val="NormalWeb"/>
        <w:shd w:val="clear" w:color="auto" w:fill="FFFFFF"/>
        <w:spacing w:before="0" w:beforeAutospacing="0" w:after="165" w:afterAutospacing="0" w:line="480" w:lineRule="auto"/>
        <w:ind w:firstLine="567"/>
        <w:jc w:val="both"/>
        <w:rPr>
          <w:rFonts w:asciiTheme="minorHAnsi" w:hAnsiTheme="minorHAnsi" w:cstheme="minorHAnsi"/>
        </w:rPr>
      </w:pPr>
      <w:r w:rsidRPr="00000849">
        <w:rPr>
          <w:rFonts w:asciiTheme="minorHAnsi" w:hAnsiTheme="minorHAnsi" w:cstheme="minorHAnsi"/>
          <w:color w:val="383838"/>
        </w:rPr>
        <w:t xml:space="preserve">Rapid urbanization in developing countries </w:t>
      </w:r>
      <w:r w:rsidR="00A57038" w:rsidRPr="00000849">
        <w:rPr>
          <w:rFonts w:asciiTheme="minorHAnsi" w:hAnsiTheme="minorHAnsi" w:cstheme="minorHAnsi"/>
          <w:color w:val="383838"/>
        </w:rPr>
        <w:t>is</w:t>
      </w:r>
      <w:r w:rsidRPr="00000849">
        <w:rPr>
          <w:rFonts w:asciiTheme="minorHAnsi" w:hAnsiTheme="minorHAnsi" w:cstheme="minorHAnsi"/>
          <w:color w:val="383838"/>
        </w:rPr>
        <w:t xml:space="preserve"> associated with a shift from </w:t>
      </w:r>
      <w:r w:rsidRPr="00000849">
        <w:rPr>
          <w:rFonts w:asciiTheme="minorHAnsi" w:hAnsiTheme="minorHAnsi" w:cstheme="minorHAnsi"/>
        </w:rPr>
        <w:t xml:space="preserve">traditional </w:t>
      </w:r>
      <w:r w:rsidR="000F3DD3" w:rsidRPr="00000849">
        <w:rPr>
          <w:rFonts w:asciiTheme="minorHAnsi" w:hAnsiTheme="minorHAnsi" w:cstheme="minorHAnsi"/>
        </w:rPr>
        <w:t xml:space="preserve">diets </w:t>
      </w:r>
      <w:r w:rsidRPr="00000849">
        <w:rPr>
          <w:rFonts w:asciiTheme="minorHAnsi" w:hAnsiTheme="minorHAnsi" w:cstheme="minorHAnsi"/>
        </w:rPr>
        <w:t xml:space="preserve">high in carbohydrate and fibre to diets that are energy-dense and high in fats, sugar and salts </w:t>
      </w:r>
      <w:r w:rsidRPr="00000849">
        <w:rPr>
          <w:rFonts w:asciiTheme="minorHAnsi" w:hAnsiTheme="minorHAnsi" w:cstheme="minorHAnsi"/>
        </w:rPr>
        <w:fldChar w:fldCharType="begin"/>
      </w:r>
      <w:r w:rsidR="001740AB" w:rsidRPr="00000849">
        <w:rPr>
          <w:rFonts w:asciiTheme="minorHAnsi" w:hAnsiTheme="minorHAnsi" w:cstheme="minorHAnsi"/>
        </w:rPr>
        <w:instrText xml:space="preserve"> ADDIN EN.CITE &lt;EndNote&gt;&lt;Cite&gt;&lt;Author&gt;Thow&lt;/Author&gt;&lt;Year&gt;2015&lt;/Year&gt;&lt;RecNum&gt;88&lt;/RecNum&gt;&lt;DisplayText&gt;(Thow et al., 2015)&lt;/DisplayText&gt;&lt;record&gt;&lt;rec-number&gt;88&lt;/rec-number&gt;&lt;foreign-keys&gt;&lt;key app="EN" db-id="9tzf2rda8re2a9es5tuxart3swzx2zws2s02" timestamp="1466358029"&gt;88&lt;/key&gt;&lt;/foreign-keys&gt;&lt;ref-type name="Journal Article"&gt;17&lt;/ref-type&gt;&lt;contributors&gt;&lt;authors&gt;&lt;author&gt;Thow, Anne Marie&lt;/author&gt;&lt;author&gt;Sanders, David&lt;/author&gt;&lt;author&gt;Drury, Eliza&lt;/author&gt;&lt;author&gt;Puoane, Thandi&lt;/author&gt;&lt;author&gt;Chowdhury, Syeda N&lt;/author&gt;&lt;author&gt;Tsolekile, Lungiswa&lt;/author&gt;&lt;author&gt;Negin, Joel&lt;/author&gt;&lt;/authors&gt;&lt;/contributors&gt;&lt;titles&gt;&lt;title&gt;Regional trade and the nutrition transition: opportunities to strengthen NCD prevention policy in the Southern African Development Community&lt;/title&gt;&lt;secondary-title&gt;Global Health Action&lt;/secondary-title&gt;&lt;/titles&gt;&lt;periodical&gt;&lt;full-title&gt;Global Health Action&lt;/full-title&gt;&lt;abbr-1&gt;Glob Health Action&lt;/abbr-1&gt;&lt;/periodical&gt;&lt;pages&gt;28338&lt;/pages&gt;&lt;volume&gt;8&lt;/volume&gt;&lt;dates&gt;&lt;year&gt;2015&lt;/year&gt;&lt;/dates&gt;&lt;urls&gt;&lt;/urls&gt;&lt;electronic-resource-num&gt;10.3402/gha.v8.28338&lt;/electronic-resource-num&gt;&lt;/record&gt;&lt;/Cite&gt;&lt;/EndNote&gt;</w:instrText>
      </w:r>
      <w:r w:rsidRPr="00000849">
        <w:rPr>
          <w:rFonts w:asciiTheme="minorHAnsi" w:hAnsiTheme="minorHAnsi" w:cstheme="minorHAnsi"/>
        </w:rPr>
        <w:fldChar w:fldCharType="separate"/>
      </w:r>
      <w:r w:rsidR="001740AB" w:rsidRPr="00000849">
        <w:rPr>
          <w:rFonts w:asciiTheme="minorHAnsi" w:hAnsiTheme="minorHAnsi" w:cstheme="minorHAnsi"/>
          <w:noProof/>
        </w:rPr>
        <w:t>(Thow et al., 2015)</w:t>
      </w:r>
      <w:r w:rsidRPr="00000849">
        <w:rPr>
          <w:rFonts w:asciiTheme="minorHAnsi" w:hAnsiTheme="minorHAnsi" w:cstheme="minorHAnsi"/>
        </w:rPr>
        <w:fldChar w:fldCharType="end"/>
      </w:r>
      <w:r w:rsidRPr="00000849">
        <w:rPr>
          <w:rFonts w:asciiTheme="minorHAnsi" w:hAnsiTheme="minorHAnsi" w:cstheme="minorHAnsi"/>
        </w:rPr>
        <w:t xml:space="preserve">.  This phenomenon, known as nutrition transition, coupled with the stress of urban life, increased </w:t>
      </w:r>
      <w:r w:rsidR="00E22F31" w:rsidRPr="00000849">
        <w:rPr>
          <w:rFonts w:asciiTheme="minorHAnsi" w:hAnsiTheme="minorHAnsi" w:cstheme="minorHAnsi"/>
        </w:rPr>
        <w:t xml:space="preserve">use </w:t>
      </w:r>
      <w:r w:rsidRPr="00000849">
        <w:rPr>
          <w:rFonts w:asciiTheme="minorHAnsi" w:hAnsiTheme="minorHAnsi" w:cstheme="minorHAnsi"/>
        </w:rPr>
        <w:t>of la</w:t>
      </w:r>
      <w:r w:rsidR="00357F8A" w:rsidRPr="00000849">
        <w:rPr>
          <w:rFonts w:asciiTheme="minorHAnsi" w:hAnsiTheme="minorHAnsi" w:cstheme="minorHAnsi"/>
        </w:rPr>
        <w:t>bour-saving devices, fast-food p</w:t>
      </w:r>
      <w:r w:rsidRPr="00000849">
        <w:rPr>
          <w:rFonts w:asciiTheme="minorHAnsi" w:hAnsiTheme="minorHAnsi" w:cstheme="minorHAnsi"/>
        </w:rPr>
        <w:t>oints and trade liberalization policies</w:t>
      </w:r>
      <w:r w:rsidR="00357F8A" w:rsidRPr="00000849">
        <w:rPr>
          <w:rFonts w:asciiTheme="minorHAnsi" w:hAnsiTheme="minorHAnsi" w:cstheme="minorHAnsi"/>
        </w:rPr>
        <w:t xml:space="preserve"> </w:t>
      </w:r>
      <w:r w:rsidR="00E22F31" w:rsidRPr="00000849">
        <w:rPr>
          <w:rFonts w:asciiTheme="minorHAnsi" w:hAnsiTheme="minorHAnsi" w:cstheme="minorHAnsi"/>
        </w:rPr>
        <w:t>favouring</w:t>
      </w:r>
      <w:r w:rsidR="00024AC5" w:rsidRPr="00000849">
        <w:rPr>
          <w:rFonts w:asciiTheme="minorHAnsi" w:hAnsiTheme="minorHAnsi" w:cstheme="minorHAnsi"/>
        </w:rPr>
        <w:t xml:space="preserve"> impor</w:t>
      </w:r>
      <w:r w:rsidR="00670701" w:rsidRPr="00000849">
        <w:rPr>
          <w:rFonts w:asciiTheme="minorHAnsi" w:hAnsiTheme="minorHAnsi" w:cstheme="minorHAnsi"/>
        </w:rPr>
        <w:t xml:space="preserve">ts of </w:t>
      </w:r>
      <w:r w:rsidR="00E22F31" w:rsidRPr="00000849">
        <w:rPr>
          <w:rFonts w:asciiTheme="minorHAnsi" w:hAnsiTheme="minorHAnsi" w:cstheme="minorHAnsi"/>
        </w:rPr>
        <w:t xml:space="preserve">unhealthy </w:t>
      </w:r>
      <w:r w:rsidR="00670701" w:rsidRPr="00000849">
        <w:rPr>
          <w:rFonts w:asciiTheme="minorHAnsi" w:hAnsiTheme="minorHAnsi" w:cstheme="minorHAnsi"/>
        </w:rPr>
        <w:t>food</w:t>
      </w:r>
      <w:r w:rsidR="00E22F31" w:rsidRPr="00000849">
        <w:rPr>
          <w:rFonts w:asciiTheme="minorHAnsi" w:hAnsiTheme="minorHAnsi" w:cstheme="minorHAnsi"/>
        </w:rPr>
        <w:t>s</w:t>
      </w:r>
      <w:r w:rsidR="00024AC5" w:rsidRPr="00000849">
        <w:rPr>
          <w:rFonts w:asciiTheme="minorHAnsi" w:hAnsiTheme="minorHAnsi" w:cstheme="minorHAnsi"/>
        </w:rPr>
        <w:t xml:space="preserve"> </w:t>
      </w:r>
      <w:r w:rsidR="00357F8A" w:rsidRPr="00000849">
        <w:rPr>
          <w:rFonts w:asciiTheme="minorHAnsi" w:hAnsiTheme="minorHAnsi" w:cstheme="minorHAnsi"/>
        </w:rPr>
        <w:t>and improved incomes</w:t>
      </w:r>
      <w:r w:rsidR="00E22F31" w:rsidRPr="00000849">
        <w:rPr>
          <w:rFonts w:asciiTheme="minorHAnsi" w:hAnsiTheme="minorHAnsi" w:cstheme="minorHAnsi"/>
        </w:rPr>
        <w:t>,</w:t>
      </w:r>
      <w:r w:rsidR="00357F8A" w:rsidRPr="00000849">
        <w:rPr>
          <w:rFonts w:asciiTheme="minorHAnsi" w:hAnsiTheme="minorHAnsi" w:cstheme="minorHAnsi"/>
        </w:rPr>
        <w:t xml:space="preserve"> is associated with a higher burden of NCDs</w:t>
      </w:r>
      <w:r w:rsidR="0061616E" w:rsidRPr="00000849">
        <w:rPr>
          <w:rFonts w:asciiTheme="minorHAnsi" w:hAnsiTheme="minorHAnsi" w:cstheme="minorHAnsi"/>
        </w:rPr>
        <w:t xml:space="preserve"> </w:t>
      </w:r>
      <w:r w:rsidR="0061616E" w:rsidRPr="00000849">
        <w:rPr>
          <w:rFonts w:asciiTheme="minorHAnsi" w:hAnsiTheme="minorHAnsi" w:cstheme="minorHAnsi"/>
        </w:rPr>
        <w:fldChar w:fldCharType="begin"/>
      </w:r>
      <w:r w:rsidR="00000849" w:rsidRPr="00000849">
        <w:rPr>
          <w:rFonts w:asciiTheme="minorHAnsi" w:hAnsiTheme="minorHAnsi" w:cstheme="minorHAnsi"/>
        </w:rPr>
        <w:instrText xml:space="preserve"> ADDIN EN.CITE &lt;EndNote&gt;&lt;Cite&gt;&lt;Author&gt;Bosu&lt;/Author&gt;&lt;Year&gt;2015&lt;/Year&gt;&lt;RecNum&gt;129&lt;/RecNum&gt;&lt;DisplayText&gt;(Bosu, 2015)&lt;/DisplayText&gt;&lt;record&gt;&lt;rec-number&gt;129&lt;/rec-number&gt;&lt;foreign-keys&gt;&lt;key app="EN" db-id="9tzf2rda8re2a9es5tuxart3swzx2zws2s02" timestamp="1477357628"&gt;129&lt;/key&gt;&lt;/foreign-keys&gt;&lt;ref-type name="Journal Article"&gt;17&lt;/ref-type&gt;&lt;contributors&gt;&lt;authors&gt;&lt;author&gt;Bosu, William K&lt;/author&gt;&lt;/authors&gt;&lt;/contributors&gt;&lt;titles&gt;&lt;title&gt;An overview of the nutrition transition in West Africa: implications for non-communicable diseases&lt;/title&gt;&lt;secondary-title&gt;Proceedings of the Nutrition Society&lt;/secondary-title&gt;&lt;/titles&gt;&lt;periodical&gt;&lt;full-title&gt;Proceedings of the Nutrition Society&lt;/full-title&gt;&lt;/periodical&gt;&lt;pages&gt;466-477&lt;/pages&gt;&lt;volume&gt;74&lt;/volume&gt;&lt;number&gt;04&lt;/number&gt;&lt;dates&gt;&lt;year&gt;2015&lt;/year&gt;&lt;/dates&gt;&lt;isbn&gt;1475-2719&lt;/isbn&gt;&lt;urls&gt;&lt;/urls&gt;&lt;/record&gt;&lt;/Cite&gt;&lt;/EndNote&gt;</w:instrText>
      </w:r>
      <w:r w:rsidR="0061616E" w:rsidRPr="00000849">
        <w:rPr>
          <w:rFonts w:asciiTheme="minorHAnsi" w:hAnsiTheme="minorHAnsi" w:cstheme="minorHAnsi"/>
        </w:rPr>
        <w:fldChar w:fldCharType="separate"/>
      </w:r>
      <w:r w:rsidR="00000849" w:rsidRPr="00000849">
        <w:rPr>
          <w:rFonts w:asciiTheme="minorHAnsi" w:hAnsiTheme="minorHAnsi" w:cstheme="minorHAnsi"/>
          <w:noProof/>
        </w:rPr>
        <w:t>(Bosu, 2015)</w:t>
      </w:r>
      <w:r w:rsidR="0061616E" w:rsidRPr="00000849">
        <w:rPr>
          <w:rFonts w:asciiTheme="minorHAnsi" w:hAnsiTheme="minorHAnsi" w:cstheme="minorHAnsi"/>
        </w:rPr>
        <w:fldChar w:fldCharType="end"/>
      </w:r>
      <w:r w:rsidR="00357F8A" w:rsidRPr="00000849">
        <w:rPr>
          <w:rFonts w:asciiTheme="minorHAnsi" w:hAnsiTheme="minorHAnsi" w:cstheme="minorHAnsi"/>
        </w:rPr>
        <w:t>.</w:t>
      </w:r>
    </w:p>
    <w:p w14:paraId="1C096004" w14:textId="2EB52E94" w:rsidR="00345B2F" w:rsidRPr="00000849" w:rsidRDefault="00345B2F" w:rsidP="00CC2AD1">
      <w:pPr>
        <w:pStyle w:val="NormalWeb"/>
        <w:shd w:val="clear" w:color="auto" w:fill="FFFFFF"/>
        <w:spacing w:before="0" w:beforeAutospacing="0" w:after="165" w:afterAutospacing="0" w:line="480" w:lineRule="auto"/>
        <w:ind w:firstLine="567"/>
        <w:jc w:val="both"/>
        <w:rPr>
          <w:rFonts w:asciiTheme="minorHAnsi" w:hAnsiTheme="minorHAnsi" w:cstheme="minorHAnsi"/>
        </w:rPr>
      </w:pPr>
    </w:p>
    <w:p w14:paraId="30002683" w14:textId="517934C2" w:rsidR="00345B2F" w:rsidRPr="00000849" w:rsidRDefault="00345B2F" w:rsidP="00A61BAB">
      <w:pPr>
        <w:pStyle w:val="Heading2"/>
      </w:pPr>
      <w:bookmarkStart w:id="15" w:name="_Toc51472072"/>
      <w:r w:rsidRPr="00000849">
        <w:t>1.</w:t>
      </w:r>
      <w:r w:rsidR="00670701" w:rsidRPr="00000849">
        <w:t>3</w:t>
      </w:r>
      <w:r w:rsidRPr="00000849">
        <w:tab/>
        <w:t>Definition of older people</w:t>
      </w:r>
      <w:bookmarkEnd w:id="15"/>
    </w:p>
    <w:p w14:paraId="10D249F5" w14:textId="77777777" w:rsidR="00345B2F" w:rsidRPr="00000849" w:rsidRDefault="00345B2F" w:rsidP="00670701">
      <w:pPr>
        <w:pStyle w:val="NormalWeb"/>
        <w:shd w:val="clear" w:color="auto" w:fill="FFFFFF"/>
        <w:tabs>
          <w:tab w:val="left" w:pos="5227"/>
        </w:tabs>
        <w:spacing w:before="0" w:beforeAutospacing="0" w:after="165" w:afterAutospacing="0" w:line="480" w:lineRule="auto"/>
        <w:jc w:val="both"/>
        <w:rPr>
          <w:rFonts w:asciiTheme="minorHAnsi" w:hAnsiTheme="minorHAnsi" w:cstheme="minorHAnsi"/>
          <w:color w:val="383838"/>
        </w:rPr>
      </w:pPr>
    </w:p>
    <w:p w14:paraId="476FFF21" w14:textId="4877042B" w:rsidR="00C26800" w:rsidRPr="00000849" w:rsidRDefault="00345B2F" w:rsidP="00670701">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terms “elderly”, “aged” and “older people” are sometimes used interchangeably in the literature to refer to persons aged </w:t>
      </w:r>
      <w:r w:rsidR="003D5CCE" w:rsidRPr="00000849">
        <w:rPr>
          <w:rFonts w:asciiTheme="minorHAnsi" w:hAnsiTheme="minorHAnsi" w:cstheme="minorHAnsi"/>
          <w:color w:val="383838"/>
        </w:rPr>
        <w:t>≥</w:t>
      </w:r>
      <w:r w:rsidRPr="00000849">
        <w:rPr>
          <w:rFonts w:asciiTheme="minorHAnsi" w:hAnsiTheme="minorHAnsi" w:cstheme="minorHAnsi"/>
          <w:color w:val="383838"/>
        </w:rPr>
        <w:t xml:space="preserve">60 years </w:t>
      </w:r>
      <w:r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&lt;EndNote&gt;&lt;Cite&gt;&lt;Author&gt;Apt&lt;/Author&gt;&lt;Year&gt;2012&lt;/Year&gt;&lt;RecNum&gt;145&lt;/RecNum&gt;&lt;DisplayText&gt;(Apt, 2008, 2012)&lt;/DisplayText&gt;&lt;record&gt;&lt;rec-number&gt;145&lt;/rec-number&gt;&lt;foreign-keys&gt;&lt;key app="EN" db-id="9tzf2rda8re2a9es5tuxart3swzx2zws2s02" timestamp="1479806767"&gt;145&lt;/key&gt;&lt;/foreign-keys&gt;&lt;ref-type name="Journal Article"&gt;17&lt;/ref-type&gt;&lt;contributors&gt;&lt;authors&gt;&lt;author&gt;Apt, Nana Araba&lt;/author&gt;&lt;/authors&gt;&lt;/contributors&gt;&lt;titles&gt;&lt;title&gt;Aging in Africa: Past experiences and strategic directions&lt;/title&gt;&lt;secondary-title&gt;Ageing International&lt;/secondary-title&gt;&lt;/titles&gt;&lt;periodical&gt;&lt;full-title&gt;Ageing International&lt;/full-title&gt;&lt;/periodical&gt;&lt;pages&gt;93-103&lt;/pages&gt;&lt;volume&gt;37&lt;/volume&gt;&lt;number&gt;1&lt;/number&gt;&lt;dates&gt;&lt;year&gt;2012&lt;/year&gt;&lt;/dates&gt;&lt;isbn&gt;0163-5158&lt;/isbn&gt;&lt;urls&gt;&lt;/urls&gt;&lt;/record&gt;&lt;/Cite&gt;&lt;Cite&gt;&lt;Author&gt;Apt&lt;/Author&gt;&lt;Year&gt;2008&lt;/Year&gt;&lt;RecNum&gt;587&lt;/RecNum&gt;&lt;record&gt;&lt;rec-number&gt;587&lt;/rec-number&gt;&lt;foreign-keys&gt;&lt;key app="EN" db-id="9tzf2rda8re2a9es5tuxart3swzx2zws2s02" timestamp="1496560406"&gt;587&lt;/key&gt;&lt;/foreign-keys&gt;&lt;ref-type name="Book Section"&gt;5&lt;/ref-type&gt;&lt;contributors&gt;&lt;authors&gt;&lt;author&gt;Apt, Nana Araba&lt;/author&gt;&lt;/authors&gt;&lt;secondary-authors&gt;&lt;author&gt;Schoenmaeckers, R.C.&lt;/author&gt;&lt;author&gt;Vanderleyden, L&lt;/author&gt;&lt;/secondary-authors&gt;&lt;/contributors&gt;&lt;titles&gt;&lt;title&gt;Ageing Women in a Poor Economic Environment&lt;/title&gt;&lt;secondary-title&gt;Population ageing: towards an improvement of the quality of life&lt;/secondary-title&gt;&lt;/titles&gt;&lt;pages&gt;79-92&lt;/pages&gt;&lt;section&gt;3&lt;/section&gt;&lt;dates&gt;&lt;year&gt;2008&lt;/year&gt;&lt;/dates&gt;&lt;pub-location&gt;Brussels&lt;/pub-location&gt;&lt;publisher&gt;Vlaamse Overhead&lt;/publisher&gt;&lt;urls&gt;&lt;/urls&gt;&lt;/record&gt;&lt;/Cite&gt;&lt;/EndNote&gt;</w:instrText>
      </w:r>
      <w:r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(Apt, 2008, 2012)</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AB0B44" w:rsidRPr="00000849">
        <w:rPr>
          <w:rFonts w:asciiTheme="minorHAnsi" w:hAnsiTheme="minorHAnsi" w:cstheme="minorHAnsi"/>
          <w:color w:val="383838"/>
        </w:rPr>
        <w:t xml:space="preserve">The UN, WHO and Government of Ghana’s (GOG) policy documents on ageing conventionally use 60 years for the “elderly” </w:t>
      </w:r>
      <w:r w:rsidR="00AB0B44" w:rsidRPr="00000849">
        <w:rPr>
          <w:rFonts w:asciiTheme="minorHAnsi" w:hAnsiTheme="minorHAnsi" w:cstheme="minorHAnsi"/>
          <w:color w:val="383838"/>
        </w:rPr>
        <w:fldChar w:fldCharType="begin">
          <w:fldData xml:space="preserve">PEVuZE5vdGU+PENpdGU+PEF1dGhvcj5HT0c8L0F1dGhvcj48WWVhcj4yMDEwPC9ZZWFyPjxSZWNO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PEVuZE5vdGU+PENpdGU+PEF1dGhvcj5HT0c8L0F1dGhvcj48WWVhcj4yMDEwPC9ZZWFyPjxSZWNO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AB0B44" w:rsidRPr="00000849">
        <w:rPr>
          <w:rFonts w:asciiTheme="minorHAnsi" w:hAnsiTheme="minorHAnsi" w:cstheme="minorHAnsi"/>
          <w:color w:val="383838"/>
        </w:rPr>
      </w:r>
      <w:r w:rsidR="00AB0B44" w:rsidRPr="00000849">
        <w:rPr>
          <w:rFonts w:asciiTheme="minorHAnsi" w:hAnsiTheme="minorHAnsi" w:cstheme="minorHAnsi"/>
          <w:color w:val="383838"/>
        </w:rPr>
        <w:fldChar w:fldCharType="separate"/>
      </w:r>
      <w:r w:rsidR="00AB0B44" w:rsidRPr="00000849">
        <w:rPr>
          <w:rFonts w:asciiTheme="minorHAnsi" w:hAnsiTheme="minorHAnsi" w:cstheme="minorHAnsi"/>
          <w:noProof/>
          <w:color w:val="383838"/>
        </w:rPr>
        <w:t>(GOG, 2010; United Nations, 2002; WHO, 2016)</w:t>
      </w:r>
      <w:r w:rsidR="00AB0B44" w:rsidRPr="00000849">
        <w:rPr>
          <w:rFonts w:asciiTheme="minorHAnsi" w:hAnsiTheme="minorHAnsi" w:cstheme="minorHAnsi"/>
          <w:color w:val="383838"/>
        </w:rPr>
        <w:fldChar w:fldCharType="end"/>
      </w:r>
      <w:r w:rsidR="00AB0B44" w:rsidRPr="00000849">
        <w:rPr>
          <w:rFonts w:asciiTheme="minorHAnsi" w:hAnsiTheme="minorHAnsi" w:cstheme="minorHAnsi"/>
          <w:color w:val="383838"/>
        </w:rPr>
        <w:t xml:space="preserve">.  </w:t>
      </w:r>
      <w:r w:rsidR="00670701" w:rsidRPr="00000849">
        <w:rPr>
          <w:rFonts w:asciiTheme="minorHAnsi" w:hAnsiTheme="minorHAnsi" w:cstheme="minorHAnsi"/>
          <w:color w:val="383838"/>
        </w:rPr>
        <w:t xml:space="preserve">Since the objective of this study relates to factors associated with disease in “older adults”, it is important to clarify how this term has been used.  Throughout </w:t>
      </w:r>
      <w:r w:rsidR="00C26800" w:rsidRPr="00000849">
        <w:rPr>
          <w:rFonts w:asciiTheme="minorHAnsi" w:hAnsiTheme="minorHAnsi" w:cstheme="minorHAnsi"/>
          <w:color w:val="383838"/>
        </w:rPr>
        <w:t xml:space="preserve">this thesis, the terms, “older adults” or “older people” </w:t>
      </w:r>
      <w:r w:rsidR="00670701" w:rsidRPr="00000849">
        <w:rPr>
          <w:rFonts w:asciiTheme="minorHAnsi" w:hAnsiTheme="minorHAnsi" w:cstheme="minorHAnsi"/>
          <w:color w:val="383838"/>
        </w:rPr>
        <w:t>are</w:t>
      </w:r>
      <w:r w:rsidR="00C26800" w:rsidRPr="00000849">
        <w:rPr>
          <w:rFonts w:asciiTheme="minorHAnsi" w:hAnsiTheme="minorHAnsi" w:cstheme="minorHAnsi"/>
          <w:color w:val="383838"/>
        </w:rPr>
        <w:t xml:space="preserve"> used with relevant age qualifications to refer to </w:t>
      </w:r>
      <w:r w:rsidR="00C26800" w:rsidRPr="00000849">
        <w:rPr>
          <w:rFonts w:asciiTheme="minorHAnsi" w:hAnsiTheme="minorHAnsi" w:cstheme="minorHAnsi"/>
          <w:color w:val="383838"/>
        </w:rPr>
        <w:lastRenderedPageBreak/>
        <w:t xml:space="preserve">different </w:t>
      </w:r>
      <w:r w:rsidR="00670701" w:rsidRPr="00000849">
        <w:rPr>
          <w:rFonts w:asciiTheme="minorHAnsi" w:hAnsiTheme="minorHAnsi" w:cstheme="minorHAnsi"/>
          <w:color w:val="383838"/>
        </w:rPr>
        <w:t xml:space="preserve">age </w:t>
      </w:r>
      <w:r w:rsidR="00C26800" w:rsidRPr="00000849">
        <w:rPr>
          <w:rFonts w:asciiTheme="minorHAnsi" w:hAnsiTheme="minorHAnsi" w:cstheme="minorHAnsi"/>
          <w:color w:val="383838"/>
        </w:rPr>
        <w:t>groups.</w:t>
      </w:r>
      <w:r w:rsidR="00543D4E" w:rsidRPr="00000849">
        <w:rPr>
          <w:rFonts w:asciiTheme="minorHAnsi" w:hAnsiTheme="minorHAnsi" w:cstheme="minorHAnsi"/>
          <w:color w:val="383838"/>
        </w:rPr>
        <w:t xml:space="preserve">  </w:t>
      </w:r>
      <w:r w:rsidR="00E22F31" w:rsidRPr="00000849">
        <w:rPr>
          <w:rFonts w:asciiTheme="minorHAnsi" w:hAnsiTheme="minorHAnsi" w:cstheme="minorHAnsi"/>
          <w:color w:val="383838"/>
        </w:rPr>
        <w:t>This is because</w:t>
      </w:r>
      <w:r w:rsidR="00543D4E" w:rsidRPr="00000849">
        <w:rPr>
          <w:rFonts w:asciiTheme="minorHAnsi" w:hAnsiTheme="minorHAnsi" w:cstheme="minorHAnsi"/>
          <w:color w:val="383838"/>
        </w:rPr>
        <w:t xml:space="preserve"> t</w:t>
      </w:r>
      <w:r w:rsidR="00C26800" w:rsidRPr="00000849">
        <w:rPr>
          <w:rFonts w:asciiTheme="minorHAnsi" w:hAnsiTheme="minorHAnsi" w:cstheme="minorHAnsi"/>
          <w:color w:val="383838"/>
        </w:rPr>
        <w:t xml:space="preserve">he term “elderly” connotes negative stereotypes </w:t>
      </w:r>
      <w:r w:rsidR="00C26800" w:rsidRPr="00000849">
        <w:rPr>
          <w:rFonts w:asciiTheme="minorHAnsi" w:hAnsiTheme="minorHAnsi" w:cstheme="minorHAnsi"/>
          <w:color w:val="383838"/>
        </w:rPr>
        <w:fldChar w:fldCharType="begin">
          <w:fldData xml:space="preserve">SWQhPW51bGwgJmFtcDsmYW1wOyBpdGVtSWQgIT0gbnVsbCAmYW1wOyZhbXA7IGRvY05hbWUgIT0g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</w:fldData>
        </w:fldChar>
      </w:r>
      <w:r w:rsidR="00431DA0" w:rsidRPr="00000849">
        <w:rPr>
          <w:rFonts w:asciiTheme="minorHAnsi" w:hAnsiTheme="minorHAnsi" w:cstheme="minorHAnsi"/>
          <w:color w:val="383838"/>
        </w:rPr>
        <w:instrText xml:space="preserve"> ADDIN EN.CITE </w:instrText>
      </w:r>
      <w:r w:rsidR="00431DA0" w:rsidRPr="00000849">
        <w:rPr>
          <w:rFonts w:asciiTheme="minorHAnsi" w:hAnsiTheme="minorHAnsi" w:cstheme="minorHAnsi"/>
          <w:color w:val="383838"/>
        </w:rPr>
        <w:fldChar w:fldCharType="begin">
          <w:fldData xml:space="preserve">PEVuZE5vdGU+PENpdGU+PEF1dGhvcj5BdmVyczwvQXV0aG9yPjxZZWFyPjIwMTE8L1llYXI+PFJl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==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431DA0" w:rsidRPr="00000849">
        <w:rPr>
          <w:rFonts w:asciiTheme="minorHAnsi" w:hAnsiTheme="minorHAnsi" w:cstheme="minorHAnsi"/>
          <w:color w:val="383838"/>
        </w:rPr>
        <w:fldChar w:fldCharType="begin">
          <w:fldData xml:space="preserve">RndlU0JCYzNOdlkybGhkR2x2Ymljc0lDY3dNREV6T1RFME15MHlNREV4TVRBd01EQXRNREF3TURF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==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431DA0" w:rsidRPr="00000849">
        <w:rPr>
          <w:rFonts w:asciiTheme="minorHAnsi" w:hAnsiTheme="minorHAnsi" w:cstheme="minorHAnsi"/>
          <w:color w:val="383838"/>
        </w:rPr>
        <w:fldChar w:fldCharType="begin">
          <w:fldData xml:space="preserve">SWQhPW51bGwgJmFtcDsmYW1wOyBpdGVtSWQgIT0gbnVsbCAmYW1wOyZhbXA7IGRvY05hbWUgIT0g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C26800" w:rsidRPr="00000849">
        <w:rPr>
          <w:rFonts w:asciiTheme="minorHAnsi" w:hAnsiTheme="minorHAnsi" w:cstheme="minorHAnsi"/>
          <w:color w:val="383838"/>
        </w:rPr>
      </w:r>
      <w:r w:rsidR="00C26800"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(Avers et al., 2011)</w:t>
      </w:r>
      <w:r w:rsidR="00C26800" w:rsidRPr="00000849">
        <w:rPr>
          <w:rFonts w:asciiTheme="minorHAnsi" w:hAnsiTheme="minorHAnsi" w:cstheme="minorHAnsi"/>
          <w:color w:val="383838"/>
        </w:rPr>
        <w:fldChar w:fldCharType="end"/>
      </w:r>
      <w:r w:rsidR="00C26800" w:rsidRPr="00000849">
        <w:rPr>
          <w:rFonts w:asciiTheme="minorHAnsi" w:hAnsiTheme="minorHAnsi" w:cstheme="minorHAnsi"/>
          <w:color w:val="383838"/>
        </w:rPr>
        <w:t xml:space="preserve">.  </w:t>
      </w:r>
    </w:p>
    <w:p w14:paraId="3866CC2B" w14:textId="0B3BFF7A" w:rsidR="00345B2F" w:rsidRPr="00000849" w:rsidRDefault="00C14D36" w:rsidP="00345B2F">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current WHO-led </w:t>
      </w:r>
      <w:r w:rsidRPr="00000849">
        <w:rPr>
          <w:rFonts w:asciiTheme="minorHAnsi" w:hAnsiTheme="minorHAnsi" w:cstheme="minorHAnsi"/>
          <w:b/>
        </w:rPr>
        <w:t>S</w:t>
      </w:r>
      <w:r w:rsidRPr="00000849">
        <w:rPr>
          <w:rFonts w:asciiTheme="minorHAnsi" w:hAnsiTheme="minorHAnsi" w:cstheme="minorHAnsi"/>
        </w:rPr>
        <w:t xml:space="preserve">tudy on global </w:t>
      </w:r>
      <w:r w:rsidRPr="00000849">
        <w:rPr>
          <w:rFonts w:asciiTheme="minorHAnsi" w:hAnsiTheme="minorHAnsi" w:cstheme="minorHAnsi"/>
          <w:b/>
        </w:rPr>
        <w:t>AGE</w:t>
      </w:r>
      <w:r w:rsidRPr="00000849">
        <w:rPr>
          <w:rFonts w:asciiTheme="minorHAnsi" w:hAnsiTheme="minorHAnsi" w:cstheme="minorHAnsi"/>
        </w:rPr>
        <w:t>ing and adult health (</w:t>
      </w:r>
      <w:r w:rsidRPr="00000849">
        <w:rPr>
          <w:rFonts w:asciiTheme="minorHAnsi" w:hAnsiTheme="minorHAnsi" w:cstheme="minorHAnsi"/>
          <w:color w:val="383838"/>
        </w:rPr>
        <w:t xml:space="preserve">SAGE) adopted the 50 year-threshold to define older people </w:t>
      </w:r>
      <w:r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&lt;EndNote&gt;&lt;Cite&gt;&lt;Author&gt;Kowal&lt;/Author&gt;&lt;Year&gt;2012&lt;/Year&gt;&lt;RecNum&gt;18&lt;/RecNum&gt;&lt;DisplayText&gt;(Kowal et al., 2012)&lt;/DisplayText&gt;&lt;record&gt;&lt;rec-number&gt;18&lt;/rec-number&gt;&lt;foreign-keys&gt;&lt;key app="EN" db-id="9tzf2rda8re2a9es5tuxart3swzx2zws2s02" timestamp="1463398606"&gt;18&lt;/key&gt;&lt;/foreign-keys&gt;&lt;ref-type name="Journal Article"&gt;17&lt;/ref-type&gt;&lt;contributors&gt;&lt;authors&gt;&lt;author&gt;Kowal, Paul&lt;/author&gt;&lt;author&gt;Chatterji, Somnath&lt;/author&gt;&lt;author&gt;Naidoo, Nirmala&lt;/author&gt;&lt;author&gt;Biritwum, Richard&lt;/author&gt;&lt;author&gt;Fan, Wu&lt;/author&gt;&lt;author&gt;Ridaura, Ruy Lopez&lt;/author&gt;&lt;author&gt;Maximova, Tamara&lt;/author&gt;&lt;author&gt;Arokiasamy, Perianayagam&lt;/author&gt;&lt;author&gt;Phaswana-Mafuya, Nancy&lt;/author&gt;&lt;author&gt;Williams, Sharon&lt;/author&gt;&lt;/authors&gt;&lt;/contributors&gt;&lt;titles&gt;&lt;title&gt;Data resource profile: the World Health Organization Study on global AGEing and adult health (SAGE)&lt;/title&gt;&lt;secondary-title&gt;International Journal of Epidemiology&lt;/secondary-title&gt;&lt;/titles&gt;&lt;periodical&gt;&lt;full-title&gt;International Journal of Epidemiology&lt;/full-title&gt;&lt;abbr-1&gt;Int J Epidemiol&lt;/abbr-1&gt;&lt;/periodical&gt;&lt;pages&gt;1639-1649&lt;/pages&gt;&lt;volume&gt;41&lt;/volume&gt;&lt;number&gt;6&lt;/number&gt;&lt;dates&gt;&lt;year&gt;2012&lt;/year&gt;&lt;/dates&gt;&lt;isbn&gt;0300-5771&lt;/isbn&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(Kowal et al., 2012)</w:t>
      </w:r>
      <w:r w:rsidRPr="00000849">
        <w:rPr>
          <w:rFonts w:asciiTheme="minorHAnsi" w:hAnsiTheme="minorHAnsi" w:cstheme="minorHAnsi"/>
          <w:color w:val="383838"/>
        </w:rPr>
        <w:fldChar w:fldCharType="end"/>
      </w:r>
      <w:r w:rsidRPr="00000849">
        <w:rPr>
          <w:rFonts w:asciiTheme="minorHAnsi" w:hAnsiTheme="minorHAnsi" w:cstheme="minorHAnsi"/>
          <w:color w:val="383838"/>
        </w:rPr>
        <w:t>.  This operational definition is consistent with that of s</w:t>
      </w:r>
      <w:r w:rsidR="00067CBF" w:rsidRPr="00000849">
        <w:rPr>
          <w:rFonts w:asciiTheme="minorHAnsi" w:hAnsiTheme="minorHAnsi" w:cstheme="minorHAnsi"/>
          <w:color w:val="383838"/>
        </w:rPr>
        <w:t>everal</w:t>
      </w:r>
      <w:r w:rsidR="00345B2F" w:rsidRPr="00000849">
        <w:rPr>
          <w:rFonts w:asciiTheme="minorHAnsi" w:hAnsiTheme="minorHAnsi" w:cstheme="minorHAnsi"/>
          <w:color w:val="383838"/>
        </w:rPr>
        <w:t xml:space="preserve"> studies in Ghana including household surveys, longitudinal studies and those derived from population observatories in Africa</w:t>
      </w:r>
      <w:r w:rsidR="00E22F31" w:rsidRPr="00000849">
        <w:rPr>
          <w:rFonts w:asciiTheme="minorHAnsi" w:hAnsiTheme="minorHAnsi" w:cstheme="minorHAnsi"/>
          <w:color w:val="383838"/>
        </w:rPr>
        <w:t xml:space="preserve"> </w:t>
      </w:r>
      <w:r w:rsidR="00E22F31" w:rsidRPr="00000849">
        <w:rPr>
          <w:rFonts w:asciiTheme="minorHAnsi" w:hAnsiTheme="minorHAnsi" w:cstheme="minorHAnsi"/>
          <w:color w:val="383838"/>
        </w:rPr>
        <w:fldChar w:fldCharType="begin">
          <w:fldData xml:space="preserve">PEVuZE5vdGU+PENpdGU+PEF1dGhvcj5BYm95YWRlPC9BdXRob3I+PFllYXI+MjAxNjwvWWVhcj48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PEVuZE5vdGU+PENpdGU+PEF1dGhvcj5BYm95YWRlPC9BdXRob3I+PFllYXI+MjAxNjwvWWVhcj48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E22F31" w:rsidRPr="00000849">
        <w:rPr>
          <w:rFonts w:asciiTheme="minorHAnsi" w:hAnsiTheme="minorHAnsi" w:cstheme="minorHAnsi"/>
          <w:color w:val="383838"/>
        </w:rPr>
      </w:r>
      <w:r w:rsidR="00E22F31" w:rsidRPr="00000849">
        <w:rPr>
          <w:rFonts w:asciiTheme="minorHAnsi" w:hAnsiTheme="minorHAnsi" w:cstheme="minorHAnsi"/>
          <w:color w:val="383838"/>
        </w:rPr>
        <w:fldChar w:fldCharType="separate"/>
      </w:r>
      <w:r w:rsidR="00E22F31" w:rsidRPr="00000849">
        <w:rPr>
          <w:rFonts w:asciiTheme="minorHAnsi" w:hAnsiTheme="minorHAnsi" w:cstheme="minorHAnsi"/>
          <w:noProof/>
          <w:color w:val="383838"/>
        </w:rPr>
        <w:t>(Aboyade et al., 2016; Debpuur et al., 2010; Duda et al., 2011)</w:t>
      </w:r>
      <w:r w:rsidR="00E22F31" w:rsidRPr="00000849">
        <w:rPr>
          <w:rFonts w:asciiTheme="minorHAnsi" w:hAnsiTheme="minorHAnsi" w:cstheme="minorHAnsi"/>
          <w:color w:val="383838"/>
        </w:rPr>
        <w:fldChar w:fldCharType="end"/>
      </w:r>
      <w:r w:rsidR="00345B2F" w:rsidRPr="00000849">
        <w:rPr>
          <w:rFonts w:asciiTheme="minorHAnsi" w:hAnsiTheme="minorHAnsi" w:cstheme="minorHAnsi"/>
          <w:color w:val="383838"/>
        </w:rPr>
        <w:t>.  A project to define the minimum data set</w:t>
      </w:r>
      <w:r w:rsidR="005B535D" w:rsidRPr="00000849">
        <w:rPr>
          <w:rFonts w:asciiTheme="minorHAnsi" w:hAnsiTheme="minorHAnsi" w:cstheme="minorHAnsi"/>
          <w:color w:val="383838"/>
        </w:rPr>
        <w:t xml:space="preserve"> (MDS) </w:t>
      </w:r>
      <w:r w:rsidR="00345B2F" w:rsidRPr="00000849">
        <w:rPr>
          <w:rFonts w:asciiTheme="minorHAnsi" w:hAnsiTheme="minorHAnsi" w:cstheme="minorHAnsi"/>
          <w:color w:val="333333"/>
          <w:shd w:val="clear" w:color="auto" w:fill="FFFFFF"/>
        </w:rPr>
        <w:t xml:space="preserve">for Ageing in Africa </w:t>
      </w:r>
      <w:r w:rsidR="00670701" w:rsidRPr="00000849">
        <w:rPr>
          <w:rFonts w:asciiTheme="minorHAnsi" w:hAnsiTheme="minorHAnsi" w:cstheme="minorHAnsi"/>
          <w:color w:val="333333"/>
          <w:shd w:val="clear" w:color="auto" w:fill="FFFFFF"/>
        </w:rPr>
        <w:t xml:space="preserve">criticised </w:t>
      </w:r>
      <w:r w:rsidR="00345B2F" w:rsidRPr="00000849">
        <w:rPr>
          <w:rFonts w:asciiTheme="minorHAnsi" w:hAnsiTheme="minorHAnsi" w:cstheme="minorHAnsi"/>
          <w:color w:val="333333"/>
          <w:shd w:val="clear" w:color="auto" w:fill="FFFFFF"/>
        </w:rPr>
        <w:t>the 60 and 65 years’ cut-offs as arbitrary and lacking relevance for the African setting</w:t>
      </w:r>
      <w:r w:rsidR="008106B8" w:rsidRPr="00000849">
        <w:rPr>
          <w:rFonts w:asciiTheme="minorHAnsi" w:hAnsiTheme="minorHAnsi" w:cstheme="minorHAnsi"/>
          <w:color w:val="333333"/>
          <w:shd w:val="clear" w:color="auto" w:fill="FFFFFF"/>
        </w:rPr>
        <w:t xml:space="preserve"> and</w:t>
      </w:r>
      <w:r w:rsidR="00345B2F" w:rsidRPr="00000849">
        <w:rPr>
          <w:rFonts w:asciiTheme="minorHAnsi" w:hAnsiTheme="minorHAnsi" w:cstheme="minorHAnsi"/>
          <w:color w:val="333333"/>
          <w:shd w:val="clear" w:color="auto" w:fill="FFFFFF"/>
        </w:rPr>
        <w:t xml:space="preserve"> </w:t>
      </w:r>
      <w:r w:rsidR="008106B8" w:rsidRPr="00000849">
        <w:rPr>
          <w:rFonts w:asciiTheme="minorHAnsi" w:hAnsiTheme="minorHAnsi" w:cstheme="minorHAnsi"/>
          <w:color w:val="333333"/>
          <w:shd w:val="clear" w:color="auto" w:fill="FFFFFF"/>
        </w:rPr>
        <w:t xml:space="preserve">adopted age 50 years to define older people </w:t>
      </w:r>
      <w:r w:rsidR="00345B2F" w:rsidRPr="00000849">
        <w:rPr>
          <w:rFonts w:asciiTheme="minorHAnsi" w:hAnsiTheme="minorHAnsi" w:cstheme="minorHAnsi"/>
          <w:color w:val="333333"/>
          <w:shd w:val="clear" w:color="auto" w:fill="FFFFFF"/>
        </w:rPr>
        <w:fldChar w:fldCharType="begin"/>
      </w:r>
      <w:r w:rsidR="00345B2F" w:rsidRPr="00000849">
        <w:rPr>
          <w:rFonts w:asciiTheme="minorHAnsi" w:hAnsiTheme="minorHAnsi" w:cstheme="minorHAnsi"/>
          <w:color w:val="333333"/>
          <w:shd w:val="clear" w:color="auto" w:fill="FFFFFF"/>
        </w:rPr>
        <w:instrText xml:space="preserve"> ADDIN EN.CITE &lt;EndNote&gt;&lt;Cite&gt;&lt;Author&gt;MDS Project Team&lt;/Author&gt;&lt;Year&gt;2002&lt;/Year&gt;&lt;RecNum&gt;557&lt;/RecNum&gt;&lt;DisplayText&gt;(MDS Project Team, 2002)&lt;/DisplayText&gt;&lt;record&gt;&lt;rec-number&gt;557&lt;/rec-number&gt;&lt;foreign-keys&gt;&lt;key app="EN" db-id="9tzf2rda8re2a9es5tuxart3swzx2zws2s02" timestamp="1496081004"&gt;557&lt;/key&gt;&lt;/foreign-keys&gt;&lt;ref-type name="Report"&gt;27&lt;/ref-type&gt;&lt;contributors&gt;&lt;authors&gt;&lt;author&gt;MDS Project Team,&lt;/author&gt;&lt;/authors&gt;&lt;/contributors&gt;&lt;titles&gt;&lt;title&gt;Proposed working definition of an older person in Africa for the Minimum Data Set project&lt;/title&gt;&lt;/titles&gt;&lt;dates&gt;&lt;year&gt;2002&lt;/year&gt;&lt;/dates&gt;&lt;pub-location&gt;Geneva&lt;/pub-location&gt;&lt;publisher&gt;WHO&lt;/publisher&gt;&lt;urls&gt;&lt;related-urls&gt;&lt;url&gt;http://www.who.int/healthinfo/survey/ageingdefnolder/en/&lt;/url&gt;&lt;/related-urls&gt;&lt;/urls&gt;&lt;/record&gt;&lt;/Cite&gt;&lt;/EndNote&gt;</w:instrText>
      </w:r>
      <w:r w:rsidR="00345B2F" w:rsidRPr="00000849">
        <w:rPr>
          <w:rFonts w:asciiTheme="minorHAnsi" w:hAnsiTheme="minorHAnsi" w:cstheme="minorHAnsi"/>
          <w:color w:val="333333"/>
          <w:shd w:val="clear" w:color="auto" w:fill="FFFFFF"/>
        </w:rPr>
        <w:fldChar w:fldCharType="separate"/>
      </w:r>
      <w:r w:rsidR="00345B2F" w:rsidRPr="00000849">
        <w:rPr>
          <w:rFonts w:asciiTheme="minorHAnsi" w:hAnsiTheme="minorHAnsi" w:cstheme="minorHAnsi"/>
          <w:noProof/>
          <w:color w:val="333333"/>
          <w:shd w:val="clear" w:color="auto" w:fill="FFFFFF"/>
        </w:rPr>
        <w:t>(MDS Project Team, 2002)</w:t>
      </w:r>
      <w:r w:rsidR="00345B2F" w:rsidRPr="00000849">
        <w:rPr>
          <w:rFonts w:asciiTheme="minorHAnsi" w:hAnsiTheme="minorHAnsi" w:cstheme="minorHAnsi"/>
          <w:color w:val="333333"/>
          <w:shd w:val="clear" w:color="auto" w:fill="FFFFFF"/>
        </w:rPr>
        <w:fldChar w:fldCharType="end"/>
      </w:r>
      <w:r w:rsidR="00345B2F" w:rsidRPr="00000849">
        <w:rPr>
          <w:rFonts w:asciiTheme="minorHAnsi" w:hAnsiTheme="minorHAnsi" w:cstheme="minorHAnsi"/>
          <w:color w:val="333333"/>
          <w:shd w:val="clear" w:color="auto" w:fill="FFFFFF"/>
        </w:rPr>
        <w:t>.</w:t>
      </w:r>
    </w:p>
    <w:p w14:paraId="2F868C30" w14:textId="74A68121" w:rsidR="00345B2F" w:rsidRPr="00000849" w:rsidRDefault="00345B2F" w:rsidP="00345B2F">
      <w:pPr>
        <w:rPr>
          <w:sz w:val="24"/>
          <w:szCs w:val="24"/>
        </w:rPr>
      </w:pPr>
    </w:p>
    <w:p w14:paraId="5B7DB391" w14:textId="3139A2EC" w:rsidR="008F730F" w:rsidRPr="00000849" w:rsidRDefault="00670701" w:rsidP="00000849">
      <w:pPr>
        <w:pStyle w:val="Heading2"/>
        <w:keepNext w:val="0"/>
        <w:keepLines w:val="0"/>
      </w:pPr>
      <w:bookmarkStart w:id="16" w:name="_Toc51472073"/>
      <w:r w:rsidRPr="00000849">
        <w:t>1.4</w:t>
      </w:r>
      <w:r w:rsidR="008F730F" w:rsidRPr="00000849">
        <w:tab/>
        <w:t xml:space="preserve">Health and </w:t>
      </w:r>
      <w:r w:rsidR="006C71C4" w:rsidRPr="00000849">
        <w:t>social experiences of</w:t>
      </w:r>
      <w:r w:rsidR="008F730F" w:rsidRPr="00000849">
        <w:t xml:space="preserve"> older adults in Ghana</w:t>
      </w:r>
      <w:bookmarkEnd w:id="16"/>
    </w:p>
    <w:p w14:paraId="4190F782" w14:textId="1FD030A4" w:rsidR="00B25534" w:rsidRPr="00000849" w:rsidRDefault="00670701" w:rsidP="00000849">
      <w:pPr>
        <w:pStyle w:val="Heading3"/>
        <w:keepNext w:val="0"/>
        <w:keepLines w:val="0"/>
        <w:rPr>
          <w:sz w:val="24"/>
        </w:rPr>
      </w:pPr>
      <w:bookmarkStart w:id="17" w:name="_Toc51472074"/>
      <w:r w:rsidRPr="00000849">
        <w:t>1.4</w:t>
      </w:r>
      <w:r w:rsidR="008F730F" w:rsidRPr="00000849">
        <w:t>.1</w:t>
      </w:r>
      <w:r w:rsidR="008F730F" w:rsidRPr="00000849">
        <w:tab/>
        <w:t>Health profile</w:t>
      </w:r>
      <w:bookmarkEnd w:id="17"/>
    </w:p>
    <w:p w14:paraId="66FF8BB7" w14:textId="77777777" w:rsidR="007D34DB" w:rsidRPr="00000849" w:rsidRDefault="007D34DB" w:rsidP="00C1662B">
      <w:pPr>
        <w:spacing w:line="480" w:lineRule="auto"/>
        <w:jc w:val="both"/>
        <w:rPr>
          <w:rFonts w:cstheme="minorHAnsi"/>
          <w:sz w:val="24"/>
          <w:szCs w:val="24"/>
        </w:rPr>
      </w:pPr>
    </w:p>
    <w:p w14:paraId="4A2D355B" w14:textId="145E54CD" w:rsidR="008F730F" w:rsidRPr="00000849" w:rsidRDefault="00D32827" w:rsidP="00822877">
      <w:pPr>
        <w:spacing w:line="480" w:lineRule="auto"/>
        <w:jc w:val="both"/>
        <w:rPr>
          <w:rFonts w:cstheme="minorHAnsi"/>
          <w:sz w:val="24"/>
          <w:szCs w:val="24"/>
        </w:rPr>
      </w:pPr>
      <w:r w:rsidRPr="00000849">
        <w:rPr>
          <w:rFonts w:cstheme="minorHAnsi"/>
          <w:sz w:val="24"/>
          <w:szCs w:val="24"/>
        </w:rPr>
        <w:t xml:space="preserve">In many societies, older age is often associated with frequent ill-health which may be physical or mental.  A brief review of the disease profile of older adults in Ghana provides a broad context within which hypertension, the </w:t>
      </w:r>
      <w:r w:rsidR="00681A05" w:rsidRPr="00000849">
        <w:rPr>
          <w:rFonts w:cstheme="minorHAnsi"/>
          <w:sz w:val="24"/>
          <w:szCs w:val="24"/>
        </w:rPr>
        <w:t xml:space="preserve">focus </w:t>
      </w:r>
      <w:r w:rsidRPr="00000849">
        <w:rPr>
          <w:rFonts w:cstheme="minorHAnsi"/>
          <w:sz w:val="24"/>
          <w:szCs w:val="24"/>
        </w:rPr>
        <w:t xml:space="preserve">disease </w:t>
      </w:r>
      <w:r w:rsidR="00681A05" w:rsidRPr="00000849">
        <w:rPr>
          <w:rFonts w:cstheme="minorHAnsi"/>
          <w:sz w:val="24"/>
          <w:szCs w:val="24"/>
        </w:rPr>
        <w:t>for</w:t>
      </w:r>
      <w:r w:rsidRPr="00000849">
        <w:rPr>
          <w:rFonts w:cstheme="minorHAnsi"/>
          <w:sz w:val="24"/>
          <w:szCs w:val="24"/>
        </w:rPr>
        <w:t xml:space="preserve"> this study, can be appreciated.  </w:t>
      </w:r>
      <w:r w:rsidR="004521DB" w:rsidRPr="00000849">
        <w:rPr>
          <w:rFonts w:cstheme="minorHAnsi"/>
          <w:sz w:val="24"/>
          <w:szCs w:val="24"/>
        </w:rPr>
        <w:t>A</w:t>
      </w:r>
      <w:r w:rsidRPr="00000849">
        <w:rPr>
          <w:rFonts w:cstheme="minorHAnsi"/>
          <w:sz w:val="24"/>
          <w:szCs w:val="24"/>
        </w:rPr>
        <w:t xml:space="preserve">n </w:t>
      </w:r>
      <w:r w:rsidR="00934A88" w:rsidRPr="00000849">
        <w:rPr>
          <w:rFonts w:cstheme="minorHAnsi"/>
          <w:sz w:val="24"/>
          <w:szCs w:val="24"/>
        </w:rPr>
        <w:t>analysis of the Global Burden of Disease (GBD) study</w:t>
      </w:r>
      <w:r w:rsidR="004521DB" w:rsidRPr="00000849">
        <w:rPr>
          <w:rFonts w:cstheme="minorHAnsi"/>
          <w:sz w:val="24"/>
          <w:szCs w:val="24"/>
        </w:rPr>
        <w:t xml:space="preserve"> by the Institute for Health Metrics and Evaluation (IHME)</w:t>
      </w:r>
      <w:r w:rsidR="00934A88" w:rsidRPr="00000849">
        <w:rPr>
          <w:rFonts w:cstheme="minorHAnsi"/>
          <w:sz w:val="24"/>
          <w:szCs w:val="24"/>
        </w:rPr>
        <w:t xml:space="preserve"> found that </w:t>
      </w:r>
      <w:r w:rsidR="008F730F" w:rsidRPr="00000849">
        <w:rPr>
          <w:rFonts w:cstheme="minorHAnsi"/>
          <w:sz w:val="24"/>
          <w:szCs w:val="24"/>
        </w:rPr>
        <w:t xml:space="preserve">the main causes of death in the older age group in Ghana in </w:t>
      </w:r>
      <w:r w:rsidR="00371DED" w:rsidRPr="00000849">
        <w:rPr>
          <w:rFonts w:cstheme="minorHAnsi"/>
          <w:sz w:val="24"/>
          <w:szCs w:val="24"/>
        </w:rPr>
        <w:t>201</w:t>
      </w:r>
      <w:r w:rsidR="00371DED">
        <w:rPr>
          <w:rFonts w:cstheme="minorHAnsi"/>
          <w:sz w:val="24"/>
          <w:szCs w:val="24"/>
        </w:rPr>
        <w:t>9</w:t>
      </w:r>
      <w:r w:rsidR="00371DED" w:rsidRPr="00000849">
        <w:rPr>
          <w:rFonts w:cstheme="minorHAnsi"/>
          <w:sz w:val="24"/>
          <w:szCs w:val="24"/>
        </w:rPr>
        <w:t xml:space="preserve"> </w:t>
      </w:r>
      <w:r w:rsidR="008F730F" w:rsidRPr="00000849">
        <w:rPr>
          <w:rFonts w:cstheme="minorHAnsi"/>
          <w:sz w:val="24"/>
          <w:szCs w:val="24"/>
        </w:rPr>
        <w:t xml:space="preserve">were cardiovascular diseases; </w:t>
      </w:r>
      <w:r w:rsidR="005C3312" w:rsidRPr="00000849">
        <w:rPr>
          <w:rFonts w:cstheme="minorHAnsi"/>
          <w:sz w:val="24"/>
          <w:szCs w:val="24"/>
        </w:rPr>
        <w:t xml:space="preserve">respiratory infections and tuberculosis; </w:t>
      </w:r>
      <w:r w:rsidR="008F730F" w:rsidRPr="00000849">
        <w:rPr>
          <w:rFonts w:cstheme="minorHAnsi"/>
          <w:sz w:val="24"/>
          <w:szCs w:val="24"/>
        </w:rPr>
        <w:t xml:space="preserve">cancers; </w:t>
      </w:r>
      <w:r w:rsidR="005C3312" w:rsidRPr="00000849">
        <w:rPr>
          <w:rFonts w:cstheme="minorHAnsi"/>
          <w:sz w:val="24"/>
          <w:szCs w:val="24"/>
        </w:rPr>
        <w:t xml:space="preserve">neglected tropical diseases and malaria; </w:t>
      </w:r>
      <w:r w:rsidR="008F730F" w:rsidRPr="00000849">
        <w:rPr>
          <w:rFonts w:cstheme="minorHAnsi"/>
          <w:sz w:val="24"/>
          <w:szCs w:val="24"/>
        </w:rPr>
        <w:t>diabetes</w:t>
      </w:r>
      <w:r w:rsidR="005C3312" w:rsidRPr="00000849">
        <w:rPr>
          <w:rFonts w:cstheme="minorHAnsi"/>
          <w:sz w:val="24"/>
          <w:szCs w:val="24"/>
        </w:rPr>
        <w:t xml:space="preserve"> and chronic kidney disease</w:t>
      </w:r>
      <w:r w:rsidR="00983B96" w:rsidRPr="00000849">
        <w:rPr>
          <w:rFonts w:cstheme="minorHAnsi"/>
          <w:sz w:val="24"/>
          <w:szCs w:val="24"/>
        </w:rPr>
        <w:t>;</w:t>
      </w:r>
      <w:r w:rsidR="008F730F" w:rsidRPr="00000849">
        <w:rPr>
          <w:rFonts w:cstheme="minorHAnsi"/>
          <w:sz w:val="24"/>
          <w:szCs w:val="24"/>
        </w:rPr>
        <w:t xml:space="preserve"> </w:t>
      </w:r>
      <w:r w:rsidR="005C3312" w:rsidRPr="00000849">
        <w:rPr>
          <w:rFonts w:cstheme="minorHAnsi"/>
          <w:sz w:val="24"/>
          <w:szCs w:val="24"/>
        </w:rPr>
        <w:t>digestive</w:t>
      </w:r>
      <w:r w:rsidR="008F730F" w:rsidRPr="00000849">
        <w:rPr>
          <w:rFonts w:cstheme="minorHAnsi"/>
          <w:sz w:val="24"/>
          <w:szCs w:val="24"/>
        </w:rPr>
        <w:t xml:space="preserve"> diseases; </w:t>
      </w:r>
      <w:r w:rsidR="003B5953" w:rsidRPr="00000849">
        <w:rPr>
          <w:rFonts w:cstheme="minorHAnsi"/>
          <w:sz w:val="24"/>
          <w:szCs w:val="24"/>
        </w:rPr>
        <w:t xml:space="preserve">neurological diseases </w:t>
      </w:r>
      <w:r w:rsidR="008F730F" w:rsidRPr="00000849">
        <w:rPr>
          <w:rFonts w:cstheme="minorHAnsi"/>
          <w:sz w:val="24"/>
          <w:szCs w:val="24"/>
        </w:rPr>
        <w:t xml:space="preserve">and </w:t>
      </w:r>
      <w:r w:rsidR="003B5953" w:rsidRPr="00000849">
        <w:rPr>
          <w:rFonts w:cstheme="minorHAnsi"/>
          <w:sz w:val="24"/>
          <w:szCs w:val="24"/>
        </w:rPr>
        <w:t>chronic respiratory diseases</w:t>
      </w:r>
      <w:r w:rsidR="00371DED">
        <w:rPr>
          <w:rFonts w:cstheme="minorHAnsi"/>
          <w:sz w:val="24"/>
          <w:szCs w:val="24"/>
        </w:rPr>
        <w:t xml:space="preserve"> </w:t>
      </w:r>
      <w:r w:rsidR="00371DED">
        <w:rPr>
          <w:rFonts w:cstheme="minorHAnsi"/>
          <w:sz w:val="24"/>
          <w:szCs w:val="24"/>
        </w:rPr>
        <w:fldChar w:fldCharType="begin"/>
      </w:r>
      <w:r w:rsidR="00371DED">
        <w:rPr>
          <w:rFonts w:cstheme="minorHAnsi"/>
          <w:sz w:val="24"/>
          <w:szCs w:val="24"/>
        </w:rPr>
        <w:instrText xml:space="preserve"> ADDIN EN.CITE &lt;EndNote&gt;&lt;Cite&gt;&lt;Author&gt;IHME&lt;/Author&gt;&lt;Year&gt;2020&lt;/Year&gt;&lt;RecNum&gt;1720&lt;/RecNum&gt;&lt;DisplayText&gt;(IHME, 2020)&lt;/DisplayText&gt;&lt;record&gt;&lt;rec-number&gt;1720&lt;/rec-number&gt;&lt;foreign-keys&gt;&lt;key app="EN" db-id="9tzf2rda8re2a9es5tuxart3swzx2zws2s02" timestamp="1620260071"&gt;1720&lt;/key&gt;&lt;/foreign-keys&gt;&lt;ref-type name="Online Database"&gt;45&lt;/ref-type&gt;&lt;contributors&gt;&lt;authors&gt;&lt;author&gt;IHME,&lt;/author&gt;&lt;/authors&gt;&lt;/contributors&gt;&lt;titles&gt;&lt;title&gt;Global Burden of Disease Study 2019 (GBD 2019) Results.&lt;/title&gt;&lt;/titles&gt;&lt;dates&gt;&lt;year&gt;2020&lt;/year&gt;&lt;pub-dates&gt;&lt;date&gt;20 December 2020&lt;/date&gt;&lt;/pub-dates&gt;&lt;/dates&gt;&lt;pub-location&gt;Seattle, United States&lt;/pub-location&gt;&lt;publisher&gt;Institute for Health Metrics and Evaluation (IHME)&lt;/publisher&gt;&lt;urls&gt;&lt;related-urls&gt;&lt;url&gt;http://ghdx.healthdata.org/gbd-results-tool&lt;/url&gt;&lt;/related-urls&gt;&lt;/urls&gt;&lt;/record&gt;&lt;/Cite&gt;&lt;/EndNote&gt;</w:instrText>
      </w:r>
      <w:r w:rsidR="00371DED">
        <w:rPr>
          <w:rFonts w:cstheme="minorHAnsi"/>
          <w:sz w:val="24"/>
          <w:szCs w:val="24"/>
        </w:rPr>
        <w:fldChar w:fldCharType="separate"/>
      </w:r>
      <w:r w:rsidR="00371DED">
        <w:rPr>
          <w:rFonts w:cstheme="minorHAnsi"/>
          <w:noProof/>
          <w:sz w:val="24"/>
          <w:szCs w:val="24"/>
        </w:rPr>
        <w:t>(IHME, 2020)</w:t>
      </w:r>
      <w:r w:rsidR="00371DED">
        <w:rPr>
          <w:rFonts w:cstheme="minorHAnsi"/>
          <w:sz w:val="24"/>
          <w:szCs w:val="24"/>
        </w:rPr>
        <w:fldChar w:fldCharType="end"/>
      </w:r>
      <w:r w:rsidR="008F730F" w:rsidRPr="00000849">
        <w:rPr>
          <w:rFonts w:cstheme="minorHAnsi"/>
          <w:sz w:val="24"/>
          <w:szCs w:val="24"/>
        </w:rPr>
        <w:t xml:space="preserve">.  </w:t>
      </w:r>
    </w:p>
    <w:p w14:paraId="0ABC21C8" w14:textId="7B40F585" w:rsidR="008F730F" w:rsidRPr="00000849" w:rsidRDefault="008F730F" w:rsidP="008F730F">
      <w:pPr>
        <w:spacing w:line="480" w:lineRule="auto"/>
        <w:ind w:firstLine="567"/>
        <w:jc w:val="both"/>
        <w:rPr>
          <w:rFonts w:cstheme="minorHAnsi"/>
          <w:sz w:val="24"/>
          <w:szCs w:val="24"/>
        </w:rPr>
      </w:pPr>
      <w:r w:rsidRPr="00000849">
        <w:rPr>
          <w:sz w:val="24"/>
          <w:szCs w:val="24"/>
        </w:rPr>
        <w:lastRenderedPageBreak/>
        <w:t>In the</w:t>
      </w:r>
      <w:r w:rsidR="00983B96" w:rsidRPr="00000849">
        <w:rPr>
          <w:sz w:val="24"/>
          <w:szCs w:val="24"/>
        </w:rPr>
        <w:t xml:space="preserve"> </w:t>
      </w:r>
      <w:r w:rsidR="00983B96" w:rsidRPr="00000849">
        <w:rPr>
          <w:rFonts w:cstheme="minorHAnsi"/>
          <w:color w:val="383838"/>
          <w:sz w:val="24"/>
          <w:szCs w:val="24"/>
        </w:rPr>
        <w:t xml:space="preserve">SAGE </w:t>
      </w:r>
      <w:r w:rsidRPr="00000849">
        <w:rPr>
          <w:sz w:val="24"/>
          <w:szCs w:val="24"/>
        </w:rPr>
        <w:t xml:space="preserve">Ghana study in 2007/2008, </w:t>
      </w:r>
      <w:r w:rsidR="005F33D0">
        <w:rPr>
          <w:sz w:val="24"/>
          <w:szCs w:val="24"/>
        </w:rPr>
        <w:t>2</w:t>
      </w:r>
      <w:r w:rsidRPr="00000849">
        <w:rPr>
          <w:sz w:val="24"/>
          <w:szCs w:val="24"/>
        </w:rPr>
        <w:t>%-</w:t>
      </w:r>
      <w:r w:rsidR="005F33D0">
        <w:rPr>
          <w:sz w:val="24"/>
          <w:szCs w:val="24"/>
        </w:rPr>
        <w:t>5</w:t>
      </w:r>
      <w:r w:rsidRPr="00000849">
        <w:rPr>
          <w:sz w:val="24"/>
          <w:szCs w:val="24"/>
        </w:rPr>
        <w:t xml:space="preserve">% of older adults aged </w:t>
      </w:r>
      <w:r w:rsidR="003D5CCE" w:rsidRPr="00000849">
        <w:rPr>
          <w:rFonts w:cstheme="minorHAnsi"/>
          <w:sz w:val="24"/>
          <w:szCs w:val="24"/>
        </w:rPr>
        <w:t>≥</w:t>
      </w:r>
      <w:r w:rsidRPr="00000849">
        <w:rPr>
          <w:sz w:val="24"/>
          <w:szCs w:val="24"/>
        </w:rPr>
        <w:t xml:space="preserve">50 years reported having angina, asthma, cataracts, depression, diabetes, edentulism </w:t>
      </w:r>
      <w:r w:rsidR="005F33D0">
        <w:rPr>
          <w:sz w:val="24"/>
          <w:szCs w:val="24"/>
        </w:rPr>
        <w:t>or</w:t>
      </w:r>
      <w:r w:rsidR="005F33D0" w:rsidRPr="00000849">
        <w:rPr>
          <w:sz w:val="24"/>
          <w:szCs w:val="24"/>
        </w:rPr>
        <w:t xml:space="preserve"> </w:t>
      </w:r>
      <w:r w:rsidRPr="00000849">
        <w:rPr>
          <w:sz w:val="24"/>
          <w:szCs w:val="24"/>
        </w:rPr>
        <w:t xml:space="preserve">stroke </w:t>
      </w:r>
      <w:r w:rsidRPr="00000849">
        <w:rPr>
          <w:sz w:val="24"/>
          <w:szCs w:val="24"/>
        </w:rPr>
        <w:fldChar w:fldCharType="begin"/>
      </w:r>
      <w:r w:rsidR="00ED7F82" w:rsidRPr="00000849">
        <w:rPr>
          <w:sz w:val="24"/>
          <w:szCs w:val="24"/>
        </w:rPr>
        <w:instrText xml:space="preserve"> ADDIN EN.CITE &lt;EndNote&gt;&lt;Cite&gt;&lt;Author&gt;Minicuci&lt;/Author&gt;&lt;Year&gt;2014&lt;/Year&gt;&lt;RecNum&gt;14&lt;/RecNum&gt;&lt;DisplayText&gt;(Minicuci et al., 2014)&lt;/DisplayText&gt;&lt;record&gt;&lt;rec-number&gt;14&lt;/rec-number&gt;&lt;foreign-keys&gt;&lt;key app="EN" db-id="9tzf2rda8re2a9es5tuxart3swzx2zws2s02" timestamp="1463396583"&gt;14&lt;/key&gt;&lt;/foreign-keys&gt;&lt;ref-type name="Journal Article"&gt;17&lt;/ref-type&gt;&lt;contributors&gt;&lt;authors&gt;&lt;author&gt;Minicuci, Nadia&lt;/author&gt;&lt;author&gt;Biritwum, Richard B&lt;/author&gt;&lt;author&gt;Mensah, George&lt;/author&gt;&lt;author&gt;Yawson, Alfred E&lt;/author&gt;&lt;author&gt;Naidoo, Nirmala&lt;/author&gt;&lt;author&gt;Chatterji, Somnath&lt;/author&gt;&lt;author&gt;Kowal, Paul&lt;/author&gt;&lt;/authors&gt;&lt;/contributors&gt;&lt;titles&gt;&lt;title&gt;Sociodemographic and socioeconomic patterns of chronic non-communicable disease among the older adult population in Ghana&lt;/title&gt;&lt;secondary-title&gt;Global Health Action&lt;/secondary-title&gt;&lt;/titles&gt;&lt;periodical&gt;&lt;full-title&gt;Global Health Action&lt;/full-title&gt;&lt;abbr-1&gt;Glob Health Action&lt;/abbr-1&gt;&lt;/periodical&gt;&lt;pages&gt;21292&lt;/pages&gt;&lt;volume&gt;7&lt;/volume&gt;&lt;dates&gt;&lt;year&gt;2014&lt;/year&gt;&lt;/dates&gt;&lt;isbn&gt;1654-9880&lt;/isbn&gt;&lt;urls&gt;&lt;/urls&gt;&lt;electronic-resource-num&gt;http://dx.doi.org/10.3402/gha.v7.21292&lt;/electronic-resource-num&gt;&lt;/record&gt;&lt;/Cite&gt;&lt;/EndNote&gt;</w:instrText>
      </w:r>
      <w:r w:rsidRPr="00000849">
        <w:rPr>
          <w:sz w:val="24"/>
          <w:szCs w:val="24"/>
        </w:rPr>
        <w:fldChar w:fldCharType="separate"/>
      </w:r>
      <w:r w:rsidR="00ED7F82" w:rsidRPr="00000849">
        <w:rPr>
          <w:noProof/>
          <w:sz w:val="24"/>
          <w:szCs w:val="24"/>
        </w:rPr>
        <w:t>(Minicuci et al., 2014)</w:t>
      </w:r>
      <w:r w:rsidRPr="00000849">
        <w:rPr>
          <w:sz w:val="24"/>
          <w:szCs w:val="24"/>
        </w:rPr>
        <w:fldChar w:fldCharType="end"/>
      </w:r>
      <w:r w:rsidRPr="00000849">
        <w:rPr>
          <w:sz w:val="24"/>
          <w:szCs w:val="24"/>
        </w:rPr>
        <w:t xml:space="preserve">.  The least prevalent condition was chronic lung disease (0.6%) while the most prevalent conditions were arthritis (13.8%) and self-reported hypertension (14.2%).  </w:t>
      </w:r>
      <w:r w:rsidR="00C72FE1" w:rsidRPr="00000849">
        <w:rPr>
          <w:rFonts w:cstheme="minorHAnsi"/>
          <w:sz w:val="24"/>
          <w:szCs w:val="24"/>
        </w:rPr>
        <w:t>Another</w:t>
      </w:r>
      <w:r w:rsidRPr="00000849">
        <w:rPr>
          <w:rFonts w:cstheme="minorHAnsi"/>
          <w:sz w:val="24"/>
          <w:szCs w:val="24"/>
        </w:rPr>
        <w:t xml:space="preserve"> study in Accra reported that 71.7% of the </w:t>
      </w:r>
      <w:r w:rsidR="00B4516A" w:rsidRPr="00000849">
        <w:rPr>
          <w:rFonts w:cstheme="minorHAnsi"/>
          <w:sz w:val="24"/>
          <w:szCs w:val="24"/>
        </w:rPr>
        <w:t>older adults aged ≥60 years at</w:t>
      </w:r>
      <w:r w:rsidRPr="00000849">
        <w:rPr>
          <w:rFonts w:cstheme="minorHAnsi"/>
          <w:sz w:val="24"/>
          <w:szCs w:val="24"/>
        </w:rPr>
        <w:t xml:space="preserve"> non-residential centre in Accra suffered from a chronic condition </w:t>
      </w:r>
      <w:r w:rsidRPr="00000849">
        <w:rPr>
          <w:rFonts w:cstheme="minorHAnsi"/>
          <w:sz w:val="24"/>
          <w:szCs w:val="24"/>
        </w:rPr>
        <w:fldChar w:fldCharType="begin"/>
      </w:r>
      <w:r w:rsidR="00431DA0" w:rsidRPr="00000849">
        <w:rPr>
          <w:rFonts w:cstheme="minorHAnsi"/>
          <w:sz w:val="24"/>
          <w:szCs w:val="24"/>
        </w:rPr>
        <w:instrText xml:space="preserve"> ADDIN EN.CITE &lt;EndNote&gt;&lt;Cite&gt;&lt;Author&gt;Steiner-Asiedu&lt;/Author&gt;&lt;Year&gt;2010&lt;/Year&gt;&lt;RecNum&gt;590&lt;/RecNum&gt;&lt;DisplayText&gt;(Steiner-Asiedu et al., 2010)&lt;/DisplayText&gt;&lt;record&gt;&lt;rec-number&gt;590&lt;/rec-number&gt;&lt;foreign-keys&gt;&lt;key app="EN" db-id="9tzf2rda8re2a9es5tuxart3swzx2zws2s02" timestamp="1496597563"&gt;590&lt;/key&gt;&lt;/foreign-keys&gt;&lt;ref-type name="Journal Article"&gt;17&lt;/ref-type&gt;&lt;contributors&gt;&lt;authors&gt;&lt;author&gt;Steiner-Asiedu, M&lt;/author&gt;&lt;author&gt;Pelenah, Sr J Mombo&lt;/author&gt;&lt;author&gt;Bediako-Amoa, B&lt;/author&gt;&lt;author&gt;Danquah, AO&lt;/author&gt;&lt;/authors&gt;&lt;/contributors&gt;&lt;titles&gt;&lt;title&gt;The nutrition situation of the elderly in Ghana: A Case Study&lt;/title&gt;&lt;secondary-title&gt;Asian Journal of Medical Sciences&lt;/secondary-title&gt;&lt;/titles&gt;&lt;periodical&gt;&lt;full-title&gt;Asian Journal of Medical Sciences&lt;/full-title&gt;&lt;/periodical&gt;&lt;pages&gt;95-103&lt;/pages&gt;&lt;volume&gt;2&lt;/volume&gt;&lt;number&gt;3&lt;/number&gt;&lt;dates&gt;&lt;year&gt;2010&lt;/year&gt;&lt;/dates&gt;&lt;isbn&gt;2040-8773&lt;/isbn&gt;&lt;urls&gt;&lt;/urls&gt;&lt;/record&gt;&lt;/Cite&gt;&lt;/EndNote&gt;</w:instrText>
      </w:r>
      <w:r w:rsidRPr="00000849">
        <w:rPr>
          <w:rFonts w:cstheme="minorHAnsi"/>
          <w:sz w:val="24"/>
          <w:szCs w:val="24"/>
        </w:rPr>
        <w:fldChar w:fldCharType="separate"/>
      </w:r>
      <w:r w:rsidR="00431DA0" w:rsidRPr="00000849">
        <w:rPr>
          <w:rFonts w:cstheme="minorHAnsi"/>
          <w:noProof/>
          <w:sz w:val="24"/>
          <w:szCs w:val="24"/>
        </w:rPr>
        <w:t>(Steiner-Asiedu et al., 2010)</w:t>
      </w:r>
      <w:r w:rsidRPr="00000849">
        <w:rPr>
          <w:rFonts w:cstheme="minorHAnsi"/>
          <w:sz w:val="24"/>
          <w:szCs w:val="24"/>
        </w:rPr>
        <w:fldChar w:fldCharType="end"/>
      </w:r>
      <w:r w:rsidRPr="00000849">
        <w:rPr>
          <w:rFonts w:cstheme="minorHAnsi"/>
          <w:sz w:val="24"/>
          <w:szCs w:val="24"/>
        </w:rPr>
        <w:t>.</w:t>
      </w:r>
      <w:r w:rsidR="00B2513D" w:rsidRPr="00000849">
        <w:rPr>
          <w:rFonts w:cstheme="minorHAnsi"/>
          <w:sz w:val="24"/>
          <w:szCs w:val="24"/>
        </w:rPr>
        <w:t xml:space="preserve"> </w:t>
      </w:r>
      <w:r w:rsidRPr="00000849">
        <w:rPr>
          <w:rFonts w:cstheme="minorHAnsi"/>
          <w:sz w:val="24"/>
          <w:szCs w:val="24"/>
        </w:rPr>
        <w:t xml:space="preserve"> The most common conditions were arthritis, hypertension and heart diseases.  </w:t>
      </w:r>
    </w:p>
    <w:p w14:paraId="6E68A29C" w14:textId="444CD477" w:rsidR="008F730F" w:rsidRPr="00000849" w:rsidRDefault="008F730F" w:rsidP="009D4073">
      <w:pPr>
        <w:autoSpaceDE w:val="0"/>
        <w:autoSpaceDN w:val="0"/>
        <w:adjustRightInd w:val="0"/>
        <w:spacing w:after="0" w:line="480" w:lineRule="auto"/>
        <w:ind w:firstLine="567"/>
        <w:jc w:val="both"/>
        <w:rPr>
          <w:rFonts w:cstheme="minorHAnsi"/>
          <w:sz w:val="24"/>
          <w:szCs w:val="24"/>
        </w:rPr>
      </w:pPr>
      <w:r w:rsidRPr="00000849">
        <w:rPr>
          <w:rFonts w:cstheme="minorHAnsi"/>
          <w:sz w:val="24"/>
          <w:szCs w:val="24"/>
        </w:rPr>
        <w:t xml:space="preserve">Older people with poor teeth and poor eyesight are at increased risk of undernutrition.  In a survey among </w:t>
      </w:r>
      <w:r w:rsidR="00B4516A" w:rsidRPr="00000849">
        <w:rPr>
          <w:rFonts w:cstheme="minorHAnsi"/>
          <w:sz w:val="24"/>
          <w:szCs w:val="24"/>
        </w:rPr>
        <w:t>older</w:t>
      </w:r>
      <w:r w:rsidRPr="00000849">
        <w:rPr>
          <w:rFonts w:cstheme="minorHAnsi"/>
          <w:sz w:val="24"/>
          <w:szCs w:val="24"/>
        </w:rPr>
        <w:t xml:space="preserve"> women with a mean age of 75.5 years in rural Ghana, 41% were underweight, 42% had missed a meal on the preceding day, 46% had poor eyesight and 56% had missing teeth </w:t>
      </w:r>
      <w:r w:rsidRPr="00000849">
        <w:rPr>
          <w:rFonts w:cstheme="minorHAnsi"/>
          <w:sz w:val="24"/>
          <w:szCs w:val="24"/>
        </w:rPr>
        <w:fldChar w:fldCharType="begin"/>
      </w:r>
      <w:r w:rsidRPr="00000849">
        <w:rPr>
          <w:rFonts w:cstheme="minorHAnsi"/>
          <w:sz w:val="24"/>
          <w:szCs w:val="24"/>
        </w:rPr>
        <w:instrText xml:space="preserve"> ADDIN EN.CITE &lt;EndNote&gt;&lt;Cite&gt;&lt;Author&gt;Blankson&lt;/Author&gt;&lt;Year&gt;2012&lt;/Year&gt;&lt;RecNum&gt;543&lt;/RecNum&gt;&lt;DisplayText&gt;(Blankson &amp;amp; Hall, 2012)&lt;/DisplayText&gt;&lt;record&gt;&lt;rec-number&gt;543&lt;/rec-number&gt;&lt;foreign-keys&gt;&lt;key app="EN" db-id="9tzf2rda8re2a9es5tuxart3swzx2zws2s02" timestamp="1495943018"&gt;543&lt;/key&gt;&lt;/foreign-keys&gt;&lt;ref-type name="Journal Article"&gt;17&lt;/ref-type&gt;&lt;contributors&gt;&lt;authors&gt;&lt;author&gt;Blankson, B&lt;/author&gt;&lt;author&gt;Hall, A&lt;/author&gt;&lt;/authors&gt;&lt;/contributors&gt;&lt;titles&gt;&lt;title&gt;The anthropometric status of elderly women in rural Ghana and factors associated with low body mass index&lt;/title&gt;&lt;secondary-title&gt;The Journal of Nutrition, Health &amp;amp; Aging&lt;/secondary-title&gt;&lt;/titles&gt;&lt;periodical&gt;&lt;full-title&gt;The Journal of Nutrition, Health &amp;amp; Aging&lt;/full-title&gt;&lt;abbr-1&gt;J Nutr Health Aging&lt;/abbr-1&gt;&lt;/periodical&gt;&lt;pages&gt;881-886&lt;/pages&gt;&lt;volume&gt;16&lt;/volume&gt;&lt;number&gt;10&lt;/number&gt;&lt;dates&gt;&lt;year&gt;2012&lt;/year&gt;&lt;/dates&gt;&lt;isbn&gt;1279-7707&lt;/isbn&gt;&lt;urls&gt;&lt;/urls&gt;&lt;/record&gt;&lt;/Cite&gt;&lt;/EndNote&gt;</w:instrText>
      </w:r>
      <w:r w:rsidRPr="00000849">
        <w:rPr>
          <w:rFonts w:cstheme="minorHAnsi"/>
          <w:sz w:val="24"/>
          <w:szCs w:val="24"/>
        </w:rPr>
        <w:fldChar w:fldCharType="separate"/>
      </w:r>
      <w:r w:rsidRPr="00000849">
        <w:rPr>
          <w:rFonts w:cstheme="minorHAnsi"/>
          <w:noProof/>
          <w:sz w:val="24"/>
          <w:szCs w:val="24"/>
        </w:rPr>
        <w:t>(Blankson &amp; Hall, 2012)</w:t>
      </w:r>
      <w:r w:rsidRPr="00000849">
        <w:rPr>
          <w:rFonts w:cstheme="minorHAnsi"/>
          <w:sz w:val="24"/>
          <w:szCs w:val="24"/>
        </w:rPr>
        <w:fldChar w:fldCharType="end"/>
      </w:r>
      <w:r w:rsidRPr="00000849">
        <w:rPr>
          <w:rFonts w:cstheme="minorHAnsi"/>
          <w:sz w:val="24"/>
          <w:szCs w:val="24"/>
        </w:rPr>
        <w:t xml:space="preserve">.  Older age, chewing tobacco, drinking alcohol, poor visual acuity, and use of walking aid were associated with being undernourished. </w:t>
      </w:r>
    </w:p>
    <w:p w14:paraId="3F333A46" w14:textId="71AEF668" w:rsidR="008F730F" w:rsidRPr="00000849" w:rsidRDefault="008F730F" w:rsidP="008F730F">
      <w:pPr>
        <w:autoSpaceDE w:val="0"/>
        <w:autoSpaceDN w:val="0"/>
        <w:adjustRightInd w:val="0"/>
        <w:spacing w:after="0" w:line="480" w:lineRule="auto"/>
        <w:ind w:firstLine="567"/>
        <w:jc w:val="both"/>
        <w:rPr>
          <w:rFonts w:cstheme="minorHAnsi"/>
          <w:sz w:val="24"/>
          <w:szCs w:val="24"/>
        </w:rPr>
      </w:pPr>
      <w:bookmarkStart w:id="18" w:name="_Hlk71084260"/>
      <w:r w:rsidRPr="00000849">
        <w:rPr>
          <w:rFonts w:cstheme="minorHAnsi"/>
          <w:sz w:val="24"/>
          <w:szCs w:val="24"/>
        </w:rPr>
        <w:t>Poor vision is common among</w:t>
      </w:r>
      <w:r w:rsidR="00B4516A" w:rsidRPr="00000849">
        <w:rPr>
          <w:rFonts w:cstheme="minorHAnsi"/>
          <w:sz w:val="24"/>
          <w:szCs w:val="24"/>
        </w:rPr>
        <w:t xml:space="preserve"> </w:t>
      </w:r>
      <w:r w:rsidR="00D54F11" w:rsidRPr="00000849">
        <w:rPr>
          <w:rFonts w:cstheme="minorHAnsi"/>
          <w:sz w:val="24"/>
          <w:szCs w:val="24"/>
        </w:rPr>
        <w:t xml:space="preserve">Ghanaian </w:t>
      </w:r>
      <w:r w:rsidR="00B4516A" w:rsidRPr="00000849">
        <w:rPr>
          <w:rFonts w:cstheme="minorHAnsi"/>
          <w:sz w:val="24"/>
          <w:szCs w:val="24"/>
        </w:rPr>
        <w:t xml:space="preserve">older adults </w:t>
      </w:r>
      <w:r w:rsidRPr="00000849">
        <w:rPr>
          <w:rFonts w:cstheme="minorHAnsi"/>
          <w:sz w:val="24"/>
          <w:szCs w:val="24"/>
        </w:rPr>
        <w:t xml:space="preserve">but those affected seldom seek care.  In one survey, 58.7% </w:t>
      </w:r>
      <w:r w:rsidR="00681A05" w:rsidRPr="00000849">
        <w:rPr>
          <w:rFonts w:cstheme="minorHAnsi"/>
          <w:sz w:val="24"/>
          <w:szCs w:val="24"/>
        </w:rPr>
        <w:t xml:space="preserve">of adults aged ≥60 years </w:t>
      </w:r>
      <w:r w:rsidRPr="00000849">
        <w:rPr>
          <w:rFonts w:cstheme="minorHAnsi"/>
          <w:sz w:val="24"/>
          <w:szCs w:val="24"/>
        </w:rPr>
        <w:t xml:space="preserve">had visual impairment and 5.9% were blind in at least one eye </w:t>
      </w:r>
      <w:r w:rsidRPr="00000849">
        <w:rPr>
          <w:rFonts w:cstheme="minorHAnsi"/>
          <w:sz w:val="24"/>
          <w:szCs w:val="24"/>
        </w:rPr>
        <w:fldChar w:fldCharType="begin"/>
      </w:r>
      <w:r w:rsidR="001740AB" w:rsidRPr="00000849">
        <w:rPr>
          <w:rFonts w:cstheme="minorHAnsi"/>
          <w:sz w:val="24"/>
          <w:szCs w:val="24"/>
        </w:rPr>
        <w:instrText xml:space="preserve"> ADDIN EN.CITE &lt;EndNote&gt;&lt;Cite&gt;&lt;Author&gt;Ocansey&lt;/Author&gt;&lt;Year&gt;2013&lt;/Year&gt;&lt;RecNum&gt;632&lt;/RecNum&gt;&lt;DisplayText&gt;(Ocansey et al., 2013)&lt;/DisplayText&gt;&lt;record&gt;&lt;rec-number&gt;632&lt;/rec-number&gt;&lt;foreign-keys&gt;&lt;key app="EN" db-id="9tzf2rda8re2a9es5tuxart3swzx2zws2s02" timestamp="1496717666"&gt;632&lt;/key&gt;&lt;/foreign-keys&gt;&lt;ref-type name="Journal Article"&gt;17&lt;/ref-type&gt;&lt;contributors&gt;&lt;authors&gt;&lt;author&gt;Ocansey, Stephen&lt;/author&gt;&lt;author&gt;Kumi-Kyereme, Akwasi&lt;/author&gt;&lt;author&gt;Awusabo-Asare, Kofi&lt;/author&gt;&lt;author&gt;Ilechie, Alex Azuka&lt;/author&gt;&lt;author&gt;Boadi-Kusi, Samuel Bert&lt;/author&gt;&lt;author&gt;Abraham, Carl Halladay&lt;/author&gt;&lt;/authors&gt;&lt;/contributors&gt;&lt;titles&gt;&lt;title&gt;Utilization of eye care services among Ghanaian elderly population: Evidence from a peri-urban community&lt;/title&gt;&lt;secondary-title&gt;Ophthalmology Research: An International Journal&lt;/secondary-title&gt;&lt;/titles&gt;&lt;periodical&gt;&lt;full-title&gt;Ophthalmology Research: An International Journal&lt;/full-title&gt;&lt;/periodical&gt;&lt;pages&gt;89-101&lt;/pages&gt;&lt;volume&gt;1&lt;/volume&gt;&lt;number&gt;2&lt;/number&gt;&lt;dates&gt;&lt;year&gt;2013&lt;/year&gt;&lt;/dates&gt;&lt;urls&gt;&lt;/urls&gt;&lt;/record&gt;&lt;/Cite&gt;&lt;/EndNote&gt;</w:instrText>
      </w:r>
      <w:r w:rsidRPr="00000849">
        <w:rPr>
          <w:rFonts w:cstheme="minorHAnsi"/>
          <w:sz w:val="24"/>
          <w:szCs w:val="24"/>
        </w:rPr>
        <w:fldChar w:fldCharType="separate"/>
      </w:r>
      <w:r w:rsidR="001740AB" w:rsidRPr="00000849">
        <w:rPr>
          <w:rFonts w:cstheme="minorHAnsi"/>
          <w:noProof/>
          <w:sz w:val="24"/>
          <w:szCs w:val="24"/>
        </w:rPr>
        <w:t>(Ocansey et al., 2013)</w:t>
      </w:r>
      <w:r w:rsidRPr="00000849">
        <w:rPr>
          <w:rFonts w:cstheme="minorHAnsi"/>
          <w:sz w:val="24"/>
          <w:szCs w:val="24"/>
        </w:rPr>
        <w:fldChar w:fldCharType="end"/>
      </w:r>
      <w:r w:rsidRPr="00000849">
        <w:rPr>
          <w:rFonts w:cstheme="minorHAnsi"/>
          <w:sz w:val="24"/>
          <w:szCs w:val="24"/>
        </w:rPr>
        <w:t>.  About 36% of participants reported they had never had an eye examination in their lifetime.</w:t>
      </w:r>
    </w:p>
    <w:bookmarkEnd w:id="18"/>
    <w:p w14:paraId="71D052E7" w14:textId="1CD487B7" w:rsidR="00DC387C" w:rsidRPr="00000849" w:rsidRDefault="008F730F" w:rsidP="008F730F">
      <w:pPr>
        <w:spacing w:line="480" w:lineRule="auto"/>
        <w:ind w:firstLine="567"/>
        <w:jc w:val="both"/>
        <w:rPr>
          <w:rFonts w:cstheme="minorHAnsi"/>
          <w:sz w:val="24"/>
          <w:szCs w:val="24"/>
        </w:rPr>
      </w:pPr>
      <w:r w:rsidRPr="00000849">
        <w:rPr>
          <w:rFonts w:cstheme="minorHAnsi"/>
          <w:sz w:val="24"/>
          <w:szCs w:val="24"/>
        </w:rPr>
        <w:t>Older people in Ghana with chronic diseases are less likely than those without to have consulted orthodox medical services</w:t>
      </w:r>
      <w:r w:rsidR="00B2513D" w:rsidRPr="00000849">
        <w:rPr>
          <w:rStyle w:val="FootnoteReference"/>
          <w:rFonts w:cstheme="minorHAnsi"/>
          <w:sz w:val="24"/>
          <w:szCs w:val="24"/>
        </w:rPr>
        <w:footnoteReference w:id="2"/>
      </w:r>
      <w:r w:rsidRPr="00000849">
        <w:rPr>
          <w:rFonts w:cstheme="minorHAnsi"/>
          <w:sz w:val="24"/>
          <w:szCs w:val="24"/>
        </w:rPr>
        <w:t xml:space="preserve"> in the last three years </w:t>
      </w:r>
      <w:r w:rsidRPr="00000849">
        <w:rPr>
          <w:rFonts w:cstheme="minorHAnsi"/>
          <w:sz w:val="24"/>
          <w:szCs w:val="24"/>
        </w:rPr>
        <w:fldChar w:fldCharType="begin"/>
      </w:r>
      <w:r w:rsidR="00431DA0" w:rsidRPr="00000849">
        <w:rPr>
          <w:rFonts w:cstheme="minorHAnsi"/>
          <w:sz w:val="24"/>
          <w:szCs w:val="24"/>
        </w:rPr>
        <w:instrText xml:space="preserve"> ADDIN EN.CITE &lt;EndNote&gt;&lt;Cite&gt;&lt;Author&gt;Saeed&lt;/Author&gt;&lt;Year&gt;2012&lt;/Year&gt;&lt;RecNum&gt;589&lt;/RecNum&gt;&lt;DisplayText&gt;(Saeed et al., 2012)&lt;/DisplayText&gt;&lt;record&gt;&lt;rec-number&gt;589&lt;/rec-number&gt;&lt;foreign-keys&gt;&lt;key app="EN" db-id="9tzf2rda8re2a9es5tuxart3swzx2zws2s02" timestamp="1496594960"&gt;589&lt;/key&gt;&lt;/foreign-keys&gt;&lt;ref-type name="Journal Article"&gt;17&lt;/ref-type&gt;&lt;contributors&gt;&lt;authors&gt;&lt;author&gt;Saeed, Bashiru II&lt;/author&gt;&lt;author&gt;Oduro, Samuel D&lt;/author&gt;&lt;author&gt;Ebenezer, Atta Mills FE&lt;/author&gt;&lt;author&gt;Zhao, Xicang&lt;/author&gt;&lt;/authors&gt;&lt;/contributors&gt;&lt;titles&gt;&lt;title&gt;Determinants of healthcare utilization among the ageing population in Ghana&lt;/title&gt;&lt;secondary-title&gt;International Journal of Business and Social Science&lt;/secondary-title&gt;&lt;/titles&gt;&lt;periodical&gt;&lt;full-title&gt;International Journal of Business and Social Science&lt;/full-title&gt;&lt;/periodical&gt;&lt;pages&gt;66-77&lt;/pages&gt;&lt;volume&gt;3&lt;/volume&gt;&lt;number&gt;24&lt;/number&gt;&lt;dates&gt;&lt;year&gt;2012&lt;/year&gt;&lt;/dates&gt;&lt;isbn&gt;2219-1933&lt;/isbn&gt;&lt;urls&gt;&lt;/urls&gt;&lt;/record&gt;&lt;/Cite&gt;&lt;/EndNote&gt;</w:instrText>
      </w:r>
      <w:r w:rsidRPr="00000849">
        <w:rPr>
          <w:rFonts w:cstheme="minorHAnsi"/>
          <w:sz w:val="24"/>
          <w:szCs w:val="24"/>
        </w:rPr>
        <w:fldChar w:fldCharType="separate"/>
      </w:r>
      <w:r w:rsidR="00431DA0" w:rsidRPr="00000849">
        <w:rPr>
          <w:rFonts w:cstheme="minorHAnsi"/>
          <w:noProof/>
          <w:sz w:val="24"/>
          <w:szCs w:val="24"/>
        </w:rPr>
        <w:t xml:space="preserve">(Saeed et al., </w:t>
      </w:r>
      <w:r w:rsidR="00431DA0" w:rsidRPr="00000849">
        <w:rPr>
          <w:rFonts w:cstheme="minorHAnsi"/>
          <w:noProof/>
          <w:sz w:val="24"/>
          <w:szCs w:val="24"/>
        </w:rPr>
        <w:lastRenderedPageBreak/>
        <w:t>2012)</w:t>
      </w:r>
      <w:r w:rsidRPr="00000849">
        <w:rPr>
          <w:rFonts w:cstheme="minorHAnsi"/>
          <w:sz w:val="24"/>
          <w:szCs w:val="24"/>
        </w:rPr>
        <w:fldChar w:fldCharType="end"/>
      </w:r>
      <w:r w:rsidRPr="00000849">
        <w:rPr>
          <w:rFonts w:cstheme="minorHAnsi"/>
          <w:sz w:val="24"/>
          <w:szCs w:val="24"/>
        </w:rPr>
        <w:t xml:space="preserve">.  Those with two or more chronic diseases are half as likely as those without chronic diseases to have consulted orthodox medical care.  </w:t>
      </w:r>
    </w:p>
    <w:p w14:paraId="32B4C1DB" w14:textId="77777777" w:rsidR="008F730F" w:rsidRPr="00000849" w:rsidRDefault="008F730F" w:rsidP="00345B2F">
      <w:pPr>
        <w:rPr>
          <w:sz w:val="24"/>
          <w:szCs w:val="24"/>
        </w:rPr>
      </w:pPr>
    </w:p>
    <w:p w14:paraId="2234A8D2" w14:textId="7B2DF6E0" w:rsidR="00345B2F" w:rsidRPr="00000849" w:rsidRDefault="00670701" w:rsidP="004E2350">
      <w:pPr>
        <w:pStyle w:val="Heading3"/>
      </w:pPr>
      <w:bookmarkStart w:id="19" w:name="_Toc51472075"/>
      <w:r w:rsidRPr="00000849">
        <w:t>1.4</w:t>
      </w:r>
      <w:r w:rsidR="005614DC" w:rsidRPr="00000849">
        <w:t>.2</w:t>
      </w:r>
      <w:r w:rsidR="00345B2F" w:rsidRPr="00000849">
        <w:tab/>
        <w:t xml:space="preserve">Noncommunicable diseases in </w:t>
      </w:r>
      <w:r w:rsidR="005614DC" w:rsidRPr="00000849">
        <w:t>older adults</w:t>
      </w:r>
      <w:bookmarkEnd w:id="19"/>
    </w:p>
    <w:p w14:paraId="5871D63C" w14:textId="77777777" w:rsidR="00345B2F" w:rsidRPr="00000849" w:rsidRDefault="00345B2F" w:rsidP="00431DA0">
      <w:pPr>
        <w:rPr>
          <w:sz w:val="24"/>
          <w:szCs w:val="24"/>
        </w:rPr>
      </w:pPr>
    </w:p>
    <w:p w14:paraId="0F660B44" w14:textId="443D4C6C" w:rsidR="00BE4918" w:rsidRPr="00000849" w:rsidRDefault="00864B55" w:rsidP="00431DA0">
      <w:pPr>
        <w:pStyle w:val="NormalWeb"/>
        <w:shd w:val="clear" w:color="auto" w:fill="FFFFFF"/>
        <w:spacing w:before="0" w:beforeAutospacing="0" w:after="165" w:afterAutospacing="0" w:line="480" w:lineRule="auto"/>
        <w:jc w:val="both"/>
        <w:rPr>
          <w:rFonts w:asciiTheme="minorHAnsi" w:hAnsiTheme="minorHAnsi" w:cstheme="minorHAnsi"/>
        </w:rPr>
      </w:pPr>
      <w:r w:rsidRPr="00000849">
        <w:rPr>
          <w:rFonts w:asciiTheme="minorHAnsi" w:hAnsiTheme="minorHAnsi" w:cstheme="minorHAnsi"/>
        </w:rPr>
        <w:t xml:space="preserve">NCDs constitute a significant </w:t>
      </w:r>
      <w:r w:rsidR="00DC387C" w:rsidRPr="00000849">
        <w:rPr>
          <w:rFonts w:asciiTheme="minorHAnsi" w:hAnsiTheme="minorHAnsi" w:cstheme="minorHAnsi"/>
        </w:rPr>
        <w:t xml:space="preserve">and increasing </w:t>
      </w:r>
      <w:r w:rsidRPr="00000849">
        <w:rPr>
          <w:rFonts w:asciiTheme="minorHAnsi" w:hAnsiTheme="minorHAnsi" w:cstheme="minorHAnsi"/>
        </w:rPr>
        <w:t xml:space="preserve">burden of the disease in Ghana.  </w:t>
      </w:r>
      <w:r w:rsidR="000065D5" w:rsidRPr="00000849">
        <w:rPr>
          <w:rFonts w:asciiTheme="minorHAnsi" w:hAnsiTheme="minorHAnsi" w:cstheme="minorHAnsi"/>
        </w:rPr>
        <w:t>The</w:t>
      </w:r>
      <w:r w:rsidR="00DC387C" w:rsidRPr="00000849">
        <w:rPr>
          <w:rFonts w:asciiTheme="minorHAnsi" w:hAnsiTheme="minorHAnsi" w:cstheme="minorHAnsi"/>
        </w:rPr>
        <w:t xml:space="preserve">ir relative share of the total deaths in Ghana </w:t>
      </w:r>
      <w:r w:rsidRPr="00000849">
        <w:rPr>
          <w:rFonts w:asciiTheme="minorHAnsi" w:hAnsiTheme="minorHAnsi" w:cstheme="minorHAnsi"/>
        </w:rPr>
        <w:t xml:space="preserve">increased from </w:t>
      </w:r>
      <w:r w:rsidR="00F04E1D" w:rsidRPr="00000849">
        <w:rPr>
          <w:rFonts w:asciiTheme="minorHAnsi" w:hAnsiTheme="minorHAnsi" w:cstheme="minorHAnsi"/>
        </w:rPr>
        <w:t>2</w:t>
      </w:r>
      <w:r w:rsidR="001F1014">
        <w:rPr>
          <w:rFonts w:asciiTheme="minorHAnsi" w:hAnsiTheme="minorHAnsi" w:cstheme="minorHAnsi"/>
        </w:rPr>
        <w:t>7.</w:t>
      </w:r>
      <w:r w:rsidR="00F04E1D" w:rsidRPr="00000849">
        <w:rPr>
          <w:rFonts w:asciiTheme="minorHAnsi" w:hAnsiTheme="minorHAnsi" w:cstheme="minorHAnsi"/>
        </w:rPr>
        <w:t>8</w:t>
      </w:r>
      <w:r w:rsidRPr="00000849">
        <w:rPr>
          <w:rFonts w:asciiTheme="minorHAnsi" w:hAnsiTheme="minorHAnsi" w:cstheme="minorHAnsi"/>
        </w:rPr>
        <w:t>% to 4</w:t>
      </w:r>
      <w:r w:rsidR="001F1014">
        <w:rPr>
          <w:rFonts w:asciiTheme="minorHAnsi" w:hAnsiTheme="minorHAnsi" w:cstheme="minorHAnsi"/>
        </w:rPr>
        <w:t>6</w:t>
      </w:r>
      <w:r w:rsidRPr="00000849">
        <w:rPr>
          <w:rFonts w:asciiTheme="minorHAnsi" w:hAnsiTheme="minorHAnsi" w:cstheme="minorHAnsi"/>
        </w:rPr>
        <w:t xml:space="preserve">.0% in all ages and from </w:t>
      </w:r>
      <w:r w:rsidR="00F04E1D" w:rsidRPr="00000849">
        <w:rPr>
          <w:rFonts w:asciiTheme="minorHAnsi" w:hAnsiTheme="minorHAnsi" w:cstheme="minorHAnsi"/>
        </w:rPr>
        <w:t>5</w:t>
      </w:r>
      <w:r w:rsidR="001F1014">
        <w:rPr>
          <w:rFonts w:asciiTheme="minorHAnsi" w:hAnsiTheme="minorHAnsi" w:cstheme="minorHAnsi"/>
        </w:rPr>
        <w:t>9.2</w:t>
      </w:r>
      <w:r w:rsidRPr="00000849">
        <w:rPr>
          <w:rFonts w:asciiTheme="minorHAnsi" w:hAnsiTheme="minorHAnsi" w:cstheme="minorHAnsi"/>
        </w:rPr>
        <w:t>% to 6</w:t>
      </w:r>
      <w:r w:rsidR="001F1014">
        <w:rPr>
          <w:rFonts w:asciiTheme="minorHAnsi" w:hAnsiTheme="minorHAnsi" w:cstheme="minorHAnsi"/>
        </w:rPr>
        <w:t>7.1</w:t>
      </w:r>
      <w:r w:rsidRPr="00000849">
        <w:rPr>
          <w:rFonts w:asciiTheme="minorHAnsi" w:hAnsiTheme="minorHAnsi" w:cstheme="minorHAnsi"/>
        </w:rPr>
        <w:t xml:space="preserve">% in those aged </w:t>
      </w:r>
      <w:r w:rsidR="003D5CCE" w:rsidRPr="00000849">
        <w:rPr>
          <w:rFonts w:asciiTheme="minorHAnsi" w:hAnsiTheme="minorHAnsi" w:cstheme="minorHAnsi"/>
        </w:rPr>
        <w:t>≥</w:t>
      </w:r>
      <w:r w:rsidRPr="00000849">
        <w:rPr>
          <w:rFonts w:asciiTheme="minorHAnsi" w:hAnsiTheme="minorHAnsi" w:cstheme="minorHAnsi"/>
        </w:rPr>
        <w:t>50 years between 1990 and 201</w:t>
      </w:r>
      <w:r w:rsidR="001F1014">
        <w:rPr>
          <w:rFonts w:asciiTheme="minorHAnsi" w:hAnsiTheme="minorHAnsi" w:cstheme="minorHAnsi"/>
        </w:rPr>
        <w:t>9</w:t>
      </w:r>
      <w:r w:rsidR="005C068F" w:rsidRPr="00000849">
        <w:rPr>
          <w:rFonts w:asciiTheme="minorHAnsi" w:hAnsiTheme="minorHAnsi" w:cstheme="minorHAnsi"/>
        </w:rPr>
        <w:t xml:space="preserve"> </w:t>
      </w:r>
      <w:r w:rsidR="00D34E5D" w:rsidRPr="00000849">
        <w:rPr>
          <w:rFonts w:asciiTheme="minorHAnsi" w:hAnsiTheme="minorHAnsi" w:cstheme="minorHAnsi"/>
        </w:rPr>
        <w:t>(Table 1</w:t>
      </w:r>
      <w:r w:rsidR="00186ADC" w:rsidRPr="00000849">
        <w:rPr>
          <w:rFonts w:asciiTheme="minorHAnsi" w:hAnsiTheme="minorHAnsi" w:cstheme="minorHAnsi"/>
        </w:rPr>
        <w:t>.</w:t>
      </w:r>
      <w:r w:rsidR="00D34E5D" w:rsidRPr="00000849">
        <w:rPr>
          <w:rFonts w:asciiTheme="minorHAnsi" w:hAnsiTheme="minorHAnsi" w:cstheme="minorHAnsi"/>
        </w:rPr>
        <w:t>2)</w:t>
      </w:r>
      <w:r w:rsidR="001F1014">
        <w:rPr>
          <w:rFonts w:asciiTheme="minorHAnsi" w:hAnsiTheme="minorHAnsi" w:cstheme="minorHAnsi"/>
        </w:rPr>
        <w:t xml:space="preserve"> </w:t>
      </w:r>
      <w:r w:rsidR="00371DED">
        <w:rPr>
          <w:rFonts w:asciiTheme="minorHAnsi" w:hAnsiTheme="minorHAnsi" w:cstheme="minorHAnsi"/>
        </w:rPr>
        <w:fldChar w:fldCharType="begin"/>
      </w:r>
      <w:r w:rsidR="00371DED">
        <w:rPr>
          <w:rFonts w:asciiTheme="minorHAnsi" w:hAnsiTheme="minorHAnsi" w:cstheme="minorHAnsi"/>
        </w:rPr>
        <w:instrText xml:space="preserve"> ADDIN EN.CITE &lt;EndNote&gt;&lt;Cite&gt;&lt;Author&gt;IHME&lt;/Author&gt;&lt;Year&gt;2020&lt;/Year&gt;&lt;RecNum&gt;1720&lt;/RecNum&gt;&lt;DisplayText&gt;(IHME, 2020)&lt;/DisplayText&gt;&lt;record&gt;&lt;rec-number&gt;1720&lt;/rec-number&gt;&lt;foreign-keys&gt;&lt;key app="EN" db-id="9tzf2rda8re2a9es5tuxart3swzx2zws2s02" timestamp="1620260071"&gt;1720&lt;/key&gt;&lt;/foreign-keys&gt;&lt;ref-type name="Online Database"&gt;45&lt;/ref-type&gt;&lt;contributors&gt;&lt;authors&gt;&lt;author&gt;IHME,&lt;/author&gt;&lt;/authors&gt;&lt;/contributors&gt;&lt;titles&gt;&lt;title&gt;Global Burden of Disease Study 2019 (GBD 2019) Results.&lt;/title&gt;&lt;/titles&gt;&lt;dates&gt;&lt;year&gt;2020&lt;/year&gt;&lt;pub-dates&gt;&lt;date&gt;20 December 2020&lt;/date&gt;&lt;/pub-dates&gt;&lt;/dates&gt;&lt;pub-location&gt;Seattle, United States&lt;/pub-location&gt;&lt;publisher&gt;Institute for Health Metrics and Evaluation (IHME)&lt;/publisher&gt;&lt;urls&gt;&lt;related-urls&gt;&lt;url&gt;http://ghdx.healthdata.org/gbd-results-tool&lt;/url&gt;&lt;/related-urls&gt;&lt;/urls&gt;&lt;/record&gt;&lt;/Cite&gt;&lt;/EndNote&gt;</w:instrText>
      </w:r>
      <w:r w:rsidR="00371DED">
        <w:rPr>
          <w:rFonts w:asciiTheme="minorHAnsi" w:hAnsiTheme="minorHAnsi" w:cstheme="minorHAnsi"/>
        </w:rPr>
        <w:fldChar w:fldCharType="separate"/>
      </w:r>
      <w:r w:rsidR="00371DED">
        <w:rPr>
          <w:rFonts w:asciiTheme="minorHAnsi" w:hAnsiTheme="minorHAnsi" w:cstheme="minorHAnsi"/>
          <w:noProof/>
        </w:rPr>
        <w:t>(IHME, 2020)</w:t>
      </w:r>
      <w:r w:rsidR="00371DED">
        <w:rPr>
          <w:rFonts w:asciiTheme="minorHAnsi" w:hAnsiTheme="minorHAnsi" w:cstheme="minorHAnsi"/>
        </w:rPr>
        <w:fldChar w:fldCharType="end"/>
      </w:r>
      <w:r w:rsidRPr="00000849">
        <w:rPr>
          <w:rFonts w:asciiTheme="minorHAnsi" w:hAnsiTheme="minorHAnsi" w:cstheme="minorHAnsi"/>
        </w:rPr>
        <w:t xml:space="preserve">.  </w:t>
      </w:r>
      <w:r w:rsidR="00BE4918" w:rsidRPr="00000849">
        <w:rPr>
          <w:rFonts w:asciiTheme="minorHAnsi" w:hAnsiTheme="minorHAnsi" w:cstheme="minorHAnsi"/>
        </w:rPr>
        <w:t xml:space="preserve">  </w:t>
      </w:r>
    </w:p>
    <w:p w14:paraId="58CAF922" w14:textId="77777777" w:rsidR="005C068F" w:rsidRPr="00000849" w:rsidRDefault="005C068F" w:rsidP="004633FB">
      <w:pPr>
        <w:pStyle w:val="NormalWeb"/>
        <w:shd w:val="clear" w:color="auto" w:fill="FFFFFF"/>
        <w:spacing w:before="0" w:beforeAutospacing="0" w:after="165" w:afterAutospacing="0" w:line="480" w:lineRule="auto"/>
        <w:ind w:firstLine="284"/>
        <w:jc w:val="both"/>
        <w:rPr>
          <w:rFonts w:asciiTheme="minorHAnsi" w:hAnsiTheme="minorHAnsi" w:cstheme="minorHAnsi"/>
        </w:rPr>
      </w:pPr>
    </w:p>
    <w:p w14:paraId="2866672B" w14:textId="7EA9B5DB" w:rsidR="00E5566B" w:rsidRPr="00000849" w:rsidRDefault="00186ADC" w:rsidP="006C18C3">
      <w:pPr>
        <w:pStyle w:val="TableSAGE1"/>
        <w:ind w:left="1276" w:hanging="992"/>
      </w:pPr>
      <w:bookmarkStart w:id="20" w:name="_Toc34479477"/>
      <w:bookmarkStart w:id="21" w:name="_Toc71153630"/>
      <w:r w:rsidRPr="00000849">
        <w:t xml:space="preserve">Table 1. </w:t>
      </w:r>
      <w:r w:rsidRPr="00000849">
        <w:fldChar w:fldCharType="begin"/>
      </w:r>
      <w:r w:rsidRPr="00000849">
        <w:instrText xml:space="preserve"> SEQ Table_5. \* ARABIC </w:instrText>
      </w:r>
      <w:r w:rsidRPr="00000849">
        <w:fldChar w:fldCharType="separate"/>
      </w:r>
      <w:r w:rsidR="00C0100F">
        <w:rPr>
          <w:noProof/>
        </w:rPr>
        <w:t>2</w:t>
      </w:r>
      <w:r w:rsidRPr="00000849">
        <w:rPr>
          <w:noProof/>
        </w:rPr>
        <w:fldChar w:fldCharType="end"/>
      </w:r>
      <w:r w:rsidRPr="00000849">
        <w:t xml:space="preserve">: </w:t>
      </w:r>
      <w:r w:rsidRPr="00000849">
        <w:tab/>
      </w:r>
      <w:r w:rsidR="001F2033" w:rsidRPr="00000849">
        <w:t xml:space="preserve">Group cause of death and disability-adjusted life years in adults aged ≥50 years in Ghana in 1990 and </w:t>
      </w:r>
      <w:bookmarkEnd w:id="20"/>
      <w:r w:rsidR="001F1014" w:rsidRPr="00000849">
        <w:t>201</w:t>
      </w:r>
      <w:r w:rsidR="001F1014">
        <w:t>9</w:t>
      </w:r>
      <w:bookmarkEnd w:id="21"/>
      <w:r w:rsidR="001F1014" w:rsidRPr="00000849">
        <w:t xml:space="preserve"> </w:t>
      </w:r>
    </w:p>
    <w:tbl>
      <w:tblPr>
        <w:tblStyle w:val="PlainTable21"/>
        <w:tblW w:w="0" w:type="auto"/>
        <w:tblLayout w:type="fixed"/>
        <w:tblLook w:val="04A0" w:firstRow="1" w:lastRow="0" w:firstColumn="1" w:lastColumn="0" w:noHBand="0" w:noVBand="1"/>
      </w:tblPr>
      <w:tblGrid>
        <w:gridCol w:w="1260"/>
        <w:gridCol w:w="799"/>
        <w:gridCol w:w="977"/>
        <w:gridCol w:w="1115"/>
        <w:gridCol w:w="1322"/>
        <w:gridCol w:w="597"/>
        <w:gridCol w:w="770"/>
        <w:gridCol w:w="701"/>
        <w:gridCol w:w="770"/>
      </w:tblGrid>
      <w:tr w:rsidR="00371DED" w:rsidRPr="00D86B89" w14:paraId="4058CF11" w14:textId="77777777" w:rsidTr="00920AA1">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60" w:type="dxa"/>
            <w:vMerge w:val="restart"/>
            <w:hideMark/>
          </w:tcPr>
          <w:p w14:paraId="57D3E6BE" w14:textId="640FAB67" w:rsidR="00B4516A" w:rsidRPr="00920AA1" w:rsidRDefault="00B4516A" w:rsidP="00993417">
            <w:pPr>
              <w:spacing w:after="0" w:line="240" w:lineRule="auto"/>
              <w:rPr>
                <w:rFonts w:ascii="Calibri" w:eastAsia="Times New Roman" w:hAnsi="Calibri" w:cs="Calibri"/>
                <w:bCs w:val="0"/>
                <w:color w:val="000000"/>
                <w:sz w:val="16"/>
                <w:szCs w:val="16"/>
                <w:lang w:val="en-US"/>
              </w:rPr>
            </w:pPr>
            <w:r w:rsidRPr="00920AA1">
              <w:rPr>
                <w:rFonts w:ascii="Calibri" w:eastAsia="Times New Roman" w:hAnsi="Calibri" w:cs="Calibri"/>
                <w:color w:val="000000"/>
                <w:sz w:val="16"/>
                <w:szCs w:val="16"/>
                <w:lang w:val="en-US"/>
              </w:rPr>
              <w:t xml:space="preserve">Cause </w:t>
            </w:r>
          </w:p>
        </w:tc>
        <w:tc>
          <w:tcPr>
            <w:tcW w:w="1776" w:type="dxa"/>
            <w:gridSpan w:val="2"/>
            <w:hideMark/>
          </w:tcPr>
          <w:p w14:paraId="7747EE46" w14:textId="77777777" w:rsidR="00B4516A" w:rsidRPr="00920AA1" w:rsidRDefault="00B4516A" w:rsidP="0099341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16"/>
                <w:szCs w:val="16"/>
                <w:lang w:val="en-US"/>
              </w:rPr>
            </w:pPr>
            <w:r w:rsidRPr="00920AA1">
              <w:rPr>
                <w:rFonts w:ascii="Calibri" w:eastAsia="Times New Roman" w:hAnsi="Calibri" w:cs="Calibri"/>
                <w:color w:val="000000"/>
                <w:sz w:val="16"/>
                <w:szCs w:val="16"/>
                <w:lang w:val="en-US"/>
              </w:rPr>
              <w:t>Number of deaths</w:t>
            </w:r>
          </w:p>
        </w:tc>
        <w:tc>
          <w:tcPr>
            <w:tcW w:w="2437" w:type="dxa"/>
            <w:gridSpan w:val="2"/>
            <w:hideMark/>
          </w:tcPr>
          <w:p w14:paraId="1D8CD8CF" w14:textId="77777777" w:rsidR="00B4516A" w:rsidRPr="00920AA1" w:rsidRDefault="00B4516A" w:rsidP="0099341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16"/>
                <w:szCs w:val="16"/>
                <w:lang w:val="en-US"/>
              </w:rPr>
            </w:pPr>
            <w:r w:rsidRPr="00920AA1">
              <w:rPr>
                <w:rFonts w:ascii="Calibri" w:eastAsia="Times New Roman" w:hAnsi="Calibri" w:cs="Calibri"/>
                <w:color w:val="000000"/>
                <w:sz w:val="16"/>
                <w:szCs w:val="16"/>
                <w:lang w:val="en-US"/>
              </w:rPr>
              <w:t>DALYs</w:t>
            </w:r>
          </w:p>
        </w:tc>
        <w:tc>
          <w:tcPr>
            <w:tcW w:w="1367" w:type="dxa"/>
            <w:gridSpan w:val="2"/>
            <w:hideMark/>
          </w:tcPr>
          <w:p w14:paraId="3F664DE6" w14:textId="77777777" w:rsidR="00B4516A" w:rsidRPr="00920AA1" w:rsidRDefault="00B4516A" w:rsidP="0099341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16"/>
                <w:szCs w:val="16"/>
                <w:lang w:val="en-US"/>
              </w:rPr>
            </w:pPr>
            <w:r w:rsidRPr="00920AA1">
              <w:rPr>
                <w:rFonts w:ascii="Calibri" w:eastAsia="Times New Roman" w:hAnsi="Calibri" w:cs="Calibri"/>
                <w:color w:val="000000"/>
                <w:sz w:val="16"/>
                <w:szCs w:val="16"/>
                <w:lang w:val="en-US"/>
              </w:rPr>
              <w:t>% deaths</w:t>
            </w:r>
          </w:p>
        </w:tc>
        <w:tc>
          <w:tcPr>
            <w:tcW w:w="1471" w:type="dxa"/>
            <w:gridSpan w:val="2"/>
            <w:hideMark/>
          </w:tcPr>
          <w:p w14:paraId="52C73C15" w14:textId="77777777" w:rsidR="00B4516A" w:rsidRPr="00920AA1" w:rsidRDefault="00B4516A" w:rsidP="0099341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16"/>
                <w:szCs w:val="16"/>
                <w:lang w:val="en-US"/>
              </w:rPr>
            </w:pPr>
            <w:r w:rsidRPr="00920AA1">
              <w:rPr>
                <w:rFonts w:ascii="Calibri" w:eastAsia="Times New Roman" w:hAnsi="Calibri" w:cs="Calibri"/>
                <w:color w:val="000000"/>
                <w:sz w:val="16"/>
                <w:szCs w:val="16"/>
                <w:lang w:val="en-US"/>
              </w:rPr>
              <w:t>% DALYs</w:t>
            </w:r>
          </w:p>
        </w:tc>
      </w:tr>
      <w:tr w:rsidR="00371DED" w:rsidRPr="00D86B89" w14:paraId="01D11FDB" w14:textId="77777777" w:rsidTr="00920AA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60" w:type="dxa"/>
            <w:vMerge/>
            <w:noWrap/>
            <w:hideMark/>
          </w:tcPr>
          <w:p w14:paraId="2A0C860F" w14:textId="2ECD8FD3" w:rsidR="00B4516A" w:rsidRPr="00920AA1" w:rsidRDefault="00B4516A" w:rsidP="00993417">
            <w:pPr>
              <w:spacing w:after="0" w:line="240" w:lineRule="auto"/>
              <w:rPr>
                <w:rFonts w:ascii="Calibri" w:eastAsia="Times New Roman" w:hAnsi="Calibri" w:cs="Calibri"/>
                <w:b w:val="0"/>
                <w:bCs w:val="0"/>
                <w:color w:val="000000"/>
                <w:sz w:val="16"/>
                <w:szCs w:val="16"/>
                <w:lang w:val="en-US"/>
              </w:rPr>
            </w:pPr>
          </w:p>
        </w:tc>
        <w:tc>
          <w:tcPr>
            <w:tcW w:w="799" w:type="dxa"/>
            <w:noWrap/>
            <w:hideMark/>
          </w:tcPr>
          <w:p w14:paraId="3D7FC0D8" w14:textId="77777777" w:rsidR="00B4516A" w:rsidRPr="00920AA1" w:rsidRDefault="00B4516A"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val="en-US"/>
              </w:rPr>
            </w:pPr>
            <w:r w:rsidRPr="00920AA1">
              <w:rPr>
                <w:rFonts w:ascii="Calibri" w:eastAsia="Times New Roman" w:hAnsi="Calibri" w:cs="Calibri"/>
                <w:b/>
                <w:bCs/>
                <w:color w:val="000000"/>
                <w:sz w:val="16"/>
                <w:szCs w:val="16"/>
                <w:lang w:val="en-US"/>
              </w:rPr>
              <w:t>1990</w:t>
            </w:r>
          </w:p>
        </w:tc>
        <w:tc>
          <w:tcPr>
            <w:tcW w:w="977" w:type="dxa"/>
            <w:noWrap/>
            <w:hideMark/>
          </w:tcPr>
          <w:p w14:paraId="6915FEAD" w14:textId="697640D8" w:rsidR="00B4516A" w:rsidRPr="00920AA1" w:rsidRDefault="001F1014"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val="en-US"/>
              </w:rPr>
            </w:pPr>
            <w:r w:rsidRPr="00920AA1">
              <w:rPr>
                <w:rFonts w:ascii="Calibri" w:eastAsia="Times New Roman" w:hAnsi="Calibri" w:cs="Calibri"/>
                <w:b/>
                <w:bCs/>
                <w:color w:val="000000"/>
                <w:sz w:val="16"/>
                <w:szCs w:val="16"/>
                <w:lang w:val="en-US"/>
              </w:rPr>
              <w:t>2019</w:t>
            </w:r>
          </w:p>
        </w:tc>
        <w:tc>
          <w:tcPr>
            <w:tcW w:w="1115" w:type="dxa"/>
            <w:noWrap/>
            <w:hideMark/>
          </w:tcPr>
          <w:p w14:paraId="0BD81562" w14:textId="77777777" w:rsidR="00B4516A" w:rsidRPr="00920AA1" w:rsidRDefault="00B4516A"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val="en-US"/>
              </w:rPr>
            </w:pPr>
            <w:r w:rsidRPr="00920AA1">
              <w:rPr>
                <w:rFonts w:ascii="Calibri" w:eastAsia="Times New Roman" w:hAnsi="Calibri" w:cs="Calibri"/>
                <w:b/>
                <w:bCs/>
                <w:color w:val="000000"/>
                <w:sz w:val="16"/>
                <w:szCs w:val="16"/>
                <w:lang w:val="en-US"/>
              </w:rPr>
              <w:t>1990</w:t>
            </w:r>
          </w:p>
        </w:tc>
        <w:tc>
          <w:tcPr>
            <w:tcW w:w="1322" w:type="dxa"/>
            <w:noWrap/>
            <w:hideMark/>
          </w:tcPr>
          <w:p w14:paraId="7BB8FE9B" w14:textId="78A28C3C" w:rsidR="00B4516A" w:rsidRPr="00920AA1" w:rsidRDefault="001F1014"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val="en-US"/>
              </w:rPr>
            </w:pPr>
            <w:r w:rsidRPr="00920AA1">
              <w:rPr>
                <w:rFonts w:ascii="Calibri" w:eastAsia="Times New Roman" w:hAnsi="Calibri" w:cs="Calibri"/>
                <w:b/>
                <w:bCs/>
                <w:color w:val="000000"/>
                <w:sz w:val="16"/>
                <w:szCs w:val="16"/>
                <w:lang w:val="en-US"/>
              </w:rPr>
              <w:t>2019</w:t>
            </w:r>
          </w:p>
        </w:tc>
        <w:tc>
          <w:tcPr>
            <w:tcW w:w="597" w:type="dxa"/>
            <w:noWrap/>
            <w:hideMark/>
          </w:tcPr>
          <w:p w14:paraId="030C6E62" w14:textId="77777777" w:rsidR="00B4516A" w:rsidRPr="00920AA1" w:rsidRDefault="00B4516A"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val="en-US"/>
              </w:rPr>
            </w:pPr>
            <w:r w:rsidRPr="00920AA1">
              <w:rPr>
                <w:rFonts w:ascii="Calibri" w:eastAsia="Times New Roman" w:hAnsi="Calibri" w:cs="Calibri"/>
                <w:b/>
                <w:bCs/>
                <w:color w:val="000000"/>
                <w:sz w:val="16"/>
                <w:szCs w:val="16"/>
                <w:lang w:val="en-US"/>
              </w:rPr>
              <w:t>1990</w:t>
            </w:r>
          </w:p>
        </w:tc>
        <w:tc>
          <w:tcPr>
            <w:tcW w:w="770" w:type="dxa"/>
            <w:noWrap/>
            <w:hideMark/>
          </w:tcPr>
          <w:p w14:paraId="0EF352A3" w14:textId="0EEADDF9" w:rsidR="00B4516A" w:rsidRPr="00920AA1" w:rsidRDefault="001F1014"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val="en-US"/>
              </w:rPr>
            </w:pPr>
            <w:r w:rsidRPr="00920AA1">
              <w:rPr>
                <w:rFonts w:ascii="Calibri" w:eastAsia="Times New Roman" w:hAnsi="Calibri" w:cs="Calibri"/>
                <w:b/>
                <w:bCs/>
                <w:color w:val="000000"/>
                <w:sz w:val="16"/>
                <w:szCs w:val="16"/>
                <w:lang w:val="en-US"/>
              </w:rPr>
              <w:t>2019</w:t>
            </w:r>
          </w:p>
        </w:tc>
        <w:tc>
          <w:tcPr>
            <w:tcW w:w="701" w:type="dxa"/>
            <w:noWrap/>
            <w:hideMark/>
          </w:tcPr>
          <w:p w14:paraId="27B5F110" w14:textId="77777777" w:rsidR="00B4516A" w:rsidRPr="00920AA1" w:rsidRDefault="00B4516A"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val="en-US"/>
              </w:rPr>
            </w:pPr>
            <w:r w:rsidRPr="00920AA1">
              <w:rPr>
                <w:rFonts w:ascii="Calibri" w:eastAsia="Times New Roman" w:hAnsi="Calibri" w:cs="Calibri"/>
                <w:b/>
                <w:bCs/>
                <w:color w:val="000000"/>
                <w:sz w:val="16"/>
                <w:szCs w:val="16"/>
                <w:lang w:val="en-US"/>
              </w:rPr>
              <w:t>1990</w:t>
            </w:r>
          </w:p>
        </w:tc>
        <w:tc>
          <w:tcPr>
            <w:tcW w:w="770" w:type="dxa"/>
            <w:noWrap/>
            <w:hideMark/>
          </w:tcPr>
          <w:p w14:paraId="09EDC5FD" w14:textId="63525CD1" w:rsidR="00B4516A" w:rsidRPr="00920AA1" w:rsidRDefault="001F1014"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6"/>
                <w:szCs w:val="16"/>
                <w:lang w:val="en-US"/>
              </w:rPr>
            </w:pPr>
            <w:r w:rsidRPr="00920AA1">
              <w:rPr>
                <w:rFonts w:ascii="Calibri" w:eastAsia="Times New Roman" w:hAnsi="Calibri" w:cs="Calibri"/>
                <w:b/>
                <w:bCs/>
                <w:color w:val="000000"/>
                <w:sz w:val="16"/>
                <w:szCs w:val="16"/>
                <w:lang w:val="en-US"/>
              </w:rPr>
              <w:t>2019</w:t>
            </w:r>
          </w:p>
        </w:tc>
      </w:tr>
      <w:tr w:rsidR="00371DED" w:rsidRPr="00D86B89" w14:paraId="0C492F46" w14:textId="77777777" w:rsidTr="00920AA1">
        <w:trPr>
          <w:trHeight w:val="438"/>
        </w:trPr>
        <w:tc>
          <w:tcPr>
            <w:cnfStyle w:val="001000000000" w:firstRow="0" w:lastRow="0" w:firstColumn="1" w:lastColumn="0" w:oddVBand="0" w:evenVBand="0" w:oddHBand="0" w:evenHBand="0" w:firstRowFirstColumn="0" w:firstRowLastColumn="0" w:lastRowFirstColumn="0" w:lastRowLastColumn="0"/>
            <w:tcW w:w="1260" w:type="dxa"/>
            <w:hideMark/>
          </w:tcPr>
          <w:p w14:paraId="07D37B42" w14:textId="77777777" w:rsidR="00993417" w:rsidRPr="00920AA1" w:rsidRDefault="00993417" w:rsidP="00993417">
            <w:pPr>
              <w:spacing w:after="0" w:line="240" w:lineRule="auto"/>
              <w:rPr>
                <w:rFonts w:ascii="Calibri" w:eastAsia="Times New Roman" w:hAnsi="Calibri" w:cs="Calibri"/>
                <w:b w:val="0"/>
                <w:color w:val="000000"/>
                <w:sz w:val="16"/>
                <w:szCs w:val="16"/>
                <w:lang w:val="en-US"/>
              </w:rPr>
            </w:pPr>
            <w:r w:rsidRPr="00920AA1">
              <w:rPr>
                <w:rFonts w:ascii="Calibri" w:eastAsia="Times New Roman" w:hAnsi="Calibri" w:cs="Calibri"/>
                <w:color w:val="000000"/>
                <w:sz w:val="16"/>
                <w:szCs w:val="16"/>
                <w:lang w:val="en-US"/>
              </w:rPr>
              <w:t>All causes</w:t>
            </w:r>
          </w:p>
        </w:tc>
        <w:tc>
          <w:tcPr>
            <w:tcW w:w="799" w:type="dxa"/>
            <w:noWrap/>
            <w:hideMark/>
          </w:tcPr>
          <w:p w14:paraId="572C3571" w14:textId="69BFA314" w:rsidR="00993417" w:rsidRPr="00920AA1" w:rsidRDefault="001F1014"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48,104</w:t>
            </w:r>
          </w:p>
        </w:tc>
        <w:tc>
          <w:tcPr>
            <w:tcW w:w="977" w:type="dxa"/>
            <w:noWrap/>
            <w:hideMark/>
          </w:tcPr>
          <w:p w14:paraId="560B1F2B" w14:textId="6B12DF41" w:rsidR="00993417" w:rsidRPr="00920AA1" w:rsidRDefault="00993417"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10</w:t>
            </w:r>
            <w:r w:rsidR="001F1014" w:rsidRPr="00920AA1">
              <w:rPr>
                <w:rFonts w:ascii="Calibri" w:eastAsia="Times New Roman" w:hAnsi="Calibri" w:cs="Calibri"/>
                <w:color w:val="000000"/>
                <w:sz w:val="16"/>
                <w:szCs w:val="16"/>
                <w:lang w:val="en-US"/>
              </w:rPr>
              <w:t>8</w:t>
            </w:r>
            <w:r w:rsidRPr="00920AA1">
              <w:rPr>
                <w:rFonts w:ascii="Calibri" w:eastAsia="Times New Roman" w:hAnsi="Calibri" w:cs="Calibri"/>
                <w:color w:val="000000"/>
                <w:sz w:val="16"/>
                <w:szCs w:val="16"/>
                <w:lang w:val="en-US"/>
              </w:rPr>
              <w:t>,</w:t>
            </w:r>
            <w:r w:rsidR="001F1014" w:rsidRPr="00920AA1">
              <w:rPr>
                <w:rFonts w:ascii="Calibri" w:eastAsia="Times New Roman" w:hAnsi="Calibri" w:cs="Calibri"/>
                <w:color w:val="000000"/>
                <w:sz w:val="16"/>
                <w:szCs w:val="16"/>
                <w:lang w:val="en-US"/>
              </w:rPr>
              <w:t>006</w:t>
            </w:r>
          </w:p>
        </w:tc>
        <w:tc>
          <w:tcPr>
            <w:tcW w:w="1115" w:type="dxa"/>
            <w:noWrap/>
            <w:hideMark/>
          </w:tcPr>
          <w:p w14:paraId="03B79CC7" w14:textId="2F2E1A82" w:rsidR="00993417" w:rsidRPr="00920AA1" w:rsidRDefault="00993417"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1,</w:t>
            </w:r>
            <w:r w:rsidR="001F1014" w:rsidRPr="00920AA1">
              <w:rPr>
                <w:rFonts w:ascii="Calibri" w:eastAsia="Times New Roman" w:hAnsi="Calibri" w:cs="Calibri"/>
                <w:color w:val="000000"/>
                <w:sz w:val="16"/>
                <w:szCs w:val="16"/>
                <w:lang w:val="en-US"/>
              </w:rPr>
              <w:t>334</w:t>
            </w:r>
            <w:r w:rsidRPr="00920AA1">
              <w:rPr>
                <w:rFonts w:ascii="Calibri" w:eastAsia="Times New Roman" w:hAnsi="Calibri" w:cs="Calibri"/>
                <w:color w:val="000000"/>
                <w:sz w:val="16"/>
                <w:szCs w:val="16"/>
                <w:lang w:val="en-US"/>
              </w:rPr>
              <w:t>,3</w:t>
            </w:r>
            <w:r w:rsidR="001F1014" w:rsidRPr="00920AA1">
              <w:rPr>
                <w:rFonts w:ascii="Calibri" w:eastAsia="Times New Roman" w:hAnsi="Calibri" w:cs="Calibri"/>
                <w:color w:val="000000"/>
                <w:sz w:val="16"/>
                <w:szCs w:val="16"/>
                <w:lang w:val="en-US"/>
              </w:rPr>
              <w:t>85</w:t>
            </w:r>
          </w:p>
        </w:tc>
        <w:tc>
          <w:tcPr>
            <w:tcW w:w="1322" w:type="dxa"/>
            <w:noWrap/>
            <w:hideMark/>
          </w:tcPr>
          <w:p w14:paraId="36061DD7" w14:textId="3B2FDB9A" w:rsidR="00993417" w:rsidRPr="00920AA1" w:rsidRDefault="001F1014"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3,014,886</w:t>
            </w:r>
          </w:p>
        </w:tc>
        <w:tc>
          <w:tcPr>
            <w:tcW w:w="597" w:type="dxa"/>
            <w:noWrap/>
            <w:hideMark/>
          </w:tcPr>
          <w:p w14:paraId="23B386A4" w14:textId="77777777" w:rsidR="00993417" w:rsidRPr="00920AA1" w:rsidRDefault="00993417"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100.0</w:t>
            </w:r>
          </w:p>
        </w:tc>
        <w:tc>
          <w:tcPr>
            <w:tcW w:w="770" w:type="dxa"/>
            <w:noWrap/>
            <w:hideMark/>
          </w:tcPr>
          <w:p w14:paraId="39410AA2" w14:textId="77777777" w:rsidR="00993417" w:rsidRPr="00920AA1" w:rsidRDefault="00993417"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100.0</w:t>
            </w:r>
          </w:p>
        </w:tc>
        <w:tc>
          <w:tcPr>
            <w:tcW w:w="701" w:type="dxa"/>
            <w:noWrap/>
            <w:hideMark/>
          </w:tcPr>
          <w:p w14:paraId="0F41C684" w14:textId="77777777" w:rsidR="00993417" w:rsidRPr="00920AA1" w:rsidRDefault="00993417"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100.0</w:t>
            </w:r>
          </w:p>
        </w:tc>
        <w:tc>
          <w:tcPr>
            <w:tcW w:w="770" w:type="dxa"/>
            <w:noWrap/>
            <w:hideMark/>
          </w:tcPr>
          <w:p w14:paraId="69696B60" w14:textId="77777777" w:rsidR="00993417" w:rsidRPr="00920AA1" w:rsidRDefault="00993417"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100.0</w:t>
            </w:r>
          </w:p>
        </w:tc>
      </w:tr>
      <w:tr w:rsidR="00371DED" w:rsidRPr="00D86B89" w14:paraId="334E187B" w14:textId="77777777" w:rsidTr="00920AA1">
        <w:trPr>
          <w:cnfStyle w:val="000000100000" w:firstRow="0" w:lastRow="0" w:firstColumn="0" w:lastColumn="0" w:oddVBand="0" w:evenVBand="0" w:oddHBand="1" w:evenHBand="0" w:firstRowFirstColumn="0" w:firstRowLastColumn="0" w:lastRowFirstColumn="0" w:lastRowLastColumn="0"/>
          <w:trHeight w:val="774"/>
        </w:trPr>
        <w:tc>
          <w:tcPr>
            <w:cnfStyle w:val="001000000000" w:firstRow="0" w:lastRow="0" w:firstColumn="1" w:lastColumn="0" w:oddVBand="0" w:evenVBand="0" w:oddHBand="0" w:evenHBand="0" w:firstRowFirstColumn="0" w:firstRowLastColumn="0" w:lastRowFirstColumn="0" w:lastRowLastColumn="0"/>
            <w:tcW w:w="1260" w:type="dxa"/>
            <w:hideMark/>
          </w:tcPr>
          <w:p w14:paraId="6EA74B65" w14:textId="77777777" w:rsidR="00993417" w:rsidRPr="00920AA1" w:rsidRDefault="00993417" w:rsidP="00993417">
            <w:pPr>
              <w:spacing w:after="0" w:line="240" w:lineRule="auto"/>
              <w:rPr>
                <w:rFonts w:ascii="Calibri" w:eastAsia="Times New Roman" w:hAnsi="Calibri" w:cs="Calibri"/>
                <w:b w:val="0"/>
                <w:color w:val="000000"/>
                <w:sz w:val="16"/>
                <w:szCs w:val="16"/>
                <w:lang w:val="en-US"/>
              </w:rPr>
            </w:pPr>
            <w:r w:rsidRPr="00920AA1">
              <w:rPr>
                <w:rFonts w:ascii="Calibri" w:eastAsia="Times New Roman" w:hAnsi="Calibri" w:cs="Calibri"/>
                <w:color w:val="000000"/>
                <w:sz w:val="16"/>
                <w:szCs w:val="16"/>
                <w:lang w:val="en-US"/>
              </w:rPr>
              <w:t>Communicable, maternal, neonatal, and nutritional diseases</w:t>
            </w:r>
          </w:p>
        </w:tc>
        <w:tc>
          <w:tcPr>
            <w:tcW w:w="799" w:type="dxa"/>
            <w:noWrap/>
            <w:hideMark/>
          </w:tcPr>
          <w:p w14:paraId="23046006" w14:textId="36086C14" w:rsidR="00993417" w:rsidRPr="00920AA1" w:rsidRDefault="00993417"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17,</w:t>
            </w:r>
            <w:r w:rsidR="001F1014" w:rsidRPr="00920AA1">
              <w:rPr>
                <w:rFonts w:ascii="Calibri" w:eastAsia="Times New Roman" w:hAnsi="Calibri" w:cs="Calibri"/>
                <w:color w:val="000000"/>
                <w:sz w:val="16"/>
                <w:szCs w:val="16"/>
                <w:lang w:val="en-US"/>
              </w:rPr>
              <w:t>552</w:t>
            </w:r>
          </w:p>
        </w:tc>
        <w:tc>
          <w:tcPr>
            <w:tcW w:w="977" w:type="dxa"/>
            <w:noWrap/>
            <w:hideMark/>
          </w:tcPr>
          <w:p w14:paraId="79E4833E" w14:textId="7C26F987" w:rsidR="00993417" w:rsidRPr="00920AA1" w:rsidRDefault="00993417"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30,</w:t>
            </w:r>
            <w:r w:rsidR="001F1014" w:rsidRPr="00920AA1">
              <w:rPr>
                <w:rFonts w:ascii="Calibri" w:eastAsia="Times New Roman" w:hAnsi="Calibri" w:cs="Calibri"/>
                <w:color w:val="000000"/>
                <w:sz w:val="16"/>
                <w:szCs w:val="16"/>
                <w:lang w:val="en-US"/>
              </w:rPr>
              <w:t>663</w:t>
            </w:r>
          </w:p>
        </w:tc>
        <w:tc>
          <w:tcPr>
            <w:tcW w:w="1115" w:type="dxa"/>
            <w:noWrap/>
            <w:hideMark/>
          </w:tcPr>
          <w:p w14:paraId="4E8BE326" w14:textId="7E3FAE12" w:rsidR="00993417" w:rsidRPr="00920AA1" w:rsidRDefault="001F1014"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456,118</w:t>
            </w:r>
          </w:p>
        </w:tc>
        <w:tc>
          <w:tcPr>
            <w:tcW w:w="1322" w:type="dxa"/>
            <w:noWrap/>
            <w:hideMark/>
          </w:tcPr>
          <w:p w14:paraId="67960BEF" w14:textId="6C05D675" w:rsidR="00993417" w:rsidRPr="00920AA1" w:rsidRDefault="00993417"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7</w:t>
            </w:r>
            <w:r w:rsidR="001F1014" w:rsidRPr="00920AA1">
              <w:rPr>
                <w:rFonts w:ascii="Calibri" w:eastAsia="Times New Roman" w:hAnsi="Calibri" w:cs="Calibri"/>
                <w:color w:val="000000"/>
                <w:sz w:val="16"/>
                <w:szCs w:val="16"/>
                <w:lang w:val="en-US"/>
              </w:rPr>
              <w:t>90,715</w:t>
            </w:r>
          </w:p>
        </w:tc>
        <w:tc>
          <w:tcPr>
            <w:tcW w:w="597" w:type="dxa"/>
            <w:noWrap/>
            <w:hideMark/>
          </w:tcPr>
          <w:p w14:paraId="0254B595" w14:textId="43F482AD" w:rsidR="00993417" w:rsidRPr="00920AA1" w:rsidRDefault="00993417"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3</w:t>
            </w:r>
            <w:r w:rsidR="001F1014" w:rsidRPr="00920AA1">
              <w:rPr>
                <w:rFonts w:ascii="Calibri" w:eastAsia="Times New Roman" w:hAnsi="Calibri" w:cs="Calibri"/>
                <w:color w:val="000000"/>
                <w:sz w:val="16"/>
                <w:szCs w:val="16"/>
                <w:lang w:val="en-US"/>
              </w:rPr>
              <w:t>6</w:t>
            </w:r>
            <w:r w:rsidRPr="00920AA1">
              <w:rPr>
                <w:rFonts w:ascii="Calibri" w:eastAsia="Times New Roman" w:hAnsi="Calibri" w:cs="Calibri"/>
                <w:color w:val="000000"/>
                <w:sz w:val="16"/>
                <w:szCs w:val="16"/>
                <w:lang w:val="en-US"/>
              </w:rPr>
              <w:t>.</w:t>
            </w:r>
            <w:r w:rsidR="001F1014" w:rsidRPr="00920AA1">
              <w:rPr>
                <w:rFonts w:ascii="Calibri" w:eastAsia="Times New Roman" w:hAnsi="Calibri" w:cs="Calibri"/>
                <w:color w:val="000000"/>
                <w:sz w:val="16"/>
                <w:szCs w:val="16"/>
                <w:lang w:val="en-US"/>
              </w:rPr>
              <w:t>4</w:t>
            </w:r>
          </w:p>
        </w:tc>
        <w:tc>
          <w:tcPr>
            <w:tcW w:w="770" w:type="dxa"/>
            <w:noWrap/>
            <w:hideMark/>
          </w:tcPr>
          <w:p w14:paraId="06C6BBDF" w14:textId="18D137E0" w:rsidR="00993417" w:rsidRPr="00920AA1" w:rsidRDefault="00993417"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2</w:t>
            </w:r>
            <w:r w:rsidR="001F1014" w:rsidRPr="00920AA1">
              <w:rPr>
                <w:rFonts w:ascii="Calibri" w:eastAsia="Times New Roman" w:hAnsi="Calibri" w:cs="Calibri"/>
                <w:color w:val="000000"/>
                <w:sz w:val="16"/>
                <w:szCs w:val="16"/>
                <w:lang w:val="en-US"/>
              </w:rPr>
              <w:t>8</w:t>
            </w:r>
            <w:r w:rsidRPr="00920AA1">
              <w:rPr>
                <w:rFonts w:ascii="Calibri" w:eastAsia="Times New Roman" w:hAnsi="Calibri" w:cs="Calibri"/>
                <w:color w:val="000000"/>
                <w:sz w:val="16"/>
                <w:szCs w:val="16"/>
                <w:lang w:val="en-US"/>
              </w:rPr>
              <w:t>.</w:t>
            </w:r>
            <w:r w:rsidR="001F1014" w:rsidRPr="00920AA1">
              <w:rPr>
                <w:rFonts w:ascii="Calibri" w:eastAsia="Times New Roman" w:hAnsi="Calibri" w:cs="Calibri"/>
                <w:color w:val="000000"/>
                <w:sz w:val="16"/>
                <w:szCs w:val="16"/>
                <w:lang w:val="en-US"/>
              </w:rPr>
              <w:t>4</w:t>
            </w:r>
          </w:p>
        </w:tc>
        <w:tc>
          <w:tcPr>
            <w:tcW w:w="701" w:type="dxa"/>
            <w:noWrap/>
            <w:hideMark/>
          </w:tcPr>
          <w:p w14:paraId="112209F9" w14:textId="2D59574E" w:rsidR="00993417" w:rsidRPr="00920AA1" w:rsidRDefault="00993417"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3</w:t>
            </w:r>
            <w:r w:rsidR="001F1014" w:rsidRPr="00920AA1">
              <w:rPr>
                <w:rFonts w:ascii="Calibri" w:eastAsia="Times New Roman" w:hAnsi="Calibri" w:cs="Calibri"/>
                <w:color w:val="000000"/>
                <w:sz w:val="16"/>
                <w:szCs w:val="16"/>
                <w:lang w:val="en-US"/>
              </w:rPr>
              <w:t>3.9</w:t>
            </w:r>
          </w:p>
        </w:tc>
        <w:tc>
          <w:tcPr>
            <w:tcW w:w="770" w:type="dxa"/>
            <w:noWrap/>
            <w:hideMark/>
          </w:tcPr>
          <w:p w14:paraId="61E54327" w14:textId="57771763" w:rsidR="00993417" w:rsidRPr="00920AA1" w:rsidRDefault="00993417"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26.</w:t>
            </w:r>
            <w:r w:rsidR="001F1014" w:rsidRPr="00920AA1">
              <w:rPr>
                <w:rFonts w:ascii="Calibri" w:eastAsia="Times New Roman" w:hAnsi="Calibri" w:cs="Calibri"/>
                <w:color w:val="000000"/>
                <w:sz w:val="16"/>
                <w:szCs w:val="16"/>
                <w:lang w:val="en-US"/>
              </w:rPr>
              <w:t>2</w:t>
            </w:r>
          </w:p>
        </w:tc>
      </w:tr>
      <w:tr w:rsidR="00371DED" w:rsidRPr="00D86B89" w14:paraId="0E5F4831" w14:textId="77777777" w:rsidTr="00920AA1">
        <w:trPr>
          <w:trHeight w:val="384"/>
        </w:trPr>
        <w:tc>
          <w:tcPr>
            <w:cnfStyle w:val="001000000000" w:firstRow="0" w:lastRow="0" w:firstColumn="1" w:lastColumn="0" w:oddVBand="0" w:evenVBand="0" w:oddHBand="0" w:evenHBand="0" w:firstRowFirstColumn="0" w:firstRowLastColumn="0" w:lastRowFirstColumn="0" w:lastRowLastColumn="0"/>
            <w:tcW w:w="1260" w:type="dxa"/>
            <w:hideMark/>
          </w:tcPr>
          <w:p w14:paraId="560DF8A7" w14:textId="3B8B3B52" w:rsidR="00993417" w:rsidRPr="00920AA1" w:rsidRDefault="00FD4A6D" w:rsidP="00993417">
            <w:pPr>
              <w:spacing w:after="0" w:line="240" w:lineRule="auto"/>
              <w:rPr>
                <w:rFonts w:ascii="Calibri" w:eastAsia="Times New Roman" w:hAnsi="Calibri" w:cs="Calibri"/>
                <w:b w:val="0"/>
                <w:color w:val="000000"/>
                <w:sz w:val="16"/>
                <w:szCs w:val="16"/>
                <w:lang w:val="en-US"/>
              </w:rPr>
            </w:pPr>
            <w:r w:rsidRPr="00920AA1">
              <w:rPr>
                <w:rFonts w:ascii="Calibri" w:eastAsia="Times New Roman" w:hAnsi="Calibri" w:cs="Calibri"/>
                <w:color w:val="000000"/>
                <w:sz w:val="16"/>
                <w:szCs w:val="16"/>
                <w:lang w:val="en-US"/>
              </w:rPr>
              <w:t>NCDs</w:t>
            </w:r>
          </w:p>
        </w:tc>
        <w:tc>
          <w:tcPr>
            <w:tcW w:w="799" w:type="dxa"/>
            <w:noWrap/>
            <w:hideMark/>
          </w:tcPr>
          <w:p w14:paraId="710913EE" w14:textId="0EC918D2" w:rsidR="00993417" w:rsidRPr="00920AA1" w:rsidRDefault="001F1014"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28,481</w:t>
            </w:r>
          </w:p>
        </w:tc>
        <w:tc>
          <w:tcPr>
            <w:tcW w:w="977" w:type="dxa"/>
            <w:noWrap/>
            <w:hideMark/>
          </w:tcPr>
          <w:p w14:paraId="044E7592" w14:textId="53C9DA53" w:rsidR="00993417" w:rsidRPr="00920AA1" w:rsidRDefault="001F1014"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72,435</w:t>
            </w:r>
          </w:p>
        </w:tc>
        <w:tc>
          <w:tcPr>
            <w:tcW w:w="1115" w:type="dxa"/>
            <w:noWrap/>
            <w:hideMark/>
          </w:tcPr>
          <w:p w14:paraId="510108ED" w14:textId="01C9782D" w:rsidR="00993417" w:rsidRPr="00920AA1" w:rsidRDefault="001F1014"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819,147</w:t>
            </w:r>
          </w:p>
        </w:tc>
        <w:tc>
          <w:tcPr>
            <w:tcW w:w="1322" w:type="dxa"/>
            <w:noWrap/>
            <w:hideMark/>
          </w:tcPr>
          <w:p w14:paraId="2FC0505A" w14:textId="2913F78B" w:rsidR="00993417" w:rsidRPr="00920AA1" w:rsidRDefault="00371DED"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2,057,711</w:t>
            </w:r>
          </w:p>
        </w:tc>
        <w:tc>
          <w:tcPr>
            <w:tcW w:w="597" w:type="dxa"/>
            <w:noWrap/>
            <w:hideMark/>
          </w:tcPr>
          <w:p w14:paraId="7FD767E1" w14:textId="3A213439" w:rsidR="00993417" w:rsidRPr="00920AA1" w:rsidRDefault="00993417"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5</w:t>
            </w:r>
            <w:r w:rsidR="00371DED" w:rsidRPr="00920AA1">
              <w:rPr>
                <w:rFonts w:ascii="Calibri" w:eastAsia="Times New Roman" w:hAnsi="Calibri" w:cs="Calibri"/>
                <w:color w:val="000000"/>
                <w:sz w:val="16"/>
                <w:szCs w:val="16"/>
                <w:lang w:val="en-US"/>
              </w:rPr>
              <w:t>9</w:t>
            </w:r>
            <w:r w:rsidRPr="00920AA1">
              <w:rPr>
                <w:rFonts w:ascii="Calibri" w:eastAsia="Times New Roman" w:hAnsi="Calibri" w:cs="Calibri"/>
                <w:color w:val="000000"/>
                <w:sz w:val="16"/>
                <w:szCs w:val="16"/>
                <w:lang w:val="en-US"/>
              </w:rPr>
              <w:t>.</w:t>
            </w:r>
            <w:r w:rsidR="00371DED" w:rsidRPr="00920AA1">
              <w:rPr>
                <w:rFonts w:ascii="Calibri" w:eastAsia="Times New Roman" w:hAnsi="Calibri" w:cs="Calibri"/>
                <w:color w:val="000000"/>
                <w:sz w:val="16"/>
                <w:szCs w:val="16"/>
                <w:lang w:val="en-US"/>
              </w:rPr>
              <w:t>2</w:t>
            </w:r>
          </w:p>
        </w:tc>
        <w:tc>
          <w:tcPr>
            <w:tcW w:w="770" w:type="dxa"/>
            <w:noWrap/>
            <w:hideMark/>
          </w:tcPr>
          <w:p w14:paraId="05B9251E" w14:textId="26DD4B8C" w:rsidR="00993417" w:rsidRPr="00920AA1" w:rsidRDefault="00993417"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6</w:t>
            </w:r>
            <w:r w:rsidR="00371DED" w:rsidRPr="00920AA1">
              <w:rPr>
                <w:rFonts w:ascii="Calibri" w:eastAsia="Times New Roman" w:hAnsi="Calibri" w:cs="Calibri"/>
                <w:color w:val="000000"/>
                <w:sz w:val="16"/>
                <w:szCs w:val="16"/>
                <w:lang w:val="en-US"/>
              </w:rPr>
              <w:t>7.1</w:t>
            </w:r>
          </w:p>
        </w:tc>
        <w:tc>
          <w:tcPr>
            <w:tcW w:w="701" w:type="dxa"/>
            <w:noWrap/>
            <w:hideMark/>
          </w:tcPr>
          <w:p w14:paraId="2AD1A579" w14:textId="12A7EF5C" w:rsidR="00993417" w:rsidRPr="00920AA1" w:rsidRDefault="00371DED"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60.9</w:t>
            </w:r>
          </w:p>
        </w:tc>
        <w:tc>
          <w:tcPr>
            <w:tcW w:w="770" w:type="dxa"/>
            <w:noWrap/>
            <w:hideMark/>
          </w:tcPr>
          <w:p w14:paraId="47C5E7ED" w14:textId="4F966A6C" w:rsidR="00993417" w:rsidRPr="00920AA1" w:rsidRDefault="00993417" w:rsidP="0099341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6</w:t>
            </w:r>
            <w:r w:rsidR="00371DED" w:rsidRPr="00920AA1">
              <w:rPr>
                <w:rFonts w:ascii="Calibri" w:eastAsia="Times New Roman" w:hAnsi="Calibri" w:cs="Calibri"/>
                <w:color w:val="000000"/>
                <w:sz w:val="16"/>
                <w:szCs w:val="16"/>
                <w:lang w:val="en-US"/>
              </w:rPr>
              <w:t>8.3</w:t>
            </w:r>
          </w:p>
        </w:tc>
      </w:tr>
      <w:tr w:rsidR="00371DED" w:rsidRPr="00D86B89" w14:paraId="5587F7E0" w14:textId="77777777" w:rsidTr="00920AA1">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260" w:type="dxa"/>
            <w:hideMark/>
          </w:tcPr>
          <w:p w14:paraId="78613226" w14:textId="77777777" w:rsidR="00993417" w:rsidRPr="00920AA1" w:rsidRDefault="00993417" w:rsidP="00993417">
            <w:pPr>
              <w:spacing w:after="0" w:line="240" w:lineRule="auto"/>
              <w:rPr>
                <w:rFonts w:ascii="Calibri" w:eastAsia="Times New Roman" w:hAnsi="Calibri" w:cs="Calibri"/>
                <w:b w:val="0"/>
                <w:color w:val="000000"/>
                <w:sz w:val="16"/>
                <w:szCs w:val="16"/>
                <w:lang w:val="en-US"/>
              </w:rPr>
            </w:pPr>
            <w:r w:rsidRPr="00920AA1">
              <w:rPr>
                <w:rFonts w:ascii="Calibri" w:eastAsia="Times New Roman" w:hAnsi="Calibri" w:cs="Calibri"/>
                <w:color w:val="000000"/>
                <w:sz w:val="16"/>
                <w:szCs w:val="16"/>
                <w:lang w:val="en-US"/>
              </w:rPr>
              <w:t>Injuries</w:t>
            </w:r>
          </w:p>
        </w:tc>
        <w:tc>
          <w:tcPr>
            <w:tcW w:w="799" w:type="dxa"/>
            <w:noWrap/>
            <w:hideMark/>
          </w:tcPr>
          <w:p w14:paraId="43CDDE68" w14:textId="587D8E72" w:rsidR="00993417" w:rsidRPr="00920AA1" w:rsidRDefault="00371DED"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2,904</w:t>
            </w:r>
          </w:p>
        </w:tc>
        <w:tc>
          <w:tcPr>
            <w:tcW w:w="977" w:type="dxa"/>
            <w:noWrap/>
            <w:hideMark/>
          </w:tcPr>
          <w:p w14:paraId="4BDA0656" w14:textId="63CE83C1" w:rsidR="00993417" w:rsidRPr="00920AA1" w:rsidRDefault="00371DED"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4,908</w:t>
            </w:r>
          </w:p>
        </w:tc>
        <w:tc>
          <w:tcPr>
            <w:tcW w:w="1115" w:type="dxa"/>
            <w:noWrap/>
            <w:hideMark/>
          </w:tcPr>
          <w:p w14:paraId="0631E0D2" w14:textId="04A162E0" w:rsidR="00993417" w:rsidRPr="00920AA1" w:rsidRDefault="00371DED"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69,120</w:t>
            </w:r>
          </w:p>
        </w:tc>
        <w:tc>
          <w:tcPr>
            <w:tcW w:w="1322" w:type="dxa"/>
            <w:noWrap/>
            <w:hideMark/>
          </w:tcPr>
          <w:p w14:paraId="428A8805" w14:textId="3E5AE419" w:rsidR="00993417" w:rsidRPr="00920AA1" w:rsidRDefault="00371DED"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166,461</w:t>
            </w:r>
          </w:p>
        </w:tc>
        <w:tc>
          <w:tcPr>
            <w:tcW w:w="597" w:type="dxa"/>
            <w:noWrap/>
            <w:hideMark/>
          </w:tcPr>
          <w:p w14:paraId="5790F657" w14:textId="3FED59D1" w:rsidR="00993417" w:rsidRPr="00920AA1" w:rsidRDefault="00371DED"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4.4</w:t>
            </w:r>
          </w:p>
        </w:tc>
        <w:tc>
          <w:tcPr>
            <w:tcW w:w="770" w:type="dxa"/>
            <w:noWrap/>
            <w:hideMark/>
          </w:tcPr>
          <w:p w14:paraId="6F474F3B" w14:textId="0F9B6C63" w:rsidR="00993417" w:rsidRPr="00920AA1" w:rsidRDefault="00371DED"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4.5</w:t>
            </w:r>
          </w:p>
        </w:tc>
        <w:tc>
          <w:tcPr>
            <w:tcW w:w="701" w:type="dxa"/>
            <w:noWrap/>
            <w:hideMark/>
          </w:tcPr>
          <w:p w14:paraId="1DB76C4B" w14:textId="5899D40D" w:rsidR="00993417" w:rsidRPr="00920AA1" w:rsidRDefault="00993417"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5.</w:t>
            </w:r>
            <w:r w:rsidR="00371DED" w:rsidRPr="00920AA1">
              <w:rPr>
                <w:rFonts w:ascii="Calibri" w:eastAsia="Times New Roman" w:hAnsi="Calibri" w:cs="Calibri"/>
                <w:color w:val="000000"/>
                <w:sz w:val="16"/>
                <w:szCs w:val="16"/>
                <w:lang w:val="en-US"/>
              </w:rPr>
              <w:t>1</w:t>
            </w:r>
          </w:p>
        </w:tc>
        <w:tc>
          <w:tcPr>
            <w:tcW w:w="770" w:type="dxa"/>
            <w:noWrap/>
            <w:hideMark/>
          </w:tcPr>
          <w:p w14:paraId="20C2356A" w14:textId="2068D882" w:rsidR="00993417" w:rsidRPr="00920AA1" w:rsidRDefault="00371DED" w:rsidP="0099341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6"/>
                <w:szCs w:val="16"/>
                <w:lang w:val="en-US"/>
              </w:rPr>
            </w:pPr>
            <w:r w:rsidRPr="00920AA1">
              <w:rPr>
                <w:rFonts w:ascii="Calibri" w:eastAsia="Times New Roman" w:hAnsi="Calibri" w:cs="Calibri"/>
                <w:color w:val="000000"/>
                <w:sz w:val="16"/>
                <w:szCs w:val="16"/>
                <w:lang w:val="en-US"/>
              </w:rPr>
              <w:t>5.5</w:t>
            </w:r>
          </w:p>
        </w:tc>
      </w:tr>
    </w:tbl>
    <w:p w14:paraId="0B60ED29" w14:textId="5F7303FB" w:rsidR="0030286A" w:rsidRPr="00000849" w:rsidRDefault="005C068F" w:rsidP="00E13AFB">
      <w:pPr>
        <w:pStyle w:val="NormalWeb"/>
        <w:shd w:val="clear" w:color="auto" w:fill="FFFFFF"/>
        <w:spacing w:before="0" w:beforeAutospacing="0" w:after="165" w:afterAutospacing="0" w:line="480" w:lineRule="auto"/>
        <w:ind w:firstLine="284"/>
        <w:jc w:val="both"/>
        <w:rPr>
          <w:rFonts w:asciiTheme="minorHAnsi" w:hAnsiTheme="minorHAnsi" w:cstheme="minorHAnsi"/>
          <w:sz w:val="18"/>
          <w:szCs w:val="18"/>
        </w:rPr>
      </w:pPr>
      <w:r w:rsidRPr="00000849">
        <w:rPr>
          <w:rFonts w:asciiTheme="minorHAnsi" w:hAnsiTheme="minorHAnsi" w:cstheme="minorHAnsi"/>
          <w:sz w:val="18"/>
          <w:szCs w:val="18"/>
        </w:rPr>
        <w:t xml:space="preserve">Source : Global Burden of Disease </w:t>
      </w:r>
      <w:r w:rsidR="00C72FE1" w:rsidRPr="00000849">
        <w:rPr>
          <w:rFonts w:asciiTheme="minorHAnsi" w:hAnsiTheme="minorHAnsi" w:cstheme="minorHAnsi"/>
          <w:sz w:val="18"/>
          <w:szCs w:val="18"/>
        </w:rPr>
        <w:t xml:space="preserve">Study </w:t>
      </w:r>
      <w:r w:rsidRPr="00000849">
        <w:rPr>
          <w:rFonts w:asciiTheme="minorHAnsi" w:hAnsiTheme="minorHAnsi" w:cstheme="minorHAnsi"/>
          <w:sz w:val="18"/>
          <w:szCs w:val="18"/>
        </w:rPr>
        <w:t>201</w:t>
      </w:r>
      <w:r w:rsidR="00371DED">
        <w:rPr>
          <w:rFonts w:asciiTheme="minorHAnsi" w:hAnsiTheme="minorHAnsi" w:cstheme="minorHAnsi"/>
          <w:sz w:val="18"/>
          <w:szCs w:val="18"/>
        </w:rPr>
        <w:t>9</w:t>
      </w:r>
      <w:r w:rsidR="00D86B89">
        <w:rPr>
          <w:rFonts w:asciiTheme="minorHAnsi" w:hAnsiTheme="minorHAnsi" w:cstheme="minorHAnsi"/>
          <w:sz w:val="18"/>
          <w:szCs w:val="18"/>
        </w:rPr>
        <w:t xml:space="preserve"> </w:t>
      </w:r>
      <w:r w:rsidR="00D86B89">
        <w:rPr>
          <w:rFonts w:asciiTheme="minorHAnsi" w:hAnsiTheme="minorHAnsi" w:cstheme="minorHAnsi"/>
          <w:sz w:val="18"/>
          <w:szCs w:val="18"/>
        </w:rPr>
        <w:fldChar w:fldCharType="begin"/>
      </w:r>
      <w:r w:rsidR="00D86B89">
        <w:rPr>
          <w:rFonts w:asciiTheme="minorHAnsi" w:hAnsiTheme="minorHAnsi" w:cstheme="minorHAnsi"/>
          <w:sz w:val="18"/>
          <w:szCs w:val="18"/>
        </w:rPr>
        <w:instrText xml:space="preserve"> ADDIN EN.CITE &lt;EndNote&gt;&lt;Cite&gt;&lt;Author&gt;IHME&lt;/Author&gt;&lt;Year&gt;2020&lt;/Year&gt;&lt;RecNum&gt;1720&lt;/RecNum&gt;&lt;DisplayText&gt;(IHME, 2020)&lt;/DisplayText&gt;&lt;record&gt;&lt;rec-number&gt;1720&lt;/rec-number&gt;&lt;foreign-keys&gt;&lt;key app="EN" db-id="9tzf2rda8re2a9es5tuxart3swzx2zws2s02" timestamp="1620260071"&gt;1720&lt;/key&gt;&lt;/foreign-keys&gt;&lt;ref-type name="Online Database"&gt;45&lt;/ref-type&gt;&lt;contributors&gt;&lt;authors&gt;&lt;author&gt;IHME,&lt;/author&gt;&lt;/authors&gt;&lt;/contributors&gt;&lt;titles&gt;&lt;title&gt;Global Burden of Disease Study 2019 (GBD 2019) Results.&lt;/title&gt;&lt;/titles&gt;&lt;dates&gt;&lt;year&gt;2020&lt;/year&gt;&lt;pub-dates&gt;&lt;date&gt;20 December 2020&lt;/date&gt;&lt;/pub-dates&gt;&lt;/dates&gt;&lt;pub-location&gt;Seattle, United States&lt;/pub-location&gt;&lt;publisher&gt;Institute for Health Metrics and Evaluation (IHME)&lt;/publisher&gt;&lt;urls&gt;&lt;related-urls&gt;&lt;url&gt;http://ghdx.healthdata.org/gbd-results-tool&lt;/url&gt;&lt;/related-urls&gt;&lt;/urls&gt;&lt;/record&gt;&lt;/Cite&gt;&lt;/EndNote&gt;</w:instrText>
      </w:r>
      <w:r w:rsidR="00D86B89">
        <w:rPr>
          <w:rFonts w:asciiTheme="minorHAnsi" w:hAnsiTheme="minorHAnsi" w:cstheme="minorHAnsi"/>
          <w:sz w:val="18"/>
          <w:szCs w:val="18"/>
        </w:rPr>
        <w:fldChar w:fldCharType="separate"/>
      </w:r>
      <w:r w:rsidR="00D86B89">
        <w:rPr>
          <w:rFonts w:asciiTheme="minorHAnsi" w:hAnsiTheme="minorHAnsi" w:cstheme="minorHAnsi"/>
          <w:noProof/>
          <w:sz w:val="18"/>
          <w:szCs w:val="18"/>
        </w:rPr>
        <w:t>(IHME, 2020)</w:t>
      </w:r>
      <w:r w:rsidR="00D86B89">
        <w:rPr>
          <w:rFonts w:asciiTheme="minorHAnsi" w:hAnsiTheme="minorHAnsi" w:cstheme="minorHAnsi"/>
          <w:sz w:val="18"/>
          <w:szCs w:val="18"/>
        </w:rPr>
        <w:fldChar w:fldCharType="end"/>
      </w:r>
      <w:r w:rsidR="00F7170B" w:rsidRPr="00000849">
        <w:rPr>
          <w:rFonts w:asciiTheme="minorHAnsi" w:hAnsiTheme="minorHAnsi" w:cstheme="minorHAnsi"/>
          <w:sz w:val="18"/>
          <w:szCs w:val="18"/>
        </w:rPr>
        <w:t>; DALYs = disability-adjusted life years</w:t>
      </w:r>
      <w:r w:rsidR="00FD4A6D" w:rsidRPr="00000849">
        <w:rPr>
          <w:rFonts w:asciiTheme="minorHAnsi" w:hAnsiTheme="minorHAnsi" w:cstheme="minorHAnsi"/>
          <w:sz w:val="18"/>
          <w:szCs w:val="18"/>
        </w:rPr>
        <w:t xml:space="preserve">; NCDs = </w:t>
      </w:r>
      <w:r w:rsidR="00FD4A6D" w:rsidRPr="00000849">
        <w:rPr>
          <w:rFonts w:ascii="Calibri" w:hAnsi="Calibri" w:cs="Calibri"/>
          <w:bCs/>
          <w:color w:val="000000"/>
          <w:sz w:val="18"/>
          <w:szCs w:val="18"/>
          <w:lang w:val="en-US"/>
        </w:rPr>
        <w:t xml:space="preserve">Non-communicable diseases </w:t>
      </w:r>
    </w:p>
    <w:p w14:paraId="61EA5B1E" w14:textId="449CDFCE" w:rsidR="009D10BA" w:rsidRPr="00000849" w:rsidRDefault="009D10BA" w:rsidP="00467A04">
      <w:pPr>
        <w:spacing w:line="480" w:lineRule="auto"/>
        <w:rPr>
          <w:sz w:val="24"/>
          <w:szCs w:val="24"/>
        </w:rPr>
      </w:pPr>
    </w:p>
    <w:p w14:paraId="5142B1B5" w14:textId="594DB997" w:rsidR="00186ADC" w:rsidRPr="00000849" w:rsidRDefault="00186ADC" w:rsidP="00186ADC">
      <w:pPr>
        <w:spacing w:line="480" w:lineRule="auto"/>
        <w:ind w:firstLine="630"/>
        <w:jc w:val="both"/>
        <w:rPr>
          <w:sz w:val="24"/>
          <w:szCs w:val="24"/>
        </w:rPr>
      </w:pPr>
      <w:r w:rsidRPr="00000849">
        <w:rPr>
          <w:rFonts w:cstheme="minorHAnsi"/>
          <w:sz w:val="24"/>
          <w:szCs w:val="24"/>
        </w:rPr>
        <w:lastRenderedPageBreak/>
        <w:t>Similarly, the share of the total disability-adjusted life years (DALYs)</w:t>
      </w:r>
      <w:r w:rsidRPr="00000849">
        <w:rPr>
          <w:rStyle w:val="FootnoteReference"/>
          <w:rFonts w:cstheme="minorHAnsi"/>
          <w:sz w:val="24"/>
          <w:szCs w:val="24"/>
        </w:rPr>
        <w:footnoteReference w:id="3"/>
      </w:r>
      <w:r w:rsidRPr="00000849">
        <w:rPr>
          <w:rFonts w:cstheme="minorHAnsi"/>
          <w:sz w:val="24"/>
          <w:szCs w:val="24"/>
        </w:rPr>
        <w:t xml:space="preserve"> due to NCDs in Ghana increased from </w:t>
      </w:r>
      <w:r w:rsidR="00D86B89" w:rsidRPr="00000849">
        <w:rPr>
          <w:rFonts w:cstheme="minorHAnsi"/>
          <w:sz w:val="24"/>
          <w:szCs w:val="24"/>
        </w:rPr>
        <w:t>2</w:t>
      </w:r>
      <w:r w:rsidR="00D86B89">
        <w:rPr>
          <w:rFonts w:cstheme="minorHAnsi"/>
          <w:sz w:val="24"/>
          <w:szCs w:val="24"/>
        </w:rPr>
        <w:t>2</w:t>
      </w:r>
      <w:r w:rsidRPr="00000849">
        <w:rPr>
          <w:rFonts w:cstheme="minorHAnsi"/>
          <w:sz w:val="24"/>
          <w:szCs w:val="24"/>
        </w:rPr>
        <w:t>.</w:t>
      </w:r>
      <w:r w:rsidR="00D86B89">
        <w:rPr>
          <w:rFonts w:cstheme="minorHAnsi"/>
          <w:sz w:val="24"/>
          <w:szCs w:val="24"/>
        </w:rPr>
        <w:t>0</w:t>
      </w:r>
      <w:r w:rsidRPr="00000849">
        <w:rPr>
          <w:rFonts w:cstheme="minorHAnsi"/>
          <w:sz w:val="24"/>
          <w:szCs w:val="24"/>
        </w:rPr>
        <w:t xml:space="preserve">% to </w:t>
      </w:r>
      <w:r w:rsidR="00356471">
        <w:rPr>
          <w:rFonts w:cstheme="minorHAnsi"/>
          <w:sz w:val="24"/>
          <w:szCs w:val="24"/>
        </w:rPr>
        <w:t>40</w:t>
      </w:r>
      <w:r w:rsidRPr="00000849">
        <w:rPr>
          <w:rFonts w:cstheme="minorHAnsi"/>
          <w:sz w:val="24"/>
          <w:szCs w:val="24"/>
        </w:rPr>
        <w:t>.</w:t>
      </w:r>
      <w:r w:rsidR="00356471">
        <w:rPr>
          <w:rFonts w:cstheme="minorHAnsi"/>
          <w:sz w:val="24"/>
          <w:szCs w:val="24"/>
        </w:rPr>
        <w:t>6</w:t>
      </w:r>
      <w:r w:rsidRPr="00000849">
        <w:rPr>
          <w:rFonts w:cstheme="minorHAnsi"/>
          <w:sz w:val="24"/>
          <w:szCs w:val="24"/>
        </w:rPr>
        <w:t xml:space="preserve">% in all ages and from </w:t>
      </w:r>
      <w:r w:rsidR="00356471">
        <w:rPr>
          <w:rFonts w:cstheme="minorHAnsi"/>
          <w:sz w:val="24"/>
          <w:szCs w:val="24"/>
        </w:rPr>
        <w:t>60.</w:t>
      </w:r>
      <w:r w:rsidRPr="00000849">
        <w:rPr>
          <w:rFonts w:cstheme="minorHAnsi"/>
          <w:sz w:val="24"/>
          <w:szCs w:val="24"/>
        </w:rPr>
        <w:t>9% to 6</w:t>
      </w:r>
      <w:r w:rsidR="00356471">
        <w:rPr>
          <w:rFonts w:cstheme="minorHAnsi"/>
          <w:sz w:val="24"/>
          <w:szCs w:val="24"/>
        </w:rPr>
        <w:t>8</w:t>
      </w:r>
      <w:r w:rsidRPr="00000849">
        <w:rPr>
          <w:rFonts w:cstheme="minorHAnsi"/>
          <w:sz w:val="24"/>
          <w:szCs w:val="24"/>
        </w:rPr>
        <w:t>.</w:t>
      </w:r>
      <w:r w:rsidR="00356471">
        <w:rPr>
          <w:rFonts w:cstheme="minorHAnsi"/>
          <w:sz w:val="24"/>
          <w:szCs w:val="24"/>
        </w:rPr>
        <w:t>3</w:t>
      </w:r>
      <w:r w:rsidRPr="00000849">
        <w:rPr>
          <w:rFonts w:cstheme="minorHAnsi"/>
          <w:sz w:val="24"/>
          <w:szCs w:val="24"/>
        </w:rPr>
        <w:t>% in those aged ≥50 years over the same period.</w:t>
      </w:r>
    </w:p>
    <w:p w14:paraId="507407D2" w14:textId="5DF22360" w:rsidR="004F5C19" w:rsidRPr="00000849" w:rsidRDefault="00841DFF" w:rsidP="004F5C19">
      <w:pPr>
        <w:pStyle w:val="NormalWeb"/>
        <w:shd w:val="clear" w:color="auto" w:fill="FFFFFF"/>
        <w:spacing w:before="0" w:beforeAutospacing="0" w:after="165" w:afterAutospacing="0" w:line="480" w:lineRule="auto"/>
        <w:ind w:firstLine="567"/>
        <w:jc w:val="both"/>
        <w:rPr>
          <w:rFonts w:asciiTheme="minorHAnsi" w:hAnsiTheme="minorHAnsi" w:cstheme="minorHAnsi"/>
        </w:rPr>
      </w:pPr>
      <w:r w:rsidRPr="00000849">
        <w:rPr>
          <w:rFonts w:asciiTheme="minorHAnsi" w:hAnsiTheme="minorHAnsi" w:cstheme="minorHAnsi"/>
        </w:rPr>
        <w:t>Out of the total NCD deaths that occurred in Ghana in 1990, 6</w:t>
      </w:r>
      <w:r w:rsidR="00356471">
        <w:rPr>
          <w:rFonts w:asciiTheme="minorHAnsi" w:hAnsiTheme="minorHAnsi" w:cstheme="minorHAnsi"/>
        </w:rPr>
        <w:t>8</w:t>
      </w:r>
      <w:r w:rsidRPr="00000849">
        <w:rPr>
          <w:rFonts w:asciiTheme="minorHAnsi" w:hAnsiTheme="minorHAnsi" w:cstheme="minorHAnsi"/>
        </w:rPr>
        <w:t>.</w:t>
      </w:r>
      <w:r w:rsidR="00356471">
        <w:rPr>
          <w:rFonts w:asciiTheme="minorHAnsi" w:hAnsiTheme="minorHAnsi" w:cstheme="minorHAnsi"/>
        </w:rPr>
        <w:t>1</w:t>
      </w:r>
      <w:r w:rsidRPr="00000849">
        <w:rPr>
          <w:rFonts w:asciiTheme="minorHAnsi" w:hAnsiTheme="minorHAnsi" w:cstheme="minorHAnsi"/>
        </w:rPr>
        <w:t>% occurred in those aged ≥50 years; this proportion increasing to 7</w:t>
      </w:r>
      <w:r w:rsidR="00356471">
        <w:rPr>
          <w:rFonts w:asciiTheme="minorHAnsi" w:hAnsiTheme="minorHAnsi" w:cstheme="minorHAnsi"/>
        </w:rPr>
        <w:t>5</w:t>
      </w:r>
      <w:r w:rsidRPr="00000849">
        <w:rPr>
          <w:rFonts w:asciiTheme="minorHAnsi" w:hAnsiTheme="minorHAnsi" w:cstheme="minorHAnsi"/>
        </w:rPr>
        <w:t>.</w:t>
      </w:r>
      <w:r w:rsidR="00356471">
        <w:rPr>
          <w:rFonts w:asciiTheme="minorHAnsi" w:hAnsiTheme="minorHAnsi" w:cstheme="minorHAnsi"/>
        </w:rPr>
        <w:t>6</w:t>
      </w:r>
      <w:r w:rsidRPr="00000849">
        <w:rPr>
          <w:rFonts w:asciiTheme="minorHAnsi" w:hAnsiTheme="minorHAnsi" w:cstheme="minorHAnsi"/>
        </w:rPr>
        <w:t xml:space="preserve">% in </w:t>
      </w:r>
      <w:r w:rsidR="00356471" w:rsidRPr="00000849">
        <w:rPr>
          <w:rFonts w:asciiTheme="minorHAnsi" w:hAnsiTheme="minorHAnsi" w:cstheme="minorHAnsi"/>
        </w:rPr>
        <w:t>201</w:t>
      </w:r>
      <w:r w:rsidR="00356471">
        <w:rPr>
          <w:rFonts w:asciiTheme="minorHAnsi" w:hAnsiTheme="minorHAnsi" w:cstheme="minorHAnsi"/>
        </w:rPr>
        <w:t>9</w:t>
      </w:r>
      <w:r w:rsidR="00356471" w:rsidRPr="00000849">
        <w:rPr>
          <w:rFonts w:asciiTheme="minorHAnsi" w:hAnsiTheme="minorHAnsi" w:cstheme="minorHAnsi"/>
        </w:rPr>
        <w:t xml:space="preserve"> </w:t>
      </w:r>
      <w:r w:rsidR="00D34E5D" w:rsidRPr="00000849">
        <w:rPr>
          <w:rFonts w:asciiTheme="minorHAnsi" w:hAnsiTheme="minorHAnsi" w:cstheme="minorHAnsi"/>
        </w:rPr>
        <w:t>(Table 1</w:t>
      </w:r>
      <w:r w:rsidR="001048F8" w:rsidRPr="00000849">
        <w:rPr>
          <w:rFonts w:asciiTheme="minorHAnsi" w:hAnsiTheme="minorHAnsi" w:cstheme="minorHAnsi"/>
        </w:rPr>
        <w:t>.</w:t>
      </w:r>
      <w:r w:rsidR="00D34E5D" w:rsidRPr="00000849">
        <w:rPr>
          <w:rFonts w:asciiTheme="minorHAnsi" w:hAnsiTheme="minorHAnsi" w:cstheme="minorHAnsi"/>
        </w:rPr>
        <w:t xml:space="preserve">2) </w:t>
      </w:r>
      <w:r w:rsidR="00D34E5D" w:rsidRPr="00000849">
        <w:rPr>
          <w:rFonts w:asciiTheme="minorHAnsi" w:hAnsiTheme="minorHAnsi" w:cstheme="minorHAnsi"/>
        </w:rPr>
        <w:fldChar w:fldCharType="begin"/>
      </w:r>
      <w:r w:rsidR="00FD4A6D" w:rsidRPr="00000849">
        <w:rPr>
          <w:rFonts w:asciiTheme="minorHAnsi" w:hAnsiTheme="minorHAnsi" w:cstheme="minorHAnsi"/>
        </w:rPr>
        <w:instrText xml:space="preserve"> ADDIN EN.CITE &lt;EndNote&gt;&lt;Cite&gt;&lt;Author&gt;IHME&lt;/Author&gt;&lt;Year&gt;2018&lt;/Year&gt;&lt;RecNum&gt;1641&lt;/RecNum&gt;&lt;DisplayText&gt;(IHME, 2018)&lt;/DisplayText&gt;&lt;record&gt;&lt;rec-number&gt;1641&lt;/rec-number&gt;&lt;foreign-keys&gt;&lt;key app="EN" db-id="9tzf2rda8re2a9es5tuxart3swzx2zws2s02" timestamp="1591720747"&gt;1641&lt;/key&gt;&lt;/foreign-keys&gt;&lt;ref-type name="Online Database"&gt;45&lt;/ref-type&gt;&lt;contributors&gt;&lt;authors&gt;&lt;author&gt;IHME,&lt;/author&gt;&lt;/authors&gt;&lt;/contributors&gt;&lt;titles&gt;&lt;title&gt;Global Burden of Disease Study 2017 (GBD 2017) Results. &lt;/title&gt;&lt;/titles&gt;&lt;dates&gt;&lt;year&gt;2018&lt;/year&gt;&lt;pub-dates&gt;&lt;date&gt;9 June 2020&lt;/date&gt;&lt;/pub-dates&gt;&lt;/dates&gt;&lt;pub-location&gt;Seattle, United States&lt;/pub-location&gt;&lt;publisher&gt;Institute for Health Metrics and Evaluation&lt;/publisher&gt;&lt;urls&gt;&lt;related-urls&gt;&lt;url&gt;http://ghdx.healthdata.org/gbd-results-tool.&lt;/url&gt;&lt;/related-urls&gt;&lt;/urls&gt;&lt;/record&gt;&lt;/Cite&gt;&lt;/EndNote&gt;</w:instrText>
      </w:r>
      <w:r w:rsidR="00D34E5D" w:rsidRPr="00000849">
        <w:rPr>
          <w:rFonts w:asciiTheme="minorHAnsi" w:hAnsiTheme="minorHAnsi" w:cstheme="minorHAnsi"/>
        </w:rPr>
        <w:fldChar w:fldCharType="separate"/>
      </w:r>
      <w:r w:rsidR="00FD4A6D" w:rsidRPr="00000849">
        <w:rPr>
          <w:rFonts w:asciiTheme="minorHAnsi" w:hAnsiTheme="minorHAnsi" w:cstheme="minorHAnsi"/>
          <w:noProof/>
        </w:rPr>
        <w:t>(IHME, 2018)</w:t>
      </w:r>
      <w:r w:rsidR="00D34E5D" w:rsidRPr="00000849">
        <w:rPr>
          <w:rFonts w:asciiTheme="minorHAnsi" w:hAnsiTheme="minorHAnsi" w:cstheme="minorHAnsi"/>
        </w:rPr>
        <w:fldChar w:fldCharType="end"/>
      </w:r>
      <w:r w:rsidRPr="00000849">
        <w:rPr>
          <w:rFonts w:asciiTheme="minorHAnsi" w:hAnsiTheme="minorHAnsi" w:cstheme="minorHAnsi"/>
        </w:rPr>
        <w:t>.  Similarly, out of the total NCD-related DALYs that occurred in Ghana in 1990, 3</w:t>
      </w:r>
      <w:r w:rsidR="00356471">
        <w:rPr>
          <w:rFonts w:asciiTheme="minorHAnsi" w:hAnsiTheme="minorHAnsi" w:cstheme="minorHAnsi"/>
        </w:rPr>
        <w:t>5</w:t>
      </w:r>
      <w:r w:rsidRPr="00000849">
        <w:rPr>
          <w:rFonts w:asciiTheme="minorHAnsi" w:hAnsiTheme="minorHAnsi" w:cstheme="minorHAnsi"/>
        </w:rPr>
        <w:t>.</w:t>
      </w:r>
      <w:r w:rsidR="00356471">
        <w:rPr>
          <w:rFonts w:asciiTheme="minorHAnsi" w:hAnsiTheme="minorHAnsi" w:cstheme="minorHAnsi"/>
        </w:rPr>
        <w:t>1</w:t>
      </w:r>
      <w:r w:rsidRPr="00000849">
        <w:rPr>
          <w:rFonts w:asciiTheme="minorHAnsi" w:hAnsiTheme="minorHAnsi" w:cstheme="minorHAnsi"/>
        </w:rPr>
        <w:t xml:space="preserve">% occurred in this older age group; this proportion increasing to </w:t>
      </w:r>
      <w:r w:rsidR="00356471">
        <w:rPr>
          <w:rFonts w:asciiTheme="minorHAnsi" w:hAnsiTheme="minorHAnsi" w:cstheme="minorHAnsi"/>
        </w:rPr>
        <w:t>41.2</w:t>
      </w:r>
      <w:r w:rsidRPr="00000849">
        <w:rPr>
          <w:rFonts w:asciiTheme="minorHAnsi" w:hAnsiTheme="minorHAnsi" w:cstheme="minorHAnsi"/>
        </w:rPr>
        <w:t xml:space="preserve">% in </w:t>
      </w:r>
      <w:r w:rsidR="00356471" w:rsidRPr="00000849">
        <w:rPr>
          <w:rFonts w:asciiTheme="minorHAnsi" w:hAnsiTheme="minorHAnsi" w:cstheme="minorHAnsi"/>
        </w:rPr>
        <w:t>201</w:t>
      </w:r>
      <w:r w:rsidR="00356471">
        <w:rPr>
          <w:rFonts w:asciiTheme="minorHAnsi" w:hAnsiTheme="minorHAnsi" w:cstheme="minorHAnsi"/>
        </w:rPr>
        <w:t>9</w:t>
      </w:r>
      <w:r w:rsidRPr="00000849">
        <w:rPr>
          <w:rFonts w:asciiTheme="minorHAnsi" w:hAnsiTheme="minorHAnsi" w:cstheme="minorHAnsi"/>
        </w:rPr>
        <w:t xml:space="preserve">.  </w:t>
      </w:r>
      <w:r w:rsidR="004F5C19" w:rsidRPr="00000849">
        <w:rPr>
          <w:rFonts w:asciiTheme="minorHAnsi" w:hAnsiTheme="minorHAnsi" w:cstheme="minorHAnsi"/>
        </w:rPr>
        <w:t>Thus, this age group not only experiencing a relative increase in the burden of NCDs in relation to overall total deaths but also an increase in the share of all NCDs in the country.</w:t>
      </w:r>
    </w:p>
    <w:p w14:paraId="4D1C4446" w14:textId="77777777" w:rsidR="004F5C19" w:rsidRPr="00000849" w:rsidRDefault="004F5C19" w:rsidP="00467A04">
      <w:pPr>
        <w:spacing w:line="480" w:lineRule="auto"/>
        <w:rPr>
          <w:sz w:val="24"/>
          <w:szCs w:val="24"/>
        </w:rPr>
      </w:pPr>
    </w:p>
    <w:p w14:paraId="3D8CF06A" w14:textId="371906A1" w:rsidR="008F730F" w:rsidRPr="00000849" w:rsidRDefault="00670701" w:rsidP="004E2350">
      <w:pPr>
        <w:pStyle w:val="Heading3"/>
      </w:pPr>
      <w:bookmarkStart w:id="22" w:name="_Toc51472076"/>
      <w:r w:rsidRPr="00000849">
        <w:t>1.4</w:t>
      </w:r>
      <w:r w:rsidR="008F730F" w:rsidRPr="00000849">
        <w:t>.</w:t>
      </w:r>
      <w:r w:rsidR="005614DC" w:rsidRPr="00000849">
        <w:t>3</w:t>
      </w:r>
      <w:r w:rsidR="008F730F" w:rsidRPr="00000849">
        <w:tab/>
        <w:t>Functional limitations and disability in older adults</w:t>
      </w:r>
      <w:bookmarkEnd w:id="22"/>
      <w:r w:rsidR="008F730F" w:rsidRPr="00000849">
        <w:t xml:space="preserve"> </w:t>
      </w:r>
    </w:p>
    <w:p w14:paraId="62EFD604" w14:textId="77777777" w:rsidR="008F730F" w:rsidRPr="00000849" w:rsidRDefault="008F730F" w:rsidP="008F730F">
      <w:pPr>
        <w:spacing w:line="480" w:lineRule="auto"/>
        <w:jc w:val="both"/>
        <w:rPr>
          <w:rFonts w:cstheme="minorHAnsi"/>
          <w:sz w:val="24"/>
          <w:szCs w:val="24"/>
        </w:rPr>
      </w:pPr>
    </w:p>
    <w:p w14:paraId="5B229055" w14:textId="577F5BA4" w:rsidR="008F730F" w:rsidRPr="00000849" w:rsidRDefault="00DC3567" w:rsidP="00B4516A">
      <w:pPr>
        <w:spacing w:line="480" w:lineRule="auto"/>
        <w:jc w:val="both"/>
        <w:rPr>
          <w:rFonts w:cstheme="minorHAnsi"/>
          <w:sz w:val="24"/>
          <w:szCs w:val="24"/>
        </w:rPr>
      </w:pPr>
      <w:r w:rsidRPr="00000849">
        <w:rPr>
          <w:rFonts w:cstheme="minorHAnsi"/>
          <w:sz w:val="24"/>
          <w:szCs w:val="24"/>
        </w:rPr>
        <w:t>O</w:t>
      </w:r>
      <w:r w:rsidR="008F730F" w:rsidRPr="00000849">
        <w:rPr>
          <w:rFonts w:cstheme="minorHAnsi"/>
          <w:sz w:val="24"/>
          <w:szCs w:val="24"/>
        </w:rPr>
        <w:t>lder people in Ghana suffer poor health and functional limitation</w:t>
      </w:r>
      <w:r w:rsidR="00E005DD" w:rsidRPr="00000849">
        <w:rPr>
          <w:rFonts w:cstheme="minorHAnsi"/>
          <w:sz w:val="24"/>
          <w:szCs w:val="24"/>
        </w:rPr>
        <w:t>s</w:t>
      </w:r>
      <w:r w:rsidR="008F730F" w:rsidRPr="00000849">
        <w:rPr>
          <w:rFonts w:cstheme="minorHAnsi"/>
          <w:sz w:val="24"/>
          <w:szCs w:val="24"/>
        </w:rPr>
        <w:t xml:space="preserve">.  In the Women’s Health Study of Accra in 2004, about 79% of the older women aged </w:t>
      </w:r>
      <w:r w:rsidR="00F61D75" w:rsidRPr="00000849">
        <w:rPr>
          <w:rFonts w:cstheme="minorHAnsi"/>
          <w:sz w:val="24"/>
          <w:szCs w:val="24"/>
        </w:rPr>
        <w:t>≥</w:t>
      </w:r>
      <w:r w:rsidR="008F730F" w:rsidRPr="00000849">
        <w:rPr>
          <w:rFonts w:cstheme="minorHAnsi"/>
          <w:sz w:val="24"/>
          <w:szCs w:val="24"/>
        </w:rPr>
        <w:t>50 years reported some (36.8%) or severe (42.1%) limitation in climbing a flight of stairs</w:t>
      </w:r>
      <w:r w:rsidR="008F730F" w:rsidRPr="00000849" w:rsidDel="00A719CD">
        <w:rPr>
          <w:rFonts w:cstheme="minorHAnsi"/>
          <w:sz w:val="24"/>
          <w:szCs w:val="24"/>
        </w:rPr>
        <w:t xml:space="preserve"> </w:t>
      </w:r>
      <w:r w:rsidR="008F730F" w:rsidRPr="00000849">
        <w:rPr>
          <w:rFonts w:cstheme="minorHAnsi"/>
          <w:sz w:val="24"/>
          <w:szCs w:val="24"/>
        </w:rPr>
        <w:fldChar w:fldCharType="begin"/>
      </w:r>
      <w:r w:rsidR="008F730F" w:rsidRPr="00000849">
        <w:rPr>
          <w:rFonts w:cstheme="minorHAnsi"/>
          <w:sz w:val="24"/>
          <w:szCs w:val="24"/>
        </w:rPr>
        <w:instrText xml:space="preserve"> ADDIN EN.CITE &lt;EndNote&gt;&lt;Cite&gt;&lt;Author&gt;Mba&lt;/Author&gt;&lt;Year&gt;2013&lt;/Year&gt;&lt;RecNum&gt;60&lt;/RecNum&gt;&lt;DisplayText&gt;(Mba, 2013)&lt;/DisplayText&gt;&lt;record&gt;&lt;rec-number&gt;60&lt;/rec-number&gt;&lt;foreign-keys&gt;&lt;key app="EN" db-id="9tzf2rda8re2a9es5tuxart3swzx2zws2s02" timestamp="1465113934"&gt;60&lt;/key&gt;&lt;/foreign-keys&gt;&lt;ref-type name="Journal Article"&gt;17&lt;/ref-type&gt;&lt;contributors&gt;&lt;authors&gt;&lt;author&gt;Mba, Chuks J&lt;/author&gt;&lt;/authors&gt;&lt;/contributors&gt;&lt;titles&gt;&lt;title&gt;The health condition of older women in Ghana: a case study of Accra City&lt;/title&gt;&lt;secondary-title&gt;Journal of International Women&amp;apos;s Studies&lt;/secondary-title&gt;&lt;/titles&gt;&lt;periodical&gt;&lt;full-title&gt;Journal of International Women&amp;apos;s Studies&lt;/full-title&gt;&lt;/periodical&gt;&lt;pages&gt;171-184&lt;/pages&gt;&lt;volume&gt;8&lt;/volume&gt;&lt;number&gt;1&lt;/number&gt;&lt;dates&gt;&lt;year&gt;2013&lt;/year&gt;&lt;/dates&gt;&lt;isbn&gt;1539-8706&lt;/isbn&gt;&lt;urls&gt;&lt;/urls&gt;&lt;/record&gt;&lt;/Cite&gt;&lt;/EndNote&gt;</w:instrText>
      </w:r>
      <w:r w:rsidR="008F730F" w:rsidRPr="00000849">
        <w:rPr>
          <w:rFonts w:cstheme="minorHAnsi"/>
          <w:sz w:val="24"/>
          <w:szCs w:val="24"/>
        </w:rPr>
        <w:fldChar w:fldCharType="separate"/>
      </w:r>
      <w:r w:rsidR="008F730F" w:rsidRPr="00000849">
        <w:rPr>
          <w:rFonts w:cstheme="minorHAnsi"/>
          <w:noProof/>
          <w:sz w:val="24"/>
          <w:szCs w:val="24"/>
        </w:rPr>
        <w:t>(Mba, 2013)</w:t>
      </w:r>
      <w:r w:rsidR="008F730F" w:rsidRPr="00000849">
        <w:rPr>
          <w:rFonts w:cstheme="minorHAnsi"/>
          <w:sz w:val="24"/>
          <w:szCs w:val="24"/>
        </w:rPr>
        <w:fldChar w:fldCharType="end"/>
      </w:r>
      <w:r w:rsidR="008F730F" w:rsidRPr="00000849">
        <w:rPr>
          <w:rFonts w:cstheme="minorHAnsi"/>
          <w:sz w:val="24"/>
          <w:szCs w:val="24"/>
        </w:rPr>
        <w:t xml:space="preserve">.  In the Adult Health and Ageing Study in the Kassena-Nankana District in the Upper East of Ghana </w:t>
      </w:r>
      <w:r w:rsidR="008F730F" w:rsidRPr="00000849">
        <w:rPr>
          <w:rFonts w:cstheme="minorHAnsi"/>
          <w:sz w:val="24"/>
          <w:szCs w:val="24"/>
        </w:rPr>
        <w:fldChar w:fldCharType="begin"/>
      </w:r>
      <w:r w:rsidR="003E660C" w:rsidRPr="00000849">
        <w:rPr>
          <w:rFonts w:cstheme="minorHAnsi"/>
          <w:sz w:val="24"/>
          <w:szCs w:val="24"/>
        </w:rPr>
        <w:instrText xml:space="preserve"> ADDIN EN.CITE &lt;EndNote&gt;&lt;Cite&gt;&lt;Author&gt;Debpuur&lt;/Author&gt;&lt;Year&gt;2010&lt;/Year&gt;&lt;RecNum&gt;545&lt;/RecNum&gt;&lt;DisplayText&gt;(Debpuur et al., 2010)&lt;/DisplayText&gt;&lt;record&gt;&lt;rec-number&gt;545&lt;/rec-number&gt;&lt;foreign-keys&gt;&lt;key app="EN" db-id="9tzf2rda8re2a9es5tuxart3swzx2zws2s02" timestamp="1495948844"&gt;545&lt;/key&gt;&lt;/foreign-keys&gt;&lt;ref-type name="Journal Article"&gt;17&lt;/ref-type&gt;&lt;contributors&gt;&lt;authors&gt;&lt;author&gt;Debpuur, Cornelius&lt;/author&gt;&lt;author&gt;Welaga, Paul&lt;/author&gt;&lt;author&gt;Wak, George&lt;/author&gt;&lt;author&gt;Hodgson, Abraham&lt;/author&gt;&lt;/authors&gt;&lt;/contributors&gt;&lt;titles&gt;&lt;title&gt;Self-reported health and functional limitations among older people in the Kassena-Nankana District, Ghana&lt;/title&gt;&lt;secondary-title&gt;Glob Health Action&lt;/secondary-title&gt;&lt;/titles&gt;&lt;periodical&gt;&lt;full-title&gt;Global Health Action&lt;/full-title&gt;&lt;abbr-1&gt;Glob Health Action&lt;/abbr-1&gt;&lt;/periodical&gt;&lt;pages&gt;54-63&lt;/pages&gt;&lt;volume&gt;3&lt;/volume&gt;&lt;number&gt;Suppl 2&lt;/number&gt;&lt;dates&gt;&lt;year&gt;2010&lt;/year&gt;&lt;/dates&gt;&lt;urls&gt;&lt;/urls&gt;&lt;/record&gt;&lt;/Cite&gt;&lt;/EndNote&gt;</w:instrText>
      </w:r>
      <w:r w:rsidR="008F730F" w:rsidRPr="00000849">
        <w:rPr>
          <w:rFonts w:cstheme="minorHAnsi"/>
          <w:sz w:val="24"/>
          <w:szCs w:val="24"/>
        </w:rPr>
        <w:fldChar w:fldCharType="separate"/>
      </w:r>
      <w:r w:rsidR="001740AB" w:rsidRPr="00000849">
        <w:rPr>
          <w:rFonts w:cstheme="minorHAnsi"/>
          <w:noProof/>
          <w:sz w:val="24"/>
          <w:szCs w:val="24"/>
        </w:rPr>
        <w:t>(Debpuur et al., 2010)</w:t>
      </w:r>
      <w:r w:rsidR="008F730F" w:rsidRPr="00000849">
        <w:rPr>
          <w:rFonts w:cstheme="minorHAnsi"/>
          <w:sz w:val="24"/>
          <w:szCs w:val="24"/>
        </w:rPr>
        <w:fldChar w:fldCharType="end"/>
      </w:r>
      <w:r w:rsidR="008F730F" w:rsidRPr="00000849">
        <w:rPr>
          <w:rFonts w:cstheme="minorHAnsi"/>
          <w:sz w:val="24"/>
          <w:szCs w:val="24"/>
        </w:rPr>
        <w:t>, functional ability was measured using the WHO</w:t>
      </w:r>
      <w:r w:rsidR="00C1662B" w:rsidRPr="00000849">
        <w:rPr>
          <w:rFonts w:cstheme="minorHAnsi"/>
          <w:sz w:val="24"/>
          <w:szCs w:val="24"/>
        </w:rPr>
        <w:t>-</w:t>
      </w:r>
      <w:r w:rsidR="008F730F" w:rsidRPr="00000849">
        <w:rPr>
          <w:rFonts w:cstheme="minorHAnsi"/>
          <w:sz w:val="24"/>
          <w:szCs w:val="24"/>
        </w:rPr>
        <w:t xml:space="preserve">Disability Assessment Scale </w:t>
      </w:r>
      <w:r w:rsidR="008F730F" w:rsidRPr="00000849">
        <w:rPr>
          <w:rFonts w:cstheme="minorHAnsi"/>
          <w:sz w:val="24"/>
          <w:szCs w:val="24"/>
        </w:rPr>
        <w:fldChar w:fldCharType="begin"/>
      </w:r>
      <w:r w:rsidR="003C6E60" w:rsidRPr="00000849">
        <w:rPr>
          <w:rFonts w:cstheme="minorHAnsi"/>
          <w:sz w:val="24"/>
          <w:szCs w:val="24"/>
        </w:rPr>
        <w:instrText xml:space="preserve"> ADDIN EN.CITE &lt;EndNote&gt;&lt;Cite&gt;&lt;Author&gt;WHO&lt;/Author&gt;&lt;Year&gt;2009&lt;/Year&gt;&lt;RecNum&gt;582&lt;/RecNum&gt;&lt;DisplayText&gt;(WHO, 2009)&lt;/DisplayText&gt;&lt;record&gt;&lt;rec-number&gt;582&lt;/rec-number&gt;&lt;foreign-keys&gt;&lt;key app="EN" db-id="9tzf2rda8re2a9es5tuxart3swzx2zws2s02" timestamp="1496550338"&gt;582&lt;/key&gt;&lt;/foreign-keys&gt;&lt;ref-type name="Book"&gt;6&lt;/ref-type&gt;&lt;contributors&gt;&lt;authors&gt;&lt;author&gt;WHO,&lt;/author&gt;&lt;/authors&gt;&lt;/contributors&gt;&lt;titles&gt;&lt;title&gt;Measuring health and disability: a manual for the World Health Organization Disability Assessment Schedule (WHODAS 2.0).&lt;/title&gt;&lt;/titles&gt;&lt;dates&gt;&lt;year&gt;2009&lt;/year&gt;&lt;/dates&gt;&lt;pub-location&gt;Geneva&lt;/pub-location&gt;&lt;publisher&gt;WHO&lt;/publisher&gt;&lt;urls&gt;&lt;related-urls&gt;&lt;url&gt;https://www.who.int/iris/handle/10665/43974&lt;/url&gt;&lt;/related-urls&gt;&lt;/urls&gt;&lt;/record&gt;&lt;/Cite&gt;&lt;/EndNote&gt;</w:instrText>
      </w:r>
      <w:r w:rsidR="008F730F" w:rsidRPr="00000849">
        <w:rPr>
          <w:rFonts w:cstheme="minorHAnsi"/>
          <w:sz w:val="24"/>
          <w:szCs w:val="24"/>
        </w:rPr>
        <w:fldChar w:fldCharType="separate"/>
      </w:r>
      <w:r w:rsidR="003C6E60" w:rsidRPr="00000849">
        <w:rPr>
          <w:rFonts w:cstheme="minorHAnsi"/>
          <w:noProof/>
          <w:sz w:val="24"/>
          <w:szCs w:val="24"/>
        </w:rPr>
        <w:t>(WHO, 2009)</w:t>
      </w:r>
      <w:r w:rsidR="008F730F" w:rsidRPr="00000849">
        <w:rPr>
          <w:rFonts w:cstheme="minorHAnsi"/>
          <w:sz w:val="24"/>
          <w:szCs w:val="24"/>
        </w:rPr>
        <w:fldChar w:fldCharType="end"/>
      </w:r>
      <w:r w:rsidR="008F730F" w:rsidRPr="00000849">
        <w:rPr>
          <w:rFonts w:cstheme="minorHAnsi"/>
          <w:sz w:val="24"/>
          <w:szCs w:val="24"/>
        </w:rPr>
        <w:t>.  This is a 12-item standardized tool involving responses to questions on difficult</w:t>
      </w:r>
      <w:r w:rsidR="00E005DD" w:rsidRPr="00000849">
        <w:rPr>
          <w:rFonts w:cstheme="minorHAnsi"/>
          <w:sz w:val="24"/>
          <w:szCs w:val="24"/>
        </w:rPr>
        <w:t>ies</w:t>
      </w:r>
      <w:r w:rsidR="008F730F" w:rsidRPr="00000849">
        <w:rPr>
          <w:rFonts w:cstheme="minorHAnsi"/>
          <w:sz w:val="24"/>
          <w:szCs w:val="24"/>
        </w:rPr>
        <w:t xml:space="preserve"> with carrying out a range of activities.  Measured </w:t>
      </w:r>
      <w:r w:rsidR="008F730F" w:rsidRPr="00000849">
        <w:rPr>
          <w:rFonts w:cstheme="minorHAnsi"/>
          <w:sz w:val="24"/>
          <w:szCs w:val="24"/>
        </w:rPr>
        <w:lastRenderedPageBreak/>
        <w:t xml:space="preserve">on a scale of 0 (no disability) to 100 (greatest disability), </w:t>
      </w:r>
      <w:r w:rsidR="008F730F" w:rsidRPr="00000849">
        <w:rPr>
          <w:rFonts w:cstheme="minorHAnsi"/>
          <w:sz w:val="24"/>
          <w:szCs w:val="24"/>
        </w:rPr>
        <w:fldChar w:fldCharType="begin"/>
      </w:r>
      <w:r w:rsidR="003E660C" w:rsidRPr="00000849">
        <w:rPr>
          <w:rFonts w:cstheme="minorHAnsi"/>
          <w:sz w:val="24"/>
          <w:szCs w:val="24"/>
        </w:rPr>
        <w:instrText xml:space="preserve"> ADDIN EN.CITE &lt;EndNote&gt;&lt;Cite AuthorYear="1"&gt;&lt;Author&gt;Debpuur&lt;/Author&gt;&lt;Year&gt;2010&lt;/Year&gt;&lt;RecNum&gt;545&lt;/RecNum&gt;&lt;DisplayText&gt;Debpuur et al. (2010)&lt;/DisplayText&gt;&lt;record&gt;&lt;rec-number&gt;545&lt;/rec-number&gt;&lt;foreign-keys&gt;&lt;key app="EN" db-id="9tzf2rda8re2a9es5tuxart3swzx2zws2s02" timestamp="1495948844"&gt;545&lt;/key&gt;&lt;/foreign-keys&gt;&lt;ref-type name="Journal Article"&gt;17&lt;/ref-type&gt;&lt;contributors&gt;&lt;authors&gt;&lt;author&gt;Debpuur, Cornelius&lt;/author&gt;&lt;author&gt;Welaga, Paul&lt;/author&gt;&lt;author&gt;Wak, George&lt;/author&gt;&lt;author&gt;Hodgson, Abraham&lt;/author&gt;&lt;/authors&gt;&lt;/contributors&gt;&lt;titles&gt;&lt;title&gt;Self-reported health and functional limitations among older people in the Kassena-Nankana District, Ghana&lt;/title&gt;&lt;secondary-title&gt;Glob Health Action&lt;/secondary-title&gt;&lt;/titles&gt;&lt;periodical&gt;&lt;full-title&gt;Global Health Action&lt;/full-title&gt;&lt;abbr-1&gt;Glob Health Action&lt;/abbr-1&gt;&lt;/periodical&gt;&lt;pages&gt;54-63&lt;/pages&gt;&lt;volume&gt;3&lt;/volume&gt;&lt;number&gt;Suppl 2&lt;/number&gt;&lt;dates&gt;&lt;year&gt;2010&lt;/year&gt;&lt;/dates&gt;&lt;urls&gt;&lt;/urls&gt;&lt;/record&gt;&lt;/Cite&gt;&lt;/EndNote&gt;</w:instrText>
      </w:r>
      <w:r w:rsidR="008F730F" w:rsidRPr="00000849">
        <w:rPr>
          <w:rFonts w:cstheme="minorHAnsi"/>
          <w:sz w:val="24"/>
          <w:szCs w:val="24"/>
        </w:rPr>
        <w:fldChar w:fldCharType="separate"/>
      </w:r>
      <w:r w:rsidR="001740AB" w:rsidRPr="00000849">
        <w:rPr>
          <w:rFonts w:cstheme="minorHAnsi"/>
          <w:noProof/>
          <w:sz w:val="24"/>
          <w:szCs w:val="24"/>
        </w:rPr>
        <w:t>Debpuur et al. (2010)</w:t>
      </w:r>
      <w:r w:rsidR="008F730F" w:rsidRPr="00000849">
        <w:rPr>
          <w:rFonts w:cstheme="minorHAnsi"/>
          <w:sz w:val="24"/>
          <w:szCs w:val="24"/>
        </w:rPr>
        <w:fldChar w:fldCharType="end"/>
      </w:r>
      <w:r w:rsidR="008F730F" w:rsidRPr="00000849">
        <w:rPr>
          <w:rFonts w:cstheme="minorHAnsi"/>
          <w:sz w:val="24"/>
          <w:szCs w:val="24"/>
        </w:rPr>
        <w:t xml:space="preserve"> reported a mean disability score of 70.9% comprising 73.7% in men and 69.1% in women.  Self-reported poor health increased with increasing disability score quintile.  </w:t>
      </w:r>
    </w:p>
    <w:p w14:paraId="580804EA" w14:textId="56FE06DA" w:rsidR="008F730F" w:rsidRPr="00000849" w:rsidRDefault="008F730F" w:rsidP="008F730F">
      <w:pPr>
        <w:spacing w:line="480" w:lineRule="auto"/>
        <w:ind w:firstLine="567"/>
        <w:jc w:val="both"/>
        <w:rPr>
          <w:rFonts w:cstheme="minorHAnsi"/>
          <w:sz w:val="24"/>
          <w:szCs w:val="24"/>
        </w:rPr>
      </w:pPr>
      <w:r w:rsidRPr="00000849">
        <w:rPr>
          <w:rFonts w:cstheme="minorHAnsi"/>
          <w:sz w:val="24"/>
          <w:szCs w:val="24"/>
        </w:rPr>
        <w:t xml:space="preserve">The functional limitations of older people enrolled in the SAGE Ghana Wave 1 survey were analysed based on responses to questions on respondent’s level of difficulty to perform the activities of daily living (ADL) in the last 30 days prior to the survey, to self-care, to recognise a person across the road (a distance of 20m), to stand up from a sitting position, and to move around the home </w:t>
      </w:r>
      <w:r w:rsidRPr="00000849">
        <w:rPr>
          <w:rFonts w:cstheme="minorHAnsi"/>
          <w:sz w:val="24"/>
          <w:szCs w:val="24"/>
        </w:rPr>
        <w:fldChar w:fldCharType="begin"/>
      </w:r>
      <w:r w:rsidR="001740AB" w:rsidRPr="00000849">
        <w:rPr>
          <w:rFonts w:cstheme="minorHAnsi"/>
          <w:sz w:val="24"/>
          <w:szCs w:val="24"/>
        </w:rPr>
        <w:instrText xml:space="preserve"> ADDIN EN.CITE &lt;EndNote&gt;&lt;Cite&gt;&lt;Author&gt;Saeed&lt;/Author&gt;&lt;Year&gt;2012&lt;/Year&gt;&lt;RecNum&gt;589&lt;/RecNum&gt;&lt;DisplayText&gt;(Saeed et al., 2012)&lt;/DisplayText&gt;&lt;record&gt;&lt;rec-number&gt;589&lt;/rec-number&gt;&lt;foreign-keys&gt;&lt;key app="EN" db-id="9tzf2rda8re2a9es5tuxart3swzx2zws2s02" timestamp="1496594960"&gt;589&lt;/key&gt;&lt;/foreign-keys&gt;&lt;ref-type name="Journal Article"&gt;17&lt;/ref-type&gt;&lt;contributors&gt;&lt;authors&gt;&lt;author&gt;Saeed, Bashiru II&lt;/author&gt;&lt;author&gt;Oduro, Samuel D&lt;/author&gt;&lt;author&gt;Ebenezer, Atta Mills FE&lt;/author&gt;&lt;author&gt;Zhao, Xicang&lt;/author&gt;&lt;/authors&gt;&lt;/contributors&gt;&lt;titles&gt;&lt;title&gt;Determinants of healthcare utilization among the ageing population in Ghana&lt;/title&gt;&lt;secondary-title&gt;International Journal of Business and Social Science&lt;/secondary-title&gt;&lt;/titles&gt;&lt;periodical&gt;&lt;full-title&gt;International Journal of Business and Social Science&lt;/full-title&gt;&lt;/periodical&gt;&lt;pages&gt;66-77&lt;/pages&gt;&lt;volume&gt;3&lt;/volume&gt;&lt;number&gt;24&lt;/number&gt;&lt;dates&gt;&lt;year&gt;2012&lt;/year&gt;&lt;/dates&gt;&lt;isbn&gt;2219-1933&lt;/isbn&gt;&lt;urls&gt;&lt;/urls&gt;&lt;/record&gt;&lt;/Cite&gt;&lt;/EndNote&gt;</w:instrText>
      </w:r>
      <w:r w:rsidRPr="00000849">
        <w:rPr>
          <w:rFonts w:cstheme="minorHAnsi"/>
          <w:sz w:val="24"/>
          <w:szCs w:val="24"/>
        </w:rPr>
        <w:fldChar w:fldCharType="separate"/>
      </w:r>
      <w:r w:rsidR="001740AB" w:rsidRPr="00000849">
        <w:rPr>
          <w:rFonts w:cstheme="minorHAnsi"/>
          <w:noProof/>
          <w:sz w:val="24"/>
          <w:szCs w:val="24"/>
        </w:rPr>
        <w:t>(Saeed et al., 2012)</w:t>
      </w:r>
      <w:r w:rsidRPr="00000849">
        <w:rPr>
          <w:rFonts w:cstheme="minorHAnsi"/>
          <w:sz w:val="24"/>
          <w:szCs w:val="24"/>
        </w:rPr>
        <w:fldChar w:fldCharType="end"/>
      </w:r>
      <w:r w:rsidRPr="00000849">
        <w:rPr>
          <w:rFonts w:cstheme="minorHAnsi"/>
          <w:sz w:val="24"/>
          <w:szCs w:val="24"/>
        </w:rPr>
        <w:t xml:space="preserve">.  The responses were used to compute a “functional restriction” index which was categorized into three groups: not functionally restricted, moderately restricted (limitation in one activity), and severely restricted (limitation in two or more activities).  The study found that the proportion of older adults aged </w:t>
      </w:r>
      <w:r w:rsidR="00F61D75" w:rsidRPr="00000849">
        <w:rPr>
          <w:rFonts w:cstheme="minorHAnsi"/>
          <w:sz w:val="24"/>
          <w:szCs w:val="24"/>
        </w:rPr>
        <w:t>≥</w:t>
      </w:r>
      <w:r w:rsidRPr="00000849">
        <w:rPr>
          <w:rFonts w:cstheme="minorHAnsi"/>
          <w:sz w:val="24"/>
          <w:szCs w:val="24"/>
        </w:rPr>
        <w:t>50 years in Ghana in these groups was 17.8%, 24.5% and 57.7% respectively.</w:t>
      </w:r>
    </w:p>
    <w:p w14:paraId="46B15E66" w14:textId="4537A07E" w:rsidR="008F730F" w:rsidRPr="00000849" w:rsidRDefault="008F730F" w:rsidP="008F730F">
      <w:pPr>
        <w:spacing w:line="480" w:lineRule="auto"/>
        <w:ind w:firstLine="567"/>
        <w:jc w:val="both"/>
        <w:rPr>
          <w:sz w:val="24"/>
          <w:szCs w:val="24"/>
        </w:rPr>
      </w:pPr>
      <w:r w:rsidRPr="00000849">
        <w:rPr>
          <w:sz w:val="24"/>
          <w:szCs w:val="24"/>
        </w:rPr>
        <w:t xml:space="preserve">In the national census of 2010 in Ghana, 12.3% of the </w:t>
      </w:r>
      <w:r w:rsidR="00B4516A" w:rsidRPr="00000849">
        <w:rPr>
          <w:sz w:val="24"/>
          <w:szCs w:val="24"/>
        </w:rPr>
        <w:t>older people</w:t>
      </w:r>
      <w:r w:rsidRPr="00000849">
        <w:rPr>
          <w:sz w:val="24"/>
          <w:szCs w:val="24"/>
        </w:rPr>
        <w:t xml:space="preserve"> aged </w:t>
      </w:r>
      <w:r w:rsidR="00F61D75" w:rsidRPr="00000849">
        <w:rPr>
          <w:rFonts w:cstheme="minorHAnsi"/>
          <w:sz w:val="24"/>
          <w:szCs w:val="24"/>
        </w:rPr>
        <w:t>≥</w:t>
      </w:r>
      <w:r w:rsidRPr="00000849">
        <w:rPr>
          <w:sz w:val="24"/>
          <w:szCs w:val="24"/>
        </w:rPr>
        <w:t xml:space="preserve">60 years compared with 2.3% of those younger than 60 years reported some kind of disability </w:t>
      </w:r>
      <w:r w:rsidRPr="00000849">
        <w:rPr>
          <w:sz w:val="24"/>
          <w:szCs w:val="24"/>
        </w:rPr>
        <w:fldChar w:fldCharType="begin"/>
      </w:r>
      <w:r w:rsidR="00E64390" w:rsidRPr="00000849">
        <w:rPr>
          <w:sz w:val="24"/>
          <w:szCs w:val="24"/>
        </w:rPr>
        <w:instrText xml:space="preserve"> ADDIN EN.CITE &lt;EndNote&gt;&lt;Cite&gt;&lt;Author&gt;GSS&lt;/Author&gt;&lt;Year&gt;2013&lt;/Year&gt;&lt;RecNum&gt;2&lt;/RecNum&gt;&lt;DisplayText&gt;(GSS, 2013)&lt;/DisplayText&gt;&lt;record&gt;&lt;rec-number&gt;2&lt;/rec-number&gt;&lt;foreign-keys&gt;&lt;key app="EN" db-id="9tzf2rda8re2a9es5tuxart3swzx2zws2s02" timestamp="1463387343"&gt;2&lt;/key&gt;&lt;/foreign-keys&gt;&lt;ref-type name="Book"&gt;6&lt;/ref-type&gt;&lt;contributors&gt;&lt;authors&gt;&lt;author&gt;GSS,&lt;/author&gt;&lt;/authors&gt;&lt;/contributors&gt;&lt;titles&gt;&lt;title&gt;2010 Population and housing Census Report: the elderly in Ghana&lt;/title&gt;&lt;/titles&gt;&lt;dates&gt;&lt;year&gt;2013&lt;/year&gt;&lt;/dates&gt;&lt;pub-location&gt;Accra&lt;/pub-location&gt;&lt;publisher&gt;Ghana Statistical Service (GSS)&lt;/publisher&gt;&lt;urls&gt;&lt;/urls&gt;&lt;/record&gt;&lt;/Cite&gt;&lt;/EndNote&gt;</w:instrText>
      </w:r>
      <w:r w:rsidRPr="00000849">
        <w:rPr>
          <w:sz w:val="24"/>
          <w:szCs w:val="24"/>
        </w:rPr>
        <w:fldChar w:fldCharType="separate"/>
      </w:r>
      <w:r w:rsidR="00E64390" w:rsidRPr="00000849">
        <w:rPr>
          <w:noProof/>
          <w:sz w:val="24"/>
          <w:szCs w:val="24"/>
        </w:rPr>
        <w:t>(GSS, 2013)</w:t>
      </w:r>
      <w:r w:rsidRPr="00000849">
        <w:rPr>
          <w:sz w:val="24"/>
          <w:szCs w:val="24"/>
        </w:rPr>
        <w:fldChar w:fldCharType="end"/>
      </w:r>
      <w:r w:rsidRPr="00000849">
        <w:rPr>
          <w:sz w:val="24"/>
          <w:szCs w:val="24"/>
        </w:rPr>
        <w:t xml:space="preserve">. </w:t>
      </w:r>
      <w:r w:rsidR="00C1662B" w:rsidRPr="00000849">
        <w:rPr>
          <w:sz w:val="24"/>
          <w:szCs w:val="24"/>
        </w:rPr>
        <w:t xml:space="preserve"> </w:t>
      </w:r>
      <w:r w:rsidRPr="00000849">
        <w:rPr>
          <w:sz w:val="24"/>
          <w:szCs w:val="24"/>
        </w:rPr>
        <w:t xml:space="preserve">The commonest types of disability were visual and hearing impairment, and physical, emotional, intellectual disabilities.  </w:t>
      </w:r>
    </w:p>
    <w:p w14:paraId="1D7F3D48" w14:textId="675B053D" w:rsidR="008F730F" w:rsidRPr="00000849" w:rsidRDefault="008F730F" w:rsidP="008F730F">
      <w:pPr>
        <w:spacing w:line="480" w:lineRule="auto"/>
        <w:jc w:val="both"/>
        <w:rPr>
          <w:rFonts w:cstheme="minorHAnsi"/>
          <w:sz w:val="24"/>
          <w:szCs w:val="24"/>
        </w:rPr>
      </w:pPr>
    </w:p>
    <w:p w14:paraId="29E4E1CF" w14:textId="01720ED3" w:rsidR="006C71C4" w:rsidRPr="00000849" w:rsidRDefault="00670701" w:rsidP="004E2350">
      <w:pPr>
        <w:pStyle w:val="Heading3"/>
      </w:pPr>
      <w:bookmarkStart w:id="23" w:name="_Toc51472077"/>
      <w:r w:rsidRPr="00000849">
        <w:t>1.4</w:t>
      </w:r>
      <w:r w:rsidR="006C71C4" w:rsidRPr="00000849">
        <w:t>.4</w:t>
      </w:r>
      <w:r w:rsidR="006C71C4" w:rsidRPr="00000849">
        <w:tab/>
      </w:r>
      <w:r w:rsidR="004D0B2C" w:rsidRPr="00000849">
        <w:t xml:space="preserve">Living environment </w:t>
      </w:r>
      <w:r w:rsidR="006C71C4" w:rsidRPr="00000849">
        <w:t>of older people in Ghana</w:t>
      </w:r>
      <w:bookmarkEnd w:id="23"/>
    </w:p>
    <w:p w14:paraId="4573D884" w14:textId="77777777" w:rsidR="006C71C4" w:rsidRPr="00000849" w:rsidRDefault="006C71C4" w:rsidP="008F730F">
      <w:pPr>
        <w:spacing w:line="480" w:lineRule="auto"/>
        <w:jc w:val="both"/>
        <w:rPr>
          <w:rFonts w:cstheme="minorHAnsi"/>
          <w:sz w:val="24"/>
          <w:szCs w:val="24"/>
        </w:rPr>
      </w:pPr>
    </w:p>
    <w:p w14:paraId="016307E3" w14:textId="2CD18223" w:rsidR="00871C1E" w:rsidRPr="00000849" w:rsidRDefault="004D0B2C" w:rsidP="002951C9">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living arrangements of older people in Ghana influence their physical </w:t>
      </w:r>
      <w:r w:rsidR="00852C5E" w:rsidRPr="00000849">
        <w:rPr>
          <w:rFonts w:asciiTheme="minorHAnsi" w:hAnsiTheme="minorHAnsi" w:cstheme="minorHAnsi"/>
          <w:color w:val="383838"/>
        </w:rPr>
        <w:t xml:space="preserve">health </w:t>
      </w:r>
      <w:r w:rsidRPr="00000849">
        <w:rPr>
          <w:rFonts w:asciiTheme="minorHAnsi" w:hAnsiTheme="minorHAnsi" w:cstheme="minorHAnsi"/>
          <w:color w:val="383838"/>
        </w:rPr>
        <w:t xml:space="preserve">and psychosocial </w:t>
      </w:r>
      <w:r w:rsidR="00852C5E" w:rsidRPr="00000849">
        <w:rPr>
          <w:rFonts w:asciiTheme="minorHAnsi" w:hAnsiTheme="minorHAnsi" w:cstheme="minorHAnsi"/>
          <w:color w:val="383838"/>
        </w:rPr>
        <w:t>well-being</w:t>
      </w:r>
      <w:r w:rsidR="00871C1E" w:rsidRPr="00000849">
        <w:rPr>
          <w:rFonts w:asciiTheme="minorHAnsi" w:hAnsiTheme="minorHAnsi" w:cstheme="minorHAnsi"/>
          <w:color w:val="383838"/>
        </w:rPr>
        <w:t xml:space="preserve"> as well as the type of care they </w:t>
      </w:r>
      <w:r w:rsidR="001048F8" w:rsidRPr="00000849">
        <w:rPr>
          <w:rFonts w:asciiTheme="minorHAnsi" w:hAnsiTheme="minorHAnsi" w:cstheme="minorHAnsi"/>
          <w:color w:val="383838"/>
        </w:rPr>
        <w:t>seek</w:t>
      </w:r>
      <w:r w:rsidR="00871C1E" w:rsidRPr="00000849">
        <w:rPr>
          <w:rFonts w:asciiTheme="minorHAnsi" w:hAnsiTheme="minorHAnsi" w:cstheme="minorHAnsi"/>
          <w:color w:val="383838"/>
        </w:rPr>
        <w:t xml:space="preserve"> when unwell</w:t>
      </w:r>
      <w:r w:rsidRPr="00000849">
        <w:rPr>
          <w:rFonts w:asciiTheme="minorHAnsi" w:hAnsiTheme="minorHAnsi" w:cstheme="minorHAnsi"/>
          <w:color w:val="383838"/>
        </w:rPr>
        <w:t xml:space="preserve">.  </w:t>
      </w:r>
      <w:r w:rsidR="004C5EB0" w:rsidRPr="00000849">
        <w:rPr>
          <w:rFonts w:asciiTheme="minorHAnsi" w:hAnsiTheme="minorHAnsi" w:cstheme="minorHAnsi"/>
          <w:color w:val="383838"/>
        </w:rPr>
        <w:t>O</w:t>
      </w:r>
      <w:r w:rsidR="00871C1E" w:rsidRPr="00000849">
        <w:rPr>
          <w:rFonts w:asciiTheme="minorHAnsi" w:hAnsiTheme="minorHAnsi" w:cstheme="minorHAnsi"/>
          <w:color w:val="383838"/>
        </w:rPr>
        <w:t xml:space="preserve">lder </w:t>
      </w:r>
      <w:r w:rsidR="004C5EB0" w:rsidRPr="00000849">
        <w:rPr>
          <w:rFonts w:asciiTheme="minorHAnsi" w:hAnsiTheme="minorHAnsi" w:cstheme="minorHAnsi"/>
          <w:color w:val="383838"/>
        </w:rPr>
        <w:lastRenderedPageBreak/>
        <w:t xml:space="preserve">adults in Ghana </w:t>
      </w:r>
      <w:r w:rsidR="00852C5E" w:rsidRPr="00000849">
        <w:rPr>
          <w:rFonts w:asciiTheme="minorHAnsi" w:hAnsiTheme="minorHAnsi" w:cstheme="minorHAnsi"/>
          <w:color w:val="383838"/>
        </w:rPr>
        <w:t xml:space="preserve">increasingly </w:t>
      </w:r>
      <w:r w:rsidR="00871C1E" w:rsidRPr="00000849">
        <w:rPr>
          <w:rFonts w:asciiTheme="minorHAnsi" w:hAnsiTheme="minorHAnsi" w:cstheme="minorHAnsi"/>
          <w:color w:val="383838"/>
        </w:rPr>
        <w:t>face challenges of having to live alone, threatened by the breakdown of traditional customs that provided them with protection and respect, and without sufficient funds or social insurance to take care of their health needs</w:t>
      </w:r>
      <w:r w:rsidR="00501030" w:rsidRPr="00000849">
        <w:rPr>
          <w:rFonts w:asciiTheme="minorHAnsi" w:hAnsiTheme="minorHAnsi" w:cstheme="minorHAnsi"/>
          <w:color w:val="383838"/>
        </w:rPr>
        <w:t xml:space="preserve"> </w:t>
      </w:r>
      <w:r w:rsidR="00501030" w:rsidRPr="00000849">
        <w:rPr>
          <w:rFonts w:asciiTheme="minorHAnsi" w:hAnsiTheme="minorHAnsi" w:cstheme="minorHAnsi"/>
          <w:color w:val="383838"/>
        </w:rPr>
        <w:fldChar w:fldCharType="begin"/>
      </w:r>
      <w:r w:rsidR="00000849" w:rsidRPr="00000849">
        <w:rPr>
          <w:rFonts w:asciiTheme="minorHAnsi" w:hAnsiTheme="minorHAnsi" w:cstheme="minorHAnsi"/>
          <w:color w:val="383838"/>
        </w:rPr>
        <w:instrText xml:space="preserve"> ADDIN EN.CITE &lt;EndNote&gt;&lt;Cite&gt;&lt;Author&gt;Aboderin&lt;/Author&gt;&lt;Year&gt;2004&lt;/Year&gt;&lt;RecNum&gt;57&lt;/RecNum&gt;&lt;DisplayText&gt;(Aboderin, 2004)&lt;/DisplayText&gt;&lt;record&gt;&lt;rec-number&gt;57&lt;/rec-number&gt;&lt;foreign-keys&gt;&lt;key app="EN" db-id="9tzf2rda8re2a9es5tuxart3swzx2zws2s02" timestamp="1465104445"&gt;57&lt;/key&gt;&lt;/foreign-keys&gt;&lt;ref-type name="Journal Article"&gt;17&lt;/ref-type&gt;&lt;contributors&gt;&lt;authors&gt;&lt;author&gt;Aboderin, Isabella&lt;/author&gt;&lt;/authors&gt;&lt;/contributors&gt;&lt;titles&gt;&lt;title&gt;Decline in Material Family Support for Older People in Urban Ghana, Africa: Understanding Processes and Causes of Change&lt;/title&gt;&lt;secondary-title&gt;The Journals of Gerontology Series B: Psychological Sciences and Social Sciences&lt;/secondary-title&gt;&lt;/titles&gt;&lt;periodical&gt;&lt;full-title&gt;The Journals of Gerontology Series B: Psychological Sciences and Social Sciences&lt;/full-title&gt;&lt;abbr-1&gt;J Gerontol B Psychol Sci Soc Sci&lt;/abbr-1&gt;&lt;/periodical&gt;&lt;pages&gt;S128-S137&lt;/pages&gt;&lt;volume&gt;59&lt;/volume&gt;&lt;number&gt;3&lt;/number&gt;&lt;dates&gt;&lt;year&gt;2004&lt;/year&gt;&lt;pub-dates&gt;&lt;date&gt;May 1, 2004&lt;/date&gt;&lt;/pub-dates&gt;&lt;/dates&gt;&lt;urls&gt;&lt;related-urls&gt;&lt;url&gt;http://psychsocgerontology.oxfordjournals.org/content/59/3/S128.abstract&lt;/url&gt;&lt;/related-urls&gt;&lt;/urls&gt;&lt;electronic-resource-num&gt;10.1093/geronb/59.3.S128&lt;/electronic-resource-num&gt;&lt;/record&gt;&lt;/Cite&gt;&lt;/EndNote&gt;</w:instrText>
      </w:r>
      <w:r w:rsidR="00501030" w:rsidRPr="00000849">
        <w:rPr>
          <w:rFonts w:asciiTheme="minorHAnsi" w:hAnsiTheme="minorHAnsi" w:cstheme="minorHAnsi"/>
          <w:color w:val="383838"/>
        </w:rPr>
        <w:fldChar w:fldCharType="separate"/>
      </w:r>
      <w:r w:rsidR="00000849" w:rsidRPr="00000849">
        <w:rPr>
          <w:rFonts w:asciiTheme="minorHAnsi" w:hAnsiTheme="minorHAnsi" w:cstheme="minorHAnsi"/>
          <w:noProof/>
          <w:color w:val="383838"/>
        </w:rPr>
        <w:t>(Aboderin, 2004)</w:t>
      </w:r>
      <w:r w:rsidR="00501030" w:rsidRPr="00000849">
        <w:rPr>
          <w:rFonts w:asciiTheme="minorHAnsi" w:hAnsiTheme="minorHAnsi" w:cstheme="minorHAnsi"/>
          <w:color w:val="383838"/>
        </w:rPr>
        <w:fldChar w:fldCharType="end"/>
      </w:r>
      <w:r w:rsidR="00871C1E" w:rsidRPr="00000849">
        <w:rPr>
          <w:rFonts w:asciiTheme="minorHAnsi" w:hAnsiTheme="minorHAnsi" w:cstheme="minorHAnsi"/>
          <w:color w:val="383838"/>
        </w:rPr>
        <w:t xml:space="preserve">. </w:t>
      </w:r>
    </w:p>
    <w:p w14:paraId="04CB3F53" w14:textId="711027E4" w:rsidR="008B12D5" w:rsidRPr="00000849" w:rsidRDefault="004C5EB0" w:rsidP="00852C5E">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In Ghana, </w:t>
      </w:r>
      <w:r w:rsidR="00576203" w:rsidRPr="00000849">
        <w:rPr>
          <w:rFonts w:asciiTheme="minorHAnsi" w:hAnsiTheme="minorHAnsi" w:cstheme="minorHAnsi"/>
          <w:color w:val="383838"/>
        </w:rPr>
        <w:t>18%</w:t>
      </w:r>
      <w:r w:rsidR="005C095D" w:rsidRPr="00000849">
        <w:rPr>
          <w:rFonts w:asciiTheme="minorHAnsi" w:hAnsiTheme="minorHAnsi" w:cstheme="minorHAnsi"/>
          <w:color w:val="383838"/>
        </w:rPr>
        <w:t xml:space="preserve"> </w:t>
      </w:r>
      <w:r w:rsidR="00576203" w:rsidRPr="00000849">
        <w:rPr>
          <w:rFonts w:asciiTheme="minorHAnsi" w:hAnsiTheme="minorHAnsi" w:cstheme="minorHAnsi"/>
          <w:color w:val="383838"/>
        </w:rPr>
        <w:t>of</w:t>
      </w:r>
      <w:r w:rsidR="005C095D" w:rsidRPr="00000849">
        <w:rPr>
          <w:rFonts w:asciiTheme="minorHAnsi" w:hAnsiTheme="minorHAnsi" w:cstheme="minorHAnsi"/>
          <w:color w:val="383838"/>
        </w:rPr>
        <w:t xml:space="preserve"> older</w:t>
      </w:r>
      <w:r w:rsidR="00576203" w:rsidRPr="00000849">
        <w:rPr>
          <w:rFonts w:asciiTheme="minorHAnsi" w:hAnsiTheme="minorHAnsi" w:cstheme="minorHAnsi"/>
          <w:color w:val="383838"/>
        </w:rPr>
        <w:t xml:space="preserve"> adults aged ≥60 years live alone; a further 11% live with only their spouse</w:t>
      </w:r>
      <w:r w:rsidR="005C095D" w:rsidRPr="00000849">
        <w:rPr>
          <w:rFonts w:asciiTheme="minorHAnsi" w:hAnsiTheme="minorHAnsi" w:cstheme="minorHAnsi"/>
          <w:color w:val="383838"/>
        </w:rPr>
        <w:t xml:space="preserve"> </w:t>
      </w:r>
      <w:r w:rsidR="005C095D" w:rsidRPr="00000849">
        <w:rPr>
          <w:rFonts w:asciiTheme="minorHAnsi" w:hAnsiTheme="minorHAnsi" w:cstheme="minorHAnsi"/>
          <w:color w:val="383838"/>
        </w:rPr>
        <w:fldChar w:fldCharType="begin"/>
      </w:r>
      <w:r w:rsidR="000B48CD" w:rsidRPr="00000849">
        <w:rPr>
          <w:rFonts w:asciiTheme="minorHAnsi" w:hAnsiTheme="minorHAnsi" w:cstheme="minorHAnsi"/>
          <w:color w:val="383838"/>
        </w:rPr>
        <w:instrText xml:space="preserve"> ADDIN EN.CITE &lt;EndNote&gt;&lt;Cite&gt;&lt;Author&gt;United Nations&lt;/Author&gt;&lt;Year&gt;2017&lt;/Year&gt;&lt;RecNum&gt;976&lt;/RecNum&gt;&lt;DisplayText&gt;(United Nations, 2017)&lt;/DisplayText&gt;&lt;record&gt;&lt;rec-number&gt;976&lt;/rec-number&gt;&lt;foreign-keys&gt;&lt;key app="EN" db-id="9tzf2rda8re2a9es5tuxart3swzx2zws2s02" timestamp="1549853387"&gt;976&lt;/key&gt;&lt;/foreign-keys&gt;&lt;ref-type name="Report"&gt;27&lt;/ref-type&gt;&lt;contributors&gt;&lt;authors&gt;&lt;author&gt;United Nations,&lt;/author&gt;&lt;/authors&gt;&lt;/contributors&gt;&lt;titles&gt;&lt;title&gt;Living arrangements of older persons, 2017: Ghana&lt;/title&gt;&lt;/titles&gt;&lt;dates&gt;&lt;year&gt;2017&lt;/year&gt;&lt;/dates&gt;&lt;pub-location&gt;New York&lt;/pub-location&gt;&lt;publisher&gt;Population Division, UN&lt;/publisher&gt;&lt;urls&gt;&lt;related-urls&gt;&lt;url&gt;https://population.un.org/LivingArrangements/index.html#/countries&lt;/url&gt;&lt;/related-urls&gt;&lt;/urls&gt;&lt;remote-database-name&gt;United Nations Database on the Living Arrangements of Older Persons 2017. (POP/DB/PD/LAOP/2017).&lt;/remote-database-name&gt;&lt;/record&gt;&lt;/Cite&gt;&lt;/EndNote&gt;</w:instrText>
      </w:r>
      <w:r w:rsidR="005C095D" w:rsidRPr="00000849">
        <w:rPr>
          <w:rFonts w:asciiTheme="minorHAnsi" w:hAnsiTheme="minorHAnsi" w:cstheme="minorHAnsi"/>
          <w:color w:val="383838"/>
        </w:rPr>
        <w:fldChar w:fldCharType="separate"/>
      </w:r>
      <w:r w:rsidR="000B48CD" w:rsidRPr="00000849">
        <w:rPr>
          <w:rFonts w:asciiTheme="minorHAnsi" w:hAnsiTheme="minorHAnsi" w:cstheme="minorHAnsi"/>
          <w:noProof/>
          <w:color w:val="383838"/>
        </w:rPr>
        <w:t>(United Nations, 2017)</w:t>
      </w:r>
      <w:r w:rsidR="005C095D" w:rsidRPr="00000849">
        <w:rPr>
          <w:rFonts w:asciiTheme="minorHAnsi" w:hAnsiTheme="minorHAnsi" w:cstheme="minorHAnsi"/>
          <w:color w:val="383838"/>
        </w:rPr>
        <w:fldChar w:fldCharType="end"/>
      </w:r>
      <w:r w:rsidR="00576203" w:rsidRPr="00000849">
        <w:rPr>
          <w:rFonts w:asciiTheme="minorHAnsi" w:hAnsiTheme="minorHAnsi" w:cstheme="minorHAnsi"/>
          <w:color w:val="383838"/>
        </w:rPr>
        <w:t>.</w:t>
      </w:r>
      <w:r w:rsidR="005C095D" w:rsidRPr="00000849">
        <w:rPr>
          <w:rFonts w:asciiTheme="minorHAnsi" w:hAnsiTheme="minorHAnsi" w:cstheme="minorHAnsi"/>
          <w:color w:val="383838"/>
        </w:rPr>
        <w:t xml:space="preserve">  </w:t>
      </w:r>
      <w:r w:rsidRPr="00000849">
        <w:rPr>
          <w:rFonts w:asciiTheme="minorHAnsi" w:hAnsiTheme="minorHAnsi" w:cstheme="minorHAnsi"/>
          <w:color w:val="383838"/>
        </w:rPr>
        <w:t>This occurs</w:t>
      </w:r>
      <w:r w:rsidR="008B12D5" w:rsidRPr="00000849">
        <w:rPr>
          <w:rFonts w:asciiTheme="minorHAnsi" w:hAnsiTheme="minorHAnsi" w:cstheme="minorHAnsi"/>
          <w:color w:val="383838"/>
        </w:rPr>
        <w:t xml:space="preserve"> when their children migrate to the cities, children and/or spouses die, marriages fail, they are unwilling to join and burden their children in the city, or are neglected by family members, friends or neighbours </w:t>
      </w:r>
      <w:r w:rsidR="008B12D5" w:rsidRPr="00000849">
        <w:rPr>
          <w:rFonts w:asciiTheme="minorHAnsi" w:hAnsiTheme="minorHAnsi" w:cstheme="minorHAnsi"/>
          <w:color w:val="383838"/>
        </w:rPr>
        <w:fldChar w:fldCharType="begin"/>
      </w:r>
      <w:r w:rsidR="008B12D5" w:rsidRPr="00000849">
        <w:rPr>
          <w:rFonts w:asciiTheme="minorHAnsi" w:hAnsiTheme="minorHAnsi" w:cstheme="minorHAnsi"/>
          <w:color w:val="383838"/>
        </w:rPr>
        <w:instrText xml:space="preserve"> ADDIN EN.CITE &lt;EndNote&gt;&lt;Cite&gt;&lt;Author&gt;Osei-Waree&lt;/Author&gt;&lt;Year&gt;2016&lt;/Year&gt;&lt;RecNum&gt;591&lt;/RecNum&gt;&lt;DisplayText&gt;(Osei-Waree &amp;amp; Wilson, 2016)&lt;/DisplayText&gt;&lt;record&gt;&lt;rec-number&gt;591&lt;/rec-number&gt;&lt;foreign-keys&gt;&lt;key app="EN" db-id="9tzf2rda8re2a9es5tuxart3swzx2zws2s02" timestamp="1496622727"&gt;591&lt;/key&gt;&lt;/foreign-keys&gt;&lt;ref-type name="Journal Article"&gt;17&lt;/ref-type&gt;&lt;contributors&gt;&lt;authors&gt;&lt;author&gt;Osei-Waree, Jane&lt;/author&gt;&lt;author&gt;Wilson, Donna M&lt;/author&gt;&lt;/authors&gt;&lt;/contributors&gt;&lt;titles&gt;&lt;title&gt;A qualitative study of the meaning for older people of living alone at home in rural Ghana&lt;/title&gt;&lt;secondary-title&gt;International Journal of Nursing Student Scholarship&lt;/secondary-title&gt;&lt;/titles&gt;&lt;periodical&gt;&lt;full-title&gt;International Journal of Nursing Student Scholarship&lt;/full-title&gt;&lt;/periodical&gt;&lt;pages&gt;1-16&lt;/pages&gt;&lt;volume&gt;3&lt;/volume&gt;&lt;number&gt;16&lt;/number&gt;&lt;dates&gt;&lt;year&gt;2016&lt;/year&gt;&lt;/dates&gt;&lt;isbn&gt;2291-6679&lt;/isbn&gt;&lt;urls&gt;&lt;/urls&gt;&lt;/record&gt;&lt;/Cite&gt;&lt;/EndNote&gt;</w:instrText>
      </w:r>
      <w:r w:rsidR="008B12D5" w:rsidRPr="00000849">
        <w:rPr>
          <w:rFonts w:asciiTheme="minorHAnsi" w:hAnsiTheme="minorHAnsi" w:cstheme="minorHAnsi"/>
          <w:color w:val="383838"/>
        </w:rPr>
        <w:fldChar w:fldCharType="separate"/>
      </w:r>
      <w:r w:rsidR="008B12D5" w:rsidRPr="00000849">
        <w:rPr>
          <w:rFonts w:asciiTheme="minorHAnsi" w:hAnsiTheme="minorHAnsi" w:cstheme="minorHAnsi"/>
          <w:color w:val="383838"/>
        </w:rPr>
        <w:t>(Osei-Waree &amp; Wilson, 2016)</w:t>
      </w:r>
      <w:r w:rsidR="008B12D5" w:rsidRPr="00000849">
        <w:rPr>
          <w:rFonts w:asciiTheme="minorHAnsi" w:hAnsiTheme="minorHAnsi" w:cstheme="minorHAnsi"/>
          <w:color w:val="383838"/>
        </w:rPr>
        <w:fldChar w:fldCharType="end"/>
      </w:r>
      <w:r w:rsidR="008B12D5" w:rsidRPr="00000849">
        <w:rPr>
          <w:rFonts w:asciiTheme="minorHAnsi" w:hAnsiTheme="minorHAnsi" w:cstheme="minorHAnsi"/>
          <w:color w:val="383838"/>
        </w:rPr>
        <w:t>.</w:t>
      </w:r>
    </w:p>
    <w:p w14:paraId="780AAE37" w14:textId="65CCEDBD" w:rsidR="00E028EC" w:rsidRPr="00000849" w:rsidRDefault="006C71C4" w:rsidP="00E028EC">
      <w:pPr>
        <w:pStyle w:val="NormalWeb"/>
        <w:shd w:val="clear" w:color="auto" w:fill="FFFFFF"/>
        <w:spacing w:before="0" w:beforeAutospacing="0" w:after="165" w:afterAutospacing="0" w:line="480" w:lineRule="auto"/>
        <w:ind w:firstLine="567"/>
        <w:jc w:val="both"/>
        <w:rPr>
          <w:rFonts w:asciiTheme="minorHAnsi" w:hAnsiTheme="minorHAnsi" w:cstheme="minorHAnsi"/>
        </w:rPr>
      </w:pPr>
      <w:r w:rsidRPr="00000849">
        <w:rPr>
          <w:rFonts w:asciiTheme="minorHAnsi" w:hAnsiTheme="minorHAnsi" w:cstheme="minorHAnsi"/>
          <w:color w:val="383838"/>
        </w:rPr>
        <w:t xml:space="preserve">The traditional family patterns have been disrupted by rural-urban migration leaving </w:t>
      </w:r>
      <w:r w:rsidR="00C84492" w:rsidRPr="00000849">
        <w:rPr>
          <w:rFonts w:asciiTheme="minorHAnsi" w:hAnsiTheme="minorHAnsi" w:cstheme="minorHAnsi"/>
          <w:color w:val="383838"/>
        </w:rPr>
        <w:t>older adults</w:t>
      </w:r>
      <w:r w:rsidRPr="00000849">
        <w:rPr>
          <w:rFonts w:asciiTheme="minorHAnsi" w:hAnsiTheme="minorHAnsi" w:cstheme="minorHAnsi"/>
          <w:color w:val="383838"/>
        </w:rPr>
        <w:t xml:space="preserve"> to fend largely for themselves in rural settings </w:t>
      </w:r>
      <w:r w:rsidRPr="00000849">
        <w:rPr>
          <w:rFonts w:asciiTheme="minorHAnsi" w:hAnsiTheme="minorHAnsi" w:cstheme="minorHAnsi"/>
          <w:color w:val="383838"/>
        </w:rPr>
        <w:fldChar w:fldCharType="begin">
          <w:fldData xml:space="preserve">PEVuZE5vdGU+PENpdGU+PEF1dGhvcj5BYm9kZXJpbjwvQXV0aG9yPjxZZWFyPjIwMDQ8L1llYXI+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</w:fldData>
        </w:fldChar>
      </w:r>
      <w:r w:rsidR="00000849" w:rsidRPr="00000849">
        <w:rPr>
          <w:rFonts w:asciiTheme="minorHAnsi" w:hAnsiTheme="minorHAnsi" w:cstheme="minorHAnsi"/>
          <w:color w:val="383838"/>
        </w:rPr>
        <w:instrText xml:space="preserve"> ADDIN EN.CITE </w:instrText>
      </w:r>
      <w:r w:rsidR="00000849" w:rsidRPr="00000849">
        <w:rPr>
          <w:rFonts w:asciiTheme="minorHAnsi" w:hAnsiTheme="minorHAnsi" w:cstheme="minorHAnsi"/>
          <w:color w:val="383838"/>
        </w:rPr>
        <w:fldChar w:fldCharType="begin">
          <w:fldData xml:space="preserve">PEVuZE5vdGU+PENpdGU+PEF1dGhvcj5BYm9kZXJpbjwvQXV0aG9yPjxZZWFyPjIwMDQ8L1llYXI+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</w:fldData>
        </w:fldChar>
      </w:r>
      <w:r w:rsidR="00000849" w:rsidRPr="00000849">
        <w:rPr>
          <w:rFonts w:asciiTheme="minorHAnsi" w:hAnsiTheme="minorHAnsi" w:cstheme="minorHAnsi"/>
          <w:color w:val="383838"/>
        </w:rPr>
        <w:instrText xml:space="preserve"> ADDIN EN.CITE.DATA </w:instrText>
      </w:r>
      <w:r w:rsidR="00000849" w:rsidRPr="00000849">
        <w:rPr>
          <w:rFonts w:asciiTheme="minorHAnsi" w:hAnsiTheme="minorHAnsi" w:cstheme="minorHAnsi"/>
          <w:color w:val="383838"/>
        </w:rPr>
      </w:r>
      <w:r w:rsidR="00000849" w:rsidRPr="00000849">
        <w:rPr>
          <w:rFonts w:asciiTheme="minorHAnsi" w:hAnsiTheme="minorHAnsi" w:cstheme="minorHAnsi"/>
          <w:color w:val="383838"/>
        </w:rPr>
        <w:fldChar w:fldCharType="end"/>
      </w:r>
      <w:r w:rsidRPr="00000849">
        <w:rPr>
          <w:rFonts w:asciiTheme="minorHAnsi" w:hAnsiTheme="minorHAnsi" w:cstheme="minorHAnsi"/>
          <w:color w:val="383838"/>
        </w:rPr>
      </w:r>
      <w:r w:rsidRPr="00000849">
        <w:rPr>
          <w:rFonts w:asciiTheme="minorHAnsi" w:hAnsiTheme="minorHAnsi" w:cstheme="minorHAnsi"/>
          <w:color w:val="383838"/>
        </w:rPr>
        <w:fldChar w:fldCharType="separate"/>
      </w:r>
      <w:r w:rsidR="00000849" w:rsidRPr="00000849">
        <w:rPr>
          <w:rFonts w:asciiTheme="minorHAnsi" w:hAnsiTheme="minorHAnsi" w:cstheme="minorHAnsi"/>
          <w:noProof/>
          <w:color w:val="383838"/>
        </w:rPr>
        <w:t>(Aboderin, 2004; Apt, 2001; Apt, 1993)</w:t>
      </w:r>
      <w:r w:rsidRPr="00000849">
        <w:rPr>
          <w:rFonts w:asciiTheme="minorHAnsi" w:hAnsiTheme="minorHAnsi" w:cstheme="minorHAnsi"/>
          <w:color w:val="383838"/>
        </w:rPr>
        <w:fldChar w:fldCharType="end"/>
      </w:r>
      <w:r w:rsidRPr="00000849">
        <w:rPr>
          <w:rFonts w:asciiTheme="minorHAnsi" w:hAnsiTheme="minorHAnsi" w:cstheme="minorHAnsi"/>
          <w:color w:val="383838"/>
        </w:rPr>
        <w:t>.  In urban setting</w:t>
      </w:r>
      <w:r w:rsidR="00D91520" w:rsidRPr="00000849">
        <w:rPr>
          <w:rFonts w:asciiTheme="minorHAnsi" w:hAnsiTheme="minorHAnsi" w:cstheme="minorHAnsi"/>
          <w:color w:val="383838"/>
        </w:rPr>
        <w:t>s</w:t>
      </w:r>
      <w:r w:rsidRPr="00000849">
        <w:rPr>
          <w:rFonts w:asciiTheme="minorHAnsi" w:hAnsiTheme="minorHAnsi" w:cstheme="minorHAnsi"/>
          <w:color w:val="383838"/>
        </w:rPr>
        <w:t xml:space="preserve">, the fast pace of life, the more nuclear family arrangements and the higher level of education of children have contributed to undermining the traditional authority of </w:t>
      </w:r>
      <w:r w:rsidR="00C84492" w:rsidRPr="00000849">
        <w:rPr>
          <w:rFonts w:asciiTheme="minorHAnsi" w:hAnsiTheme="minorHAnsi" w:cstheme="minorHAnsi"/>
          <w:color w:val="383838"/>
        </w:rPr>
        <w:t>older adults</w:t>
      </w:r>
      <w:r w:rsidR="00E64390" w:rsidRPr="00000849">
        <w:rPr>
          <w:rFonts w:asciiTheme="minorHAnsi" w:hAnsiTheme="minorHAnsi" w:cstheme="minorHAnsi"/>
          <w:color w:val="383838"/>
        </w:rPr>
        <w:t xml:space="preserve"> and consequent loss of respect, social exclusion and poverty</w:t>
      </w:r>
      <w:r w:rsidR="004C5EB0" w:rsidRPr="00000849">
        <w:rPr>
          <w:rFonts w:asciiTheme="minorHAnsi" w:hAnsiTheme="minorHAnsi" w:cstheme="minorHAnsi"/>
          <w:color w:val="383838"/>
        </w:rPr>
        <w:t xml:space="preserve"> </w:t>
      </w:r>
      <w:r w:rsidR="00501030" w:rsidRPr="00000849">
        <w:rPr>
          <w:rFonts w:asciiTheme="minorHAnsi" w:hAnsiTheme="minorHAnsi" w:cstheme="minorHAnsi"/>
          <w:color w:val="383838"/>
        </w:rPr>
        <w:fldChar w:fldCharType="begin"/>
      </w:r>
      <w:r w:rsidR="00000849" w:rsidRPr="00000849">
        <w:rPr>
          <w:rFonts w:asciiTheme="minorHAnsi" w:hAnsiTheme="minorHAnsi" w:cstheme="minorHAnsi"/>
          <w:color w:val="383838"/>
        </w:rPr>
        <w:instrText xml:space="preserve"> ADDIN EN.CITE &lt;EndNote&gt;&lt;Cite&gt;&lt;Author&gt;Aboderin&lt;/Author&gt;&lt;Year&gt;2004&lt;/Year&gt;&lt;RecNum&gt;57&lt;/RecNum&gt;&lt;DisplayText&gt;(Aboderin, 2004; Apt, 1993)&lt;/DisplayText&gt;&lt;record&gt;&lt;rec-number&gt;57&lt;/rec-number&gt;&lt;foreign-keys&gt;&lt;key app="EN" db-id="9tzf2rda8re2a9es5tuxart3swzx2zws2s02" timestamp="1465104445"&gt;57&lt;/key&gt;&lt;/foreign-keys&gt;&lt;ref-type name="Journal Article"&gt;17&lt;/ref-type&gt;&lt;contributors&gt;&lt;authors&gt;&lt;author&gt;Aboderin, Isabella&lt;/author&gt;&lt;/authors&gt;&lt;/contributors&gt;&lt;titles&gt;&lt;title&gt;Decline in Material Family Support for Older People in Urban Ghana, Africa: Understanding Processes and Causes of Change&lt;/title&gt;&lt;secondary-title&gt;The Journals of Gerontology Series B: Psychological Sciences and Social Sciences&lt;/secondary-title&gt;&lt;/titles&gt;&lt;periodical&gt;&lt;full-title&gt;The Journals of Gerontology Series B: Psychological Sciences and Social Sciences&lt;/full-title&gt;&lt;abbr-1&gt;J Gerontol B Psychol Sci Soc Sci&lt;/abbr-1&gt;&lt;/periodical&gt;&lt;pages&gt;S128-S137&lt;/pages&gt;&lt;volume&gt;59&lt;/volume&gt;&lt;number&gt;3&lt;/number&gt;&lt;dates&gt;&lt;year&gt;2004&lt;/year&gt;&lt;pub-dates&gt;&lt;date&gt;May 1, 2004&lt;/date&gt;&lt;/pub-dates&gt;&lt;/dates&gt;&lt;urls&gt;&lt;related-urls&gt;&lt;url&gt;http://psychsocgerontology.oxfordjournals.org/content/59/3/S128.abstract&lt;/url&gt;&lt;/related-urls&gt;&lt;/urls&gt;&lt;electronic-resource-num&gt;10.1093/geronb/59.3.S128&lt;/electronic-resource-num&gt;&lt;/record&gt;&lt;/Cite&gt;&lt;Cite&gt;&lt;Author&gt;Apt&lt;/Author&gt;&lt;Year&gt;1993&lt;/Year&gt;&lt;RecNum&gt;61&lt;/RecNum&gt;&lt;record&gt;&lt;rec-number&gt;61&lt;/rec-number&gt;&lt;foreign-keys&gt;&lt;key app="EN" db-id="9tzf2rda8re2a9es5tuxart3swzx2zws2s02" timestamp="1465118943"&gt;61&lt;/key&gt;&lt;/foreign-keys&gt;&lt;ref-type name="Journal Article"&gt;17&lt;/ref-type&gt;&lt;contributors&gt;&lt;authors&gt;&lt;author&gt;Apt, Nana Araba&lt;/author&gt;&lt;/authors&gt;&lt;/contributors&gt;&lt;titles&gt;&lt;title&gt;Care of the elderly in Ghana: An emerging issue&lt;/title&gt;&lt;secondary-title&gt;Journal of Cross-Cultural Gerontology&lt;/secondary-title&gt;&lt;/titles&gt;&lt;periodical&gt;&lt;full-title&gt;Journal of Cross-cultural Gerontology&lt;/full-title&gt;&lt;abbr-1&gt;J Cross Cult Gerontol&lt;/abbr-1&gt;&lt;/periodical&gt;&lt;pages&gt;301-312&lt;/pages&gt;&lt;volume&gt;8&lt;/volume&gt;&lt;number&gt;4&lt;/number&gt;&lt;dates&gt;&lt;year&gt;1993&lt;/year&gt;&lt;/dates&gt;&lt;isbn&gt;0169-3816&lt;/isbn&gt;&lt;urls&gt;&lt;/urls&gt;&lt;/record&gt;&lt;/Cite&gt;&lt;/EndNote&gt;</w:instrText>
      </w:r>
      <w:r w:rsidR="00501030" w:rsidRPr="00000849">
        <w:rPr>
          <w:rFonts w:asciiTheme="minorHAnsi" w:hAnsiTheme="minorHAnsi" w:cstheme="minorHAnsi"/>
          <w:color w:val="383838"/>
        </w:rPr>
        <w:fldChar w:fldCharType="separate"/>
      </w:r>
      <w:r w:rsidR="00000849" w:rsidRPr="00000849">
        <w:rPr>
          <w:rFonts w:asciiTheme="minorHAnsi" w:hAnsiTheme="minorHAnsi" w:cstheme="minorHAnsi"/>
          <w:noProof/>
          <w:color w:val="383838"/>
        </w:rPr>
        <w:t>(Aboderin, 2004; Apt, 1993)</w:t>
      </w:r>
      <w:r w:rsidR="00501030" w:rsidRPr="00000849">
        <w:rPr>
          <w:rFonts w:asciiTheme="minorHAnsi" w:hAnsiTheme="minorHAnsi" w:cstheme="minorHAnsi"/>
          <w:color w:val="383838"/>
        </w:rPr>
        <w:fldChar w:fldCharType="end"/>
      </w:r>
      <w:r w:rsidR="00E64390" w:rsidRPr="00000849">
        <w:rPr>
          <w:rFonts w:cstheme="minorHAnsi"/>
        </w:rPr>
        <w:t xml:space="preserve">.  </w:t>
      </w:r>
    </w:p>
    <w:p w14:paraId="7154E536" w14:textId="56EBA33C" w:rsidR="00E64390" w:rsidRPr="00000849" w:rsidRDefault="00082114" w:rsidP="00E028EC">
      <w:pPr>
        <w:spacing w:line="480" w:lineRule="auto"/>
        <w:ind w:firstLine="567"/>
        <w:jc w:val="both"/>
        <w:rPr>
          <w:rFonts w:cstheme="minorHAnsi"/>
          <w:sz w:val="24"/>
          <w:szCs w:val="24"/>
        </w:rPr>
      </w:pPr>
      <w:r w:rsidRPr="00000849">
        <w:rPr>
          <w:rFonts w:cstheme="minorHAnsi"/>
          <w:sz w:val="24"/>
          <w:szCs w:val="24"/>
        </w:rPr>
        <w:t>S</w:t>
      </w:r>
      <w:r w:rsidR="00E64390" w:rsidRPr="00000849">
        <w:rPr>
          <w:rFonts w:cstheme="minorHAnsi"/>
          <w:sz w:val="24"/>
          <w:szCs w:val="24"/>
        </w:rPr>
        <w:t>tructural support factors</w:t>
      </w:r>
      <w:r w:rsidR="00295276" w:rsidRPr="00000849">
        <w:rPr>
          <w:rFonts w:cstheme="minorHAnsi"/>
          <w:sz w:val="24"/>
          <w:szCs w:val="24"/>
        </w:rPr>
        <w:t xml:space="preserve"> such as</w:t>
      </w:r>
      <w:r w:rsidR="00E64390" w:rsidRPr="00000849">
        <w:rPr>
          <w:rFonts w:cstheme="minorHAnsi"/>
          <w:sz w:val="24"/>
          <w:szCs w:val="24"/>
        </w:rPr>
        <w:t xml:space="preserve"> the size of one’s household, contact with social ties, and the perceived quality of one’s relationship </w:t>
      </w:r>
      <w:r w:rsidR="00C1662B" w:rsidRPr="00000849">
        <w:rPr>
          <w:rFonts w:cstheme="minorHAnsi"/>
          <w:sz w:val="24"/>
          <w:szCs w:val="24"/>
        </w:rPr>
        <w:t>were</w:t>
      </w:r>
      <w:r w:rsidRPr="00000849">
        <w:rPr>
          <w:rFonts w:cstheme="minorHAnsi"/>
          <w:sz w:val="24"/>
          <w:szCs w:val="24"/>
        </w:rPr>
        <w:t xml:space="preserve"> </w:t>
      </w:r>
      <w:r w:rsidR="00E64390" w:rsidRPr="00000849">
        <w:rPr>
          <w:rFonts w:cstheme="minorHAnsi"/>
          <w:sz w:val="24"/>
          <w:szCs w:val="24"/>
        </w:rPr>
        <w:t xml:space="preserve">more important than functional support factors such as the support received and provided to others in predicting self-rated health and subjective well-being in older adults in Ghana in 2007 </w:t>
      </w:r>
      <w:r w:rsidR="00E64390" w:rsidRPr="00000849">
        <w:rPr>
          <w:rFonts w:cstheme="minorHAnsi"/>
          <w:sz w:val="24"/>
          <w:szCs w:val="24"/>
        </w:rPr>
        <w:fldChar w:fldCharType="begin"/>
      </w:r>
      <w:r w:rsidR="0060706B" w:rsidRPr="00000849">
        <w:rPr>
          <w:rFonts w:cstheme="minorHAnsi"/>
          <w:sz w:val="24"/>
          <w:szCs w:val="24"/>
        </w:rPr>
        <w:instrText xml:space="preserve"> ADDIN EN.CITE &lt;EndNote&gt;&lt;Cite&gt;&lt;Author&gt;Ayernor&lt;/Author&gt;&lt;Year&gt;2016&lt;/Year&gt;&lt;RecNum&gt;639&lt;/RecNum&gt;&lt;DisplayText&gt;(Ayernor, 2016)&lt;/DisplayText&gt;&lt;record&gt;&lt;rec-number&gt;639&lt;/rec-number&gt;&lt;foreign-keys&gt;&lt;key app="EN" db-id="9tzf2rda8re2a9es5tuxart3swzx2zws2s02" timestamp="1496880876"&gt;639&lt;/key&gt;&lt;/foreign-keys&gt;&lt;ref-type name="Journal Article"&gt;17&lt;/ref-type&gt;&lt;contributors&gt;&lt;authors&gt;&lt;author&gt;Ayernor, Paul K&lt;/author&gt;&lt;/authors&gt;&lt;/contributors&gt;&lt;titles&gt;&lt;title&gt;Health and Well-Being of Older Adults in Ghana: Social Support, Gender, and Ethnicity&lt;/title&gt;&lt;secondary-title&gt;Ghana Studies&lt;/secondary-title&gt;&lt;/titles&gt;&lt;periodical&gt;&lt;full-title&gt;Ghana Studies&lt;/full-title&gt;&lt;/periodical&gt;&lt;pages&gt;95-129&lt;/pages&gt;&lt;volume&gt;19&lt;/volume&gt;&lt;number&gt;1&lt;/number&gt;&lt;dates&gt;&lt;year&gt;2016&lt;/year&gt;&lt;/dates&gt;&lt;isbn&gt;2333-7168&lt;/isbn&gt;&lt;urls&gt;&lt;/urls&gt;&lt;/record&gt;&lt;/Cite&gt;&lt;/EndNote&gt;</w:instrText>
      </w:r>
      <w:r w:rsidR="00E64390" w:rsidRPr="00000849">
        <w:rPr>
          <w:rFonts w:cstheme="minorHAnsi"/>
          <w:sz w:val="24"/>
          <w:szCs w:val="24"/>
        </w:rPr>
        <w:fldChar w:fldCharType="separate"/>
      </w:r>
      <w:r w:rsidR="0060706B" w:rsidRPr="00000849">
        <w:rPr>
          <w:rFonts w:cstheme="minorHAnsi"/>
          <w:noProof/>
          <w:sz w:val="24"/>
          <w:szCs w:val="24"/>
        </w:rPr>
        <w:t>(Ayernor, 2016)</w:t>
      </w:r>
      <w:r w:rsidR="00E64390" w:rsidRPr="00000849">
        <w:rPr>
          <w:rFonts w:cstheme="minorHAnsi"/>
          <w:sz w:val="24"/>
          <w:szCs w:val="24"/>
        </w:rPr>
        <w:fldChar w:fldCharType="end"/>
      </w:r>
      <w:r w:rsidR="00E64390" w:rsidRPr="00000849">
        <w:rPr>
          <w:rFonts w:cstheme="minorHAnsi"/>
          <w:sz w:val="24"/>
          <w:szCs w:val="24"/>
        </w:rPr>
        <w:t xml:space="preserve">.  </w:t>
      </w:r>
    </w:p>
    <w:p w14:paraId="1DB9414E" w14:textId="670B16FD" w:rsidR="00A04D47" w:rsidRPr="00000849" w:rsidRDefault="00A04D47" w:rsidP="00E028EC">
      <w:pPr>
        <w:spacing w:line="480" w:lineRule="auto"/>
        <w:ind w:firstLine="567"/>
        <w:jc w:val="both"/>
        <w:rPr>
          <w:rFonts w:cstheme="minorHAnsi"/>
          <w:sz w:val="24"/>
          <w:szCs w:val="24"/>
        </w:rPr>
      </w:pPr>
    </w:p>
    <w:p w14:paraId="09AC2FD4" w14:textId="77777777" w:rsidR="00A04D47" w:rsidRPr="00000849" w:rsidRDefault="00A04D47" w:rsidP="007463C0">
      <w:pPr>
        <w:pStyle w:val="Heading2"/>
      </w:pPr>
      <w:bookmarkStart w:id="24" w:name="_Toc51472078"/>
      <w:r w:rsidRPr="00000849">
        <w:lastRenderedPageBreak/>
        <w:t>1.5</w:t>
      </w:r>
      <w:r w:rsidRPr="00000849">
        <w:tab/>
        <w:t>Social protection measures for the older age population in Ghana</w:t>
      </w:r>
      <w:bookmarkEnd w:id="24"/>
    </w:p>
    <w:p w14:paraId="2F7DD6F5" w14:textId="77777777" w:rsidR="00A04D47" w:rsidRPr="00000849" w:rsidRDefault="00A04D47" w:rsidP="00000849">
      <w:pPr>
        <w:keepNext/>
        <w:keepLines/>
        <w:spacing w:line="480" w:lineRule="auto"/>
        <w:ind w:firstLine="567"/>
        <w:jc w:val="both"/>
        <w:rPr>
          <w:rFonts w:cstheme="minorHAnsi"/>
          <w:sz w:val="24"/>
          <w:szCs w:val="24"/>
        </w:rPr>
      </w:pPr>
    </w:p>
    <w:p w14:paraId="74A3BF13" w14:textId="2B602E3B" w:rsidR="007C01ED" w:rsidRPr="00000849" w:rsidRDefault="00E13AFB" w:rsidP="00000849">
      <w:pPr>
        <w:pStyle w:val="NormalWeb"/>
        <w:keepNext/>
        <w:keepLines/>
        <w:shd w:val="clear" w:color="auto" w:fill="FFFFFF"/>
        <w:spacing w:before="0" w:beforeAutospacing="0" w:after="165" w:afterAutospacing="0" w:line="480" w:lineRule="auto"/>
        <w:jc w:val="both"/>
        <w:rPr>
          <w:rFonts w:asciiTheme="minorHAnsi" w:hAnsiTheme="minorHAnsi" w:cstheme="minorHAnsi"/>
        </w:rPr>
      </w:pPr>
      <w:r w:rsidRPr="00000849">
        <w:rPr>
          <w:rFonts w:asciiTheme="minorHAnsi" w:hAnsiTheme="minorHAnsi" w:cstheme="minorHAnsi"/>
        </w:rPr>
        <w:t xml:space="preserve">Given the insufficiently-developed pension and social security system and their limited coverage to formal sector workers, poverty is a </w:t>
      </w:r>
      <w:r w:rsidR="0097171B" w:rsidRPr="00000849">
        <w:rPr>
          <w:rFonts w:asciiTheme="minorHAnsi" w:hAnsiTheme="minorHAnsi" w:cstheme="minorHAnsi"/>
        </w:rPr>
        <w:t xml:space="preserve">significant </w:t>
      </w:r>
      <w:r w:rsidRPr="00000849">
        <w:rPr>
          <w:rFonts w:asciiTheme="minorHAnsi" w:hAnsiTheme="minorHAnsi" w:cstheme="minorHAnsi"/>
        </w:rPr>
        <w:t xml:space="preserve">challenge among older adults in Ghana </w:t>
      </w:r>
      <w:r w:rsidRPr="00000849">
        <w:rPr>
          <w:rFonts w:asciiTheme="minorHAnsi" w:hAnsiTheme="minorHAnsi" w:cstheme="minorHAnsi"/>
        </w:rPr>
        <w:fldChar w:fldCharType="begin"/>
      </w:r>
      <w:r w:rsidRPr="00000849">
        <w:rPr>
          <w:rFonts w:asciiTheme="minorHAnsi" w:hAnsiTheme="minorHAnsi" w:cstheme="minorHAnsi"/>
        </w:rPr>
        <w:instrText xml:space="preserve"> ADDIN EN.CITE &lt;EndNote&gt;&lt;Cite&gt;&lt;Author&gt;Kpessa-Whyte&lt;/Author&gt;&lt;Year&gt;2018&lt;/Year&gt;&lt;RecNum&gt;1093&lt;/RecNum&gt;&lt;DisplayText&gt;(Kpessa-Whyte, 2018; Tawiah, 2011)&lt;/DisplayText&gt;&lt;record&gt;&lt;rec-number&gt;1093&lt;/rec-number&gt;&lt;foreign-keys&gt;&lt;key app="EN" db-id="9tzf2rda8re2a9es5tuxart3swzx2zws2s02" timestamp="1579161576"&gt;1093&lt;/key&gt;&lt;/foreign-keys&gt;&lt;ref-type name="Journal Article"&gt;17&lt;/ref-type&gt;&lt;contributors&gt;&lt;authors&gt;&lt;author&gt;Kpessa-Whyte, Michael&lt;/author&gt;&lt;/authors&gt;&lt;/contributors&gt;&lt;titles&gt;&lt;title&gt;Aging and demographic transition in Ghana: State of the elderly and emerging issues&lt;/title&gt;&lt;secondary-title&gt;The Gerontologist&lt;/secondary-title&gt;&lt;/titles&gt;&lt;periodical&gt;&lt;full-title&gt;The Gerontologist&lt;/full-title&gt;&lt;abbr-1&gt;Gerontologist&lt;/abbr-1&gt;&lt;/periodical&gt;&lt;pages&gt;403-408&lt;/pages&gt;&lt;volume&gt;58&lt;/volume&gt;&lt;number&gt;3&lt;/number&gt;&lt;dates&gt;&lt;year&gt;2018&lt;/year&gt;&lt;/dates&gt;&lt;isbn&gt;0016-9013&lt;/isbn&gt;&lt;urls&gt;&lt;/urls&gt;&lt;/record&gt;&lt;/Cite&gt;&lt;Cite&gt;&lt;Author&gt;Tawiah&lt;/Author&gt;&lt;Year&gt;2011&lt;/Year&gt;&lt;RecNum&gt;16&lt;/RecNum&gt;&lt;record&gt;&lt;rec-number&gt;16&lt;/rec-number&gt;&lt;foreign-keys&gt;&lt;key app="EN" db-id="9tzf2rda8re2a9es5tuxart3swzx2zws2s02" timestamp="1463397600"&gt;16&lt;/key&gt;&lt;/foreign-keys&gt;&lt;ref-type name="Journal Article"&gt;17&lt;/ref-type&gt;&lt;contributors&gt;&lt;authors&gt;&lt;author&gt;Tawiah, EO&lt;/author&gt;&lt;/authors&gt;&lt;/contributors&gt;&lt;titles&gt;&lt;title&gt;Population ageing in Ghana: a profile and emerging issues&lt;/title&gt;&lt;secondary-title&gt;African Population Studies&lt;/secondary-title&gt;&lt;/titles&gt;&lt;periodical&gt;&lt;full-title&gt;African Population Studies&lt;/full-title&gt;&lt;/periodical&gt;&lt;pages&gt;623-45&lt;/pages&gt;&lt;volume&gt;25&lt;/volume&gt;&lt;number&gt;2&lt;/number&gt;&lt;dates&gt;&lt;year&gt;2011&lt;/year&gt;&lt;/dates&gt;&lt;urls&gt;&lt;/urls&gt;&lt;/record&gt;&lt;/Cite&gt;&lt;/EndNote&gt;</w:instrText>
      </w:r>
      <w:r w:rsidRPr="00000849">
        <w:rPr>
          <w:rFonts w:asciiTheme="minorHAnsi" w:hAnsiTheme="minorHAnsi" w:cstheme="minorHAnsi"/>
        </w:rPr>
        <w:fldChar w:fldCharType="separate"/>
      </w:r>
      <w:r w:rsidRPr="00000849">
        <w:rPr>
          <w:rFonts w:asciiTheme="minorHAnsi" w:hAnsiTheme="minorHAnsi" w:cstheme="minorHAnsi"/>
          <w:noProof/>
        </w:rPr>
        <w:t>(Kpessa-Whyte, 2018; Tawiah, 2011)</w:t>
      </w:r>
      <w:r w:rsidRPr="00000849">
        <w:rPr>
          <w:rFonts w:asciiTheme="minorHAnsi" w:hAnsiTheme="minorHAnsi" w:cstheme="minorHAnsi"/>
        </w:rPr>
        <w:fldChar w:fldCharType="end"/>
      </w:r>
      <w:r w:rsidRPr="00000849">
        <w:rPr>
          <w:rFonts w:asciiTheme="minorHAnsi" w:hAnsiTheme="minorHAnsi" w:cstheme="minorHAnsi"/>
        </w:rPr>
        <w:t xml:space="preserve">.  </w:t>
      </w:r>
      <w:r w:rsidR="00A04D47" w:rsidRPr="00000849">
        <w:rPr>
          <w:rFonts w:asciiTheme="minorHAnsi" w:hAnsiTheme="minorHAnsi" w:cstheme="minorHAnsi"/>
          <w:color w:val="383838"/>
        </w:rPr>
        <w:t xml:space="preserve">Less than 10% of adults aged ≥60 years receive a pension as the large majority worked in informal sector during the working lives and did not contribute to the national social security scheme </w:t>
      </w:r>
      <w:r w:rsidR="00A04D47" w:rsidRPr="00000849">
        <w:rPr>
          <w:rFonts w:asciiTheme="minorHAnsi" w:hAnsiTheme="minorHAnsi" w:cstheme="minorHAnsi"/>
          <w:color w:val="383838"/>
        </w:rPr>
        <w:fldChar w:fldCharType="begin"/>
      </w:r>
      <w:r w:rsidR="00A04D47" w:rsidRPr="00000849">
        <w:rPr>
          <w:rFonts w:asciiTheme="minorHAnsi" w:hAnsiTheme="minorHAnsi" w:cstheme="minorHAnsi"/>
          <w:color w:val="383838"/>
        </w:rPr>
        <w:instrText xml:space="preserve"> ADDIN EN.CITE &lt;EndNote&gt;&lt;Cite&gt;&lt;Author&gt;Nantomah&lt;/Author&gt;&lt;Year&gt;2015&lt;/Year&gt;&lt;RecNum&gt;544&lt;/RecNum&gt;&lt;DisplayText&gt;(Nantomah &amp;amp; Adoma, 2015)&lt;/DisplayText&gt;&lt;record&gt;&lt;rec-number&gt;544&lt;/rec-number&gt;&lt;foreign-keys&gt;&lt;key app="EN" db-id="9tzf2rda8re2a9es5tuxart3swzx2zws2s02" timestamp="1495945216"&gt;544&lt;/key&gt;&lt;/foreign-keys&gt;&lt;ref-type name="Journal Article"&gt;17&lt;/ref-type&gt;&lt;contributors&gt;&lt;authors&gt;&lt;author&gt;Nantomah, Bismark&lt;/author&gt;&lt;author&gt;Adoma, Prince Owusu&lt;/author&gt;&lt;/authors&gt;&lt;/contributors&gt;&lt;titles&gt;&lt;title&gt;Population ageing and formal support system available for the elderly in Ghana.&lt;/title&gt;&lt;secondary-title&gt;Journal of Scientific Research and Studies&lt;/secondary-title&gt;&lt;/titles&gt;&lt;periodical&gt;&lt;full-title&gt;Journal of Scientific Research and Studies&lt;/full-title&gt;&lt;/periodical&gt;&lt;pages&gt;16-28&lt;/pages&gt;&lt;volume&gt;2&lt;/volume&gt;&lt;number&gt;1&lt;/number&gt;&lt;dates&gt;&lt;year&gt;2015&lt;/year&gt;&lt;/dates&gt;&lt;urls&gt;&lt;related-urls&gt;&lt;url&gt;http://www.modernrespub.org/jsrs/pdf/2015/January/Nantomah%20and%20Adoma.pdf&lt;/url&gt;&lt;/related-urls&gt;&lt;/urls&gt;&lt;/record&gt;&lt;/Cite&gt;&lt;/EndNote&gt;</w:instrText>
      </w:r>
      <w:r w:rsidR="00A04D47" w:rsidRPr="00000849">
        <w:rPr>
          <w:rFonts w:asciiTheme="minorHAnsi" w:hAnsiTheme="minorHAnsi" w:cstheme="minorHAnsi"/>
          <w:color w:val="383838"/>
        </w:rPr>
        <w:fldChar w:fldCharType="separate"/>
      </w:r>
      <w:r w:rsidR="00A04D47" w:rsidRPr="00000849">
        <w:rPr>
          <w:rFonts w:asciiTheme="minorHAnsi" w:hAnsiTheme="minorHAnsi" w:cstheme="minorHAnsi"/>
          <w:noProof/>
          <w:color w:val="383838"/>
        </w:rPr>
        <w:t>(Nantomah &amp; Adoma, 2015)</w:t>
      </w:r>
      <w:r w:rsidR="00A04D47" w:rsidRPr="00000849">
        <w:rPr>
          <w:rFonts w:asciiTheme="minorHAnsi" w:hAnsiTheme="minorHAnsi" w:cstheme="minorHAnsi"/>
          <w:color w:val="383838"/>
        </w:rPr>
        <w:fldChar w:fldCharType="end"/>
      </w:r>
      <w:r w:rsidR="00A04D47" w:rsidRPr="00000849">
        <w:rPr>
          <w:rFonts w:asciiTheme="minorHAnsi" w:hAnsiTheme="minorHAnsi" w:cstheme="minorHAnsi"/>
          <w:color w:val="383838"/>
        </w:rPr>
        <w:t xml:space="preserve">.  </w:t>
      </w:r>
      <w:r w:rsidR="007463C0" w:rsidRPr="00000849">
        <w:rPr>
          <w:rFonts w:asciiTheme="minorHAnsi" w:hAnsiTheme="minorHAnsi" w:cstheme="minorHAnsi"/>
        </w:rPr>
        <w:t xml:space="preserve">Poverty </w:t>
      </w:r>
      <w:r w:rsidRPr="00000849">
        <w:rPr>
          <w:rFonts w:asciiTheme="minorHAnsi" w:hAnsiTheme="minorHAnsi" w:cstheme="minorHAnsi"/>
        </w:rPr>
        <w:t xml:space="preserve">is a major determinant of ill-health, discrimination and social exclusion </w:t>
      </w:r>
      <w:r w:rsidRPr="00000849">
        <w:rPr>
          <w:rFonts w:asciiTheme="minorHAnsi" w:hAnsiTheme="minorHAnsi" w:cstheme="minorHAnsi"/>
        </w:rPr>
        <w:fldChar w:fldCharType="begin"/>
      </w:r>
      <w:r w:rsidR="003E660C" w:rsidRPr="00000849">
        <w:rPr>
          <w:rFonts w:asciiTheme="minorHAnsi" w:hAnsiTheme="minorHAnsi" w:cstheme="minorHAnsi"/>
        </w:rPr>
        <w:instrText xml:space="preserve"> ADDIN EN.CITE &lt;EndNote&gt;&lt;Cite&gt;&lt;Author&gt;Apt&lt;/Author&gt;&lt;Year&gt;2012&lt;/Year&gt;&lt;RecNum&gt;145&lt;/RecNum&gt;&lt;DisplayText&gt;(Apt, 2012)&lt;/DisplayText&gt;&lt;record&gt;&lt;rec-number&gt;145&lt;/rec-number&gt;&lt;foreign-keys&gt;&lt;key app="EN" db-id="9tzf2rda8re2a9es5tuxart3swzx2zws2s02" timestamp="1479806767"&gt;145&lt;/key&gt;&lt;/foreign-keys&gt;&lt;ref-type name="Journal Article"&gt;17&lt;/ref-type&gt;&lt;contributors&gt;&lt;authors&gt;&lt;author&gt;Apt, Nana Araba&lt;/author&gt;&lt;/authors&gt;&lt;/contributors&gt;&lt;titles&gt;&lt;title&gt;Aging in Africa: Past experiences and strategic directions&lt;/title&gt;&lt;secondary-title&gt;Ageing International&lt;/secondary-title&gt;&lt;/titles&gt;&lt;periodical&gt;&lt;full-title&gt;Ageing International&lt;/full-title&gt;&lt;/periodical&gt;&lt;pages&gt;93-103&lt;/pages&gt;&lt;volume&gt;37&lt;/volume&gt;&lt;number&gt;1&lt;/number&gt;&lt;dates&gt;&lt;year&gt;2012&lt;/year&gt;&lt;/dates&gt;&lt;isbn&gt;0163-5158&lt;/isbn&gt;&lt;urls&gt;&lt;/urls&gt;&lt;/record&gt;&lt;/Cite&gt;&lt;/EndNote&gt;</w:instrText>
      </w:r>
      <w:r w:rsidRPr="00000849">
        <w:rPr>
          <w:rFonts w:asciiTheme="minorHAnsi" w:hAnsiTheme="minorHAnsi" w:cstheme="minorHAnsi"/>
        </w:rPr>
        <w:fldChar w:fldCharType="separate"/>
      </w:r>
      <w:r w:rsidRPr="00000849">
        <w:rPr>
          <w:rFonts w:asciiTheme="minorHAnsi" w:hAnsiTheme="minorHAnsi" w:cstheme="minorHAnsi"/>
          <w:noProof/>
        </w:rPr>
        <w:t>(Apt, 2012)</w:t>
      </w:r>
      <w:r w:rsidRPr="00000849">
        <w:rPr>
          <w:rFonts w:asciiTheme="minorHAnsi" w:hAnsiTheme="minorHAnsi" w:cstheme="minorHAnsi"/>
        </w:rPr>
        <w:fldChar w:fldCharType="end"/>
      </w:r>
      <w:r w:rsidRPr="00000849">
        <w:rPr>
          <w:rFonts w:asciiTheme="minorHAnsi" w:hAnsiTheme="minorHAnsi" w:cstheme="minorHAnsi"/>
        </w:rPr>
        <w:t xml:space="preserve">.  Poverty rates among older adults are higher than the national average in Ghana </w:t>
      </w:r>
      <w:r w:rsidRPr="00000849">
        <w:rPr>
          <w:rFonts w:asciiTheme="minorHAnsi" w:hAnsiTheme="minorHAnsi" w:cstheme="minorHAnsi"/>
        </w:rPr>
        <w:fldChar w:fldCharType="begin"/>
      </w:r>
      <w:r w:rsidRPr="00000849">
        <w:rPr>
          <w:rFonts w:asciiTheme="minorHAnsi" w:hAnsiTheme="minorHAnsi" w:cstheme="minorHAnsi"/>
        </w:rPr>
        <w:instrText xml:space="preserve"> ADDIN EN.CITE &lt;EndNote&gt;&lt;Cite&gt;&lt;Author&gt;Kwankye&lt;/Author&gt;&lt;Year&gt;2013&lt;/Year&gt;&lt;RecNum&gt;594&lt;/RecNum&gt;&lt;DisplayText&gt;(Kwankye, 2013)&lt;/DisplayText&gt;&lt;record&gt;&lt;rec-number&gt;594&lt;/rec-number&gt;&lt;foreign-keys&gt;&lt;key app="EN" db-id="9tzf2rda8re2a9es5tuxart3swzx2zws2s02" timestamp="1496629178"&gt;594&lt;/key&gt;&lt;/foreign-keys&gt;&lt;ref-type name="Journal Article"&gt;17&lt;/ref-type&gt;&lt;contributors&gt;&lt;authors&gt;&lt;author&gt;Kwankye, SO&lt;/author&gt;&lt;/authors&gt;&lt;/contributors&gt;&lt;titles&gt;&lt;title&gt;Growing old in Ghana: Health and economic implications&lt;/title&gt;&lt;secondary-title&gt;Postgraduate Medical Journal of Ghana&lt;/secondary-title&gt;&lt;/titles&gt;&lt;periodical&gt;&lt;full-title&gt;Postgraduate Medical Journal of Ghana&lt;/full-title&gt;&lt;/periodical&gt;&lt;pages&gt;88-97&lt;/pages&gt;&lt;volume&gt;2&lt;/volume&gt;&lt;number&gt;2&lt;/number&gt;&lt;dates&gt;&lt;year&gt;2013&lt;/year&gt;&lt;/dates&gt;&lt;urls&gt;&lt;/urls&gt;&lt;/record&gt;&lt;/Cite&gt;&lt;/EndNote&gt;</w:instrText>
      </w:r>
      <w:r w:rsidRPr="00000849">
        <w:rPr>
          <w:rFonts w:asciiTheme="minorHAnsi" w:hAnsiTheme="minorHAnsi" w:cstheme="minorHAnsi"/>
        </w:rPr>
        <w:fldChar w:fldCharType="separate"/>
      </w:r>
      <w:r w:rsidRPr="00000849">
        <w:rPr>
          <w:rFonts w:asciiTheme="minorHAnsi" w:hAnsiTheme="minorHAnsi" w:cstheme="minorHAnsi"/>
          <w:noProof/>
        </w:rPr>
        <w:t>(Kwankye, 2013)</w:t>
      </w:r>
      <w:r w:rsidRPr="00000849">
        <w:rPr>
          <w:rFonts w:asciiTheme="minorHAnsi" w:hAnsiTheme="minorHAnsi" w:cstheme="minorHAnsi"/>
        </w:rPr>
        <w:fldChar w:fldCharType="end"/>
      </w:r>
      <w:r w:rsidRPr="00000849">
        <w:rPr>
          <w:rFonts w:asciiTheme="minorHAnsi" w:hAnsiTheme="minorHAnsi" w:cstheme="minorHAnsi"/>
        </w:rPr>
        <w:t xml:space="preserve">.  </w:t>
      </w:r>
      <w:r w:rsidR="007C01ED" w:rsidRPr="00000849">
        <w:rPr>
          <w:rFonts w:asciiTheme="minorHAnsi" w:hAnsiTheme="minorHAnsi" w:cstheme="minorHAnsi"/>
        </w:rPr>
        <w:t xml:space="preserve">Factors contributing to poverty in older ages include reduced physical capacity and poor vision, low educational levels, outmigration of young from rural to urban areas, reduced financial inflows from children, and the non-inclusion of older adults in poverty reduction strategies </w:t>
      </w:r>
      <w:r w:rsidR="007C01ED" w:rsidRPr="00000849">
        <w:rPr>
          <w:rFonts w:asciiTheme="minorHAnsi" w:hAnsiTheme="minorHAnsi" w:cstheme="minorHAnsi"/>
        </w:rPr>
        <w:fldChar w:fldCharType="begin"/>
      </w:r>
      <w:r w:rsidR="007C01ED" w:rsidRPr="00000849">
        <w:rPr>
          <w:rFonts w:asciiTheme="minorHAnsi" w:hAnsiTheme="minorHAnsi" w:cstheme="minorHAnsi"/>
        </w:rPr>
        <w:instrText xml:space="preserve"> ADDIN EN.CITE &lt;EndNote&gt;&lt;Cite&gt;&lt;Author&gt;Ogwumike&lt;/Author&gt;&lt;Year&gt;2005&lt;/Year&gt;&lt;RecNum&gt;599&lt;/RecNum&gt;&lt;DisplayText&gt;(Ogwumike &amp;amp; Aboderin, 2005)&lt;/DisplayText&gt;&lt;record&gt;&lt;rec-number&gt;599&lt;/rec-number&gt;&lt;foreign-keys&gt;&lt;key app="EN" db-id="9tzf2rda8re2a9es5tuxart3swzx2zws2s02" timestamp="1496715134"&gt;599&lt;/key&gt;&lt;/foreign-keys&gt;&lt;ref-type name="Journal Article"&gt;17&lt;/ref-type&gt;&lt;contributors&gt;&lt;authors&gt;&lt;author&gt;Ogwumike, F. O.&lt;/author&gt;&lt;author&gt;Aboderin, Isabella&lt;/author&gt;&lt;/authors&gt;&lt;/contributors&gt;&lt;titles&gt;&lt;title&gt;Exploring the links between old age and poverty in Anglophone West Africa: evidence from Nigeria and Ghana&lt;/title&gt;&lt;secondary-title&gt;Generations Review&lt;/secondary-title&gt;&lt;/titles&gt;&lt;periodical&gt;&lt;full-title&gt;Generations Review&lt;/full-title&gt;&lt;/periodical&gt;&lt;pages&gt;7-15&lt;/pages&gt;&lt;volume&gt;15&lt;/volume&gt;&lt;number&gt;2&lt;/number&gt;&lt;dates&gt;&lt;year&gt;2005&lt;/year&gt;&lt;/dates&gt;&lt;urls&gt;&lt;/urls&gt;&lt;/record&gt;&lt;/Cite&gt;&lt;/EndNote&gt;</w:instrText>
      </w:r>
      <w:r w:rsidR="007C01ED" w:rsidRPr="00000849">
        <w:rPr>
          <w:rFonts w:asciiTheme="minorHAnsi" w:hAnsiTheme="minorHAnsi" w:cstheme="minorHAnsi"/>
        </w:rPr>
        <w:fldChar w:fldCharType="separate"/>
      </w:r>
      <w:r w:rsidR="007C01ED" w:rsidRPr="00000849">
        <w:rPr>
          <w:rFonts w:asciiTheme="minorHAnsi" w:hAnsiTheme="minorHAnsi" w:cstheme="minorHAnsi"/>
          <w:noProof/>
        </w:rPr>
        <w:t>(Ogwumike &amp; Aboderin, 2005)</w:t>
      </w:r>
      <w:r w:rsidR="007C01ED" w:rsidRPr="00000849">
        <w:rPr>
          <w:rFonts w:asciiTheme="minorHAnsi" w:hAnsiTheme="minorHAnsi" w:cstheme="minorHAnsi"/>
        </w:rPr>
        <w:fldChar w:fldCharType="end"/>
      </w:r>
      <w:r w:rsidR="007C01ED" w:rsidRPr="00000849">
        <w:rPr>
          <w:rFonts w:asciiTheme="minorHAnsi" w:hAnsiTheme="minorHAnsi" w:cstheme="minorHAnsi"/>
        </w:rPr>
        <w:t>.</w:t>
      </w:r>
    </w:p>
    <w:p w14:paraId="3B8E6EA0" w14:textId="3E0CD3F0" w:rsidR="008C5E8B" w:rsidRPr="00000849" w:rsidRDefault="00A6325A" w:rsidP="00000849">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Measures to mitigate the financial situation of older adults </w:t>
      </w:r>
      <w:r w:rsidR="001048F8" w:rsidRPr="00000849">
        <w:rPr>
          <w:rFonts w:asciiTheme="minorHAnsi" w:hAnsiTheme="minorHAnsi" w:cstheme="minorHAnsi"/>
          <w:color w:val="383838"/>
        </w:rPr>
        <w:t xml:space="preserve">seek to </w:t>
      </w:r>
      <w:r w:rsidRPr="00000849">
        <w:rPr>
          <w:rFonts w:asciiTheme="minorHAnsi" w:hAnsiTheme="minorHAnsi" w:cstheme="minorHAnsi"/>
          <w:color w:val="383838"/>
        </w:rPr>
        <w:t>enable th</w:t>
      </w:r>
      <w:r w:rsidR="00E125F1" w:rsidRPr="00000849">
        <w:rPr>
          <w:rFonts w:asciiTheme="minorHAnsi" w:hAnsiTheme="minorHAnsi" w:cstheme="minorHAnsi"/>
          <w:color w:val="383838"/>
        </w:rPr>
        <w:t xml:space="preserve">em to have the needed medical screening and sick individuals to seek appropriate medical care </w:t>
      </w:r>
      <w:r w:rsidRPr="00000849">
        <w:rPr>
          <w:rFonts w:asciiTheme="minorHAnsi" w:hAnsiTheme="minorHAnsi" w:cstheme="minorHAnsi"/>
          <w:color w:val="383838"/>
        </w:rPr>
        <w:t>without financial hardships.  These measures have been in the form of respect for human rights, specific policy provisions for older age group, health insurance and direct financial support.</w:t>
      </w:r>
      <w:r w:rsidR="00E125F1" w:rsidRPr="00000849">
        <w:rPr>
          <w:rFonts w:asciiTheme="minorHAnsi" w:hAnsiTheme="minorHAnsi" w:cstheme="minorHAnsi"/>
          <w:color w:val="383838"/>
        </w:rPr>
        <w:t xml:space="preserve">  Besides being a signatory to several international laws, resolutions and plans such as </w:t>
      </w:r>
      <w:r w:rsidR="0048477B" w:rsidRPr="00000849">
        <w:rPr>
          <w:rFonts w:asciiTheme="minorHAnsi" w:hAnsiTheme="minorHAnsi" w:cstheme="minorHAnsi"/>
          <w:color w:val="383838"/>
        </w:rPr>
        <w:t xml:space="preserve">the </w:t>
      </w:r>
      <w:r w:rsidR="008C5E8B" w:rsidRPr="00000849">
        <w:rPr>
          <w:rFonts w:asciiTheme="minorHAnsi" w:hAnsiTheme="minorHAnsi" w:cstheme="minorHAnsi"/>
          <w:color w:val="383838"/>
        </w:rPr>
        <w:t>African Charter on Human and People</w:t>
      </w:r>
      <w:r w:rsidR="006979FD" w:rsidRPr="00000849">
        <w:rPr>
          <w:rFonts w:asciiTheme="minorHAnsi" w:hAnsiTheme="minorHAnsi" w:cstheme="minorHAnsi"/>
          <w:color w:val="383838"/>
        </w:rPr>
        <w:t>’</w:t>
      </w:r>
      <w:r w:rsidR="008C5E8B" w:rsidRPr="00000849">
        <w:rPr>
          <w:rFonts w:asciiTheme="minorHAnsi" w:hAnsiTheme="minorHAnsi" w:cstheme="minorHAnsi"/>
          <w:color w:val="383838"/>
        </w:rPr>
        <w:t>s Rights (1981), and the Madrid Plan of Action on Ageing (2002)</w:t>
      </w:r>
      <w:r w:rsidR="00E125F1" w:rsidRPr="00000849">
        <w:rPr>
          <w:rFonts w:asciiTheme="minorHAnsi" w:hAnsiTheme="minorHAnsi" w:cstheme="minorHAnsi"/>
          <w:color w:val="383838"/>
        </w:rPr>
        <w:t>,</w:t>
      </w:r>
      <w:r w:rsidR="008C5E8B" w:rsidRPr="00000849">
        <w:rPr>
          <w:rFonts w:asciiTheme="minorHAnsi" w:hAnsiTheme="minorHAnsi" w:cstheme="minorHAnsi"/>
          <w:color w:val="383838"/>
        </w:rPr>
        <w:t xml:space="preserve"> </w:t>
      </w:r>
      <w:r w:rsidR="00E125F1" w:rsidRPr="00000849">
        <w:rPr>
          <w:rFonts w:asciiTheme="minorHAnsi" w:hAnsiTheme="minorHAnsi" w:cstheme="minorHAnsi"/>
          <w:color w:val="383838"/>
        </w:rPr>
        <w:t xml:space="preserve">Ghana has its own domestic laws and policies to protect the rights and to promote the welfare of older people.  </w:t>
      </w:r>
      <w:r w:rsidR="00E125F1" w:rsidRPr="00000849">
        <w:rPr>
          <w:rFonts w:asciiTheme="minorHAnsi" w:hAnsiTheme="minorHAnsi" w:cstheme="minorHAnsi"/>
          <w:color w:val="383838"/>
        </w:rPr>
        <w:lastRenderedPageBreak/>
        <w:t>The local la</w:t>
      </w:r>
      <w:r w:rsidR="008C5E8B" w:rsidRPr="00000849">
        <w:rPr>
          <w:rFonts w:asciiTheme="minorHAnsi" w:hAnsiTheme="minorHAnsi" w:cstheme="minorHAnsi"/>
          <w:color w:val="383838"/>
        </w:rPr>
        <w:t xml:space="preserve">ws include the national constitution of 1992, the Persons with Disability Act of 2008 (Act 715) and the National Pension Act (Act 766) of 2008.  </w:t>
      </w:r>
    </w:p>
    <w:p w14:paraId="629787A5" w14:textId="5C25F636" w:rsidR="008C5E8B" w:rsidRPr="00000849" w:rsidRDefault="008C5E8B" w:rsidP="00782539">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Article 37 of the 1992 Constitution of Ghana compels the State to enact appropriate laws to protect and promot</w:t>
      </w:r>
      <w:r w:rsidR="0097171B" w:rsidRPr="00000849">
        <w:rPr>
          <w:rFonts w:asciiTheme="minorHAnsi" w:hAnsiTheme="minorHAnsi" w:cstheme="minorHAnsi"/>
          <w:color w:val="383838"/>
        </w:rPr>
        <w:t>e the</w:t>
      </w:r>
      <w:r w:rsidRPr="00000849">
        <w:rPr>
          <w:rFonts w:asciiTheme="minorHAnsi" w:hAnsiTheme="minorHAnsi" w:cstheme="minorHAnsi"/>
          <w:color w:val="383838"/>
        </w:rPr>
        <w:t xml:space="preserve"> basic human rights and freedoms of the aged as well as to provide </w:t>
      </w:r>
      <w:r w:rsidR="0097171B" w:rsidRPr="00000849">
        <w:rPr>
          <w:rFonts w:asciiTheme="minorHAnsi" w:hAnsiTheme="minorHAnsi" w:cstheme="minorHAnsi"/>
          <w:color w:val="383838"/>
        </w:rPr>
        <w:t xml:space="preserve">them with the needed </w:t>
      </w:r>
      <w:r w:rsidRPr="00000849">
        <w:rPr>
          <w:rFonts w:asciiTheme="minorHAnsi" w:hAnsiTheme="minorHAnsi" w:cstheme="minorHAnsi"/>
          <w:color w:val="383838"/>
        </w:rPr>
        <w:t xml:space="preserve">social assistance </w:t>
      </w:r>
      <w:r w:rsidR="0097171B" w:rsidRPr="00000849">
        <w:rPr>
          <w:rFonts w:asciiTheme="minorHAnsi" w:hAnsiTheme="minorHAnsi" w:cstheme="minorHAnsi"/>
          <w:color w:val="383838"/>
        </w:rPr>
        <w:t>for</w:t>
      </w:r>
      <w:r w:rsidRPr="00000849">
        <w:rPr>
          <w:rFonts w:asciiTheme="minorHAnsi" w:hAnsiTheme="minorHAnsi" w:cstheme="minorHAnsi"/>
          <w:color w:val="383838"/>
        </w:rPr>
        <w:t xml:space="preserve"> a decent standard of living </w:t>
      </w:r>
      <w:r w:rsidRPr="00000849">
        <w:rPr>
          <w:rFonts w:cstheme="minorHAnsi"/>
          <w:color w:val="383838"/>
        </w:rPr>
        <w:fldChar w:fldCharType="begin"/>
      </w:r>
      <w:r w:rsidRPr="00000849">
        <w:rPr>
          <w:rFonts w:asciiTheme="minorHAnsi" w:hAnsiTheme="minorHAnsi" w:cstheme="minorHAnsi"/>
          <w:color w:val="383838"/>
        </w:rPr>
        <w:instrText xml:space="preserve"> ADDIN EN.CITE &lt;EndNote&gt;&lt;Cite&gt;&lt;Author&gt;Republic of Ghana&lt;/Author&gt;&lt;Year&gt;1992&lt;/Year&gt;&lt;RecNum&gt;642&lt;/RecNum&gt;&lt;DisplayText&gt;(Republic of Ghana, 1992)&lt;/DisplayText&gt;&lt;record&gt;&lt;rec-number&gt;642&lt;/rec-number&gt;&lt;foreign-keys&gt;&lt;key app="EN" db-id="9tzf2rda8re2a9es5tuxart3swzx2zws2s02" timestamp="1496885891"&gt;642&lt;/key&gt;&lt;/foreign-keys&gt;&lt;ref-type name="Book"&gt;6&lt;/ref-type&gt;&lt;contributors&gt;&lt;authors&gt;&lt;author&gt;Republic of Ghana,&lt;/author&gt;&lt;/authors&gt;&lt;/contributors&gt;&lt;titles&gt;&lt;title&gt;The Constitution of the Republic of Ghana&lt;/title&gt;&lt;/titles&gt;&lt;dates&gt;&lt;year&gt;1992&lt;/year&gt;&lt;/dates&gt;&lt;pub-location&gt;Accra&lt;/pub-location&gt;&lt;publisher&gt;GOG&lt;/publisher&gt;&lt;urls&gt;&lt;related-urls&gt;&lt;url&gt;http://www.ghana.gov.gh/images/documents/constitution_ghana.pdf&lt;/url&gt;&lt;/related-urls&gt;&lt;/urls&gt;&lt;/record&gt;&lt;/Cite&gt;&lt;/EndNote&gt;</w:instrText>
      </w:r>
      <w:r w:rsidRPr="00000849">
        <w:rPr>
          <w:rFonts w:cstheme="minorHAnsi"/>
          <w:color w:val="383838"/>
        </w:rPr>
        <w:fldChar w:fldCharType="separate"/>
      </w:r>
      <w:r w:rsidRPr="00000849">
        <w:rPr>
          <w:rFonts w:asciiTheme="minorHAnsi" w:hAnsiTheme="minorHAnsi" w:cstheme="minorHAnsi"/>
          <w:noProof/>
          <w:color w:val="383838"/>
        </w:rPr>
        <w:t>(Republic of Ghana, 1992)</w:t>
      </w:r>
      <w:r w:rsidRPr="00000849">
        <w:rPr>
          <w:rFonts w:cstheme="minorHAnsi"/>
          <w:color w:val="383838"/>
        </w:rPr>
        <w:fldChar w:fldCharType="end"/>
      </w:r>
      <w:r w:rsidRPr="00000849">
        <w:rPr>
          <w:rFonts w:asciiTheme="minorHAnsi" w:hAnsiTheme="minorHAnsi" w:cstheme="minorHAnsi"/>
          <w:color w:val="383838"/>
        </w:rPr>
        <w:t xml:space="preserve">.  Article 31 of the Persons with Disability Act obliges the state to provide free general and specialist </w:t>
      </w:r>
      <w:r w:rsidR="0097171B" w:rsidRPr="00000849">
        <w:rPr>
          <w:rFonts w:asciiTheme="minorHAnsi" w:hAnsiTheme="minorHAnsi" w:cstheme="minorHAnsi"/>
          <w:color w:val="383838"/>
        </w:rPr>
        <w:t>health care</w:t>
      </w:r>
      <w:r w:rsidRPr="00000849">
        <w:rPr>
          <w:rFonts w:asciiTheme="minorHAnsi" w:hAnsiTheme="minorHAnsi" w:cstheme="minorHAnsi"/>
          <w:color w:val="383838"/>
        </w:rPr>
        <w:t xml:space="preserve"> and appropriate assistive devices for persons with total disability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&lt;EndNote&gt;&lt;Cite&gt;&lt;Author&gt;Republic of Ghana&lt;/Author&gt;&lt;Year&gt;2006&lt;/Year&gt;&lt;RecNum&gt;643&lt;/RecNum&gt;&lt;DisplayText&gt;(Republic of Ghana, 2006)&lt;/DisplayText&gt;&lt;record&gt;&lt;rec-number&gt;643&lt;/rec-number&gt;&lt;foreign-keys&gt;&lt;key app="EN" db-id="9tzf2rda8re2a9es5tuxart3swzx2zws2s02" timestamp="1496887028"&gt;643&lt;/key&gt;&lt;/foreign-keys&gt;&lt;ref-type name="Book"&gt;6&lt;/ref-type&gt;&lt;contributors&gt;&lt;authors&gt;&lt;author&gt;Republic of Ghana,&lt;/author&gt;&lt;/authors&gt;&lt;/contributors&gt;&lt;titles&gt;&lt;title&gt;Persons with Disability, Act 715&lt;/title&gt;&lt;/titles&gt;&lt;dates&gt;&lt;year&gt;2006&lt;/year&gt;&lt;/dates&gt;&lt;pub-location&gt;Accra&lt;/pub-location&gt;&lt;publisher&gt;GOG&lt;/publisher&gt;&lt;urls&gt;&lt;related-urls&gt;&lt;url&gt;http://www.gfdgh.org/GHANA%20DISABILITY%20ACT.pdf&lt;/url&gt;&lt;/related-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(Republic of Ghana, 2006)</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p>
    <w:p w14:paraId="4A49160D" w14:textId="6990F691" w:rsidR="008C5E8B" w:rsidRPr="00000849" w:rsidRDefault="00E125F1" w:rsidP="008C5E8B">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N</w:t>
      </w:r>
      <w:r w:rsidR="008C5E8B" w:rsidRPr="00000849">
        <w:rPr>
          <w:rFonts w:asciiTheme="minorHAnsi" w:hAnsiTheme="minorHAnsi" w:cstheme="minorHAnsi"/>
          <w:color w:val="383838"/>
        </w:rPr>
        <w:t xml:space="preserve">ational policy documents such as the </w:t>
      </w:r>
      <w:r w:rsidR="006979FD" w:rsidRPr="00000849">
        <w:rPr>
          <w:rFonts w:asciiTheme="minorHAnsi" w:hAnsiTheme="minorHAnsi" w:cstheme="minorHAnsi"/>
          <w:color w:val="383838"/>
        </w:rPr>
        <w:t xml:space="preserve">1994 </w:t>
      </w:r>
      <w:r w:rsidR="008C5E8B" w:rsidRPr="00000849">
        <w:rPr>
          <w:rFonts w:asciiTheme="minorHAnsi" w:hAnsiTheme="minorHAnsi" w:cstheme="minorHAnsi"/>
          <w:color w:val="383838"/>
        </w:rPr>
        <w:t xml:space="preserve">National Population Policy, the </w:t>
      </w:r>
      <w:r w:rsidR="006979FD" w:rsidRPr="00000849">
        <w:rPr>
          <w:rFonts w:asciiTheme="minorHAnsi" w:hAnsiTheme="minorHAnsi" w:cstheme="minorHAnsi"/>
          <w:color w:val="383838"/>
        </w:rPr>
        <w:t xml:space="preserve">2010 </w:t>
      </w:r>
      <w:r w:rsidR="008C5E8B" w:rsidRPr="00000849">
        <w:rPr>
          <w:rFonts w:asciiTheme="minorHAnsi" w:hAnsiTheme="minorHAnsi" w:cstheme="minorHAnsi"/>
          <w:color w:val="383838"/>
        </w:rPr>
        <w:t xml:space="preserve">National Ageing Policy and the </w:t>
      </w:r>
      <w:r w:rsidR="009A0A6A" w:rsidRPr="00000849">
        <w:rPr>
          <w:rFonts w:asciiTheme="minorHAnsi" w:hAnsiTheme="minorHAnsi" w:cstheme="minorHAnsi"/>
          <w:color w:val="383838"/>
        </w:rPr>
        <w:t xml:space="preserve">2012 </w:t>
      </w:r>
      <w:r w:rsidR="008C5E8B" w:rsidRPr="00000849">
        <w:rPr>
          <w:rFonts w:asciiTheme="minorHAnsi" w:hAnsiTheme="minorHAnsi" w:cstheme="minorHAnsi"/>
          <w:color w:val="383838"/>
        </w:rPr>
        <w:t xml:space="preserve">National Social Protection Strategy cater </w:t>
      </w:r>
      <w:r w:rsidRPr="00000849">
        <w:rPr>
          <w:rFonts w:asciiTheme="minorHAnsi" w:hAnsiTheme="minorHAnsi" w:cstheme="minorHAnsi"/>
          <w:color w:val="383838"/>
        </w:rPr>
        <w:t xml:space="preserve">directly </w:t>
      </w:r>
      <w:r w:rsidR="008C5E8B" w:rsidRPr="00000849">
        <w:rPr>
          <w:rFonts w:asciiTheme="minorHAnsi" w:hAnsiTheme="minorHAnsi" w:cstheme="minorHAnsi"/>
          <w:color w:val="383838"/>
        </w:rPr>
        <w:t xml:space="preserve">to the needs of older people.  The strategic objectives of the national ageing policy, which are also articulated in the national development agenda, are to </w:t>
      </w:r>
      <w:r w:rsidR="008C5E8B" w:rsidRPr="00000849">
        <w:rPr>
          <w:rFonts w:ascii="Calibri" w:hAnsi="Calibri" w:cs="Calibri"/>
        </w:rPr>
        <w:t xml:space="preserve">enhance national capacity for protection of the aged; accelerate the implementation of health and other social interventions targeting the aged; and to strengthen the family and the provision of care </w:t>
      </w:r>
      <w:r w:rsidR="008C5E8B" w:rsidRPr="00000849">
        <w:rPr>
          <w:rFonts w:ascii="Calibri" w:hAnsi="Calibri" w:cs="Calibri"/>
        </w:rPr>
        <w:fldChar w:fldCharType="begin"/>
      </w:r>
      <w:r w:rsidR="008C5E8B" w:rsidRPr="00000849">
        <w:rPr>
          <w:rFonts w:ascii="Calibri" w:hAnsi="Calibri" w:cs="Calibri"/>
        </w:rPr>
        <w:instrText xml:space="preserve"> ADDIN EN.CITE &lt;EndNote&gt;&lt;Cite&gt;&lt;Author&gt;Ministry of Employment and Social Welfare Ghana&lt;/Author&gt;&lt;Year&gt;2010&lt;/Year&gt;&lt;RecNum&gt;725&lt;/RecNum&gt;&lt;DisplayText&gt;(Ministry of Employment and Social Welfare Ghana, 2010)&lt;/DisplayText&gt;&lt;record&gt;&lt;rec-number&gt;725&lt;/rec-number&gt;&lt;foreign-keys&gt;&lt;key app="EN" db-id="9tzf2rda8re2a9es5tuxart3swzx2zws2s02" timestamp="1502627034"&gt;725&lt;/key&gt;&lt;/foreign-keys&gt;&lt;ref-type name="Report"&gt;27&lt;/ref-type&gt;&lt;contributors&gt;&lt;authors&gt;&lt;author&gt;Ministry of Employment and Social Welfare Ghana,&lt;/author&gt;&lt;/authors&gt;&lt;/contributors&gt;&lt;titles&gt;&lt;title&gt;National Ageing Policy: Ageing With Security And Dignity &lt;/title&gt;&lt;/titles&gt;&lt;dates&gt;&lt;year&gt;2010&lt;/year&gt;&lt;/dates&gt;&lt;pub-location&gt;Accra&lt;/pub-location&gt;&lt;publisher&gt;MoESW&lt;/publisher&gt;&lt;urls&gt;&lt;related-urls&gt;&lt;url&gt;https://s3.amazonaws.com/ndpc-static/pubication/Ageing+Policy_July+2010.pdf&lt;/url&gt;&lt;/related-urls&gt;&lt;/urls&gt;&lt;/record&gt;&lt;/Cite&gt;&lt;/EndNote&gt;</w:instrText>
      </w:r>
      <w:r w:rsidR="008C5E8B" w:rsidRPr="00000849">
        <w:rPr>
          <w:rFonts w:ascii="Calibri" w:hAnsi="Calibri" w:cs="Calibri"/>
        </w:rPr>
        <w:fldChar w:fldCharType="separate"/>
      </w:r>
      <w:r w:rsidR="008C5E8B" w:rsidRPr="00000849">
        <w:rPr>
          <w:rFonts w:ascii="Calibri" w:hAnsi="Calibri" w:cs="Calibri"/>
          <w:noProof/>
        </w:rPr>
        <w:t>(Ministry of Employment and Social Welfare Ghana, 2010)</w:t>
      </w:r>
      <w:r w:rsidR="008C5E8B" w:rsidRPr="00000849">
        <w:rPr>
          <w:rFonts w:ascii="Calibri" w:hAnsi="Calibri" w:cs="Calibri"/>
        </w:rPr>
        <w:fldChar w:fldCharType="end"/>
      </w:r>
      <w:r w:rsidR="008C5E8B" w:rsidRPr="00000849">
        <w:rPr>
          <w:rFonts w:ascii="Calibri" w:hAnsi="Calibri" w:cs="Calibri"/>
        </w:rPr>
        <w:t xml:space="preserve">.  The overall goal is to empower </w:t>
      </w:r>
      <w:r w:rsidR="00B4516A" w:rsidRPr="00000849">
        <w:rPr>
          <w:rFonts w:ascii="Calibri" w:hAnsi="Calibri" w:cs="Calibri"/>
        </w:rPr>
        <w:t>older people</w:t>
      </w:r>
      <w:r w:rsidR="008C5E8B" w:rsidRPr="00000849">
        <w:rPr>
          <w:rFonts w:ascii="Calibri" w:hAnsi="Calibri" w:cs="Calibri"/>
        </w:rPr>
        <w:t xml:space="preserve"> </w:t>
      </w:r>
      <w:r w:rsidR="008C5E8B" w:rsidRPr="00000849">
        <w:rPr>
          <w:rFonts w:asciiTheme="minorHAnsi" w:hAnsiTheme="minorHAnsi" w:cstheme="minorHAnsi"/>
          <w:color w:val="383838"/>
        </w:rPr>
        <w:t>to fully and effectively participate in the soci</w:t>
      </w:r>
      <w:r w:rsidR="006979FD" w:rsidRPr="00000849">
        <w:rPr>
          <w:rFonts w:asciiTheme="minorHAnsi" w:hAnsiTheme="minorHAnsi" w:cstheme="minorHAnsi"/>
          <w:color w:val="383838"/>
        </w:rPr>
        <w:t>o-economic</w:t>
      </w:r>
      <w:r w:rsidR="008C5E8B" w:rsidRPr="00000849">
        <w:rPr>
          <w:rFonts w:asciiTheme="minorHAnsi" w:hAnsiTheme="minorHAnsi" w:cstheme="minorHAnsi"/>
          <w:color w:val="383838"/>
        </w:rPr>
        <w:t xml:space="preserve"> and political development of their societies.</w:t>
      </w:r>
      <w:r w:rsidR="00BB1AC3" w:rsidRPr="00000849">
        <w:rPr>
          <w:rFonts w:asciiTheme="minorHAnsi" w:hAnsiTheme="minorHAnsi" w:cstheme="minorHAnsi"/>
          <w:color w:val="383838"/>
        </w:rPr>
        <w:t xml:space="preserve">  Unfortunately, </w:t>
      </w:r>
      <w:r w:rsidR="00BB1AC3" w:rsidRPr="00000849">
        <w:rPr>
          <w:rFonts w:asciiTheme="minorHAnsi" w:hAnsiTheme="minorHAnsi" w:cstheme="minorHAnsi"/>
          <w:color w:val="000000"/>
          <w:shd w:val="clear" w:color="auto" w:fill="FFFFFF"/>
        </w:rPr>
        <w:t>Ghana has not yet passed the law that will give a legal backing to the national ageing policy.</w:t>
      </w:r>
    </w:p>
    <w:p w14:paraId="3D072DE6" w14:textId="2E2EB8BF" w:rsidR="008C5E8B" w:rsidRPr="00000849" w:rsidRDefault="008C5E8B" w:rsidP="008C5E8B">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Two of Ghana’s most important social protection interventions are the </w:t>
      </w:r>
      <w:r w:rsidR="00501030" w:rsidRPr="00000849">
        <w:rPr>
          <w:rFonts w:asciiTheme="minorHAnsi" w:hAnsiTheme="minorHAnsi" w:cstheme="minorHAnsi"/>
          <w:color w:val="383838"/>
        </w:rPr>
        <w:t>National Health Insurance Scheme (</w:t>
      </w:r>
      <w:r w:rsidRPr="00000849">
        <w:rPr>
          <w:rFonts w:asciiTheme="minorHAnsi" w:hAnsiTheme="minorHAnsi" w:cstheme="minorHAnsi"/>
          <w:color w:val="383838"/>
        </w:rPr>
        <w:t>NHIS</w:t>
      </w:r>
      <w:r w:rsidR="00501030" w:rsidRPr="00000849">
        <w:rPr>
          <w:rFonts w:asciiTheme="minorHAnsi" w:hAnsiTheme="minorHAnsi" w:cstheme="minorHAnsi"/>
          <w:color w:val="383838"/>
        </w:rPr>
        <w:t>)</w:t>
      </w:r>
      <w:r w:rsidRPr="00000849">
        <w:rPr>
          <w:rFonts w:asciiTheme="minorHAnsi" w:hAnsiTheme="minorHAnsi" w:cstheme="minorHAnsi"/>
          <w:color w:val="383838"/>
        </w:rPr>
        <w:t xml:space="preserve"> and the LEAP Cash Transfer Programme.  The NHIS is anchored on the National Health Insurance Act (Act 650) of 2003 which provides for persons who are over 70 years to be exempted from paying premiums </w:t>
      </w:r>
      <w:r w:rsidRPr="00000849">
        <w:rPr>
          <w:rFonts w:cstheme="minorHAnsi"/>
          <w:color w:val="383838"/>
        </w:rPr>
        <w:fldChar w:fldCharType="begin"/>
      </w:r>
      <w:r w:rsidRPr="00000849">
        <w:rPr>
          <w:rFonts w:asciiTheme="minorHAnsi" w:hAnsiTheme="minorHAnsi" w:cstheme="minorHAnsi"/>
          <w:color w:val="383838"/>
        </w:rPr>
        <w:instrText xml:space="preserve"> ADDIN EN.CITE &lt;EndNote&gt;&lt;Cite&gt;&lt;Author&gt;Republic of Ghana&lt;/Author&gt;&lt;Year&gt;2003&lt;/Year&gt;&lt;RecNum&gt;645&lt;/RecNum&gt;&lt;DisplayText&gt;(Republic of Ghana, 2003)&lt;/DisplayText&gt;&lt;record&gt;&lt;rec-number&gt;645&lt;/rec-number&gt;&lt;foreign-keys&gt;&lt;key app="EN" db-id="9tzf2rda8re2a9es5tuxart3swzx2zws2s02" timestamp="1496891798"&gt;645&lt;/key&gt;&lt;/foreign-keys&gt;&lt;ref-type name="Book"&gt;6&lt;/ref-type&gt;&lt;contributors&gt;&lt;authors&gt;&lt;author&gt;Republic of Ghana,&lt;/author&gt;&lt;/authors&gt;&lt;/contributors&gt;&lt;titles&gt;&lt;title&gt;National Health Insurance Act (Act 650) &lt;/title&gt;&lt;/titles&gt;&lt;dates&gt;&lt;year&gt;2003&lt;/year&gt;&lt;/dates&gt;&lt;pub-location&gt;Accra&lt;/pub-location&gt;&lt;publisher&gt;GOG&lt;/publisher&gt;&lt;urls&gt;&lt;/urls&gt;&lt;/record&gt;&lt;/Cite&gt;&lt;/EndNote&gt;</w:instrText>
      </w:r>
      <w:r w:rsidRPr="00000849">
        <w:rPr>
          <w:rFonts w:cstheme="minorHAnsi"/>
          <w:color w:val="383838"/>
        </w:rPr>
        <w:fldChar w:fldCharType="separate"/>
      </w:r>
      <w:r w:rsidRPr="00000849">
        <w:rPr>
          <w:rFonts w:asciiTheme="minorHAnsi" w:hAnsiTheme="minorHAnsi" w:cstheme="minorHAnsi"/>
          <w:noProof/>
          <w:color w:val="383838"/>
        </w:rPr>
        <w:t>(Republic of Ghana, 2003)</w:t>
      </w:r>
      <w:r w:rsidRPr="00000849">
        <w:rPr>
          <w:rFonts w:cstheme="minorHAnsi"/>
          <w:color w:val="383838"/>
        </w:rPr>
        <w:fldChar w:fldCharType="end"/>
      </w:r>
      <w:r w:rsidRPr="00000849">
        <w:rPr>
          <w:rFonts w:asciiTheme="minorHAnsi" w:hAnsiTheme="minorHAnsi" w:cstheme="minorHAnsi"/>
          <w:color w:val="383838"/>
        </w:rPr>
        <w:t xml:space="preserve">.  Destitute persons aged </w:t>
      </w:r>
      <w:r w:rsidR="00F61D75" w:rsidRPr="00000849">
        <w:rPr>
          <w:rFonts w:asciiTheme="minorHAnsi" w:hAnsiTheme="minorHAnsi" w:cstheme="minorHAnsi"/>
          <w:color w:val="383838"/>
        </w:rPr>
        <w:t>≥</w:t>
      </w:r>
      <w:r w:rsidRPr="00000849">
        <w:rPr>
          <w:rFonts w:asciiTheme="minorHAnsi" w:hAnsiTheme="minorHAnsi" w:cstheme="minorHAnsi"/>
          <w:color w:val="383838"/>
        </w:rPr>
        <w:t xml:space="preserve">65 years and above can register with LEAP </w:t>
      </w:r>
      <w:r w:rsidRPr="00000849">
        <w:rPr>
          <w:rFonts w:asciiTheme="minorHAnsi" w:hAnsiTheme="minorHAnsi" w:cstheme="minorHAnsi"/>
          <w:color w:val="383838"/>
        </w:rPr>
        <w:lastRenderedPageBreak/>
        <w:t xml:space="preserve">without payment of registration fees.  The LEAP social protection programme, </w:t>
      </w:r>
      <w:r w:rsidR="008A206F" w:rsidRPr="00000849">
        <w:rPr>
          <w:rFonts w:asciiTheme="minorHAnsi" w:hAnsiTheme="minorHAnsi" w:cstheme="minorHAnsi"/>
          <w:color w:val="000000"/>
          <w:shd w:val="clear" w:color="auto" w:fill="FFFFFF"/>
        </w:rPr>
        <w:t xml:space="preserve">launched in 2008, </w:t>
      </w:r>
      <w:r w:rsidRPr="00000849">
        <w:rPr>
          <w:rFonts w:asciiTheme="minorHAnsi" w:hAnsiTheme="minorHAnsi" w:cstheme="minorHAnsi"/>
          <w:color w:val="383838"/>
        </w:rPr>
        <w:t xml:space="preserve">targets the poorest persons across all ages and provides them with cash or registers them under the NHIS </w:t>
      </w:r>
      <w:r w:rsidRPr="00000849">
        <w:rPr>
          <w:rFonts w:asciiTheme="minorHAnsi" w:hAnsiTheme="minorHAnsi" w:cstheme="minorHAnsi"/>
          <w:color w:val="383838"/>
        </w:rPr>
        <w:fldChar w:fldCharType="begin"/>
      </w:r>
      <w:r w:rsidR="001740AB" w:rsidRPr="00000849">
        <w:rPr>
          <w:rFonts w:asciiTheme="minorHAnsi" w:hAnsiTheme="minorHAnsi" w:cstheme="minorHAnsi"/>
          <w:color w:val="383838"/>
        </w:rPr>
        <w:instrText xml:space="preserve"> ADDIN EN.CITE &lt;EndNote&gt;&lt;Cite&gt;&lt;Author&gt;Handa&lt;/Author&gt;&lt;Year&gt;2013&lt;/Year&gt;&lt;RecNum&gt;647&lt;/RecNum&gt;&lt;DisplayText&gt;(Handa et al., 2013)&lt;/DisplayText&gt;&lt;record&gt;&lt;rec-number&gt;647&lt;/rec-number&gt;&lt;foreign-keys&gt;&lt;key app="EN" db-id="9tzf2rda8re2a9es5tuxart3swzx2zws2s02" timestamp="1496974920"&gt;647&lt;/key&gt;&lt;/foreign-keys&gt;&lt;ref-type name="Report"&gt;27&lt;/ref-type&gt;&lt;contributors&gt;&lt;authors&gt;&lt;author&gt;Handa, Sudhanshu&lt;/author&gt;&lt;author&gt;Park, Michael&lt;/author&gt;&lt;author&gt;Darko, Robert Osei&lt;/author&gt;&lt;author&gt;Osei-Akoto, Isaac&lt;/author&gt;&lt;author&gt;Davis, Benjamin&lt;/author&gt;&lt;author&gt;Daidone, Silvio&lt;/author&gt;&lt;/authors&gt;&lt;/contributors&gt;&lt;titles&gt;&lt;title&gt;Livelihood empowerment against poverty program impact evaluation&lt;/title&gt;&lt;secondary-title&gt;Available at: http://www. unicef. org/ghana/gh_resources_LEAP_Quant_impact_evaluation_FINAL_OCT _2013. pdf&lt;/secondary-title&gt;&lt;/titles&gt;&lt;dates&gt;&lt;year&gt;2013&lt;/year&gt;&lt;/dates&gt;&lt;pub-location&gt;Chapel Hill, NC, USA&lt;/pub-location&gt;&lt;publisher&gt;University of North Carolina, Carolina Population Center. &lt;/publisher&gt;&lt;urls&gt;&lt;related-urls&gt;&lt;url&gt;http://www.fao.org/fileadmin/user_upload/p2p/Documents/LEAP_Impact_Evaluation_FINAL2014march17.pdf&lt;/url&gt;&lt;/related-urls&gt;&lt;/urls&gt;&lt;/record&gt;&lt;/Cite&gt;&lt;/EndNote&gt;</w:instrText>
      </w:r>
      <w:r w:rsidRPr="00000849">
        <w:rPr>
          <w:rFonts w:asciiTheme="minorHAnsi" w:hAnsiTheme="minorHAnsi" w:cstheme="minorHAnsi"/>
          <w:color w:val="383838"/>
        </w:rPr>
        <w:fldChar w:fldCharType="separate"/>
      </w:r>
      <w:r w:rsidR="001740AB" w:rsidRPr="00000849">
        <w:rPr>
          <w:rFonts w:asciiTheme="minorHAnsi" w:hAnsiTheme="minorHAnsi" w:cstheme="minorHAnsi"/>
          <w:noProof/>
          <w:color w:val="383838"/>
        </w:rPr>
        <w:t>(Handa et al., 2013)</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p>
    <w:p w14:paraId="5778B435" w14:textId="19F85149" w:rsidR="008C5E8B" w:rsidRPr="00000849" w:rsidRDefault="008A206F" w:rsidP="00082114">
      <w:pPr>
        <w:spacing w:line="480" w:lineRule="auto"/>
        <w:ind w:firstLine="567"/>
        <w:jc w:val="both"/>
        <w:rPr>
          <w:rFonts w:cstheme="minorHAnsi"/>
          <w:color w:val="383838"/>
          <w:sz w:val="24"/>
          <w:szCs w:val="24"/>
        </w:rPr>
      </w:pPr>
      <w:r w:rsidRPr="00000849">
        <w:rPr>
          <w:sz w:val="24"/>
          <w:szCs w:val="24"/>
        </w:rPr>
        <w:t xml:space="preserve">Recent studies show that these social protections measures have helped poor older adults in rural Ghana to finance their healthcare </w:t>
      </w:r>
      <w:r w:rsidRPr="00000849">
        <w:rPr>
          <w:sz w:val="24"/>
          <w:szCs w:val="24"/>
        </w:rPr>
        <w:fldChar w:fldCharType="begin"/>
      </w:r>
      <w:r w:rsidR="00431DA0" w:rsidRPr="00000849">
        <w:rPr>
          <w:sz w:val="24"/>
          <w:szCs w:val="24"/>
        </w:rPr>
        <w:instrText xml:space="preserve"> ADDIN EN.CITE &lt;EndNote&gt;&lt;Cite&gt;&lt;Author&gt;Agyemang-Duah&lt;/Author&gt;&lt;Year&gt;2019&lt;/Year&gt;&lt;RecNum&gt;480&lt;/RecNum&gt;&lt;DisplayText&gt;(Agyemang-Duah et al., 2019)&lt;/DisplayText&gt;&lt;record&gt;&lt;rec-number&gt;480&lt;/rec-number&gt;&lt;foreign-keys&gt;&lt;key app="EN" db-id="pzfw02x58peadyevdp8vswt40etp25t5ddp0" timestamp="1580724415"&gt;480&lt;/key&gt;&lt;/foreign-keys&gt;&lt;ref-type name="Journal Article"&gt;17&lt;/ref-type&gt;&lt;contributors&gt;&lt;authors&gt;&lt;author&gt;Agyemang-Duah, Williams&lt;/author&gt;&lt;author&gt;Peprah, Charles&lt;/author&gt;&lt;author&gt;Peprah, Prince&lt;/author&gt;&lt;/authors&gt;&lt;/contributors&gt;&lt;titles&gt;&lt;title&gt;“Let’s talk about money”: how do poor older people finance their healthcare in rural Ghana? A qualitative study&lt;/title&gt;&lt;secondary-title&gt;International Journal for Equity in Health&lt;/secondary-title&gt;&lt;/titles&gt;&lt;periodical&gt;&lt;full-title&gt;International journal for equity in health&lt;/full-title&gt;&lt;/periodical&gt;&lt;pages&gt;47&lt;/pages&gt;&lt;volume&gt;18&lt;/volume&gt;&lt;number&gt;1&lt;/number&gt;&lt;dates&gt;&lt;year&gt;2019&lt;/year&gt;&lt;/dates&gt;&lt;isbn&gt;1475-9276&lt;/isbn&gt;&lt;urls&gt;&lt;/urls&gt;&lt;electronic-resource-num&gt;10.1186/s12939-019-0927-0&lt;/electronic-resource-num&gt;&lt;/record&gt;&lt;/Cite&gt;&lt;/EndNote&gt;</w:instrText>
      </w:r>
      <w:r w:rsidRPr="00000849">
        <w:rPr>
          <w:sz w:val="24"/>
          <w:szCs w:val="24"/>
        </w:rPr>
        <w:fldChar w:fldCharType="separate"/>
      </w:r>
      <w:r w:rsidR="00431DA0" w:rsidRPr="00000849">
        <w:rPr>
          <w:noProof/>
          <w:sz w:val="24"/>
          <w:szCs w:val="24"/>
        </w:rPr>
        <w:t>(Agyemang-Duah et al., 2019)</w:t>
      </w:r>
      <w:r w:rsidRPr="00000849">
        <w:rPr>
          <w:sz w:val="24"/>
          <w:szCs w:val="24"/>
        </w:rPr>
        <w:fldChar w:fldCharType="end"/>
      </w:r>
      <w:r w:rsidRPr="00000849">
        <w:rPr>
          <w:sz w:val="24"/>
          <w:szCs w:val="24"/>
        </w:rPr>
        <w:t xml:space="preserve">.  </w:t>
      </w:r>
      <w:r w:rsidR="00501030" w:rsidRPr="00000849">
        <w:rPr>
          <w:sz w:val="24"/>
          <w:szCs w:val="24"/>
        </w:rPr>
        <w:t xml:space="preserve">However, overall, despite its wide national coverage, the medical services that are covered by the NHIS are </w:t>
      </w:r>
      <w:r w:rsidR="00501030" w:rsidRPr="00000849">
        <w:rPr>
          <w:rFonts w:cstheme="minorHAnsi"/>
          <w:color w:val="000000"/>
          <w:sz w:val="24"/>
          <w:szCs w:val="24"/>
          <w:shd w:val="clear" w:color="auto" w:fill="FFFFFF"/>
        </w:rPr>
        <w:t xml:space="preserve">limited or the scheme is not well-implemented.  </w:t>
      </w:r>
      <w:r w:rsidR="00501030" w:rsidRPr="00000849">
        <w:rPr>
          <w:rFonts w:cstheme="minorHAnsi"/>
          <w:color w:val="383838"/>
          <w:sz w:val="24"/>
          <w:szCs w:val="24"/>
        </w:rPr>
        <w:t xml:space="preserve">Only about 3% of health expenses of adults aged ≥60 years are borne by the NHIS </w:t>
      </w:r>
      <w:r w:rsidR="00501030" w:rsidRPr="00000849">
        <w:rPr>
          <w:rFonts w:cstheme="minorHAnsi"/>
          <w:color w:val="383838"/>
          <w:sz w:val="24"/>
          <w:szCs w:val="24"/>
        </w:rPr>
        <w:fldChar w:fldCharType="begin"/>
      </w:r>
      <w:r w:rsidR="00501030" w:rsidRPr="00000849">
        <w:rPr>
          <w:rFonts w:cstheme="minorHAnsi"/>
          <w:color w:val="383838"/>
          <w:sz w:val="24"/>
          <w:szCs w:val="24"/>
        </w:rPr>
        <w:instrText xml:space="preserve"> ADDIN EN.CITE &lt;EndNote&gt;&lt;Cite&gt;&lt;Author&gt;Tawiah&lt;/Author&gt;&lt;Year&gt;2011&lt;/Year&gt;&lt;RecNum&gt;16&lt;/RecNum&gt;&lt;DisplayText&gt;(Tawiah, 2011)&lt;/DisplayText&gt;&lt;record&gt;&lt;rec-number&gt;16&lt;/rec-number&gt;&lt;foreign-keys&gt;&lt;key app="EN" db-id="9tzf2rda8re2a9es5tuxart3swzx2zws2s02" timestamp="1463397600"&gt;16&lt;/key&gt;&lt;/foreign-keys&gt;&lt;ref-type name="Journal Article"&gt;17&lt;/ref-type&gt;&lt;contributors&gt;&lt;authors&gt;&lt;author&gt;Tawiah, EO&lt;/author&gt;&lt;/authors&gt;&lt;/contributors&gt;&lt;titles&gt;&lt;title&gt;Population ageing in Ghana: a profile and emerging issues&lt;/title&gt;&lt;secondary-title&gt;African Population Studies&lt;/secondary-title&gt;&lt;/titles&gt;&lt;periodical&gt;&lt;full-title&gt;African Population Studies&lt;/full-title&gt;&lt;/periodical&gt;&lt;pages&gt;623-45&lt;/pages&gt;&lt;volume&gt;25&lt;/volume&gt;&lt;number&gt;2&lt;/number&gt;&lt;dates&gt;&lt;year&gt;2011&lt;/year&gt;&lt;/dates&gt;&lt;urls&gt;&lt;/urls&gt;&lt;/record&gt;&lt;/Cite&gt;&lt;/EndNote&gt;</w:instrText>
      </w:r>
      <w:r w:rsidR="00501030" w:rsidRPr="00000849">
        <w:rPr>
          <w:rFonts w:cstheme="minorHAnsi"/>
          <w:color w:val="383838"/>
          <w:sz w:val="24"/>
          <w:szCs w:val="24"/>
        </w:rPr>
        <w:fldChar w:fldCharType="separate"/>
      </w:r>
      <w:r w:rsidR="00501030" w:rsidRPr="00000849">
        <w:rPr>
          <w:rFonts w:cstheme="minorHAnsi"/>
          <w:noProof/>
          <w:color w:val="383838"/>
          <w:sz w:val="24"/>
          <w:szCs w:val="24"/>
        </w:rPr>
        <w:t>(Tawiah, 2011)</w:t>
      </w:r>
      <w:r w:rsidR="00501030" w:rsidRPr="00000849">
        <w:rPr>
          <w:rFonts w:cstheme="minorHAnsi"/>
          <w:color w:val="383838"/>
          <w:sz w:val="24"/>
          <w:szCs w:val="24"/>
        </w:rPr>
        <w:fldChar w:fldCharType="end"/>
      </w:r>
      <w:r w:rsidR="00501030" w:rsidRPr="00000849">
        <w:rPr>
          <w:rFonts w:cstheme="minorHAnsi"/>
          <w:color w:val="383838"/>
          <w:sz w:val="24"/>
          <w:szCs w:val="24"/>
        </w:rPr>
        <w:t xml:space="preserve">.  </w:t>
      </w:r>
      <w:r w:rsidR="00A04D47" w:rsidRPr="00000849">
        <w:rPr>
          <w:rFonts w:cstheme="minorHAnsi"/>
          <w:color w:val="383838"/>
          <w:sz w:val="24"/>
          <w:szCs w:val="24"/>
        </w:rPr>
        <w:t xml:space="preserve">Owing to the limited coverage </w:t>
      </w:r>
      <w:r w:rsidR="00501030" w:rsidRPr="00000849">
        <w:rPr>
          <w:rFonts w:cstheme="minorHAnsi"/>
          <w:color w:val="383838"/>
          <w:sz w:val="24"/>
          <w:szCs w:val="24"/>
        </w:rPr>
        <w:t xml:space="preserve">of their health care costs by the NHIS and factors such as the perceived cause of illness and avoidance of long waiting times at public health facilities, </w:t>
      </w:r>
      <w:r w:rsidR="00A04D47" w:rsidRPr="00000849">
        <w:rPr>
          <w:rFonts w:cstheme="minorHAnsi"/>
          <w:color w:val="383838"/>
          <w:sz w:val="24"/>
          <w:szCs w:val="24"/>
        </w:rPr>
        <w:t xml:space="preserve">some older adults </w:t>
      </w:r>
      <w:r w:rsidR="00501030" w:rsidRPr="00000849">
        <w:rPr>
          <w:rFonts w:cstheme="minorHAnsi"/>
          <w:color w:val="383838"/>
          <w:sz w:val="24"/>
          <w:szCs w:val="24"/>
        </w:rPr>
        <w:t xml:space="preserve">seek help from alternate care providers </w:t>
      </w:r>
      <w:r w:rsidR="00501030" w:rsidRPr="00000849">
        <w:rPr>
          <w:rFonts w:cstheme="minorHAnsi"/>
          <w:color w:val="383838"/>
          <w:sz w:val="24"/>
          <w:szCs w:val="24"/>
        </w:rPr>
        <w:fldChar w:fldCharType="begin"/>
      </w:r>
      <w:r w:rsidR="00501030" w:rsidRPr="00000849">
        <w:rPr>
          <w:rFonts w:cstheme="minorHAnsi"/>
          <w:color w:val="383838"/>
          <w:sz w:val="24"/>
          <w:szCs w:val="24"/>
        </w:rPr>
        <w:instrText xml:space="preserve"> ADDIN EN.CITE &lt;EndNote&gt;&lt;Cite&gt;&lt;Author&gt;Bayuo&lt;/Author&gt;&lt;Year&gt;2017&lt;/Year&gt;&lt;RecNum&gt;1090&lt;/RecNum&gt;&lt;DisplayText&gt;(Bayuo, 2017)&lt;/DisplayText&gt;&lt;record&gt;&lt;rec-number&gt;1090&lt;/rec-number&gt;&lt;foreign-keys&gt;&lt;key app="EN" db-id="9tzf2rda8re2a9es5tuxart3swzx2zws2s02" timestamp="1579154281"&gt;1090&lt;/key&gt;&lt;/foreign-keys&gt;&lt;ref-type name="Journal Article"&gt;17&lt;/ref-type&gt;&lt;contributors&gt;&lt;authors&gt;&lt;author&gt;Bayuo, Jonathan&lt;/author&gt;&lt;/authors&gt;&lt;/contributors&gt;&lt;titles&gt;&lt;title&gt;Experiences with out-patient hospital service utilisation among older persons in the Asante Akyem North District-Ghana&lt;/title&gt;&lt;secondary-title&gt;BMC Health Services Research&lt;/secondary-title&gt;&lt;/titles&gt;&lt;periodical&gt;&lt;full-title&gt;BMC Health Services Research&lt;/full-title&gt;&lt;abbr-1&gt;BMC Health Serv Res&lt;/abbr-1&gt;&lt;/periodical&gt;&lt;pages&gt;652&lt;/pages&gt;&lt;volume&gt;17&lt;/volume&gt;&lt;number&gt;1&lt;/number&gt;&lt;dates&gt;&lt;year&gt;2017&lt;/year&gt;&lt;/dates&gt;&lt;isbn&gt;1472-6963&lt;/isbn&gt;&lt;urls&gt;&lt;/urls&gt;&lt;electronic-resource-num&gt;10.1186/s12913-017-2604-6&lt;/electronic-resource-num&gt;&lt;/record&gt;&lt;/Cite&gt;&lt;/EndNote&gt;</w:instrText>
      </w:r>
      <w:r w:rsidR="00501030" w:rsidRPr="00000849">
        <w:rPr>
          <w:rFonts w:cstheme="minorHAnsi"/>
          <w:color w:val="383838"/>
          <w:sz w:val="24"/>
          <w:szCs w:val="24"/>
        </w:rPr>
        <w:fldChar w:fldCharType="separate"/>
      </w:r>
      <w:r w:rsidR="00501030" w:rsidRPr="00000849">
        <w:rPr>
          <w:rFonts w:cstheme="minorHAnsi"/>
          <w:noProof/>
          <w:color w:val="383838"/>
          <w:sz w:val="24"/>
          <w:szCs w:val="24"/>
        </w:rPr>
        <w:t>(Bayuo, 2017)</w:t>
      </w:r>
      <w:r w:rsidR="00501030" w:rsidRPr="00000849">
        <w:rPr>
          <w:rFonts w:cstheme="minorHAnsi"/>
          <w:color w:val="383838"/>
          <w:sz w:val="24"/>
          <w:szCs w:val="24"/>
        </w:rPr>
        <w:fldChar w:fldCharType="end"/>
      </w:r>
      <w:r w:rsidR="00501030" w:rsidRPr="00000849">
        <w:rPr>
          <w:rFonts w:cstheme="minorHAnsi"/>
          <w:color w:val="383838"/>
          <w:sz w:val="24"/>
          <w:szCs w:val="24"/>
        </w:rPr>
        <w:t xml:space="preserve">.  </w:t>
      </w:r>
      <w:r w:rsidR="00351F88" w:rsidRPr="00000849">
        <w:rPr>
          <w:rFonts w:cstheme="minorHAnsi"/>
          <w:color w:val="000000"/>
          <w:sz w:val="24"/>
          <w:szCs w:val="24"/>
          <w:shd w:val="clear" w:color="auto" w:fill="FFFFFF"/>
        </w:rPr>
        <w:t>In the</w:t>
      </w:r>
      <w:r w:rsidR="00BB1AC3" w:rsidRPr="00000849">
        <w:rPr>
          <w:rFonts w:cstheme="minorHAnsi"/>
          <w:color w:val="000000"/>
          <w:sz w:val="24"/>
          <w:szCs w:val="24"/>
          <w:shd w:val="clear" w:color="auto" w:fill="FFFFFF"/>
        </w:rPr>
        <w:t xml:space="preserve"> Ghana Living Standards Survey</w:t>
      </w:r>
      <w:r w:rsidR="00351F88" w:rsidRPr="00000849">
        <w:rPr>
          <w:rFonts w:cstheme="minorHAnsi"/>
          <w:color w:val="000000"/>
          <w:sz w:val="24"/>
          <w:szCs w:val="24"/>
          <w:shd w:val="clear" w:color="auto" w:fill="FFFFFF"/>
        </w:rPr>
        <w:t xml:space="preserve"> </w:t>
      </w:r>
      <w:r w:rsidR="00BB1AC3" w:rsidRPr="00000849">
        <w:rPr>
          <w:rFonts w:cstheme="minorHAnsi"/>
          <w:color w:val="000000"/>
          <w:sz w:val="24"/>
          <w:szCs w:val="24"/>
          <w:shd w:val="clear" w:color="auto" w:fill="FFFFFF"/>
        </w:rPr>
        <w:t>(</w:t>
      </w:r>
      <w:r w:rsidR="00351F88" w:rsidRPr="00000849">
        <w:rPr>
          <w:rFonts w:cstheme="minorHAnsi"/>
          <w:color w:val="000000"/>
          <w:sz w:val="24"/>
          <w:szCs w:val="24"/>
          <w:shd w:val="clear" w:color="auto" w:fill="FFFFFF"/>
        </w:rPr>
        <w:t>GLSS</w:t>
      </w:r>
      <w:r w:rsidR="00BB1AC3" w:rsidRPr="00000849">
        <w:rPr>
          <w:rFonts w:cstheme="minorHAnsi"/>
          <w:color w:val="000000"/>
          <w:sz w:val="24"/>
          <w:szCs w:val="24"/>
          <w:shd w:val="clear" w:color="auto" w:fill="FFFFFF"/>
        </w:rPr>
        <w:t>)</w:t>
      </w:r>
      <w:r w:rsidR="00351F88" w:rsidRPr="00000849">
        <w:rPr>
          <w:rFonts w:cstheme="minorHAnsi"/>
          <w:color w:val="000000"/>
          <w:sz w:val="24"/>
          <w:szCs w:val="24"/>
          <w:shd w:val="clear" w:color="auto" w:fill="FFFFFF"/>
        </w:rPr>
        <w:t xml:space="preserve"> </w:t>
      </w:r>
      <w:r w:rsidR="00BB1AC3" w:rsidRPr="00000849">
        <w:rPr>
          <w:rFonts w:cstheme="minorHAnsi"/>
          <w:color w:val="000000"/>
          <w:sz w:val="24"/>
          <w:szCs w:val="24"/>
          <w:shd w:val="clear" w:color="auto" w:fill="FFFFFF"/>
        </w:rPr>
        <w:t xml:space="preserve">Round </w:t>
      </w:r>
      <w:r w:rsidR="00351F88" w:rsidRPr="00000849">
        <w:rPr>
          <w:rFonts w:cstheme="minorHAnsi"/>
          <w:color w:val="000000"/>
          <w:sz w:val="24"/>
          <w:szCs w:val="24"/>
          <w:shd w:val="clear" w:color="auto" w:fill="FFFFFF"/>
        </w:rPr>
        <w:t xml:space="preserve">7, only 16.7% of medical expenses among those reporting illness in the two weeks preceding the survey was paid for by the NHIS </w:t>
      </w:r>
      <w:r w:rsidR="00351F88" w:rsidRPr="00000849">
        <w:rPr>
          <w:rFonts w:cstheme="minorHAnsi"/>
          <w:color w:val="000000"/>
          <w:sz w:val="24"/>
          <w:szCs w:val="24"/>
          <w:shd w:val="clear" w:color="auto" w:fill="FFFFFF"/>
        </w:rPr>
        <w:fldChar w:fldCharType="begin"/>
      </w:r>
      <w:r w:rsidR="00000849" w:rsidRPr="00000849">
        <w:rPr>
          <w:rFonts w:cstheme="minorHAnsi"/>
          <w:color w:val="000000"/>
          <w:sz w:val="24"/>
          <w:szCs w:val="24"/>
          <w:shd w:val="clear" w:color="auto" w:fill="FFFFFF"/>
        </w:rPr>
        <w:instrText xml:space="preserve"> ADDIN EN.CITE &lt;EndNote&gt;&lt;Cite&gt;&lt;Author&gt;GSS&lt;/Author&gt;&lt;Year&gt;2019&lt;/Year&gt;&lt;RecNum&gt;1096&lt;/RecNum&gt;&lt;DisplayText&gt;(GSS, 2019)&lt;/DisplayText&gt;&lt;record&gt;&lt;rec-number&gt;1096&lt;/rec-number&gt;&lt;foreign-keys&gt;&lt;key app="EN" db-id="9tzf2rda8re2a9es5tuxart3swzx2zws2s02" timestamp="1579169983"&gt;1096&lt;/key&gt;&lt;/foreign-keys&gt;&lt;ref-type name="Report"&gt;27&lt;/ref-type&gt;&lt;contributors&gt;&lt;authors&gt;&lt;author&gt;GSS,&lt;/author&gt;&lt;/authors&gt;&lt;/contributors&gt;&lt;titles&gt;&lt;title&gt;Ghana Living Standards Survey (GLSS) 7: main report&lt;/title&gt;&lt;/titles&gt;&lt;dates&gt;&lt;year&gt;2019&lt;/year&gt;&lt;/dates&gt;&lt;pub-location&gt;Accra&lt;/pub-location&gt;&lt;publisher&gt;Ghana Statistical Service&lt;/publisher&gt;&lt;urls&gt;&lt;related-urls&gt;&lt;url&gt;https://statsghana.gov.gh/gssmain/fileUpload/pressrelease/GLSS7%20MAIN%20REPORT_FINAL.pdf&lt;/url&gt;&lt;/related-urls&gt;&lt;/urls&gt;&lt;/record&gt;&lt;/Cite&gt;&lt;/EndNote&gt;</w:instrText>
      </w:r>
      <w:r w:rsidR="00351F88" w:rsidRPr="00000849">
        <w:rPr>
          <w:rFonts w:cstheme="minorHAnsi"/>
          <w:color w:val="000000"/>
          <w:sz w:val="24"/>
          <w:szCs w:val="24"/>
          <w:shd w:val="clear" w:color="auto" w:fill="FFFFFF"/>
        </w:rPr>
        <w:fldChar w:fldCharType="separate"/>
      </w:r>
      <w:r w:rsidR="00000849" w:rsidRPr="00000849">
        <w:rPr>
          <w:rFonts w:cstheme="minorHAnsi"/>
          <w:noProof/>
          <w:color w:val="000000"/>
          <w:sz w:val="24"/>
          <w:szCs w:val="24"/>
          <w:shd w:val="clear" w:color="auto" w:fill="FFFFFF"/>
        </w:rPr>
        <w:t>(GSS, 2019)</w:t>
      </w:r>
      <w:r w:rsidR="00351F88" w:rsidRPr="00000849">
        <w:rPr>
          <w:rFonts w:cstheme="minorHAnsi"/>
          <w:color w:val="000000"/>
          <w:sz w:val="24"/>
          <w:szCs w:val="24"/>
          <w:shd w:val="clear" w:color="auto" w:fill="FFFFFF"/>
        </w:rPr>
        <w:fldChar w:fldCharType="end"/>
      </w:r>
      <w:r w:rsidR="00351F88" w:rsidRPr="00000849">
        <w:rPr>
          <w:rFonts w:cstheme="minorHAnsi"/>
          <w:color w:val="000000"/>
          <w:sz w:val="24"/>
          <w:szCs w:val="24"/>
          <w:shd w:val="clear" w:color="auto" w:fill="FFFFFF"/>
        </w:rPr>
        <w:t>.</w:t>
      </w:r>
      <w:r w:rsidR="00DA580D" w:rsidRPr="00000849">
        <w:rPr>
          <w:rFonts w:cstheme="minorHAnsi"/>
          <w:color w:val="000000"/>
          <w:sz w:val="24"/>
          <w:szCs w:val="24"/>
          <w:shd w:val="clear" w:color="auto" w:fill="FFFFFF"/>
        </w:rPr>
        <w:t xml:space="preserve">  </w:t>
      </w:r>
      <w:r w:rsidRPr="00000849">
        <w:rPr>
          <w:rFonts w:cstheme="minorHAnsi"/>
          <w:color w:val="000000"/>
          <w:sz w:val="24"/>
          <w:szCs w:val="24"/>
          <w:shd w:val="clear" w:color="auto" w:fill="FFFFFF"/>
        </w:rPr>
        <w:t xml:space="preserve">Similarly, </w:t>
      </w:r>
      <w:r w:rsidR="00DA580D" w:rsidRPr="00000849">
        <w:rPr>
          <w:rFonts w:cstheme="minorHAnsi"/>
          <w:color w:val="000000"/>
          <w:sz w:val="24"/>
          <w:szCs w:val="24"/>
          <w:shd w:val="clear" w:color="auto" w:fill="FFFFFF"/>
        </w:rPr>
        <w:t xml:space="preserve">the level of cash payments </w:t>
      </w:r>
      <w:r w:rsidRPr="00000849">
        <w:rPr>
          <w:rFonts w:cstheme="minorHAnsi"/>
          <w:color w:val="000000"/>
          <w:sz w:val="24"/>
          <w:szCs w:val="24"/>
          <w:shd w:val="clear" w:color="auto" w:fill="FFFFFF"/>
        </w:rPr>
        <w:t xml:space="preserve">under LEAP has not been sufficient </w:t>
      </w:r>
      <w:r w:rsidR="00DA580D" w:rsidRPr="00000849">
        <w:rPr>
          <w:rFonts w:cstheme="minorHAnsi"/>
          <w:color w:val="000000"/>
          <w:sz w:val="24"/>
          <w:szCs w:val="24"/>
          <w:shd w:val="clear" w:color="auto" w:fill="FFFFFF"/>
        </w:rPr>
        <w:t xml:space="preserve">to make a significant impact on the lives </w:t>
      </w:r>
      <w:r w:rsidR="005B4AF7" w:rsidRPr="00000849">
        <w:rPr>
          <w:rFonts w:cstheme="minorHAnsi"/>
          <w:color w:val="000000"/>
          <w:sz w:val="24"/>
          <w:szCs w:val="24"/>
          <w:shd w:val="clear" w:color="auto" w:fill="FFFFFF"/>
        </w:rPr>
        <w:t xml:space="preserve">of beneficiaries </w:t>
      </w:r>
      <w:r w:rsidR="005B4AF7" w:rsidRPr="00000849">
        <w:rPr>
          <w:rFonts w:cstheme="minorHAnsi"/>
          <w:color w:val="000000"/>
          <w:sz w:val="24"/>
          <w:szCs w:val="24"/>
          <w:shd w:val="clear" w:color="auto" w:fill="FFFFFF"/>
        </w:rPr>
        <w:fldChar w:fldCharType="begin">
          <w:fldData xml:space="preserve">PEVuZE5vdGU+PENpdGU+PEF1dGhvcj5BaWtpbnM8L0F1dGhvcj48WWVhcj4yMDE3PC9ZZWFyPjxS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</w:fldData>
        </w:fldChar>
      </w:r>
      <w:r w:rsidR="00431DA0" w:rsidRPr="00000849">
        <w:rPr>
          <w:rFonts w:cstheme="minorHAnsi"/>
          <w:color w:val="000000"/>
          <w:sz w:val="24"/>
          <w:szCs w:val="24"/>
          <w:shd w:val="clear" w:color="auto" w:fill="FFFFFF"/>
        </w:rPr>
        <w:instrText xml:space="preserve"> ADDIN EN.CITE </w:instrText>
      </w:r>
      <w:r w:rsidR="00431DA0" w:rsidRPr="00000849">
        <w:rPr>
          <w:rFonts w:cstheme="minorHAnsi"/>
          <w:color w:val="000000"/>
          <w:sz w:val="24"/>
          <w:szCs w:val="24"/>
          <w:shd w:val="clear" w:color="auto" w:fill="FFFFFF"/>
        </w:rPr>
        <w:fldChar w:fldCharType="begin">
          <w:fldData xml:space="preserve">PEVuZE5vdGU+PENpdGU+PEF1dGhvcj5BaWtpbnM8L0F1dGhvcj48WWVhcj4yMDE3PC9ZZWFyPjxS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</w:fldData>
        </w:fldChar>
      </w:r>
      <w:r w:rsidR="00431DA0" w:rsidRPr="00000849">
        <w:rPr>
          <w:rFonts w:cstheme="minorHAnsi"/>
          <w:color w:val="000000"/>
          <w:sz w:val="24"/>
          <w:szCs w:val="24"/>
          <w:shd w:val="clear" w:color="auto" w:fill="FFFFFF"/>
        </w:rPr>
        <w:instrText xml:space="preserve"> ADDIN EN.CITE.DATA </w:instrText>
      </w:r>
      <w:r w:rsidR="00431DA0" w:rsidRPr="00000849">
        <w:rPr>
          <w:rFonts w:cstheme="minorHAnsi"/>
          <w:color w:val="000000"/>
          <w:sz w:val="24"/>
          <w:szCs w:val="24"/>
          <w:shd w:val="clear" w:color="auto" w:fill="FFFFFF"/>
        </w:rPr>
      </w:r>
      <w:r w:rsidR="00431DA0" w:rsidRPr="00000849">
        <w:rPr>
          <w:rFonts w:cstheme="minorHAnsi"/>
          <w:color w:val="000000"/>
          <w:sz w:val="24"/>
          <w:szCs w:val="24"/>
          <w:shd w:val="clear" w:color="auto" w:fill="FFFFFF"/>
        </w:rPr>
        <w:fldChar w:fldCharType="end"/>
      </w:r>
      <w:r w:rsidR="005B4AF7" w:rsidRPr="00000849">
        <w:rPr>
          <w:rFonts w:cstheme="minorHAnsi"/>
          <w:color w:val="000000"/>
          <w:sz w:val="24"/>
          <w:szCs w:val="24"/>
          <w:shd w:val="clear" w:color="auto" w:fill="FFFFFF"/>
        </w:rPr>
      </w:r>
      <w:r w:rsidR="005B4AF7" w:rsidRPr="00000849">
        <w:rPr>
          <w:rFonts w:cstheme="minorHAnsi"/>
          <w:color w:val="000000"/>
          <w:sz w:val="24"/>
          <w:szCs w:val="24"/>
          <w:shd w:val="clear" w:color="auto" w:fill="FFFFFF"/>
        </w:rPr>
        <w:fldChar w:fldCharType="separate"/>
      </w:r>
      <w:r w:rsidR="00431DA0" w:rsidRPr="00000849">
        <w:rPr>
          <w:rFonts w:cstheme="minorHAnsi"/>
          <w:noProof/>
          <w:color w:val="000000"/>
          <w:sz w:val="24"/>
          <w:szCs w:val="24"/>
          <w:shd w:val="clear" w:color="auto" w:fill="FFFFFF"/>
        </w:rPr>
        <w:t>(Aikins et al., 2017; Debrah, 2013)</w:t>
      </w:r>
      <w:r w:rsidR="005B4AF7" w:rsidRPr="00000849">
        <w:rPr>
          <w:rFonts w:cstheme="minorHAnsi"/>
          <w:color w:val="000000"/>
          <w:sz w:val="24"/>
          <w:szCs w:val="24"/>
          <w:shd w:val="clear" w:color="auto" w:fill="FFFFFF"/>
        </w:rPr>
        <w:fldChar w:fldCharType="end"/>
      </w:r>
      <w:r w:rsidR="00DA580D" w:rsidRPr="00000849">
        <w:rPr>
          <w:rFonts w:cstheme="minorHAnsi"/>
          <w:color w:val="000000"/>
          <w:sz w:val="24"/>
          <w:szCs w:val="24"/>
          <w:shd w:val="clear" w:color="auto" w:fill="FFFFFF"/>
        </w:rPr>
        <w:t xml:space="preserve">. </w:t>
      </w:r>
    </w:p>
    <w:p w14:paraId="20366FBA" w14:textId="77777777" w:rsidR="00A3272A" w:rsidRPr="00000849" w:rsidRDefault="00A3272A" w:rsidP="00467A04">
      <w:pPr>
        <w:spacing w:line="480" w:lineRule="auto"/>
        <w:rPr>
          <w:sz w:val="24"/>
          <w:szCs w:val="24"/>
        </w:rPr>
      </w:pPr>
    </w:p>
    <w:p w14:paraId="76B67ED0" w14:textId="618B42FB" w:rsidR="002B0B4B" w:rsidRPr="00000849" w:rsidRDefault="002B442B" w:rsidP="00000849">
      <w:pPr>
        <w:pStyle w:val="Heading2"/>
        <w:keepNext w:val="0"/>
        <w:keepLines w:val="0"/>
      </w:pPr>
      <w:bookmarkStart w:id="25" w:name="_Toc51472079"/>
      <w:r w:rsidRPr="00000849">
        <w:t>1.</w:t>
      </w:r>
      <w:r w:rsidR="00B421F1" w:rsidRPr="00000849">
        <w:t>6</w:t>
      </w:r>
      <w:r w:rsidRPr="00000849">
        <w:tab/>
      </w:r>
      <w:r w:rsidR="00265761" w:rsidRPr="00000849">
        <w:t>Statement of the p</w:t>
      </w:r>
      <w:r w:rsidR="002B0B4B" w:rsidRPr="00000849">
        <w:t>roblem</w:t>
      </w:r>
      <w:bookmarkEnd w:id="25"/>
      <w:r w:rsidR="002B0B4B" w:rsidRPr="00000849">
        <w:t xml:space="preserve"> </w:t>
      </w:r>
    </w:p>
    <w:p w14:paraId="522BE780" w14:textId="77777777" w:rsidR="009D10BA" w:rsidRPr="00000849" w:rsidRDefault="009D10BA" w:rsidP="00822877">
      <w:pPr>
        <w:spacing w:line="480" w:lineRule="auto"/>
        <w:rPr>
          <w:sz w:val="24"/>
          <w:szCs w:val="24"/>
        </w:rPr>
      </w:pPr>
    </w:p>
    <w:p w14:paraId="347FE2B7" w14:textId="79B161D9" w:rsidR="00AE6947" w:rsidRPr="00000849" w:rsidRDefault="00667484" w:rsidP="00822877">
      <w:pPr>
        <w:spacing w:line="480" w:lineRule="auto"/>
        <w:jc w:val="both"/>
        <w:rPr>
          <w:sz w:val="24"/>
          <w:szCs w:val="24"/>
        </w:rPr>
      </w:pPr>
      <w:r w:rsidRPr="00000849">
        <w:rPr>
          <w:sz w:val="24"/>
          <w:szCs w:val="24"/>
        </w:rPr>
        <w:t>De</w:t>
      </w:r>
      <w:r w:rsidR="00F13C31" w:rsidRPr="00000849">
        <w:rPr>
          <w:sz w:val="24"/>
          <w:szCs w:val="24"/>
        </w:rPr>
        <w:t xml:space="preserve">spite </w:t>
      </w:r>
      <w:r w:rsidRPr="00000849">
        <w:rPr>
          <w:sz w:val="24"/>
          <w:szCs w:val="24"/>
        </w:rPr>
        <w:t>its</w:t>
      </w:r>
      <w:r w:rsidR="00F13C31" w:rsidRPr="00000849">
        <w:rPr>
          <w:sz w:val="24"/>
          <w:szCs w:val="24"/>
        </w:rPr>
        <w:t xml:space="preserve"> ageing </w:t>
      </w:r>
      <w:r w:rsidR="005E3108" w:rsidRPr="00000849">
        <w:rPr>
          <w:sz w:val="24"/>
          <w:szCs w:val="24"/>
        </w:rPr>
        <w:t>population</w:t>
      </w:r>
      <w:r w:rsidR="00F13C31" w:rsidRPr="00000849">
        <w:rPr>
          <w:sz w:val="24"/>
          <w:szCs w:val="24"/>
        </w:rPr>
        <w:t xml:space="preserve"> and </w:t>
      </w:r>
      <w:r w:rsidR="005E3108" w:rsidRPr="00000849">
        <w:rPr>
          <w:sz w:val="24"/>
          <w:szCs w:val="24"/>
        </w:rPr>
        <w:t xml:space="preserve">the </w:t>
      </w:r>
      <w:r w:rsidRPr="00000849">
        <w:rPr>
          <w:sz w:val="24"/>
          <w:szCs w:val="24"/>
        </w:rPr>
        <w:t>associated</w:t>
      </w:r>
      <w:r w:rsidR="005E3108" w:rsidRPr="00000849">
        <w:rPr>
          <w:sz w:val="24"/>
          <w:szCs w:val="24"/>
        </w:rPr>
        <w:t xml:space="preserve"> increase in the burden of chronic NCDs, Ghana has accorded insufficient priority to the </w:t>
      </w:r>
      <w:r w:rsidR="00467A04" w:rsidRPr="00000849">
        <w:rPr>
          <w:sz w:val="24"/>
          <w:szCs w:val="24"/>
        </w:rPr>
        <w:t>health</w:t>
      </w:r>
      <w:r w:rsidR="005E3108" w:rsidRPr="00000849">
        <w:rPr>
          <w:sz w:val="24"/>
          <w:szCs w:val="24"/>
        </w:rPr>
        <w:t xml:space="preserve"> of </w:t>
      </w:r>
      <w:r w:rsidR="00C84492" w:rsidRPr="00000849">
        <w:rPr>
          <w:sz w:val="24"/>
          <w:szCs w:val="24"/>
        </w:rPr>
        <w:t>older adults</w:t>
      </w:r>
      <w:r w:rsidR="00467A04" w:rsidRPr="00000849">
        <w:rPr>
          <w:sz w:val="24"/>
          <w:szCs w:val="24"/>
        </w:rPr>
        <w:t xml:space="preserve"> </w:t>
      </w:r>
      <w:r w:rsidR="00467A04" w:rsidRPr="00000849">
        <w:rPr>
          <w:sz w:val="24"/>
          <w:szCs w:val="24"/>
        </w:rPr>
        <w:fldChar w:fldCharType="begin"/>
      </w:r>
      <w:r w:rsidR="00467A04" w:rsidRPr="00000849">
        <w:rPr>
          <w:sz w:val="24"/>
          <w:szCs w:val="24"/>
        </w:rPr>
        <w:instrText xml:space="preserve"> ADDIN EN.CITE &lt;EndNote&gt;&lt;Cite&gt;&lt;Author&gt;Mba&lt;/Author&gt;&lt;Year&gt;2010&lt;/Year&gt;&lt;RecNum&gt;1&lt;/RecNum&gt;&lt;DisplayText&gt;(Mba, 2010)&lt;/DisplayText&gt;&lt;record&gt;&lt;rec-number&gt;1&lt;/rec-number&gt;&lt;foreign-keys&gt;&lt;key app="EN" db-id="9tzf2rda8re2a9es5tuxart3swzx2zws2s02" timestamp="1463387118"&gt;1&lt;/key&gt;&lt;/foreign-keys&gt;&lt;ref-type name="Journal Article"&gt;17&lt;/ref-type&gt;&lt;contributors&gt;&lt;authors&gt;&lt;author&gt;Mba, Chuks J&lt;/author&gt;&lt;/authors&gt;&lt;/contributors&gt;&lt;titles&gt;&lt;title&gt;Population ageing in Ghana: research gaps and the way forward&lt;/title&gt;&lt;secondary-title&gt;Journal of Aging Research&lt;/secondary-title&gt;&lt;/titles&gt;&lt;periodical&gt;&lt;full-title&gt;Journal of Aging Research&lt;/full-title&gt;&lt;abbr-1&gt;Journal of Aging Research&lt;/abbr-1&gt;&lt;/periodical&gt;&lt;pages&gt;672157&lt;/pages&gt;&lt;volume&gt;2010&lt;/volume&gt;&lt;dates&gt;&lt;year&gt;2010&lt;/year&gt;&lt;/dates&gt;&lt;urls&gt;&lt;/urls&gt;&lt;electronic-resource-num&gt;10.4061/2010/672157&lt;/electronic-resource-num&gt;&lt;/record&gt;&lt;/Cite&gt;&lt;/EndNote&gt;</w:instrText>
      </w:r>
      <w:r w:rsidR="00467A04" w:rsidRPr="00000849">
        <w:rPr>
          <w:sz w:val="24"/>
          <w:szCs w:val="24"/>
        </w:rPr>
        <w:fldChar w:fldCharType="separate"/>
      </w:r>
      <w:r w:rsidR="00467A04" w:rsidRPr="00000849">
        <w:rPr>
          <w:noProof/>
          <w:sz w:val="24"/>
          <w:szCs w:val="24"/>
        </w:rPr>
        <w:t>(Mba, 2010)</w:t>
      </w:r>
      <w:r w:rsidR="00467A04" w:rsidRPr="00000849">
        <w:rPr>
          <w:sz w:val="24"/>
          <w:szCs w:val="24"/>
        </w:rPr>
        <w:fldChar w:fldCharType="end"/>
      </w:r>
      <w:r w:rsidR="005E3108" w:rsidRPr="00000849">
        <w:rPr>
          <w:sz w:val="24"/>
          <w:szCs w:val="24"/>
        </w:rPr>
        <w:t xml:space="preserve">.  </w:t>
      </w:r>
      <w:r w:rsidR="006B1169" w:rsidRPr="00000849">
        <w:rPr>
          <w:sz w:val="24"/>
          <w:szCs w:val="24"/>
        </w:rPr>
        <w:t xml:space="preserve">This may be partly due to </w:t>
      </w:r>
      <w:r w:rsidR="005E3108" w:rsidRPr="00000849">
        <w:rPr>
          <w:sz w:val="24"/>
          <w:szCs w:val="24"/>
        </w:rPr>
        <w:t xml:space="preserve">the dearth of information on older adults in </w:t>
      </w:r>
      <w:r w:rsidR="00467A04" w:rsidRPr="00000849">
        <w:rPr>
          <w:sz w:val="24"/>
          <w:szCs w:val="24"/>
        </w:rPr>
        <w:t>Ghana</w:t>
      </w:r>
      <w:r w:rsidR="008218DC" w:rsidRPr="00000849">
        <w:rPr>
          <w:sz w:val="24"/>
          <w:szCs w:val="24"/>
        </w:rPr>
        <w:t xml:space="preserve"> </w:t>
      </w:r>
      <w:r w:rsidR="006B1169" w:rsidRPr="00000849">
        <w:rPr>
          <w:sz w:val="24"/>
          <w:szCs w:val="24"/>
        </w:rPr>
        <w:lastRenderedPageBreak/>
        <w:t>which would</w:t>
      </w:r>
      <w:r w:rsidR="008218DC" w:rsidRPr="00000849">
        <w:rPr>
          <w:sz w:val="24"/>
          <w:szCs w:val="24"/>
        </w:rPr>
        <w:t xml:space="preserve"> hinder a coherent systematic response</w:t>
      </w:r>
      <w:r w:rsidR="00467A04" w:rsidRPr="00000849">
        <w:rPr>
          <w:sz w:val="24"/>
          <w:szCs w:val="24"/>
        </w:rPr>
        <w:t xml:space="preserve"> </w:t>
      </w:r>
      <w:r w:rsidR="005D675C" w:rsidRPr="00000849">
        <w:rPr>
          <w:sz w:val="24"/>
          <w:szCs w:val="24"/>
        </w:rPr>
        <w:fldChar w:fldCharType="begin"/>
      </w:r>
      <w:r w:rsidR="001740AB" w:rsidRPr="00000849">
        <w:rPr>
          <w:sz w:val="24"/>
          <w:szCs w:val="24"/>
        </w:rPr>
        <w:instrText xml:space="preserve"> ADDIN EN.CITE &lt;EndNote&gt;&lt;Cite&gt;&lt;Author&gt;Biritwum&lt;/Author&gt;&lt;Year&gt;2013&lt;/Year&gt;&lt;RecNum&gt;6&lt;/RecNum&gt;&lt;DisplayText&gt;(Biritwum et al., 2013)&lt;/DisplayText&gt;&lt;record&gt;&lt;rec-number&gt;6&lt;/rec-number&gt;&lt;foreign-keys&gt;&lt;key app="EN" db-id="9tzf2rda8re2a9es5tuxart3swzx2zws2s02" timestamp="1463391711"&gt;6&lt;/key&gt;&lt;/foreign-keys&gt;&lt;ref-type name="Journal Article"&gt;17&lt;/ref-type&gt;&lt;contributors&gt;&lt;authors&gt;&lt;author&gt;Biritwum, Richard B&lt;/author&gt;&lt;author&gt;Mensah, George&lt;/author&gt;&lt;author&gt;Minicuci, Nadia&lt;/author&gt;&lt;author&gt;Yawson, Alfred E&lt;/author&gt;&lt;author&gt;Naidoo, Nirmala&lt;/author&gt;&lt;author&gt;Chatterji, Somnath&lt;/author&gt;&lt;author&gt;Kowal, Paul&lt;/author&gt;&lt;/authors&gt;&lt;/contributors&gt;&lt;titles&gt;&lt;title&gt;Household characteristics for older adults and study background from SAGE Ghana Wave 1&lt;/title&gt;&lt;secondary-title&gt;Global Health Action&lt;/secondary-title&gt;&lt;/titles&gt;&lt;periodical&gt;&lt;full-title&gt;Global Health Action&lt;/full-title&gt;&lt;abbr-1&gt;Glob Health Action&lt;/abbr-1&gt;&lt;/periodical&gt;&lt;pages&gt;20096&lt;/pages&gt;&lt;volume&gt;6&lt;/volume&gt;&lt;dates&gt;&lt;year&gt;2013&lt;/year&gt;&lt;/dates&gt;&lt;isbn&gt;1654-9880&lt;/isbn&gt;&lt;urls&gt;&lt;/urls&gt;&lt;electronic-resource-num&gt;20096 - http://dx.doi.org/10.3402/gha.v6i0.20096&lt;/electronic-resource-num&gt;&lt;/record&gt;&lt;/Cite&gt;&lt;/EndNote&gt;</w:instrText>
      </w:r>
      <w:r w:rsidR="005D675C" w:rsidRPr="00000849">
        <w:rPr>
          <w:sz w:val="24"/>
          <w:szCs w:val="24"/>
        </w:rPr>
        <w:fldChar w:fldCharType="separate"/>
      </w:r>
      <w:r w:rsidR="001740AB" w:rsidRPr="00000849">
        <w:rPr>
          <w:noProof/>
          <w:sz w:val="24"/>
          <w:szCs w:val="24"/>
        </w:rPr>
        <w:t>(Biritwum et al., 2013)</w:t>
      </w:r>
      <w:r w:rsidR="005D675C" w:rsidRPr="00000849">
        <w:rPr>
          <w:sz w:val="24"/>
          <w:szCs w:val="24"/>
        </w:rPr>
        <w:fldChar w:fldCharType="end"/>
      </w:r>
      <w:r w:rsidR="00467A04" w:rsidRPr="00000849">
        <w:rPr>
          <w:sz w:val="24"/>
          <w:szCs w:val="24"/>
        </w:rPr>
        <w:t xml:space="preserve">.  Even more scarce are nationwide studies on </w:t>
      </w:r>
      <w:r w:rsidR="001E00CE" w:rsidRPr="00000849">
        <w:rPr>
          <w:sz w:val="24"/>
          <w:szCs w:val="24"/>
        </w:rPr>
        <w:t>the trends of hypertension in any age group, much less in older adults.</w:t>
      </w:r>
      <w:r w:rsidR="00467A04" w:rsidRPr="00000849">
        <w:rPr>
          <w:sz w:val="24"/>
          <w:szCs w:val="24"/>
        </w:rPr>
        <w:t xml:space="preserve">  </w:t>
      </w:r>
      <w:r w:rsidR="00431C60" w:rsidRPr="00000849">
        <w:rPr>
          <w:sz w:val="24"/>
          <w:szCs w:val="24"/>
        </w:rPr>
        <w:t xml:space="preserve">Previously published studies on older adults have mostly been sociological or anthropological, investigating the socio-economic status, care and support for this group </w:t>
      </w:r>
      <w:r w:rsidR="00431C60" w:rsidRPr="00000849">
        <w:rPr>
          <w:sz w:val="24"/>
          <w:szCs w:val="24"/>
        </w:rPr>
        <w:fldChar w:fldCharType="begin"/>
      </w:r>
      <w:r w:rsidR="00431C60" w:rsidRPr="00000849">
        <w:rPr>
          <w:sz w:val="24"/>
          <w:szCs w:val="24"/>
        </w:rPr>
        <w:instrText xml:space="preserve"> ADDIN EN.CITE &lt;EndNote&gt;&lt;Cite&gt;&lt;Author&gt;Aikins&lt;/Author&gt;&lt;Year&gt;2016&lt;/Year&gt;&lt;RecNum&gt;640&lt;/RecNum&gt;&lt;DisplayText&gt;(Aikins et al., 2016)&lt;/DisplayText&gt;&lt;record&gt;&lt;rec-number&gt;640&lt;/rec-number&gt;&lt;foreign-keys&gt;&lt;key app="EN" db-id="9tzf2rda8re2a9es5tuxart3swzx2zws2s02" timestamp="1496880923"&gt;640&lt;/key&gt;&lt;/foreign-keys&gt;&lt;ref-type name="Journal Article"&gt;17&lt;/ref-type&gt;&lt;contributors&gt;&lt;authors&gt;&lt;author&gt;Aikins, Ama de-Graft&lt;/author&gt;&lt;author&gt;Kushitor, Mawuli&lt;/author&gt;&lt;author&gt;Sanuade, Olutobi&lt;/author&gt;&lt;author&gt;Dakey, Samuel&lt;/author&gt;&lt;author&gt;Dovie, Delali&lt;/author&gt;&lt;author&gt;Kwabena-Adade, Joana&lt;/author&gt;&lt;/authors&gt;&lt;/contributors&gt;&lt;titles&gt;&lt;title&gt;Research On Aging in Ghana from the 1950s To 2016: A Bibliography and Commentary&lt;/title&gt;&lt;secondary-title&gt;Ghana Studies&lt;/secondary-title&gt;&lt;/titles&gt;&lt;periodical&gt;&lt;full-title&gt;Ghana Studies&lt;/full-title&gt;&lt;/periodical&gt;&lt;pages&gt;173-189&lt;/pages&gt;&lt;volume&gt;19&lt;/volume&gt;&lt;number&gt;1&lt;/number&gt;&lt;dates&gt;&lt;year&gt;2016&lt;/year&gt;&lt;/dates&gt;&lt;isbn&gt;2333-7168&lt;/isbn&gt;&lt;urls&gt;&lt;/urls&gt;&lt;/record&gt;&lt;/Cite&gt;&lt;/EndNote&gt;</w:instrText>
      </w:r>
      <w:r w:rsidR="00431C60" w:rsidRPr="00000849">
        <w:rPr>
          <w:sz w:val="24"/>
          <w:szCs w:val="24"/>
        </w:rPr>
        <w:fldChar w:fldCharType="separate"/>
      </w:r>
      <w:r w:rsidR="00431C60" w:rsidRPr="00000849">
        <w:rPr>
          <w:noProof/>
          <w:sz w:val="24"/>
          <w:szCs w:val="24"/>
        </w:rPr>
        <w:t>(Aikins et al., 2016)</w:t>
      </w:r>
      <w:r w:rsidR="00431C60" w:rsidRPr="00000849">
        <w:rPr>
          <w:sz w:val="24"/>
          <w:szCs w:val="24"/>
        </w:rPr>
        <w:fldChar w:fldCharType="end"/>
      </w:r>
      <w:r w:rsidR="00431C60" w:rsidRPr="00000849">
        <w:rPr>
          <w:sz w:val="24"/>
          <w:szCs w:val="24"/>
        </w:rPr>
        <w:t xml:space="preserve">.  Empirical studies have been </w:t>
      </w:r>
      <w:r w:rsidR="006B1169" w:rsidRPr="00000849">
        <w:rPr>
          <w:sz w:val="24"/>
          <w:szCs w:val="24"/>
        </w:rPr>
        <w:t xml:space="preserve">conducted mostly </w:t>
      </w:r>
      <w:r w:rsidR="00431C60" w:rsidRPr="00000849">
        <w:rPr>
          <w:sz w:val="24"/>
          <w:szCs w:val="24"/>
        </w:rPr>
        <w:t>in two</w:t>
      </w:r>
      <w:r w:rsidR="006B1169" w:rsidRPr="00000849">
        <w:rPr>
          <w:sz w:val="24"/>
          <w:szCs w:val="24"/>
        </w:rPr>
        <w:t xml:space="preserve"> administrative</w:t>
      </w:r>
      <w:r w:rsidR="00431C60" w:rsidRPr="00000849">
        <w:rPr>
          <w:sz w:val="24"/>
          <w:szCs w:val="24"/>
        </w:rPr>
        <w:t xml:space="preserve"> regions – the Greater Accra and the Eastern regions.  </w:t>
      </w:r>
    </w:p>
    <w:p w14:paraId="7D66287B" w14:textId="6168D538" w:rsidR="009D10BA" w:rsidRPr="00000849" w:rsidRDefault="006B1169" w:rsidP="00526A73">
      <w:pPr>
        <w:spacing w:line="480" w:lineRule="auto"/>
        <w:ind w:firstLine="567"/>
        <w:jc w:val="both"/>
        <w:rPr>
          <w:rFonts w:cstheme="minorHAnsi"/>
          <w:sz w:val="24"/>
          <w:szCs w:val="24"/>
        </w:rPr>
      </w:pPr>
      <w:r w:rsidRPr="00000849">
        <w:rPr>
          <w:rFonts w:cstheme="minorHAnsi"/>
          <w:sz w:val="24"/>
          <w:szCs w:val="24"/>
        </w:rPr>
        <w:t>It is in this context that</w:t>
      </w:r>
      <w:r w:rsidR="004438E6" w:rsidRPr="00000849">
        <w:rPr>
          <w:rFonts w:cstheme="minorHAnsi"/>
          <w:sz w:val="24"/>
          <w:szCs w:val="24"/>
        </w:rPr>
        <w:t>, the University of Ghana, in collaboration with WHO conducted</w:t>
      </w:r>
      <w:r w:rsidR="00E73CD7" w:rsidRPr="00000849">
        <w:rPr>
          <w:rFonts w:cstheme="minorHAnsi"/>
          <w:sz w:val="24"/>
          <w:szCs w:val="24"/>
        </w:rPr>
        <w:t xml:space="preserve"> the</w:t>
      </w:r>
      <w:r w:rsidR="004438E6" w:rsidRPr="00000849">
        <w:rPr>
          <w:rFonts w:cstheme="minorHAnsi"/>
          <w:sz w:val="24"/>
          <w:szCs w:val="24"/>
        </w:rPr>
        <w:t xml:space="preserve"> longitudinal</w:t>
      </w:r>
      <w:r w:rsidR="00BE5661" w:rsidRPr="00000849">
        <w:rPr>
          <w:rFonts w:cstheme="minorHAnsi"/>
          <w:sz w:val="24"/>
          <w:szCs w:val="24"/>
        </w:rPr>
        <w:t xml:space="preserve"> </w:t>
      </w:r>
      <w:r w:rsidR="004438E6" w:rsidRPr="00000849">
        <w:rPr>
          <w:rFonts w:cstheme="minorHAnsi"/>
          <w:sz w:val="24"/>
          <w:szCs w:val="24"/>
        </w:rPr>
        <w:t>SAGE</w:t>
      </w:r>
      <w:r w:rsidR="00E73CD7" w:rsidRPr="00000849">
        <w:rPr>
          <w:rFonts w:cstheme="minorHAnsi"/>
          <w:sz w:val="24"/>
          <w:szCs w:val="24"/>
        </w:rPr>
        <w:t xml:space="preserve"> study</w:t>
      </w:r>
      <w:r w:rsidR="004438E6" w:rsidRPr="00000849">
        <w:rPr>
          <w:rFonts w:cstheme="minorHAnsi"/>
          <w:sz w:val="24"/>
          <w:szCs w:val="24"/>
        </w:rPr>
        <w:t xml:space="preserve"> </w:t>
      </w:r>
      <w:r w:rsidR="00777F3E" w:rsidRPr="00000849">
        <w:rPr>
          <w:rFonts w:cstheme="minorHAnsi"/>
          <w:sz w:val="24"/>
          <w:szCs w:val="24"/>
        </w:rPr>
        <w:t xml:space="preserve">on a nationally-representative sample </w:t>
      </w:r>
      <w:r w:rsidR="004438E6" w:rsidRPr="00000849">
        <w:rPr>
          <w:rFonts w:cstheme="minorHAnsi"/>
          <w:sz w:val="24"/>
          <w:szCs w:val="24"/>
        </w:rPr>
        <w:t xml:space="preserve">in Ghana (as part of a multi-country study) to identify the health and well-being problems faced by older adults </w:t>
      </w:r>
      <w:r w:rsidR="004438E6" w:rsidRPr="00000849">
        <w:rPr>
          <w:rFonts w:cstheme="minorHAnsi"/>
          <w:sz w:val="24"/>
          <w:szCs w:val="24"/>
        </w:rPr>
        <w:fldChar w:fldCharType="begin"/>
      </w:r>
      <w:r w:rsidR="003E660C" w:rsidRPr="00000849">
        <w:rPr>
          <w:rFonts w:cstheme="minorHAnsi"/>
          <w:sz w:val="24"/>
          <w:szCs w:val="24"/>
        </w:rPr>
        <w:instrText xml:space="preserve"> ADDIN EN.CITE &lt;EndNote&gt;&lt;Cite&gt;&lt;Author&gt;Kowal&lt;/Author&gt;&lt;Year&gt;2012&lt;/Year&gt;&lt;RecNum&gt;18&lt;/RecNum&gt;&lt;DisplayText&gt;(Kowal et al., 2012)&lt;/DisplayText&gt;&lt;record&gt;&lt;rec-number&gt;18&lt;/rec-number&gt;&lt;foreign-keys&gt;&lt;key app="EN" db-id="9tzf2rda8re2a9es5tuxart3swzx2zws2s02" timestamp="1463398606"&gt;18&lt;/key&gt;&lt;/foreign-keys&gt;&lt;ref-type name="Journal Article"&gt;17&lt;/ref-type&gt;&lt;contributors&gt;&lt;authors&gt;&lt;author&gt;Kowal, Paul&lt;/author&gt;&lt;author&gt;Chatterji, Somnath&lt;/author&gt;&lt;author&gt;Naidoo, Nirmala&lt;/author&gt;&lt;author&gt;Biritwum, Richard&lt;/author&gt;&lt;author&gt;Fan, Wu&lt;/author&gt;&lt;author&gt;Ridaura, Ruy Lopez&lt;/author&gt;&lt;author&gt;Maximova, Tamara&lt;/author&gt;&lt;author&gt;Arokiasamy, Perianayagam&lt;/author&gt;&lt;author&gt;Phaswana-Mafuya, Nancy&lt;/author&gt;&lt;author&gt;Williams, Sharon&lt;/author&gt;&lt;/authors&gt;&lt;/contributors&gt;&lt;titles&gt;&lt;title&gt;Data resource profile: the World Health Organization Study on global AGEing and adult health (SAGE)&lt;/title&gt;&lt;secondary-title&gt;International Journal of Epidemiology&lt;/secondary-title&gt;&lt;/titles&gt;&lt;periodical&gt;&lt;full-title&gt;International Journal of Epidemiology&lt;/full-title&gt;&lt;abbr-1&gt;Int J Epidemiol&lt;/abbr-1&gt;&lt;/periodical&gt;&lt;pages&gt;1639-1649&lt;/pages&gt;&lt;volume&gt;41&lt;/volume&gt;&lt;number&gt;6&lt;/number&gt;&lt;dates&gt;&lt;year&gt;2012&lt;/year&gt;&lt;/dates&gt;&lt;isbn&gt;0300-5771&lt;/isbn&gt;&lt;urls&gt;&lt;/urls&gt;&lt;/record&gt;&lt;/Cite&gt;&lt;/EndNote&gt;</w:instrText>
      </w:r>
      <w:r w:rsidR="004438E6" w:rsidRPr="00000849">
        <w:rPr>
          <w:rFonts w:cstheme="minorHAnsi"/>
          <w:sz w:val="24"/>
          <w:szCs w:val="24"/>
        </w:rPr>
        <w:fldChar w:fldCharType="separate"/>
      </w:r>
      <w:r w:rsidR="001740AB" w:rsidRPr="00000849">
        <w:rPr>
          <w:rFonts w:cstheme="minorHAnsi"/>
          <w:noProof/>
          <w:sz w:val="24"/>
          <w:szCs w:val="24"/>
        </w:rPr>
        <w:t>(Kowal et al., 2012)</w:t>
      </w:r>
      <w:r w:rsidR="004438E6" w:rsidRPr="00000849">
        <w:rPr>
          <w:rFonts w:cstheme="minorHAnsi"/>
          <w:sz w:val="24"/>
          <w:szCs w:val="24"/>
        </w:rPr>
        <w:fldChar w:fldCharType="end"/>
      </w:r>
      <w:r w:rsidR="004438E6" w:rsidRPr="00000849">
        <w:rPr>
          <w:rFonts w:cstheme="minorHAnsi"/>
          <w:sz w:val="24"/>
          <w:szCs w:val="24"/>
        </w:rPr>
        <w:t xml:space="preserve">. </w:t>
      </w:r>
      <w:r w:rsidR="00BE5661" w:rsidRPr="00000849">
        <w:rPr>
          <w:rFonts w:cstheme="minorHAnsi"/>
          <w:sz w:val="24"/>
          <w:szCs w:val="24"/>
        </w:rPr>
        <w:t xml:space="preserve"> The first wave of the study was conducted </w:t>
      </w:r>
      <w:r w:rsidR="00434536" w:rsidRPr="00000849">
        <w:rPr>
          <w:rFonts w:cstheme="minorHAnsi"/>
          <w:sz w:val="24"/>
          <w:szCs w:val="24"/>
        </w:rPr>
        <w:t>between May 2007 and June 2008</w:t>
      </w:r>
      <w:r w:rsidR="00BE5661" w:rsidRPr="00000849">
        <w:rPr>
          <w:rFonts w:cstheme="minorHAnsi"/>
          <w:sz w:val="24"/>
          <w:szCs w:val="24"/>
        </w:rPr>
        <w:t xml:space="preserve"> </w:t>
      </w:r>
      <w:r w:rsidR="00777F3E" w:rsidRPr="00000849">
        <w:rPr>
          <w:rFonts w:cstheme="minorHAnsi"/>
          <w:sz w:val="24"/>
          <w:szCs w:val="24"/>
        </w:rPr>
        <w:t xml:space="preserve">(SAGE Ghana Wave 1) </w:t>
      </w:r>
      <w:r w:rsidR="00BE5661" w:rsidRPr="00000849">
        <w:rPr>
          <w:rFonts w:cstheme="minorHAnsi"/>
          <w:sz w:val="24"/>
          <w:szCs w:val="24"/>
        </w:rPr>
        <w:t xml:space="preserve">and </w:t>
      </w:r>
      <w:r w:rsidRPr="00000849">
        <w:rPr>
          <w:rFonts w:cstheme="minorHAnsi"/>
          <w:sz w:val="24"/>
          <w:szCs w:val="24"/>
        </w:rPr>
        <w:t xml:space="preserve">the </w:t>
      </w:r>
      <w:r w:rsidR="00434536" w:rsidRPr="00000849">
        <w:rPr>
          <w:rFonts w:cstheme="minorHAnsi"/>
          <w:sz w:val="24"/>
          <w:szCs w:val="24"/>
        </w:rPr>
        <w:t>second wave (SAGE Ghana Wave 2)</w:t>
      </w:r>
      <w:r w:rsidR="00BE5661" w:rsidRPr="00000849">
        <w:rPr>
          <w:rFonts w:cstheme="minorHAnsi"/>
          <w:sz w:val="24"/>
          <w:szCs w:val="24"/>
        </w:rPr>
        <w:t xml:space="preserve"> in </w:t>
      </w:r>
      <w:r w:rsidR="00536BB1">
        <w:rPr>
          <w:rFonts w:cstheme="minorHAnsi"/>
          <w:sz w:val="24"/>
          <w:szCs w:val="24"/>
        </w:rPr>
        <w:t>2014-</w:t>
      </w:r>
      <w:r w:rsidR="00BE5661" w:rsidRPr="00000849">
        <w:rPr>
          <w:rFonts w:cstheme="minorHAnsi"/>
          <w:sz w:val="24"/>
          <w:szCs w:val="24"/>
        </w:rPr>
        <w:t>2015</w:t>
      </w:r>
      <w:r w:rsidR="00434536" w:rsidRPr="00000849">
        <w:rPr>
          <w:rFonts w:cstheme="minorHAnsi"/>
          <w:sz w:val="24"/>
          <w:szCs w:val="24"/>
        </w:rPr>
        <w:t xml:space="preserve">.  </w:t>
      </w:r>
    </w:p>
    <w:p w14:paraId="532BFC94" w14:textId="77777777" w:rsidR="005D4040" w:rsidRPr="00000849" w:rsidRDefault="005D4040" w:rsidP="009D10BA">
      <w:pPr>
        <w:rPr>
          <w:sz w:val="24"/>
          <w:szCs w:val="24"/>
        </w:rPr>
      </w:pPr>
    </w:p>
    <w:p w14:paraId="5985AA62" w14:textId="3B27781F" w:rsidR="002B0B4B" w:rsidRPr="00000849" w:rsidRDefault="00806B80" w:rsidP="00A61BAB">
      <w:pPr>
        <w:pStyle w:val="Heading2"/>
      </w:pPr>
      <w:bookmarkStart w:id="26" w:name="_Toc51472080"/>
      <w:r w:rsidRPr="00000849">
        <w:t>1.</w:t>
      </w:r>
      <w:r w:rsidR="00B421F1" w:rsidRPr="00000849">
        <w:t>7</w:t>
      </w:r>
      <w:r w:rsidRPr="00000849">
        <w:tab/>
      </w:r>
      <w:r w:rsidR="00F373A6" w:rsidRPr="00000849">
        <w:t>Aim, objectives, r</w:t>
      </w:r>
      <w:r w:rsidR="00360EAF" w:rsidRPr="00000849">
        <w:t>esearch questions</w:t>
      </w:r>
      <w:bookmarkEnd w:id="26"/>
      <w:r w:rsidR="00360EAF" w:rsidRPr="00000849">
        <w:t xml:space="preserve"> </w:t>
      </w:r>
    </w:p>
    <w:p w14:paraId="77E64BAA" w14:textId="77777777" w:rsidR="009D10BA" w:rsidRPr="00000849" w:rsidRDefault="009D10BA" w:rsidP="009D10BA">
      <w:pPr>
        <w:rPr>
          <w:sz w:val="24"/>
          <w:szCs w:val="24"/>
        </w:rPr>
      </w:pPr>
    </w:p>
    <w:p w14:paraId="34304E44" w14:textId="1EBED33C" w:rsidR="00AB05DD" w:rsidRPr="00000849" w:rsidRDefault="00BE5661" w:rsidP="00BA5C44">
      <w:pPr>
        <w:spacing w:line="480" w:lineRule="auto"/>
        <w:jc w:val="both"/>
        <w:rPr>
          <w:rFonts w:cstheme="minorHAnsi"/>
          <w:sz w:val="24"/>
          <w:szCs w:val="24"/>
        </w:rPr>
      </w:pPr>
      <w:r w:rsidRPr="00000849">
        <w:rPr>
          <w:rFonts w:cstheme="minorHAnsi"/>
          <w:sz w:val="24"/>
          <w:szCs w:val="24"/>
        </w:rPr>
        <w:t>The present study a</w:t>
      </w:r>
      <w:r w:rsidR="00972857" w:rsidRPr="00000849">
        <w:rPr>
          <w:rFonts w:cstheme="minorHAnsi"/>
          <w:sz w:val="24"/>
          <w:szCs w:val="24"/>
        </w:rPr>
        <w:t xml:space="preserve">ims to </w:t>
      </w:r>
      <w:r w:rsidR="00E73CD7" w:rsidRPr="00000849">
        <w:rPr>
          <w:rFonts w:cstheme="minorHAnsi"/>
          <w:sz w:val="24"/>
          <w:szCs w:val="24"/>
        </w:rPr>
        <w:t>estimate</w:t>
      </w:r>
      <w:r w:rsidRPr="00000849">
        <w:rPr>
          <w:rFonts w:cstheme="minorHAnsi"/>
          <w:sz w:val="24"/>
          <w:szCs w:val="24"/>
        </w:rPr>
        <w:t xml:space="preserve"> the </w:t>
      </w:r>
      <w:r w:rsidR="006B1169" w:rsidRPr="00000849">
        <w:rPr>
          <w:rFonts w:cstheme="minorHAnsi"/>
          <w:sz w:val="24"/>
          <w:szCs w:val="24"/>
        </w:rPr>
        <w:t xml:space="preserve">prevalence </w:t>
      </w:r>
      <w:r w:rsidR="00FB1D97" w:rsidRPr="00000849">
        <w:rPr>
          <w:rFonts w:cstheme="minorHAnsi"/>
          <w:sz w:val="24"/>
          <w:szCs w:val="24"/>
        </w:rPr>
        <w:t xml:space="preserve">and factors associated with </w:t>
      </w:r>
      <w:r w:rsidRPr="00000849">
        <w:rPr>
          <w:rFonts w:cstheme="minorHAnsi"/>
          <w:sz w:val="24"/>
          <w:szCs w:val="24"/>
        </w:rPr>
        <w:t xml:space="preserve">hypertension among </w:t>
      </w:r>
      <w:r w:rsidR="00113710" w:rsidRPr="00000849">
        <w:rPr>
          <w:rFonts w:cstheme="minorHAnsi"/>
          <w:sz w:val="24"/>
          <w:szCs w:val="24"/>
        </w:rPr>
        <w:t xml:space="preserve">older </w:t>
      </w:r>
      <w:r w:rsidR="00A57038" w:rsidRPr="00000849">
        <w:rPr>
          <w:rFonts w:cstheme="minorHAnsi"/>
          <w:sz w:val="24"/>
          <w:szCs w:val="24"/>
        </w:rPr>
        <w:t>people</w:t>
      </w:r>
      <w:r w:rsidRPr="00000849">
        <w:rPr>
          <w:rFonts w:cstheme="minorHAnsi"/>
          <w:sz w:val="24"/>
          <w:szCs w:val="24"/>
        </w:rPr>
        <w:t xml:space="preserve"> </w:t>
      </w:r>
      <w:r w:rsidR="00F373A6" w:rsidRPr="00000849">
        <w:rPr>
          <w:rFonts w:cstheme="minorHAnsi"/>
          <w:sz w:val="24"/>
          <w:szCs w:val="24"/>
        </w:rPr>
        <w:t>in Ghana</w:t>
      </w:r>
      <w:r w:rsidRPr="00000849">
        <w:rPr>
          <w:rFonts w:cstheme="minorHAnsi"/>
          <w:sz w:val="24"/>
          <w:szCs w:val="24"/>
        </w:rPr>
        <w:t>.</w:t>
      </w:r>
      <w:r w:rsidR="00BA5C44" w:rsidRPr="00000849">
        <w:rPr>
          <w:rFonts w:cstheme="minorHAnsi"/>
          <w:sz w:val="24"/>
          <w:szCs w:val="24"/>
        </w:rPr>
        <w:t xml:space="preserve">  </w:t>
      </w:r>
      <w:r w:rsidR="00621DDE" w:rsidRPr="00000849">
        <w:rPr>
          <w:rFonts w:cstheme="minorHAnsi"/>
          <w:sz w:val="24"/>
          <w:szCs w:val="24"/>
        </w:rPr>
        <w:t>The s</w:t>
      </w:r>
      <w:r w:rsidR="00D806F2" w:rsidRPr="00000849">
        <w:rPr>
          <w:rFonts w:cstheme="minorHAnsi"/>
          <w:sz w:val="24"/>
          <w:szCs w:val="24"/>
        </w:rPr>
        <w:t>pecific</w:t>
      </w:r>
      <w:r w:rsidR="00621DDE" w:rsidRPr="00000849">
        <w:rPr>
          <w:rFonts w:cstheme="minorHAnsi"/>
          <w:sz w:val="24"/>
          <w:szCs w:val="24"/>
        </w:rPr>
        <w:t xml:space="preserve"> objectives are to:</w:t>
      </w:r>
    </w:p>
    <w:p w14:paraId="3C374618" w14:textId="7ADAF07D" w:rsidR="00AB05DD" w:rsidRPr="00000849" w:rsidRDefault="00621DDE" w:rsidP="000065D5">
      <w:pPr>
        <w:pStyle w:val="NoSpacing"/>
        <w:numPr>
          <w:ilvl w:val="0"/>
          <w:numId w:val="2"/>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Estimate the prevalence of hypertension in older adults</w:t>
      </w:r>
      <w:r w:rsidR="00FF69EB" w:rsidRPr="00000849">
        <w:rPr>
          <w:rFonts w:asciiTheme="minorHAnsi" w:hAnsiTheme="minorHAnsi" w:cstheme="minorHAnsi"/>
          <w:sz w:val="24"/>
          <w:szCs w:val="24"/>
        </w:rPr>
        <w:t xml:space="preserve"> </w:t>
      </w:r>
      <w:r w:rsidR="00F373A6" w:rsidRPr="00000849">
        <w:rPr>
          <w:rFonts w:cstheme="minorHAnsi"/>
          <w:sz w:val="24"/>
          <w:szCs w:val="24"/>
        </w:rPr>
        <w:t xml:space="preserve">aged ≥50 years at two time points (2007/2008 and </w:t>
      </w:r>
      <w:r w:rsidR="00536BB1">
        <w:rPr>
          <w:rFonts w:cstheme="minorHAnsi"/>
          <w:sz w:val="24"/>
          <w:szCs w:val="24"/>
        </w:rPr>
        <w:t>2014/</w:t>
      </w:r>
      <w:r w:rsidR="00F373A6" w:rsidRPr="00000849">
        <w:rPr>
          <w:rFonts w:cstheme="minorHAnsi"/>
          <w:sz w:val="24"/>
          <w:szCs w:val="24"/>
        </w:rPr>
        <w:t xml:space="preserve">2015) </w:t>
      </w:r>
      <w:r w:rsidR="00FF69EB" w:rsidRPr="00000849">
        <w:rPr>
          <w:rFonts w:asciiTheme="minorHAnsi" w:hAnsiTheme="minorHAnsi" w:cstheme="minorHAnsi"/>
          <w:sz w:val="24"/>
          <w:szCs w:val="24"/>
        </w:rPr>
        <w:t xml:space="preserve">in Ghana </w:t>
      </w:r>
    </w:p>
    <w:p w14:paraId="2F32F59C" w14:textId="5AA7A09A" w:rsidR="00621DDE" w:rsidRPr="00000849" w:rsidRDefault="00F373A6" w:rsidP="00621DDE">
      <w:pPr>
        <w:pStyle w:val="NoSpacing"/>
        <w:numPr>
          <w:ilvl w:val="0"/>
          <w:numId w:val="2"/>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 xml:space="preserve">Identify </w:t>
      </w:r>
      <w:r w:rsidR="00621DDE" w:rsidRPr="00000849">
        <w:rPr>
          <w:rFonts w:asciiTheme="minorHAnsi" w:hAnsiTheme="minorHAnsi" w:cstheme="minorHAnsi"/>
          <w:sz w:val="24"/>
          <w:szCs w:val="24"/>
        </w:rPr>
        <w:t>the demographic, socio-economic, dietary and lifestyle determinants associated with hypertension or its severity of hypertension in this population</w:t>
      </w:r>
      <w:r w:rsidR="00FF69EB" w:rsidRPr="00000849">
        <w:rPr>
          <w:rFonts w:asciiTheme="minorHAnsi" w:hAnsiTheme="minorHAnsi" w:cstheme="minorHAnsi"/>
          <w:sz w:val="24"/>
          <w:szCs w:val="24"/>
        </w:rPr>
        <w:t xml:space="preserve"> at these time points</w:t>
      </w:r>
      <w:r w:rsidR="00E42648" w:rsidRPr="00000849">
        <w:rPr>
          <w:rFonts w:asciiTheme="minorHAnsi" w:hAnsiTheme="minorHAnsi" w:cstheme="minorHAnsi"/>
          <w:sz w:val="24"/>
          <w:szCs w:val="24"/>
        </w:rPr>
        <w:t>.</w:t>
      </w:r>
    </w:p>
    <w:p w14:paraId="2FA75C54" w14:textId="5C642049" w:rsidR="006435B8" w:rsidRPr="00000849" w:rsidRDefault="002061B8" w:rsidP="00621DDE">
      <w:pPr>
        <w:pStyle w:val="NoSpacing"/>
        <w:numPr>
          <w:ilvl w:val="0"/>
          <w:numId w:val="2"/>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lastRenderedPageBreak/>
        <w:t xml:space="preserve">Assess how </w:t>
      </w:r>
      <w:r w:rsidR="002B34E8" w:rsidRPr="00000849">
        <w:rPr>
          <w:rFonts w:asciiTheme="minorHAnsi" w:hAnsiTheme="minorHAnsi" w:cstheme="minorHAnsi"/>
          <w:sz w:val="24"/>
          <w:szCs w:val="24"/>
        </w:rPr>
        <w:t xml:space="preserve">the prevalence of </w:t>
      </w:r>
      <w:r w:rsidR="006435B8" w:rsidRPr="00000849">
        <w:rPr>
          <w:rFonts w:asciiTheme="minorHAnsi" w:hAnsiTheme="minorHAnsi" w:cstheme="minorHAnsi"/>
          <w:sz w:val="24"/>
          <w:szCs w:val="24"/>
        </w:rPr>
        <w:t xml:space="preserve">hypertension </w:t>
      </w:r>
      <w:r w:rsidRPr="00000849">
        <w:rPr>
          <w:rFonts w:asciiTheme="minorHAnsi" w:hAnsiTheme="minorHAnsi" w:cstheme="minorHAnsi"/>
          <w:sz w:val="24"/>
          <w:szCs w:val="24"/>
        </w:rPr>
        <w:t>has changed over time</w:t>
      </w:r>
    </w:p>
    <w:p w14:paraId="51051EBD" w14:textId="541FD8C1" w:rsidR="00621DDE" w:rsidRPr="00000849" w:rsidRDefault="00FF69EB" w:rsidP="00621DDE">
      <w:pPr>
        <w:pStyle w:val="NoSpacing"/>
        <w:numPr>
          <w:ilvl w:val="0"/>
          <w:numId w:val="2"/>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Estimate</w:t>
      </w:r>
      <w:r w:rsidR="00621DDE" w:rsidRPr="00000849">
        <w:rPr>
          <w:rFonts w:asciiTheme="minorHAnsi" w:hAnsiTheme="minorHAnsi" w:cstheme="minorHAnsi"/>
          <w:sz w:val="24"/>
          <w:szCs w:val="24"/>
        </w:rPr>
        <w:t xml:space="preserve"> </w:t>
      </w:r>
      <w:r w:rsidRPr="00000849">
        <w:rPr>
          <w:rFonts w:asciiTheme="minorHAnsi" w:hAnsiTheme="minorHAnsi" w:cstheme="minorHAnsi"/>
          <w:sz w:val="24"/>
          <w:szCs w:val="24"/>
        </w:rPr>
        <w:t>the</w:t>
      </w:r>
      <w:r w:rsidR="00621DDE" w:rsidRPr="00000849">
        <w:rPr>
          <w:rFonts w:asciiTheme="minorHAnsi" w:hAnsiTheme="minorHAnsi" w:cstheme="minorHAnsi"/>
          <w:sz w:val="24"/>
          <w:szCs w:val="24"/>
        </w:rPr>
        <w:t xml:space="preserve"> </w:t>
      </w:r>
      <w:r w:rsidR="005F1EA1" w:rsidRPr="00000849">
        <w:rPr>
          <w:rFonts w:asciiTheme="minorHAnsi" w:hAnsiTheme="minorHAnsi" w:cstheme="minorHAnsi"/>
          <w:sz w:val="24"/>
          <w:szCs w:val="24"/>
        </w:rPr>
        <w:t xml:space="preserve">level of awareness of hypertension, treatment uptake and </w:t>
      </w:r>
      <w:r w:rsidR="006B1169" w:rsidRPr="00000849">
        <w:rPr>
          <w:rFonts w:asciiTheme="minorHAnsi" w:hAnsiTheme="minorHAnsi" w:cstheme="minorHAnsi"/>
          <w:sz w:val="24"/>
          <w:szCs w:val="24"/>
        </w:rPr>
        <w:t xml:space="preserve">blood pressure control   </w:t>
      </w:r>
    </w:p>
    <w:p w14:paraId="4C7913EC" w14:textId="5E932191" w:rsidR="00621DDE" w:rsidRPr="00000849" w:rsidRDefault="00FB5846" w:rsidP="00621DDE">
      <w:pPr>
        <w:pStyle w:val="NoSpacing"/>
        <w:numPr>
          <w:ilvl w:val="0"/>
          <w:numId w:val="2"/>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 xml:space="preserve">Estimate the prevalence </w:t>
      </w:r>
      <w:r w:rsidR="00621DDE" w:rsidRPr="00000849">
        <w:rPr>
          <w:rFonts w:asciiTheme="minorHAnsi" w:hAnsiTheme="minorHAnsi" w:cstheme="minorHAnsi"/>
          <w:sz w:val="24"/>
          <w:szCs w:val="24"/>
        </w:rPr>
        <w:t xml:space="preserve">of </w:t>
      </w:r>
      <w:r w:rsidRPr="00000849">
        <w:rPr>
          <w:rFonts w:asciiTheme="minorHAnsi" w:hAnsiTheme="minorHAnsi" w:cstheme="minorHAnsi"/>
          <w:sz w:val="24"/>
          <w:szCs w:val="24"/>
        </w:rPr>
        <w:t xml:space="preserve">multiple </w:t>
      </w:r>
      <w:r w:rsidR="00621DDE" w:rsidRPr="00000849">
        <w:rPr>
          <w:rFonts w:asciiTheme="minorHAnsi" w:hAnsiTheme="minorHAnsi" w:cstheme="minorHAnsi"/>
          <w:sz w:val="24"/>
          <w:szCs w:val="24"/>
        </w:rPr>
        <w:t>risk factors for chronic NCDs in this population</w:t>
      </w:r>
    </w:p>
    <w:p w14:paraId="5BFE27B7" w14:textId="77777777" w:rsidR="00621DDE" w:rsidRPr="00000849" w:rsidRDefault="00621DDE" w:rsidP="00621DDE">
      <w:pPr>
        <w:pStyle w:val="NoSpacing"/>
        <w:spacing w:after="200" w:line="480" w:lineRule="auto"/>
        <w:ind w:firstLine="360"/>
        <w:jc w:val="both"/>
        <w:rPr>
          <w:rFonts w:asciiTheme="minorHAnsi" w:hAnsiTheme="minorHAnsi" w:cstheme="minorHAnsi"/>
          <w:sz w:val="24"/>
          <w:szCs w:val="24"/>
        </w:rPr>
      </w:pPr>
    </w:p>
    <w:p w14:paraId="40466F4C" w14:textId="53CA34E7" w:rsidR="00621DDE" w:rsidRPr="00000849" w:rsidRDefault="008218DC" w:rsidP="00621DDE">
      <w:pPr>
        <w:pStyle w:val="NoSpacing"/>
        <w:spacing w:after="200" w:line="480" w:lineRule="auto"/>
        <w:ind w:firstLine="360"/>
        <w:jc w:val="both"/>
        <w:rPr>
          <w:rFonts w:asciiTheme="minorHAnsi" w:hAnsiTheme="minorHAnsi" w:cstheme="minorHAnsi"/>
          <w:sz w:val="24"/>
          <w:szCs w:val="24"/>
        </w:rPr>
      </w:pPr>
      <w:r w:rsidRPr="00000849">
        <w:rPr>
          <w:rFonts w:asciiTheme="minorHAnsi" w:hAnsiTheme="minorHAnsi" w:cstheme="minorHAnsi"/>
          <w:sz w:val="24"/>
          <w:szCs w:val="24"/>
        </w:rPr>
        <w:t>Accordingly, t</w:t>
      </w:r>
      <w:r w:rsidR="00621DDE" w:rsidRPr="00000849">
        <w:rPr>
          <w:rFonts w:asciiTheme="minorHAnsi" w:hAnsiTheme="minorHAnsi" w:cstheme="minorHAnsi"/>
          <w:sz w:val="24"/>
          <w:szCs w:val="24"/>
        </w:rPr>
        <w:t>he</w:t>
      </w:r>
      <w:r w:rsidRPr="00000849">
        <w:rPr>
          <w:rFonts w:asciiTheme="minorHAnsi" w:hAnsiTheme="minorHAnsi" w:cstheme="minorHAnsi"/>
          <w:sz w:val="24"/>
          <w:szCs w:val="24"/>
        </w:rPr>
        <w:t xml:space="preserve"> main</w:t>
      </w:r>
      <w:r w:rsidR="00621DDE" w:rsidRPr="00000849">
        <w:rPr>
          <w:rFonts w:asciiTheme="minorHAnsi" w:hAnsiTheme="minorHAnsi" w:cstheme="minorHAnsi"/>
          <w:sz w:val="24"/>
          <w:szCs w:val="24"/>
        </w:rPr>
        <w:t xml:space="preserve"> research questions are as follows:</w:t>
      </w:r>
    </w:p>
    <w:p w14:paraId="69288BF3" w14:textId="2E16075E" w:rsidR="00621DDE" w:rsidRPr="00000849" w:rsidRDefault="00F373A6" w:rsidP="00621DDE">
      <w:pPr>
        <w:pStyle w:val="NoSpacing"/>
        <w:numPr>
          <w:ilvl w:val="0"/>
          <w:numId w:val="4"/>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 xml:space="preserve">What was </w:t>
      </w:r>
      <w:r w:rsidR="00621DDE" w:rsidRPr="00000849">
        <w:rPr>
          <w:rFonts w:asciiTheme="minorHAnsi" w:hAnsiTheme="minorHAnsi" w:cstheme="minorHAnsi"/>
          <w:sz w:val="24"/>
          <w:szCs w:val="24"/>
        </w:rPr>
        <w:t xml:space="preserve">the prevalence of hypertension </w:t>
      </w:r>
      <w:r w:rsidR="006856B7" w:rsidRPr="00000849">
        <w:rPr>
          <w:rFonts w:asciiTheme="minorHAnsi" w:hAnsiTheme="minorHAnsi" w:cstheme="minorHAnsi"/>
          <w:sz w:val="24"/>
          <w:szCs w:val="24"/>
        </w:rPr>
        <w:t xml:space="preserve">or its severity </w:t>
      </w:r>
      <w:r w:rsidR="00621DDE" w:rsidRPr="00000849">
        <w:rPr>
          <w:rFonts w:asciiTheme="minorHAnsi" w:hAnsiTheme="minorHAnsi" w:cstheme="minorHAnsi"/>
          <w:sz w:val="24"/>
          <w:szCs w:val="24"/>
        </w:rPr>
        <w:t>in older adults</w:t>
      </w:r>
      <w:r w:rsidRPr="00000849">
        <w:rPr>
          <w:rFonts w:asciiTheme="minorHAnsi" w:hAnsiTheme="minorHAnsi" w:cstheme="minorHAnsi"/>
          <w:sz w:val="24"/>
          <w:szCs w:val="24"/>
        </w:rPr>
        <w:t xml:space="preserve"> in Ghana in 2007/08 and 2015</w:t>
      </w:r>
      <w:r w:rsidR="00621DDE" w:rsidRPr="00000849">
        <w:rPr>
          <w:rFonts w:asciiTheme="minorHAnsi" w:hAnsiTheme="minorHAnsi" w:cstheme="minorHAnsi"/>
          <w:sz w:val="24"/>
          <w:szCs w:val="24"/>
        </w:rPr>
        <w:t>?</w:t>
      </w:r>
    </w:p>
    <w:p w14:paraId="059F0CBB" w14:textId="43AD3E63" w:rsidR="00621DDE" w:rsidRPr="00000849" w:rsidRDefault="00621DDE" w:rsidP="00621DDE">
      <w:pPr>
        <w:pStyle w:val="NoSpacing"/>
        <w:numPr>
          <w:ilvl w:val="0"/>
          <w:numId w:val="4"/>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 xml:space="preserve">What </w:t>
      </w:r>
      <w:r w:rsidR="002061B8" w:rsidRPr="00000849">
        <w:rPr>
          <w:rFonts w:asciiTheme="minorHAnsi" w:hAnsiTheme="minorHAnsi" w:cstheme="minorHAnsi"/>
          <w:sz w:val="24"/>
          <w:szCs w:val="24"/>
        </w:rPr>
        <w:t>were</w:t>
      </w:r>
      <w:r w:rsidRPr="00000849">
        <w:rPr>
          <w:rFonts w:asciiTheme="minorHAnsi" w:hAnsiTheme="minorHAnsi" w:cstheme="minorHAnsi"/>
          <w:sz w:val="24"/>
          <w:szCs w:val="24"/>
        </w:rPr>
        <w:t xml:space="preserve"> the </w:t>
      </w:r>
      <w:r w:rsidR="008218DC" w:rsidRPr="00000849">
        <w:rPr>
          <w:rFonts w:asciiTheme="minorHAnsi" w:hAnsiTheme="minorHAnsi" w:cstheme="minorHAnsi"/>
          <w:sz w:val="24"/>
          <w:szCs w:val="24"/>
        </w:rPr>
        <w:t xml:space="preserve">socio-demographic and economic </w:t>
      </w:r>
      <w:r w:rsidRPr="00000849">
        <w:rPr>
          <w:rFonts w:asciiTheme="minorHAnsi" w:hAnsiTheme="minorHAnsi" w:cstheme="minorHAnsi"/>
          <w:sz w:val="24"/>
          <w:szCs w:val="24"/>
        </w:rPr>
        <w:t xml:space="preserve">determinants </w:t>
      </w:r>
      <w:r w:rsidR="00B124FB" w:rsidRPr="00000849">
        <w:rPr>
          <w:rFonts w:asciiTheme="minorHAnsi" w:hAnsiTheme="minorHAnsi" w:cstheme="minorHAnsi"/>
          <w:sz w:val="24"/>
          <w:szCs w:val="24"/>
        </w:rPr>
        <w:t xml:space="preserve">or risk factors </w:t>
      </w:r>
      <w:r w:rsidRPr="00000849">
        <w:rPr>
          <w:rFonts w:asciiTheme="minorHAnsi" w:hAnsiTheme="minorHAnsi" w:cstheme="minorHAnsi"/>
          <w:sz w:val="24"/>
          <w:szCs w:val="24"/>
        </w:rPr>
        <w:t xml:space="preserve">associated with hypertension or its severity of hypertension in this </w:t>
      </w:r>
      <w:r w:rsidR="00F373A6" w:rsidRPr="00000849">
        <w:rPr>
          <w:rFonts w:asciiTheme="minorHAnsi" w:hAnsiTheme="minorHAnsi" w:cstheme="minorHAnsi"/>
          <w:sz w:val="24"/>
          <w:szCs w:val="24"/>
        </w:rPr>
        <w:t>older age group at these</w:t>
      </w:r>
      <w:r w:rsidR="002061B8" w:rsidRPr="00000849">
        <w:rPr>
          <w:rFonts w:asciiTheme="minorHAnsi" w:hAnsiTheme="minorHAnsi" w:cstheme="minorHAnsi"/>
          <w:sz w:val="24"/>
          <w:szCs w:val="24"/>
        </w:rPr>
        <w:t xml:space="preserve"> two</w:t>
      </w:r>
      <w:r w:rsidRPr="00000849">
        <w:rPr>
          <w:rFonts w:asciiTheme="minorHAnsi" w:hAnsiTheme="minorHAnsi" w:cstheme="minorHAnsi"/>
          <w:sz w:val="24"/>
          <w:szCs w:val="24"/>
        </w:rPr>
        <w:t xml:space="preserve"> </w:t>
      </w:r>
      <w:r w:rsidR="00F373A6" w:rsidRPr="00000849">
        <w:rPr>
          <w:rFonts w:asciiTheme="minorHAnsi" w:hAnsiTheme="minorHAnsi" w:cstheme="minorHAnsi"/>
          <w:sz w:val="24"/>
          <w:szCs w:val="24"/>
        </w:rPr>
        <w:t>time</w:t>
      </w:r>
      <w:r w:rsidR="002061B8" w:rsidRPr="00000849">
        <w:rPr>
          <w:rFonts w:asciiTheme="minorHAnsi" w:hAnsiTheme="minorHAnsi" w:cstheme="minorHAnsi"/>
          <w:sz w:val="24"/>
          <w:szCs w:val="24"/>
        </w:rPr>
        <w:t xml:space="preserve"> points</w:t>
      </w:r>
      <w:r w:rsidRPr="00000849">
        <w:rPr>
          <w:rFonts w:asciiTheme="minorHAnsi" w:hAnsiTheme="minorHAnsi" w:cstheme="minorHAnsi"/>
          <w:sz w:val="24"/>
          <w:szCs w:val="24"/>
        </w:rPr>
        <w:t>?</w:t>
      </w:r>
      <w:r w:rsidR="00EF7563" w:rsidRPr="00000849">
        <w:rPr>
          <w:rFonts w:asciiTheme="minorHAnsi" w:hAnsiTheme="minorHAnsi" w:cstheme="minorHAnsi"/>
          <w:sz w:val="24"/>
          <w:szCs w:val="24"/>
        </w:rPr>
        <w:t xml:space="preserve">  </w:t>
      </w:r>
      <w:r w:rsidR="00E06797" w:rsidRPr="00000849">
        <w:rPr>
          <w:rFonts w:asciiTheme="minorHAnsi" w:hAnsiTheme="minorHAnsi" w:cstheme="minorHAnsi"/>
          <w:sz w:val="24"/>
          <w:szCs w:val="24"/>
        </w:rPr>
        <w:t>How d</w:t>
      </w:r>
      <w:r w:rsidR="002061B8" w:rsidRPr="00000849">
        <w:rPr>
          <w:rFonts w:asciiTheme="minorHAnsi" w:hAnsiTheme="minorHAnsi" w:cstheme="minorHAnsi"/>
          <w:sz w:val="24"/>
          <w:szCs w:val="24"/>
        </w:rPr>
        <w:t>id the</w:t>
      </w:r>
      <w:r w:rsidR="00EF7563" w:rsidRPr="00000849">
        <w:rPr>
          <w:rFonts w:asciiTheme="minorHAnsi" w:hAnsiTheme="minorHAnsi" w:cstheme="minorHAnsi"/>
          <w:sz w:val="24"/>
          <w:szCs w:val="24"/>
        </w:rPr>
        <w:t xml:space="preserve"> prevalence of hypertension</w:t>
      </w:r>
      <w:r w:rsidR="00FD435F" w:rsidRPr="00000849">
        <w:rPr>
          <w:rFonts w:asciiTheme="minorHAnsi" w:hAnsiTheme="minorHAnsi" w:cstheme="minorHAnsi"/>
          <w:sz w:val="24"/>
          <w:szCs w:val="24"/>
        </w:rPr>
        <w:t xml:space="preserve"> </w:t>
      </w:r>
      <w:r w:rsidR="002061B8" w:rsidRPr="00000849">
        <w:rPr>
          <w:rFonts w:asciiTheme="minorHAnsi" w:hAnsiTheme="minorHAnsi" w:cstheme="minorHAnsi"/>
          <w:sz w:val="24"/>
          <w:szCs w:val="24"/>
        </w:rPr>
        <w:t>change over time</w:t>
      </w:r>
      <w:r w:rsidR="00FD435F" w:rsidRPr="00000849">
        <w:rPr>
          <w:rFonts w:asciiTheme="minorHAnsi" w:hAnsiTheme="minorHAnsi" w:cstheme="minorHAnsi"/>
          <w:sz w:val="24"/>
          <w:szCs w:val="24"/>
        </w:rPr>
        <w:t>?</w:t>
      </w:r>
      <w:r w:rsidR="00E06797" w:rsidRPr="00000849">
        <w:rPr>
          <w:rFonts w:asciiTheme="minorHAnsi" w:hAnsiTheme="minorHAnsi" w:cstheme="minorHAnsi"/>
          <w:sz w:val="24"/>
          <w:szCs w:val="24"/>
        </w:rPr>
        <w:t xml:space="preserve">  How did household differences influence the prevalence of hypertension among older adults, after taking account of the variation in the various risk factors?</w:t>
      </w:r>
    </w:p>
    <w:p w14:paraId="47254F7E" w14:textId="3644CE9F" w:rsidR="00B124FB" w:rsidRPr="00000849" w:rsidRDefault="000E1435" w:rsidP="00B124FB">
      <w:pPr>
        <w:pStyle w:val="NoSpacing"/>
        <w:numPr>
          <w:ilvl w:val="0"/>
          <w:numId w:val="4"/>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To what extent d</w:t>
      </w:r>
      <w:r w:rsidR="007463C0" w:rsidRPr="00000849">
        <w:rPr>
          <w:rFonts w:asciiTheme="minorHAnsi" w:hAnsiTheme="minorHAnsi" w:cstheme="minorHAnsi"/>
          <w:sz w:val="24"/>
          <w:szCs w:val="24"/>
        </w:rPr>
        <w:t>id</w:t>
      </w:r>
      <w:r w:rsidRPr="00000849">
        <w:rPr>
          <w:rFonts w:asciiTheme="minorHAnsi" w:hAnsiTheme="minorHAnsi" w:cstheme="minorHAnsi"/>
          <w:sz w:val="24"/>
          <w:szCs w:val="24"/>
        </w:rPr>
        <w:t xml:space="preserve"> these </w:t>
      </w:r>
      <w:r w:rsidR="00B124FB" w:rsidRPr="00000849">
        <w:rPr>
          <w:rFonts w:asciiTheme="minorHAnsi" w:hAnsiTheme="minorHAnsi" w:cstheme="minorHAnsi"/>
          <w:sz w:val="24"/>
          <w:szCs w:val="24"/>
        </w:rPr>
        <w:t xml:space="preserve">risk factors for chronic NCDs </w:t>
      </w:r>
      <w:r w:rsidRPr="00000849">
        <w:rPr>
          <w:rFonts w:asciiTheme="minorHAnsi" w:hAnsiTheme="minorHAnsi" w:cstheme="minorHAnsi"/>
          <w:sz w:val="24"/>
          <w:szCs w:val="24"/>
        </w:rPr>
        <w:t>occur together</w:t>
      </w:r>
      <w:r w:rsidR="00B124FB" w:rsidRPr="00000849">
        <w:rPr>
          <w:rFonts w:asciiTheme="minorHAnsi" w:hAnsiTheme="minorHAnsi" w:cstheme="minorHAnsi"/>
          <w:sz w:val="24"/>
          <w:szCs w:val="24"/>
        </w:rPr>
        <w:t xml:space="preserve"> in this population?</w:t>
      </w:r>
    </w:p>
    <w:p w14:paraId="41B819AE" w14:textId="344055ED" w:rsidR="00621DDE" w:rsidRPr="00000849" w:rsidRDefault="00621DDE" w:rsidP="00621DDE">
      <w:pPr>
        <w:pStyle w:val="NoSpacing"/>
        <w:numPr>
          <w:ilvl w:val="0"/>
          <w:numId w:val="4"/>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 xml:space="preserve">What </w:t>
      </w:r>
      <w:r w:rsidR="007463C0" w:rsidRPr="00000849">
        <w:rPr>
          <w:rFonts w:asciiTheme="minorHAnsi" w:hAnsiTheme="minorHAnsi" w:cstheme="minorHAnsi"/>
          <w:sz w:val="24"/>
          <w:szCs w:val="24"/>
        </w:rPr>
        <w:t xml:space="preserve">was </w:t>
      </w:r>
      <w:r w:rsidR="008218DC" w:rsidRPr="00000849">
        <w:rPr>
          <w:rFonts w:asciiTheme="minorHAnsi" w:hAnsiTheme="minorHAnsi" w:cstheme="minorHAnsi"/>
          <w:sz w:val="24"/>
          <w:szCs w:val="24"/>
        </w:rPr>
        <w:t>the level of awareness of</w:t>
      </w:r>
      <w:r w:rsidRPr="00000849">
        <w:rPr>
          <w:rFonts w:asciiTheme="minorHAnsi" w:hAnsiTheme="minorHAnsi" w:cstheme="minorHAnsi"/>
          <w:sz w:val="24"/>
          <w:szCs w:val="24"/>
        </w:rPr>
        <w:t xml:space="preserve"> hypertension</w:t>
      </w:r>
      <w:r w:rsidR="008218DC" w:rsidRPr="00000849">
        <w:rPr>
          <w:rFonts w:asciiTheme="minorHAnsi" w:hAnsiTheme="minorHAnsi" w:cstheme="minorHAnsi"/>
          <w:sz w:val="24"/>
          <w:szCs w:val="24"/>
        </w:rPr>
        <w:t xml:space="preserve"> and how much hypertension </w:t>
      </w:r>
      <w:r w:rsidR="007463C0" w:rsidRPr="00000849">
        <w:rPr>
          <w:rFonts w:asciiTheme="minorHAnsi" w:hAnsiTheme="minorHAnsi" w:cstheme="minorHAnsi"/>
          <w:sz w:val="24"/>
          <w:szCs w:val="24"/>
        </w:rPr>
        <w:t xml:space="preserve">was </w:t>
      </w:r>
      <w:r w:rsidR="008218DC" w:rsidRPr="00000849">
        <w:rPr>
          <w:rFonts w:asciiTheme="minorHAnsi" w:hAnsiTheme="minorHAnsi" w:cstheme="minorHAnsi"/>
          <w:sz w:val="24"/>
          <w:szCs w:val="24"/>
        </w:rPr>
        <w:t xml:space="preserve">undiagnosed? </w:t>
      </w:r>
      <w:r w:rsidRPr="00000849">
        <w:rPr>
          <w:rFonts w:asciiTheme="minorHAnsi" w:hAnsiTheme="minorHAnsi" w:cstheme="minorHAnsi"/>
          <w:sz w:val="24"/>
          <w:szCs w:val="24"/>
        </w:rPr>
        <w:t xml:space="preserve"> </w:t>
      </w:r>
      <w:r w:rsidR="001A281B" w:rsidRPr="00000849">
        <w:rPr>
          <w:rFonts w:asciiTheme="minorHAnsi" w:hAnsiTheme="minorHAnsi" w:cstheme="minorHAnsi"/>
          <w:sz w:val="24"/>
          <w:szCs w:val="24"/>
        </w:rPr>
        <w:t xml:space="preserve">To what extent </w:t>
      </w:r>
      <w:r w:rsidR="007463C0" w:rsidRPr="00000849">
        <w:rPr>
          <w:rFonts w:asciiTheme="minorHAnsi" w:hAnsiTheme="minorHAnsi" w:cstheme="minorHAnsi"/>
          <w:sz w:val="24"/>
          <w:szCs w:val="24"/>
        </w:rPr>
        <w:t>we</w:t>
      </w:r>
      <w:r w:rsidR="001A281B" w:rsidRPr="00000849">
        <w:rPr>
          <w:rFonts w:asciiTheme="minorHAnsi" w:hAnsiTheme="minorHAnsi" w:cstheme="minorHAnsi"/>
          <w:sz w:val="24"/>
          <w:szCs w:val="24"/>
        </w:rPr>
        <w:t>re the</w:t>
      </w:r>
      <w:r w:rsidRPr="00000849">
        <w:rPr>
          <w:rFonts w:asciiTheme="minorHAnsi" w:hAnsiTheme="minorHAnsi" w:cstheme="minorHAnsi"/>
          <w:sz w:val="24"/>
          <w:szCs w:val="24"/>
        </w:rPr>
        <w:t xml:space="preserve"> </w:t>
      </w:r>
      <w:r w:rsidR="00D214D4" w:rsidRPr="00000849">
        <w:rPr>
          <w:rFonts w:asciiTheme="minorHAnsi" w:hAnsiTheme="minorHAnsi" w:cstheme="minorHAnsi"/>
          <w:sz w:val="24"/>
          <w:szCs w:val="24"/>
        </w:rPr>
        <w:t>blood pressures (</w:t>
      </w:r>
      <w:r w:rsidRPr="00000849">
        <w:rPr>
          <w:rFonts w:asciiTheme="minorHAnsi" w:hAnsiTheme="minorHAnsi" w:cstheme="minorHAnsi"/>
          <w:sz w:val="24"/>
          <w:szCs w:val="24"/>
        </w:rPr>
        <w:t>BPs</w:t>
      </w:r>
      <w:r w:rsidR="00D214D4" w:rsidRPr="00000849">
        <w:rPr>
          <w:rFonts w:asciiTheme="minorHAnsi" w:hAnsiTheme="minorHAnsi" w:cstheme="minorHAnsi"/>
          <w:sz w:val="24"/>
          <w:szCs w:val="24"/>
        </w:rPr>
        <w:t>)</w:t>
      </w:r>
      <w:r w:rsidR="001A281B" w:rsidRPr="00000849">
        <w:rPr>
          <w:rFonts w:asciiTheme="minorHAnsi" w:hAnsiTheme="minorHAnsi" w:cstheme="minorHAnsi"/>
          <w:sz w:val="24"/>
          <w:szCs w:val="24"/>
        </w:rPr>
        <w:t xml:space="preserve"> of </w:t>
      </w:r>
      <w:r w:rsidR="00E70525" w:rsidRPr="00000849">
        <w:rPr>
          <w:rFonts w:asciiTheme="minorHAnsi" w:hAnsiTheme="minorHAnsi" w:cstheme="minorHAnsi"/>
          <w:sz w:val="24"/>
          <w:szCs w:val="24"/>
        </w:rPr>
        <w:t xml:space="preserve">people </w:t>
      </w:r>
      <w:r w:rsidR="00C151DA">
        <w:rPr>
          <w:rFonts w:asciiTheme="minorHAnsi" w:hAnsiTheme="minorHAnsi" w:cstheme="minorHAnsi"/>
          <w:sz w:val="24"/>
          <w:szCs w:val="24"/>
        </w:rPr>
        <w:t xml:space="preserve">living </w:t>
      </w:r>
      <w:r w:rsidR="00E70525" w:rsidRPr="00000849">
        <w:rPr>
          <w:rFonts w:asciiTheme="minorHAnsi" w:hAnsiTheme="minorHAnsi" w:cstheme="minorHAnsi"/>
          <w:sz w:val="24"/>
          <w:szCs w:val="24"/>
        </w:rPr>
        <w:t>with hypertension</w:t>
      </w:r>
      <w:r w:rsidR="001A281B" w:rsidRPr="00000849">
        <w:rPr>
          <w:rFonts w:asciiTheme="minorHAnsi" w:hAnsiTheme="minorHAnsi" w:cstheme="minorHAnsi"/>
          <w:sz w:val="24"/>
          <w:szCs w:val="24"/>
        </w:rPr>
        <w:t xml:space="preserve"> well-</w:t>
      </w:r>
      <w:r w:rsidRPr="00000849">
        <w:rPr>
          <w:rFonts w:asciiTheme="minorHAnsi" w:hAnsiTheme="minorHAnsi" w:cstheme="minorHAnsi"/>
          <w:sz w:val="24"/>
          <w:szCs w:val="24"/>
        </w:rPr>
        <w:t>controlled?</w:t>
      </w:r>
    </w:p>
    <w:p w14:paraId="6B307515" w14:textId="77777777" w:rsidR="009D10BA" w:rsidRPr="00000849" w:rsidRDefault="009D10BA" w:rsidP="00260DDB">
      <w:pPr>
        <w:spacing w:line="480" w:lineRule="auto"/>
        <w:rPr>
          <w:rFonts w:cstheme="minorHAnsi"/>
          <w:sz w:val="24"/>
          <w:szCs w:val="24"/>
        </w:rPr>
      </w:pPr>
    </w:p>
    <w:p w14:paraId="3D088A36" w14:textId="30D9FD93" w:rsidR="002B0B4B" w:rsidRPr="00000849" w:rsidRDefault="00806B80" w:rsidP="00A61BAB">
      <w:pPr>
        <w:pStyle w:val="Heading2"/>
      </w:pPr>
      <w:bookmarkStart w:id="27" w:name="_Toc51472081"/>
      <w:r w:rsidRPr="00000849">
        <w:lastRenderedPageBreak/>
        <w:t>1.</w:t>
      </w:r>
      <w:r w:rsidR="00B421F1" w:rsidRPr="00000849">
        <w:t>8</w:t>
      </w:r>
      <w:r w:rsidRPr="00000849">
        <w:tab/>
      </w:r>
      <w:r w:rsidR="00B421F1" w:rsidRPr="00000849">
        <w:t>Motivation for</w:t>
      </w:r>
      <w:r w:rsidR="00137FB8" w:rsidRPr="00000849">
        <w:t xml:space="preserve"> th</w:t>
      </w:r>
      <w:r w:rsidR="00265761" w:rsidRPr="00000849">
        <w:t>e s</w:t>
      </w:r>
      <w:r w:rsidR="002B0B4B" w:rsidRPr="00000849">
        <w:t>tudy</w:t>
      </w:r>
      <w:bookmarkEnd w:id="27"/>
      <w:r w:rsidR="002B0B4B" w:rsidRPr="00000849">
        <w:t xml:space="preserve"> </w:t>
      </w:r>
    </w:p>
    <w:p w14:paraId="0BAAFC88" w14:textId="77777777" w:rsidR="009D10BA" w:rsidRPr="00000849" w:rsidRDefault="009D10BA" w:rsidP="00CE22CA">
      <w:pPr>
        <w:spacing w:line="480" w:lineRule="auto"/>
        <w:jc w:val="both"/>
        <w:rPr>
          <w:sz w:val="24"/>
          <w:szCs w:val="24"/>
        </w:rPr>
      </w:pPr>
    </w:p>
    <w:p w14:paraId="4F029622" w14:textId="2E4667DA" w:rsidR="00301147" w:rsidRPr="00000849" w:rsidRDefault="00260DDB" w:rsidP="00402094">
      <w:pPr>
        <w:spacing w:after="0" w:line="480" w:lineRule="auto"/>
        <w:jc w:val="both"/>
        <w:rPr>
          <w:sz w:val="24"/>
          <w:szCs w:val="24"/>
        </w:rPr>
      </w:pPr>
      <w:r w:rsidRPr="00000849">
        <w:rPr>
          <w:sz w:val="24"/>
          <w:szCs w:val="24"/>
        </w:rPr>
        <w:t>A</w:t>
      </w:r>
      <w:r w:rsidR="000E1435" w:rsidRPr="00000849">
        <w:rPr>
          <w:sz w:val="24"/>
          <w:szCs w:val="24"/>
        </w:rPr>
        <w:t>s previously discussed, a</w:t>
      </w:r>
      <w:r w:rsidRPr="00000849">
        <w:rPr>
          <w:sz w:val="24"/>
          <w:szCs w:val="24"/>
        </w:rPr>
        <w:t xml:space="preserve">lthough Ghana’s population is ageing rapidly and consequent changes in the profile of diseases are emerging, the health of </w:t>
      </w:r>
      <w:r w:rsidR="00113710" w:rsidRPr="00000849">
        <w:rPr>
          <w:sz w:val="24"/>
          <w:szCs w:val="24"/>
        </w:rPr>
        <w:t xml:space="preserve">older </w:t>
      </w:r>
      <w:r w:rsidR="00A57038" w:rsidRPr="00000849">
        <w:rPr>
          <w:sz w:val="24"/>
          <w:szCs w:val="24"/>
        </w:rPr>
        <w:t>people</w:t>
      </w:r>
      <w:r w:rsidR="00CE22CA" w:rsidRPr="00000849">
        <w:rPr>
          <w:sz w:val="24"/>
          <w:szCs w:val="24"/>
        </w:rPr>
        <w:t xml:space="preserve"> has not received the needed attention.  Ghana’s rapidly ageing population and urbanization are occurring at the time when </w:t>
      </w:r>
      <w:r w:rsidR="000E1435" w:rsidRPr="00000849">
        <w:rPr>
          <w:sz w:val="24"/>
          <w:szCs w:val="24"/>
        </w:rPr>
        <w:t>the country</w:t>
      </w:r>
      <w:r w:rsidR="00CE22CA" w:rsidRPr="00000849">
        <w:rPr>
          <w:sz w:val="24"/>
          <w:szCs w:val="24"/>
        </w:rPr>
        <w:t xml:space="preserve"> still has to contend with a young population as well as with a double burden of disease in the face of meagre resources</w:t>
      </w:r>
      <w:r w:rsidR="007A1C74" w:rsidRPr="00000849">
        <w:rPr>
          <w:sz w:val="24"/>
          <w:szCs w:val="24"/>
        </w:rPr>
        <w:t xml:space="preserve"> </w:t>
      </w:r>
      <w:r w:rsidR="007A1C74" w:rsidRPr="00000849">
        <w:rPr>
          <w:sz w:val="24"/>
          <w:szCs w:val="24"/>
        </w:rPr>
        <w:fldChar w:fldCharType="begin"/>
      </w:r>
      <w:r w:rsidR="007A1C74" w:rsidRPr="00000849">
        <w:rPr>
          <w:sz w:val="24"/>
          <w:szCs w:val="24"/>
        </w:rPr>
        <w:instrText xml:space="preserve"> ADDIN EN.CITE &lt;EndNote&gt;&lt;Cite&gt;&lt;Author&gt;Agyei-Mensah&lt;/Author&gt;&lt;Year&gt;2010&lt;/Year&gt;&lt;RecNum&gt;548&lt;/RecNum&gt;&lt;DisplayText&gt;(Agyei-Mensah &amp;amp; Aikins, 2010)&lt;/DisplayText&gt;&lt;record&gt;&lt;rec-number&gt;548&lt;/rec-number&gt;&lt;foreign-keys&gt;&lt;key app="EN" db-id="9tzf2rda8re2a9es5tuxart3swzx2zws2s02" timestamp="1496056732"&gt;548&lt;/key&gt;&lt;/foreign-keys&gt;&lt;ref-type name="Journal Article"&gt;17&lt;/ref-type&gt;&lt;contributors&gt;&lt;authors&gt;&lt;author&gt;Agyei-Mensah, Samuel&lt;/author&gt;&lt;author&gt;Aikins, Ama de-Graft&lt;/author&gt;&lt;/authors&gt;&lt;/contributors&gt;&lt;titles&gt;&lt;title&gt;Epidemiological transition and the double burden of disease in Accra, Ghana&lt;/title&gt;&lt;secondary-title&gt;Journal of Urban Health&lt;/secondary-title&gt;&lt;/titles&gt;&lt;periodical&gt;&lt;full-title&gt;Journal of urban health&lt;/full-title&gt;&lt;/periodical&gt;&lt;pages&gt;879-897&lt;/pages&gt;&lt;volume&gt;87&lt;/volume&gt;&lt;number&gt;5&lt;/number&gt;&lt;dates&gt;&lt;year&gt;2010&lt;/year&gt;&lt;/dates&gt;&lt;isbn&gt;1099-3460&lt;/isbn&gt;&lt;urls&gt;&lt;/urls&gt;&lt;/record&gt;&lt;/Cite&gt;&lt;/EndNote&gt;</w:instrText>
      </w:r>
      <w:r w:rsidR="007A1C74" w:rsidRPr="00000849">
        <w:rPr>
          <w:sz w:val="24"/>
          <w:szCs w:val="24"/>
        </w:rPr>
        <w:fldChar w:fldCharType="separate"/>
      </w:r>
      <w:r w:rsidR="007A1C74" w:rsidRPr="00000849">
        <w:rPr>
          <w:noProof/>
          <w:sz w:val="24"/>
          <w:szCs w:val="24"/>
        </w:rPr>
        <w:t>(Agyei-Mensah &amp; Aikins, 2010)</w:t>
      </w:r>
      <w:r w:rsidR="007A1C74" w:rsidRPr="00000849">
        <w:rPr>
          <w:sz w:val="24"/>
          <w:szCs w:val="24"/>
        </w:rPr>
        <w:fldChar w:fldCharType="end"/>
      </w:r>
      <w:r w:rsidR="00CE22CA" w:rsidRPr="00000849">
        <w:rPr>
          <w:sz w:val="24"/>
          <w:szCs w:val="24"/>
        </w:rPr>
        <w:t xml:space="preserve">.  </w:t>
      </w:r>
      <w:r w:rsidR="00113710" w:rsidRPr="00000849">
        <w:rPr>
          <w:sz w:val="24"/>
          <w:szCs w:val="24"/>
        </w:rPr>
        <w:t xml:space="preserve">Older </w:t>
      </w:r>
      <w:r w:rsidR="00A57038" w:rsidRPr="00000849">
        <w:rPr>
          <w:sz w:val="24"/>
          <w:szCs w:val="24"/>
        </w:rPr>
        <w:t>people</w:t>
      </w:r>
      <w:r w:rsidR="002208E4" w:rsidRPr="00000849">
        <w:rPr>
          <w:sz w:val="24"/>
          <w:szCs w:val="24"/>
        </w:rPr>
        <w:t xml:space="preserve"> are more likely to suffer chronic illnesses than younger persons.  </w:t>
      </w:r>
      <w:r w:rsidR="00CE22CA" w:rsidRPr="00000849">
        <w:rPr>
          <w:sz w:val="24"/>
          <w:szCs w:val="24"/>
        </w:rPr>
        <w:t xml:space="preserve">Hypertension </w:t>
      </w:r>
      <w:r w:rsidR="002208E4" w:rsidRPr="00000849">
        <w:rPr>
          <w:sz w:val="24"/>
          <w:szCs w:val="24"/>
        </w:rPr>
        <w:t xml:space="preserve">is one of the major </w:t>
      </w:r>
      <w:r w:rsidR="000E1435" w:rsidRPr="00000849">
        <w:rPr>
          <w:sz w:val="24"/>
          <w:szCs w:val="24"/>
        </w:rPr>
        <w:t>conditions</w:t>
      </w:r>
      <w:r w:rsidR="002208E4" w:rsidRPr="00000849">
        <w:rPr>
          <w:sz w:val="24"/>
          <w:szCs w:val="24"/>
        </w:rPr>
        <w:t xml:space="preserve"> that affect </w:t>
      </w:r>
      <w:r w:rsidR="00113710" w:rsidRPr="00000849">
        <w:rPr>
          <w:sz w:val="24"/>
          <w:szCs w:val="24"/>
        </w:rPr>
        <w:t xml:space="preserve">older </w:t>
      </w:r>
      <w:r w:rsidR="00A57038" w:rsidRPr="00000849">
        <w:rPr>
          <w:sz w:val="24"/>
          <w:szCs w:val="24"/>
        </w:rPr>
        <w:t>people</w:t>
      </w:r>
      <w:r w:rsidR="002208E4" w:rsidRPr="00000849">
        <w:rPr>
          <w:sz w:val="24"/>
          <w:szCs w:val="24"/>
        </w:rPr>
        <w:t xml:space="preserve"> in Ghana</w:t>
      </w:r>
      <w:r w:rsidR="00B905A8" w:rsidRPr="00000849">
        <w:rPr>
          <w:sz w:val="24"/>
          <w:szCs w:val="24"/>
        </w:rPr>
        <w:t xml:space="preserve"> </w:t>
      </w:r>
      <w:r w:rsidR="00B905A8" w:rsidRPr="00000849">
        <w:rPr>
          <w:sz w:val="24"/>
          <w:szCs w:val="24"/>
        </w:rPr>
        <w:fldChar w:fldCharType="begin">
          <w:fldData xml:space="preserve">PEVuZE5vdGU+PENpdGU+PEF1dGhvcj5BcmF1am8gZGUgQ2FydmFsaG88L0F1dGhvcj48WWVhcj4y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</w:fldData>
        </w:fldChar>
      </w:r>
      <w:r w:rsidR="00F17737" w:rsidRPr="00000849">
        <w:rPr>
          <w:sz w:val="24"/>
          <w:szCs w:val="24"/>
        </w:rPr>
        <w:instrText xml:space="preserve"> ADDIN EN.CITE </w:instrText>
      </w:r>
      <w:r w:rsidR="00F17737" w:rsidRPr="00000849">
        <w:rPr>
          <w:sz w:val="24"/>
          <w:szCs w:val="24"/>
        </w:rPr>
        <w:fldChar w:fldCharType="begin">
          <w:fldData xml:space="preserve">PEVuZE5vdGU+PENpdGU+PEF1dGhvcj5BcmF1am8gZGUgQ2FydmFsaG88L0F1dGhvcj48WWVhcj4y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</w:fldData>
        </w:fldChar>
      </w:r>
      <w:r w:rsidR="00F17737" w:rsidRPr="00000849">
        <w:rPr>
          <w:sz w:val="24"/>
          <w:szCs w:val="24"/>
        </w:rPr>
        <w:instrText xml:space="preserve"> ADDIN EN.CITE.DATA </w:instrText>
      </w:r>
      <w:r w:rsidR="00F17737" w:rsidRPr="00000849">
        <w:rPr>
          <w:sz w:val="24"/>
          <w:szCs w:val="24"/>
        </w:rPr>
      </w:r>
      <w:r w:rsidR="00F17737" w:rsidRPr="00000849">
        <w:rPr>
          <w:sz w:val="24"/>
          <w:szCs w:val="24"/>
        </w:rPr>
        <w:fldChar w:fldCharType="end"/>
      </w:r>
      <w:r w:rsidR="00B905A8" w:rsidRPr="00000849">
        <w:rPr>
          <w:sz w:val="24"/>
          <w:szCs w:val="24"/>
        </w:rPr>
      </w:r>
      <w:r w:rsidR="00B905A8" w:rsidRPr="00000849">
        <w:rPr>
          <w:sz w:val="24"/>
          <w:szCs w:val="24"/>
        </w:rPr>
        <w:fldChar w:fldCharType="separate"/>
      </w:r>
      <w:r w:rsidR="0060706B" w:rsidRPr="00000849">
        <w:rPr>
          <w:noProof/>
          <w:sz w:val="24"/>
          <w:szCs w:val="24"/>
        </w:rPr>
        <w:t>(Adoma &amp; Yendaw, 2014; Araujo de Carvalho et al., 2015; Ayernor, 2012)</w:t>
      </w:r>
      <w:r w:rsidR="00B905A8" w:rsidRPr="00000849">
        <w:rPr>
          <w:sz w:val="24"/>
          <w:szCs w:val="24"/>
        </w:rPr>
        <w:fldChar w:fldCharType="end"/>
      </w:r>
      <w:r w:rsidR="00B905A8" w:rsidRPr="00000849">
        <w:rPr>
          <w:sz w:val="24"/>
          <w:szCs w:val="24"/>
        </w:rPr>
        <w:t xml:space="preserve">.  Estimating the size of the problem of hypertension, the changing trends and associated factors is crucial to developing policies for its prevention </w:t>
      </w:r>
      <w:r w:rsidR="0072348C" w:rsidRPr="00000849">
        <w:rPr>
          <w:sz w:val="24"/>
          <w:szCs w:val="24"/>
        </w:rPr>
        <w:t>and</w:t>
      </w:r>
      <w:r w:rsidR="00B905A8" w:rsidRPr="00000849">
        <w:rPr>
          <w:sz w:val="24"/>
          <w:szCs w:val="24"/>
        </w:rPr>
        <w:t xml:space="preserve"> management in this largely neglected population.  The study findings could help</w:t>
      </w:r>
      <w:r w:rsidR="00E122AA" w:rsidRPr="00000849">
        <w:rPr>
          <w:sz w:val="24"/>
          <w:szCs w:val="24"/>
        </w:rPr>
        <w:t xml:space="preserve"> </w:t>
      </w:r>
      <w:r w:rsidR="00B905A8" w:rsidRPr="00000849">
        <w:rPr>
          <w:sz w:val="24"/>
          <w:szCs w:val="24"/>
        </w:rPr>
        <w:t xml:space="preserve">draw attention to this “forgotten generation” </w:t>
      </w:r>
      <w:r w:rsidR="000F1324" w:rsidRPr="00000849">
        <w:rPr>
          <w:sz w:val="24"/>
          <w:szCs w:val="24"/>
        </w:rPr>
        <w:t xml:space="preserve">of Africa </w:t>
      </w:r>
      <w:r w:rsidR="000F1324" w:rsidRPr="00000849">
        <w:rPr>
          <w:sz w:val="24"/>
          <w:szCs w:val="24"/>
        </w:rPr>
        <w:fldChar w:fldCharType="begin"/>
      </w:r>
      <w:r w:rsidR="000F1324" w:rsidRPr="00000849">
        <w:rPr>
          <w:sz w:val="24"/>
          <w:szCs w:val="24"/>
        </w:rPr>
        <w:instrText xml:space="preserve"> ADDIN EN.CITE &lt;EndNote&gt;&lt;Cite&gt;&lt;Author&gt;HelpAge International&lt;/Author&gt;&lt;Year&gt;2008&lt;/Year&gt;&lt;RecNum&gt;551&lt;/RecNum&gt;&lt;DisplayText&gt;(HelpAge International, 2008)&lt;/DisplayText&gt;&lt;record&gt;&lt;rec-number&gt;551&lt;/rec-number&gt;&lt;foreign-keys&gt;&lt;key app="EN" db-id="9tzf2rda8re2a9es5tuxart3swzx2zws2s02" timestamp="1496057879"&gt;551&lt;/key&gt;&lt;/foreign-keys&gt;&lt;ref-type name="Book"&gt;6&lt;/ref-type&gt;&lt;contributors&gt;&lt;authors&gt;&lt;author&gt;HelpAge International,&lt;/author&gt;&lt;/authors&gt;&lt;/contributors&gt;&lt;titles&gt;&lt;title&gt;Older people in Africa: a forgotten generation&lt;/title&gt;&lt;/titles&gt;&lt;dates&gt;&lt;year&gt;2008&lt;/year&gt;&lt;/dates&gt;&lt;isbn&gt;1 872 590 32 2&lt;/isbn&gt;&lt;urls&gt;&lt;related-urls&gt;&lt;url&gt;http://eng.zivot90.cz/uploads/document/205.pdf&lt;/url&gt;&lt;/related-urls&gt;&lt;/urls&gt;&lt;/record&gt;&lt;/Cite&gt;&lt;/EndNote&gt;</w:instrText>
      </w:r>
      <w:r w:rsidR="000F1324" w:rsidRPr="00000849">
        <w:rPr>
          <w:sz w:val="24"/>
          <w:szCs w:val="24"/>
        </w:rPr>
        <w:fldChar w:fldCharType="separate"/>
      </w:r>
      <w:r w:rsidR="000F1324" w:rsidRPr="00000849">
        <w:rPr>
          <w:noProof/>
          <w:sz w:val="24"/>
          <w:szCs w:val="24"/>
        </w:rPr>
        <w:t>(HelpAge International, 2008)</w:t>
      </w:r>
      <w:r w:rsidR="000F1324" w:rsidRPr="00000849">
        <w:rPr>
          <w:sz w:val="24"/>
          <w:szCs w:val="24"/>
        </w:rPr>
        <w:fldChar w:fldCharType="end"/>
      </w:r>
      <w:r w:rsidR="00301147" w:rsidRPr="00000849">
        <w:rPr>
          <w:sz w:val="24"/>
          <w:szCs w:val="24"/>
        </w:rPr>
        <w:t xml:space="preserve"> and </w:t>
      </w:r>
      <w:r w:rsidR="00301147" w:rsidRPr="00000849">
        <w:rPr>
          <w:rFonts w:cstheme="minorHAnsi"/>
          <w:sz w:val="24"/>
          <w:szCs w:val="24"/>
        </w:rPr>
        <w:t xml:space="preserve">advocate that hypertension is preventable even in old age through lifestyle changes </w:t>
      </w:r>
      <w:r w:rsidR="00301147" w:rsidRPr="00000849">
        <w:rPr>
          <w:rFonts w:cstheme="minorHAnsi"/>
          <w:sz w:val="24"/>
          <w:szCs w:val="24"/>
        </w:rPr>
        <w:fldChar w:fldCharType="begin"/>
      </w:r>
      <w:r w:rsidR="00431DA0" w:rsidRPr="00000849">
        <w:rPr>
          <w:rFonts w:cstheme="minorHAnsi"/>
          <w:sz w:val="24"/>
          <w:szCs w:val="24"/>
        </w:rPr>
        <w:instrText xml:space="preserve"> ADDIN EN.CITE &lt;EndNote&gt;&lt;Cite&gt;&lt;Author&gt;Rowe&lt;/Author&gt;&lt;Year&gt;1997&lt;/Year&gt;&lt;RecNum&gt;24&lt;/RecNum&gt;&lt;DisplayText&gt;(Rowe &amp;amp; Kahn, 1997; Wannamethee et al., 1998)&lt;/DisplayText&gt;&lt;record&gt;&lt;rec-number&gt;24&lt;/rec-number&gt;&lt;foreign-keys&gt;&lt;key app="EN" db-id="9tzf2rda8re2a9es5tuxart3swzx2zws2s02" timestamp="1463942467"&gt;24&lt;/key&gt;&lt;/foreign-keys&gt;&lt;ref-type name="Journal Article"&gt;17&lt;/ref-type&gt;&lt;contributors&gt;&lt;authors&gt;&lt;author&gt;Rowe, John W&lt;/author&gt;&lt;author&gt;Kahn, Robert L&lt;/author&gt;&lt;/authors&gt;&lt;/contributors&gt;&lt;titles&gt;&lt;title&gt;Successful aging&lt;/title&gt;&lt;secondary-title&gt;The Gerontologist&lt;/secondary-title&gt;&lt;/titles&gt;&lt;periodical&gt;&lt;full-title&gt;The Gerontologist&lt;/full-title&gt;&lt;abbr-1&gt;Gerontologist&lt;/abbr-1&gt;&lt;/periodical&gt;&lt;pages&gt;433-440&lt;/pages&gt;&lt;volume&gt;37&lt;/volume&gt;&lt;number&gt;4&lt;/number&gt;&lt;dates&gt;&lt;year&gt;1997&lt;/year&gt;&lt;/dates&gt;&lt;isbn&gt;0016-9013&lt;/isbn&gt;&lt;urls&gt;&lt;/urls&gt;&lt;/record&gt;&lt;/Cite&gt;&lt;Cite&gt;&lt;Author&gt;Wannamethee&lt;/Author&gt;&lt;Year&gt;1998&lt;/Year&gt;&lt;RecNum&gt;161&lt;/RecNum&gt;&lt;record&gt;&lt;rec-number&gt;161&lt;/rec-number&gt;&lt;foreign-keys&gt;&lt;key app="EN" db-id="9tzf2rda8re2a9es5tuxart3swzx2zws2s02" timestamp="1482764710"&gt;161&lt;/key&gt;&lt;/foreign-keys&gt;&lt;ref-type name="Journal Article"&gt;17&lt;/ref-type&gt;&lt;contributors&gt;&lt;authors&gt;&lt;author&gt;Wannamethee, S. Goya&lt;/author&gt;&lt;author&gt;Shaper, A. Gerald&lt;/author&gt;&lt;author&gt;Walker, Mary&lt;/author&gt;&lt;/authors&gt;&lt;/contributors&gt;&lt;titles&gt;&lt;title&gt;Changes in physical activity, mortality, and incidence of coronary heart disease in older men&lt;/title&gt;&lt;secondary-title&gt;The Lancet&lt;/secondary-title&gt;&lt;/titles&gt;&lt;pages&gt;1603-1608&lt;/pages&gt;&lt;volume&gt;351&lt;/volume&gt;&lt;number&gt;9116&lt;/number&gt;&lt;dates&gt;&lt;year&gt;1998&lt;/year&gt;&lt;pub-dates&gt;&lt;date&gt;5/30/&lt;/date&gt;&lt;/pub-dates&gt;&lt;/dates&gt;&lt;isbn&gt;0140-6736&lt;/isbn&gt;&lt;urls&gt;&lt;related-urls&gt;&lt;url&gt;http://www.sciencedirect.com/science/article/pii/S0140673697123558&lt;/url&gt;&lt;/related-urls&gt;&lt;/urls&gt;&lt;electronic-resource-num&gt;http://dx.doi.org/10.1016/S0140-6736(97)12355-8&lt;/electronic-resource-num&gt;&lt;/record&gt;&lt;/Cite&gt;&lt;/EndNote&gt;</w:instrText>
      </w:r>
      <w:r w:rsidR="00301147" w:rsidRPr="00000849">
        <w:rPr>
          <w:rFonts w:cstheme="minorHAnsi"/>
          <w:sz w:val="24"/>
          <w:szCs w:val="24"/>
        </w:rPr>
        <w:fldChar w:fldCharType="separate"/>
      </w:r>
      <w:r w:rsidR="00431DA0" w:rsidRPr="00000849">
        <w:rPr>
          <w:rFonts w:cstheme="minorHAnsi"/>
          <w:noProof/>
          <w:sz w:val="24"/>
          <w:szCs w:val="24"/>
        </w:rPr>
        <w:t>(Rowe &amp; Kahn, 1997; Wannamethee et al., 1998)</w:t>
      </w:r>
      <w:r w:rsidR="00301147" w:rsidRPr="00000849">
        <w:rPr>
          <w:rFonts w:cstheme="minorHAnsi"/>
          <w:sz w:val="24"/>
          <w:szCs w:val="24"/>
        </w:rPr>
        <w:fldChar w:fldCharType="end"/>
      </w:r>
      <w:r w:rsidR="00301147" w:rsidRPr="00000849">
        <w:rPr>
          <w:rFonts w:cstheme="minorHAnsi"/>
          <w:sz w:val="24"/>
          <w:szCs w:val="24"/>
        </w:rPr>
        <w:t xml:space="preserve">.  </w:t>
      </w:r>
    </w:p>
    <w:p w14:paraId="49A4A232" w14:textId="143E0FBE" w:rsidR="0053423B" w:rsidRPr="00000849" w:rsidRDefault="00431BF7" w:rsidP="000C66B6">
      <w:pPr>
        <w:spacing w:line="480" w:lineRule="auto"/>
        <w:ind w:firstLine="567"/>
        <w:jc w:val="both"/>
        <w:rPr>
          <w:sz w:val="24"/>
          <w:szCs w:val="24"/>
        </w:rPr>
      </w:pPr>
      <w:r w:rsidRPr="00000849">
        <w:rPr>
          <w:sz w:val="24"/>
          <w:szCs w:val="24"/>
        </w:rPr>
        <w:t xml:space="preserve">The study is also consistent with several policy initiatives of the </w:t>
      </w:r>
      <w:r w:rsidR="00E4120F" w:rsidRPr="00000849">
        <w:rPr>
          <w:sz w:val="24"/>
          <w:szCs w:val="24"/>
        </w:rPr>
        <w:t xml:space="preserve">GOG </w:t>
      </w:r>
      <w:r w:rsidRPr="00000849">
        <w:rPr>
          <w:sz w:val="24"/>
          <w:szCs w:val="24"/>
        </w:rPr>
        <w:t xml:space="preserve">including the National Ageing Policy </w:t>
      </w:r>
      <w:r w:rsidRPr="00000849">
        <w:rPr>
          <w:sz w:val="24"/>
          <w:szCs w:val="24"/>
        </w:rPr>
        <w:fldChar w:fldCharType="begin"/>
      </w:r>
      <w:r w:rsidR="00E4120F" w:rsidRPr="00000849">
        <w:rPr>
          <w:sz w:val="24"/>
          <w:szCs w:val="24"/>
        </w:rPr>
        <w:instrText xml:space="preserve"> ADDIN EN.CITE &lt;EndNote&gt;&lt;Cite&gt;&lt;Author&gt;GOG&lt;/Author&gt;&lt;Year&gt;2010&lt;/Year&gt;&lt;RecNum&gt;4&lt;/RecNum&gt;&lt;DisplayText&gt;(GOG, 2010)&lt;/DisplayText&gt;&lt;record&gt;&lt;rec-number&gt;4&lt;/rec-number&gt;&lt;foreign-keys&gt;&lt;key app="EN" db-id="9tzf2rda8re2a9es5tuxart3swzx2zws2s02" timestamp="1463390960"&gt;4&lt;/key&gt;&lt;/foreign-keys&gt;&lt;ref-type name="Report"&gt;27&lt;/ref-type&gt;&lt;contributors&gt;&lt;authors&gt;&lt;author&gt;GOG,&lt;/author&gt;&lt;/authors&gt;&lt;/contributors&gt;&lt;titles&gt;&lt;title&gt;National Ageing Policy: ageing with security and dignity&lt;/title&gt;&lt;/titles&gt;&lt;dates&gt;&lt;year&gt;2010&lt;/year&gt;&lt;/dates&gt;&lt;pub-location&gt;Accra&lt;/pub-location&gt;&lt;publisher&gt;Ministry of Employment and Social Welfare, GOG&lt;/publisher&gt;&lt;urls&gt;&lt;related-urls&gt;&lt;url&gt;https://s3.amazonaws.com/ndpc-static/pubication/Ageing+Policy_July+2010.pdf&lt;/url&gt;&lt;/related-urls&gt;&lt;/urls&gt;&lt;/record&gt;&lt;/Cite&gt;&lt;/EndNote&gt;</w:instrText>
      </w:r>
      <w:r w:rsidRPr="00000849">
        <w:rPr>
          <w:sz w:val="24"/>
          <w:szCs w:val="24"/>
        </w:rPr>
        <w:fldChar w:fldCharType="separate"/>
      </w:r>
      <w:r w:rsidR="00E4120F" w:rsidRPr="00000849">
        <w:rPr>
          <w:noProof/>
          <w:sz w:val="24"/>
          <w:szCs w:val="24"/>
        </w:rPr>
        <w:t>(GOG, 2010)</w:t>
      </w:r>
      <w:r w:rsidRPr="00000849">
        <w:rPr>
          <w:sz w:val="24"/>
          <w:szCs w:val="24"/>
        </w:rPr>
        <w:fldChar w:fldCharType="end"/>
      </w:r>
      <w:r w:rsidRPr="00000849">
        <w:rPr>
          <w:sz w:val="24"/>
          <w:szCs w:val="24"/>
        </w:rPr>
        <w:t xml:space="preserve">, the </w:t>
      </w:r>
      <w:r w:rsidR="00C15366" w:rsidRPr="00000849">
        <w:rPr>
          <w:sz w:val="24"/>
          <w:szCs w:val="24"/>
        </w:rPr>
        <w:t>Medium-Term National Development Policy Framework</w:t>
      </w:r>
      <w:r w:rsidR="0031264F" w:rsidRPr="00000849">
        <w:rPr>
          <w:sz w:val="24"/>
          <w:szCs w:val="24"/>
        </w:rPr>
        <w:t xml:space="preserve"> 2014-2017</w:t>
      </w:r>
      <w:r w:rsidR="00C15366" w:rsidRPr="00000849">
        <w:rPr>
          <w:sz w:val="24"/>
          <w:szCs w:val="24"/>
        </w:rPr>
        <w:t xml:space="preserve"> </w:t>
      </w:r>
      <w:r w:rsidR="00EC50F4" w:rsidRPr="00000849">
        <w:rPr>
          <w:sz w:val="24"/>
          <w:szCs w:val="24"/>
        </w:rPr>
        <w:fldChar w:fldCharType="begin"/>
      </w:r>
      <w:r w:rsidR="00E4120F" w:rsidRPr="00000849">
        <w:rPr>
          <w:sz w:val="24"/>
          <w:szCs w:val="24"/>
        </w:rPr>
        <w:instrText xml:space="preserve"> ADDIN EN.CITE &lt;EndNote&gt;&lt;Cite&gt;&lt;Author&gt;GOG&lt;/Author&gt;&lt;Year&gt;2014&lt;/Year&gt;&lt;RecNum&gt;552&lt;/RecNum&gt;&lt;DisplayText&gt;(GOG, 2014)&lt;/DisplayText&gt;&lt;record&gt;&lt;rec-number&gt;552&lt;/rec-number&gt;&lt;foreign-keys&gt;&lt;key app="EN" db-id="9tzf2rda8re2a9es5tuxart3swzx2zws2s02" timestamp="1496066503"&gt;552&lt;/key&gt;&lt;/foreign-keys&gt;&lt;ref-type name="Report"&gt;27&lt;/ref-type&gt;&lt;contributors&gt;&lt;authors&gt;&lt;author&gt;GOG,&lt;/author&gt;&lt;/authors&gt;&lt;/contributors&gt;&lt;titles&gt;&lt;title&gt;Medium-Term National Development Policy Framework: Ghana Shared Growth and Development Agenda (GSGDA) II, 2014-2017&lt;/title&gt;&lt;/titles&gt;&lt;dates&gt;&lt;year&gt;2014&lt;/year&gt;&lt;/dates&gt;&lt;pub-location&gt;Accra&lt;/pub-location&gt;&lt;publisher&gt;National Development Planning Commission, GOG&lt;/publisher&gt;&lt;urls&gt;&lt;related-urls&gt;&lt;url&gt;https://s3.amazonaws.com/ndpc-static/pubication/GSGDA+II+2014-2017.pdf&lt;/url&gt;&lt;/related-urls&gt;&lt;/urls&gt;&lt;/record&gt;&lt;/Cite&gt;&lt;/EndNote&gt;</w:instrText>
      </w:r>
      <w:r w:rsidR="00EC50F4" w:rsidRPr="00000849">
        <w:rPr>
          <w:sz w:val="24"/>
          <w:szCs w:val="24"/>
        </w:rPr>
        <w:fldChar w:fldCharType="separate"/>
      </w:r>
      <w:r w:rsidR="00E4120F" w:rsidRPr="00000849">
        <w:rPr>
          <w:noProof/>
          <w:sz w:val="24"/>
          <w:szCs w:val="24"/>
        </w:rPr>
        <w:t>(GOG, 2014)</w:t>
      </w:r>
      <w:r w:rsidR="00EC50F4" w:rsidRPr="00000849">
        <w:rPr>
          <w:sz w:val="24"/>
          <w:szCs w:val="24"/>
        </w:rPr>
        <w:fldChar w:fldCharType="end"/>
      </w:r>
      <w:r w:rsidR="00C15366" w:rsidRPr="00000849">
        <w:rPr>
          <w:sz w:val="24"/>
          <w:szCs w:val="24"/>
        </w:rPr>
        <w:t xml:space="preserve"> and the Health Sector Medium-Term Development Plan 2014-2017</w:t>
      </w:r>
      <w:r w:rsidR="0031264F" w:rsidRPr="00000849">
        <w:rPr>
          <w:sz w:val="24"/>
          <w:szCs w:val="24"/>
        </w:rPr>
        <w:t xml:space="preserve"> </w:t>
      </w:r>
      <w:r w:rsidR="0031264F" w:rsidRPr="00000849">
        <w:rPr>
          <w:sz w:val="24"/>
          <w:szCs w:val="24"/>
        </w:rPr>
        <w:fldChar w:fldCharType="begin"/>
      </w:r>
      <w:r w:rsidR="00E4120F" w:rsidRPr="00000849">
        <w:rPr>
          <w:sz w:val="24"/>
          <w:szCs w:val="24"/>
        </w:rPr>
        <w:instrText xml:space="preserve"> ADDIN EN.CITE &lt;EndNote&gt;&lt;Cite&gt;&lt;Author&gt;MOH Ghana&lt;/Author&gt;&lt;Year&gt;2014&lt;/Year&gt;&lt;RecNum&gt;553&lt;/RecNum&gt;&lt;DisplayText&gt;(MOH Ghana, 2014a)&lt;/DisplayText&gt;&lt;record&gt;&lt;rec-number&gt;553&lt;/rec-number&gt;&lt;foreign-keys&gt;&lt;key app="EN" db-id="9tzf2rda8re2a9es5tuxart3swzx2zws2s02" timestamp="1496067367"&gt;553&lt;/key&gt;&lt;/foreign-keys&gt;&lt;ref-type name="Report"&gt;27&lt;/ref-type&gt;&lt;contributors&gt;&lt;authors&gt;&lt;author&gt;MOH Ghana,&lt;/author&gt;&lt;/authors&gt;&lt;/contributors&gt;&lt;titles&gt;&lt;title&gt;The Health Sector Medium-Term Development Plan 2014 -2017&lt;/title&gt;&lt;/titles&gt;&lt;dates&gt;&lt;year&gt;2014&lt;/year&gt;&lt;/dates&gt;&lt;pub-location&gt;Accra&lt;/pub-location&gt;&lt;publisher&gt;MOH&lt;/publisher&gt;&lt;urls&gt;&lt;related-urls&gt;&lt;url&gt;https://s3.amazonaws.com/ndpc-static/CACHES/PUBLICATIONS/2016/07/15/FINAL+HSMTDP-MOH+20th+December+2014.pdf&lt;/url&gt;&lt;/related-urls&gt;&lt;/urls&gt;&lt;/record&gt;&lt;/Cite&gt;&lt;/EndNote&gt;</w:instrText>
      </w:r>
      <w:r w:rsidR="0031264F" w:rsidRPr="00000849">
        <w:rPr>
          <w:sz w:val="24"/>
          <w:szCs w:val="24"/>
        </w:rPr>
        <w:fldChar w:fldCharType="separate"/>
      </w:r>
      <w:r w:rsidR="00E4120F" w:rsidRPr="00000849">
        <w:rPr>
          <w:noProof/>
          <w:sz w:val="24"/>
          <w:szCs w:val="24"/>
        </w:rPr>
        <w:t>(MOH Ghana, 2014a)</w:t>
      </w:r>
      <w:r w:rsidR="0031264F" w:rsidRPr="00000849">
        <w:rPr>
          <w:sz w:val="24"/>
          <w:szCs w:val="24"/>
        </w:rPr>
        <w:fldChar w:fldCharType="end"/>
      </w:r>
      <w:r w:rsidR="00C15366" w:rsidRPr="00000849">
        <w:rPr>
          <w:sz w:val="24"/>
          <w:szCs w:val="24"/>
        </w:rPr>
        <w:t xml:space="preserve">.  </w:t>
      </w:r>
      <w:r w:rsidR="0053423B" w:rsidRPr="00000849">
        <w:rPr>
          <w:sz w:val="24"/>
          <w:szCs w:val="24"/>
        </w:rPr>
        <w:t>T</w:t>
      </w:r>
      <w:r w:rsidR="00C15366" w:rsidRPr="00000849">
        <w:rPr>
          <w:sz w:val="24"/>
          <w:szCs w:val="24"/>
        </w:rPr>
        <w:t>hese initiatives provide strategies to address</w:t>
      </w:r>
      <w:r w:rsidR="000E1435" w:rsidRPr="00000849">
        <w:rPr>
          <w:sz w:val="24"/>
          <w:szCs w:val="24"/>
        </w:rPr>
        <w:t xml:space="preserve"> contextual and practical</w:t>
      </w:r>
      <w:r w:rsidR="00C15366" w:rsidRPr="00000849">
        <w:rPr>
          <w:sz w:val="24"/>
          <w:szCs w:val="24"/>
        </w:rPr>
        <w:t xml:space="preserve"> issues </w:t>
      </w:r>
      <w:r w:rsidR="0053423B" w:rsidRPr="00000849">
        <w:rPr>
          <w:sz w:val="24"/>
          <w:szCs w:val="24"/>
        </w:rPr>
        <w:t xml:space="preserve">that face the older population.  </w:t>
      </w:r>
      <w:r w:rsidR="0031264F" w:rsidRPr="00000849">
        <w:rPr>
          <w:sz w:val="24"/>
          <w:szCs w:val="24"/>
        </w:rPr>
        <w:t>In particular, the findings</w:t>
      </w:r>
      <w:r w:rsidR="0072348C" w:rsidRPr="00000849">
        <w:rPr>
          <w:sz w:val="24"/>
          <w:szCs w:val="24"/>
        </w:rPr>
        <w:t>, by providing information on the prevalence of hypertension, its risk factors, awareness and control,</w:t>
      </w:r>
      <w:r w:rsidR="0031264F" w:rsidRPr="00000849">
        <w:rPr>
          <w:sz w:val="24"/>
          <w:szCs w:val="24"/>
        </w:rPr>
        <w:t xml:space="preserve"> could contribute</w:t>
      </w:r>
      <w:r w:rsidR="000E1435" w:rsidRPr="00000849">
        <w:rPr>
          <w:sz w:val="24"/>
          <w:szCs w:val="24"/>
        </w:rPr>
        <w:t xml:space="preserve"> to Ghana’s agenda</w:t>
      </w:r>
      <w:r w:rsidR="0031264F" w:rsidRPr="00000849">
        <w:rPr>
          <w:sz w:val="24"/>
          <w:szCs w:val="24"/>
        </w:rPr>
        <w:t xml:space="preserve"> to </w:t>
      </w:r>
      <w:r w:rsidR="00C57E04" w:rsidRPr="00000849">
        <w:rPr>
          <w:sz w:val="24"/>
          <w:szCs w:val="24"/>
        </w:rPr>
        <w:lastRenderedPageBreak/>
        <w:t>m</w:t>
      </w:r>
      <w:r w:rsidR="00C57E04" w:rsidRPr="00000849">
        <w:rPr>
          <w:rFonts w:ascii="Calibri" w:hAnsi="Calibri" w:cs="Calibri"/>
          <w:sz w:val="24"/>
          <w:szCs w:val="24"/>
        </w:rPr>
        <w:t>ainstream</w:t>
      </w:r>
      <w:r w:rsidR="00A0643C" w:rsidRPr="00000849">
        <w:rPr>
          <w:rFonts w:ascii="Calibri" w:hAnsi="Calibri" w:cs="Calibri"/>
          <w:sz w:val="24"/>
          <w:szCs w:val="24"/>
        </w:rPr>
        <w:t xml:space="preserve"> </w:t>
      </w:r>
      <w:r w:rsidR="00EC50F4" w:rsidRPr="00000849">
        <w:rPr>
          <w:rFonts w:ascii="Calibri" w:hAnsi="Calibri" w:cs="Calibri"/>
          <w:sz w:val="24"/>
          <w:szCs w:val="24"/>
        </w:rPr>
        <w:t xml:space="preserve">geriatric care in public health </w:t>
      </w:r>
      <w:r w:rsidR="00C57E04" w:rsidRPr="00000849">
        <w:rPr>
          <w:rFonts w:ascii="Calibri" w:hAnsi="Calibri" w:cs="Calibri"/>
          <w:sz w:val="24"/>
          <w:szCs w:val="24"/>
        </w:rPr>
        <w:t xml:space="preserve">service </w:t>
      </w:r>
      <w:r w:rsidR="00EC50F4" w:rsidRPr="00000849">
        <w:rPr>
          <w:rFonts w:ascii="Calibri" w:hAnsi="Calibri" w:cs="Calibri"/>
          <w:sz w:val="24"/>
          <w:szCs w:val="24"/>
        </w:rPr>
        <w:t>delivery</w:t>
      </w:r>
      <w:r w:rsidR="00A0643C" w:rsidRPr="00000849">
        <w:rPr>
          <w:rFonts w:ascii="Calibri" w:hAnsi="Calibri" w:cs="Calibri"/>
          <w:sz w:val="24"/>
          <w:szCs w:val="24"/>
        </w:rPr>
        <w:t xml:space="preserve"> </w:t>
      </w:r>
      <w:r w:rsidR="00C57E04" w:rsidRPr="00000849">
        <w:rPr>
          <w:rFonts w:ascii="Calibri" w:hAnsi="Calibri" w:cs="Calibri"/>
          <w:sz w:val="24"/>
          <w:szCs w:val="24"/>
        </w:rPr>
        <w:fldChar w:fldCharType="begin"/>
      </w:r>
      <w:r w:rsidR="00E4120F" w:rsidRPr="00000849">
        <w:rPr>
          <w:rFonts w:ascii="Calibri" w:hAnsi="Calibri" w:cs="Calibri"/>
          <w:sz w:val="24"/>
          <w:szCs w:val="24"/>
        </w:rPr>
        <w:instrText xml:space="preserve"> ADDIN EN.CITE &lt;EndNote&gt;&lt;Cite&gt;&lt;Author&gt;GOG&lt;/Author&gt;&lt;Year&gt;2014&lt;/Year&gt;&lt;RecNum&gt;552&lt;/RecNum&gt;&lt;DisplayText&gt;(GOG, 2014)&lt;/DisplayText&gt;&lt;record&gt;&lt;rec-number&gt;552&lt;/rec-number&gt;&lt;foreign-keys&gt;&lt;key app="EN" db-id="9tzf2rda8re2a9es5tuxart3swzx2zws2s02" timestamp="1496066503"&gt;552&lt;/key&gt;&lt;/foreign-keys&gt;&lt;ref-type name="Report"&gt;27&lt;/ref-type&gt;&lt;contributors&gt;&lt;authors&gt;&lt;author&gt;GOG,&lt;/author&gt;&lt;/authors&gt;&lt;/contributors&gt;&lt;titles&gt;&lt;title&gt;Medium-Term National Development Policy Framework: Ghana Shared Growth and Development Agenda (GSGDA) II, 2014-2017&lt;/title&gt;&lt;/titles&gt;&lt;dates&gt;&lt;year&gt;2014&lt;/year&gt;&lt;/dates&gt;&lt;pub-location&gt;Accra&lt;/pub-location&gt;&lt;publisher&gt;National Development Planning Commission, GOG&lt;/publisher&gt;&lt;urls&gt;&lt;related-urls&gt;&lt;url&gt;https://s3.amazonaws.com/ndpc-static/pubication/GSGDA+II+2014-2017.pdf&lt;/url&gt;&lt;/related-urls&gt;&lt;/urls&gt;&lt;/record&gt;&lt;/Cite&gt;&lt;/EndNote&gt;</w:instrText>
      </w:r>
      <w:r w:rsidR="00C57E04" w:rsidRPr="00000849">
        <w:rPr>
          <w:rFonts w:ascii="Calibri" w:hAnsi="Calibri" w:cs="Calibri"/>
          <w:sz w:val="24"/>
          <w:szCs w:val="24"/>
        </w:rPr>
        <w:fldChar w:fldCharType="separate"/>
      </w:r>
      <w:r w:rsidR="00E4120F" w:rsidRPr="00000849">
        <w:rPr>
          <w:rFonts w:ascii="Calibri" w:hAnsi="Calibri" w:cs="Calibri"/>
          <w:noProof/>
          <w:sz w:val="24"/>
          <w:szCs w:val="24"/>
        </w:rPr>
        <w:t>(GOG, 2014)</w:t>
      </w:r>
      <w:r w:rsidR="00C57E04" w:rsidRPr="00000849">
        <w:rPr>
          <w:rFonts w:ascii="Calibri" w:hAnsi="Calibri" w:cs="Calibri"/>
          <w:sz w:val="24"/>
          <w:szCs w:val="24"/>
        </w:rPr>
        <w:fldChar w:fldCharType="end"/>
      </w:r>
      <w:r w:rsidR="009A0A6A" w:rsidRPr="00000849">
        <w:rPr>
          <w:rFonts w:ascii="Calibri" w:hAnsi="Calibri" w:cs="Calibri"/>
          <w:sz w:val="24"/>
          <w:szCs w:val="24"/>
        </w:rPr>
        <w:t xml:space="preserve"> and </w:t>
      </w:r>
      <w:r w:rsidR="009A0A6A" w:rsidRPr="00000849">
        <w:rPr>
          <w:sz w:val="24"/>
          <w:szCs w:val="24"/>
        </w:rPr>
        <w:t xml:space="preserve">to develop a national health policy for the “aged” </w:t>
      </w:r>
      <w:r w:rsidR="009A0A6A" w:rsidRPr="00000849">
        <w:rPr>
          <w:sz w:val="24"/>
          <w:szCs w:val="24"/>
        </w:rPr>
        <w:fldChar w:fldCharType="begin"/>
      </w:r>
      <w:r w:rsidR="00E4120F" w:rsidRPr="00000849">
        <w:rPr>
          <w:sz w:val="24"/>
          <w:szCs w:val="24"/>
        </w:rPr>
        <w:instrText xml:space="preserve"> ADDIN EN.CITE &lt;EndNote&gt;&lt;Cite&gt;&lt;Author&gt;MOH Ghana&lt;/Author&gt;&lt;Year&gt;2014&lt;/Year&gt;&lt;RecNum&gt;553&lt;/RecNum&gt;&lt;DisplayText&gt;(MOH Ghana, 2014a)&lt;/DisplayText&gt;&lt;record&gt;&lt;rec-number&gt;553&lt;/rec-number&gt;&lt;foreign-keys&gt;&lt;key app="EN" db-id="9tzf2rda8re2a9es5tuxart3swzx2zws2s02" timestamp="1496067367"&gt;553&lt;/key&gt;&lt;/foreign-keys&gt;&lt;ref-type name="Report"&gt;27&lt;/ref-type&gt;&lt;contributors&gt;&lt;authors&gt;&lt;author&gt;MOH Ghana,&lt;/author&gt;&lt;/authors&gt;&lt;/contributors&gt;&lt;titles&gt;&lt;title&gt;The Health Sector Medium-Term Development Plan 2014 -2017&lt;/title&gt;&lt;/titles&gt;&lt;dates&gt;&lt;year&gt;2014&lt;/year&gt;&lt;/dates&gt;&lt;pub-location&gt;Accra&lt;/pub-location&gt;&lt;publisher&gt;MOH&lt;/publisher&gt;&lt;urls&gt;&lt;related-urls&gt;&lt;url&gt;https://s3.amazonaws.com/ndpc-static/CACHES/PUBLICATIONS/2016/07/15/FINAL+HSMTDP-MOH+20th+December+2014.pdf&lt;/url&gt;&lt;/related-urls&gt;&lt;/urls&gt;&lt;/record&gt;&lt;/Cite&gt;&lt;/EndNote&gt;</w:instrText>
      </w:r>
      <w:r w:rsidR="009A0A6A" w:rsidRPr="00000849">
        <w:rPr>
          <w:sz w:val="24"/>
          <w:szCs w:val="24"/>
        </w:rPr>
        <w:fldChar w:fldCharType="separate"/>
      </w:r>
      <w:r w:rsidR="00E4120F" w:rsidRPr="00000849">
        <w:rPr>
          <w:noProof/>
          <w:sz w:val="24"/>
          <w:szCs w:val="24"/>
        </w:rPr>
        <w:t>(MOH Ghana, 2014a)</w:t>
      </w:r>
      <w:r w:rsidR="009A0A6A" w:rsidRPr="00000849">
        <w:rPr>
          <w:sz w:val="24"/>
          <w:szCs w:val="24"/>
        </w:rPr>
        <w:fldChar w:fldCharType="end"/>
      </w:r>
      <w:r w:rsidR="009A0A6A" w:rsidRPr="00000849">
        <w:rPr>
          <w:sz w:val="24"/>
          <w:szCs w:val="24"/>
        </w:rPr>
        <w:t>.</w:t>
      </w:r>
      <w:r w:rsidR="0072348C" w:rsidRPr="00000849">
        <w:rPr>
          <w:sz w:val="24"/>
          <w:szCs w:val="24"/>
        </w:rPr>
        <w:t xml:space="preserve">  </w:t>
      </w:r>
      <w:r w:rsidR="00C57E04" w:rsidRPr="00000849">
        <w:rPr>
          <w:sz w:val="24"/>
          <w:szCs w:val="24"/>
        </w:rPr>
        <w:t>The study is</w:t>
      </w:r>
      <w:r w:rsidR="000E1435" w:rsidRPr="00000849">
        <w:rPr>
          <w:sz w:val="24"/>
          <w:szCs w:val="24"/>
        </w:rPr>
        <w:t xml:space="preserve"> consistent with Ghana’s principle of a life</w:t>
      </w:r>
      <w:r w:rsidR="009A0A6A" w:rsidRPr="00000849">
        <w:rPr>
          <w:sz w:val="24"/>
          <w:szCs w:val="24"/>
        </w:rPr>
        <w:t>-</w:t>
      </w:r>
      <w:r w:rsidR="000E1435" w:rsidRPr="00000849">
        <w:rPr>
          <w:sz w:val="24"/>
          <w:szCs w:val="24"/>
        </w:rPr>
        <w:t xml:space="preserve">course approach to the prevention and control of NCDs </w:t>
      </w:r>
      <w:r w:rsidR="000E1435" w:rsidRPr="00000849">
        <w:rPr>
          <w:sz w:val="24"/>
          <w:szCs w:val="24"/>
        </w:rPr>
        <w:fldChar w:fldCharType="begin"/>
      </w:r>
      <w:r w:rsidR="00E4120F" w:rsidRPr="00000849">
        <w:rPr>
          <w:sz w:val="24"/>
          <w:szCs w:val="24"/>
        </w:rPr>
        <w:instrText xml:space="preserve"> ADDIN EN.CITE &lt;EndNote&gt;&lt;Cite&gt;&lt;Author&gt;MOH Ghana&lt;/Author&gt;&lt;Year&gt;2012&lt;/Year&gt;&lt;RecNum&gt;1100&lt;/RecNum&gt;&lt;DisplayText&gt;(MOH Ghana, 2012)&lt;/DisplayText&gt;&lt;record&gt;&lt;rec-number&gt;1100&lt;/rec-number&gt;&lt;foreign-keys&gt;&lt;key app="EN" db-id="9tzf2rda8re2a9es5tuxart3swzx2zws2s02" timestamp="1579237298"&gt;1100&lt;/key&gt;&lt;/foreign-keys&gt;&lt;ref-type name="Report"&gt;27&lt;/ref-type&gt;&lt;contributors&gt;&lt;authors&gt;&lt;author&gt;MOH Ghana,&lt;/author&gt;&lt;/authors&gt;&lt;/contributors&gt;&lt;titles&gt;&lt;title&gt;National policy for the prevention and control of chronic non-communicable diseases in Ghana&lt;/title&gt;&lt;/titles&gt;&lt;dates&gt;&lt;year&gt;2012&lt;/year&gt;&lt;/dates&gt;&lt;pub-location&gt;Accra&lt;/pub-location&gt;&lt;publisher&gt;MoH&lt;/publisher&gt;&lt;urls&gt;&lt;related-urls&gt;&lt;url&gt;https://www.iccp-portal.org/sites/default/files/plans/national_policy_for_the_prevention_and_control_of_chronic_non-communicable_diseases_in_ghana%281%29.pdf&lt;/url&gt;&lt;/related-urls&gt;&lt;/urls&gt;&lt;/record&gt;&lt;/Cite&gt;&lt;/EndNote&gt;</w:instrText>
      </w:r>
      <w:r w:rsidR="000E1435" w:rsidRPr="00000849">
        <w:rPr>
          <w:sz w:val="24"/>
          <w:szCs w:val="24"/>
        </w:rPr>
        <w:fldChar w:fldCharType="separate"/>
      </w:r>
      <w:r w:rsidR="00E4120F" w:rsidRPr="00000849">
        <w:rPr>
          <w:noProof/>
          <w:sz w:val="24"/>
          <w:szCs w:val="24"/>
        </w:rPr>
        <w:t>(MOH Ghana, 2012)</w:t>
      </w:r>
      <w:r w:rsidR="000E1435" w:rsidRPr="00000849">
        <w:rPr>
          <w:sz w:val="24"/>
          <w:szCs w:val="24"/>
        </w:rPr>
        <w:fldChar w:fldCharType="end"/>
      </w:r>
      <w:r w:rsidR="009A0A6A" w:rsidRPr="00000849">
        <w:rPr>
          <w:sz w:val="24"/>
          <w:szCs w:val="24"/>
        </w:rPr>
        <w:t>.</w:t>
      </w:r>
    </w:p>
    <w:p w14:paraId="54C1AFE6" w14:textId="3061248C" w:rsidR="00D166CF" w:rsidRPr="00000849" w:rsidRDefault="00FD07DE" w:rsidP="00713900">
      <w:pPr>
        <w:spacing w:line="480" w:lineRule="auto"/>
        <w:ind w:firstLine="567"/>
        <w:jc w:val="both"/>
        <w:rPr>
          <w:sz w:val="24"/>
          <w:szCs w:val="24"/>
        </w:rPr>
      </w:pPr>
      <w:r w:rsidRPr="00000849">
        <w:rPr>
          <w:sz w:val="24"/>
          <w:szCs w:val="24"/>
        </w:rPr>
        <w:t xml:space="preserve">A bibliographic review of research on </w:t>
      </w:r>
      <w:r w:rsidR="001901B9" w:rsidRPr="00000849">
        <w:rPr>
          <w:sz w:val="24"/>
          <w:szCs w:val="24"/>
        </w:rPr>
        <w:t>ageing</w:t>
      </w:r>
      <w:r w:rsidRPr="00000849">
        <w:rPr>
          <w:sz w:val="24"/>
          <w:szCs w:val="24"/>
        </w:rPr>
        <w:t xml:space="preserve"> in Ghana from published and unpublished literature from the 1950s to 2016 </w:t>
      </w:r>
      <w:r w:rsidR="00F773BB" w:rsidRPr="00000849">
        <w:rPr>
          <w:sz w:val="24"/>
          <w:szCs w:val="24"/>
        </w:rPr>
        <w:t xml:space="preserve">identified scant availability of longitudinal research which could improve understanding of long-term patterns in </w:t>
      </w:r>
      <w:r w:rsidR="001901B9" w:rsidRPr="00000849">
        <w:rPr>
          <w:sz w:val="24"/>
          <w:szCs w:val="24"/>
        </w:rPr>
        <w:t>ageing</w:t>
      </w:r>
      <w:r w:rsidR="00F773BB" w:rsidRPr="00000849">
        <w:rPr>
          <w:sz w:val="24"/>
          <w:szCs w:val="24"/>
        </w:rPr>
        <w:t xml:space="preserve"> </w:t>
      </w:r>
      <w:r w:rsidR="00F773BB" w:rsidRPr="00000849">
        <w:rPr>
          <w:sz w:val="24"/>
          <w:szCs w:val="24"/>
        </w:rPr>
        <w:fldChar w:fldCharType="begin"/>
      </w:r>
      <w:r w:rsidR="00F773BB" w:rsidRPr="00000849">
        <w:rPr>
          <w:sz w:val="24"/>
          <w:szCs w:val="24"/>
        </w:rPr>
        <w:instrText xml:space="preserve"> ADDIN EN.CITE &lt;EndNote&gt;&lt;Cite&gt;&lt;Author&gt;Aikins&lt;/Author&gt;&lt;Year&gt;2016&lt;/Year&gt;&lt;RecNum&gt;640&lt;/RecNum&gt;&lt;DisplayText&gt;(Aikins et al., 2016)&lt;/DisplayText&gt;&lt;record&gt;&lt;rec-number&gt;640&lt;/rec-number&gt;&lt;foreign-keys&gt;&lt;key app="EN" db-id="9tzf2rda8re2a9es5tuxart3swzx2zws2s02" timestamp="1496880923"&gt;640&lt;/key&gt;&lt;/foreign-keys&gt;&lt;ref-type name="Journal Article"&gt;17&lt;/ref-type&gt;&lt;contributors&gt;&lt;authors&gt;&lt;author&gt;Aikins, Ama de-Graft&lt;/author&gt;&lt;author&gt;Kushitor, Mawuli&lt;/author&gt;&lt;author&gt;Sanuade, Olutobi&lt;/author&gt;&lt;author&gt;Dakey, Samuel&lt;/author&gt;&lt;author&gt;Dovie, Delali&lt;/author&gt;&lt;author&gt;Kwabena-Adade, Joana&lt;/author&gt;&lt;/authors&gt;&lt;/contributors&gt;&lt;titles&gt;&lt;title&gt;Research On Aging in Ghana from the 1950s To 2016: A Bibliography and Commentary&lt;/title&gt;&lt;secondary-title&gt;Ghana Studies&lt;/secondary-title&gt;&lt;/titles&gt;&lt;periodical&gt;&lt;full-title&gt;Ghana Studies&lt;/full-title&gt;&lt;/periodical&gt;&lt;pages&gt;173-189&lt;/pages&gt;&lt;volume&gt;19&lt;/volume&gt;&lt;number&gt;1&lt;/number&gt;&lt;dates&gt;&lt;year&gt;2016&lt;/year&gt;&lt;/dates&gt;&lt;isbn&gt;2333-7168&lt;/isbn&gt;&lt;urls&gt;&lt;/urls&gt;&lt;/record&gt;&lt;/Cite&gt;&lt;/EndNote&gt;</w:instrText>
      </w:r>
      <w:r w:rsidR="00F773BB" w:rsidRPr="00000849">
        <w:rPr>
          <w:sz w:val="24"/>
          <w:szCs w:val="24"/>
        </w:rPr>
        <w:fldChar w:fldCharType="separate"/>
      </w:r>
      <w:r w:rsidR="00F773BB" w:rsidRPr="00000849">
        <w:rPr>
          <w:noProof/>
          <w:sz w:val="24"/>
          <w:szCs w:val="24"/>
        </w:rPr>
        <w:t>(Aikins et al., 2016)</w:t>
      </w:r>
      <w:r w:rsidR="00F773BB" w:rsidRPr="00000849">
        <w:rPr>
          <w:sz w:val="24"/>
          <w:szCs w:val="24"/>
        </w:rPr>
        <w:fldChar w:fldCharType="end"/>
      </w:r>
      <w:r w:rsidR="00F773BB" w:rsidRPr="00000849">
        <w:rPr>
          <w:sz w:val="24"/>
          <w:szCs w:val="24"/>
        </w:rPr>
        <w:t>.  The current study would contribute to understanding the patterns of hypertension in a cohort at two time points</w:t>
      </w:r>
      <w:r w:rsidRPr="00000849">
        <w:rPr>
          <w:sz w:val="24"/>
          <w:szCs w:val="24"/>
        </w:rPr>
        <w:t>.</w:t>
      </w:r>
      <w:r w:rsidR="00D833BD" w:rsidRPr="00000849">
        <w:rPr>
          <w:sz w:val="24"/>
          <w:szCs w:val="24"/>
        </w:rPr>
        <w:t xml:space="preserve"> </w:t>
      </w:r>
      <w:r w:rsidR="00664C26" w:rsidRPr="00000849">
        <w:rPr>
          <w:sz w:val="24"/>
          <w:szCs w:val="24"/>
        </w:rPr>
        <w:t>I</w:t>
      </w:r>
      <w:r w:rsidR="00B7026D" w:rsidRPr="00000849">
        <w:rPr>
          <w:sz w:val="24"/>
          <w:szCs w:val="24"/>
        </w:rPr>
        <w:t>t</w:t>
      </w:r>
      <w:r w:rsidR="00FF1D71" w:rsidRPr="00000849">
        <w:rPr>
          <w:sz w:val="24"/>
          <w:szCs w:val="24"/>
        </w:rPr>
        <w:t xml:space="preserve"> </w:t>
      </w:r>
      <w:r w:rsidR="0072348C" w:rsidRPr="00000849">
        <w:rPr>
          <w:sz w:val="24"/>
          <w:szCs w:val="24"/>
        </w:rPr>
        <w:t xml:space="preserve">provides a comprehensive empirical analysis using rich data and appropriate statistical techniques. </w:t>
      </w:r>
      <w:r w:rsidR="00F15A7D" w:rsidRPr="00000849">
        <w:rPr>
          <w:sz w:val="24"/>
          <w:szCs w:val="24"/>
        </w:rPr>
        <w:t xml:space="preserve"> </w:t>
      </w:r>
      <w:r w:rsidR="0072348C" w:rsidRPr="00000849">
        <w:rPr>
          <w:sz w:val="24"/>
          <w:szCs w:val="24"/>
        </w:rPr>
        <w:t>As such, it offers new evidence on</w:t>
      </w:r>
      <w:r w:rsidR="009E3371" w:rsidRPr="00000849">
        <w:rPr>
          <w:sz w:val="24"/>
          <w:szCs w:val="24"/>
        </w:rPr>
        <w:t xml:space="preserve"> the risk factors associated with</w:t>
      </w:r>
      <w:r w:rsidR="0072348C" w:rsidRPr="00000849">
        <w:rPr>
          <w:sz w:val="24"/>
          <w:szCs w:val="24"/>
        </w:rPr>
        <w:t xml:space="preserve"> hypertension in Ghana.</w:t>
      </w:r>
      <w:r w:rsidR="009E3371" w:rsidRPr="00000849">
        <w:rPr>
          <w:sz w:val="24"/>
          <w:szCs w:val="24"/>
        </w:rPr>
        <w:t xml:space="preserve">  Policies to tackle these risk factors could help Ghana to meet the </w:t>
      </w:r>
      <w:r w:rsidR="00D166CF" w:rsidRPr="00000849">
        <w:rPr>
          <w:rFonts w:cstheme="minorHAnsi"/>
          <w:sz w:val="24"/>
          <w:szCs w:val="24"/>
        </w:rPr>
        <w:t xml:space="preserve">World Health Assembly a global target of a </w:t>
      </w:r>
      <w:r w:rsidR="009E3371" w:rsidRPr="00000849">
        <w:rPr>
          <w:rFonts w:cstheme="minorHAnsi"/>
          <w:sz w:val="24"/>
          <w:szCs w:val="24"/>
        </w:rPr>
        <w:t xml:space="preserve">25% relative reduction in the prevalence of raised BP or a containment of the prevalence of raised blood pressure </w:t>
      </w:r>
      <w:r w:rsidR="00D166CF" w:rsidRPr="00000849">
        <w:rPr>
          <w:rFonts w:cstheme="minorHAnsi"/>
          <w:sz w:val="24"/>
          <w:szCs w:val="24"/>
        </w:rPr>
        <w:t xml:space="preserve">by 2025 </w:t>
      </w:r>
      <w:r w:rsidR="00D166CF" w:rsidRPr="00000849">
        <w:rPr>
          <w:rFonts w:cstheme="minorHAnsi"/>
          <w:sz w:val="24"/>
          <w:szCs w:val="24"/>
        </w:rPr>
        <w:fldChar w:fldCharType="begin"/>
      </w:r>
      <w:r w:rsidR="007F3AFF" w:rsidRPr="00000849">
        <w:rPr>
          <w:rFonts w:cstheme="minorHAnsi"/>
          <w:sz w:val="24"/>
          <w:szCs w:val="24"/>
        </w:rPr>
        <w:instrText xml:space="preserve"> ADDIN EN.CITE &lt;EndNote&gt;&lt;Cite&gt;&lt;Author&gt;WHO&lt;/Author&gt;&lt;Year&gt;2013&lt;/Year&gt;&lt;RecNum&gt;685&lt;/RecNum&gt;&lt;DisplayText&gt;(WHO, 2013a, 2013b)&lt;/DisplayText&gt;&lt;record&gt;&lt;rec-number&gt;685&lt;/rec-number&gt;&lt;foreign-keys&gt;&lt;key app="EN" db-id="9tzf2rda8re2a9es5tuxart3swzx2zws2s02" timestamp="1497145680"&gt;685&lt;/key&gt;&lt;/foreign-keys&gt;&lt;ref-type name="Report"&gt;27&lt;/ref-type&gt;&lt;contributors&gt;&lt;authors&gt;&lt;author&gt;WHO,&lt;/author&gt;&lt;/authors&gt;&lt;/contributors&gt;&lt;titles&gt;&lt;title&gt;Sixty-sixth World Health Assembly: Follow-up to the Political Declaration of the High-level Meeting of the General Assembly on the Prevention and Control of Non-communicable Diseases. A66/A/CONF./1 Rev.1&lt;/title&gt;&lt;/titles&gt;&lt;dates&gt;&lt;year&gt;2013&lt;/year&gt;&lt;/dates&gt;&lt;pub-location&gt;Geneva&lt;/pub-location&gt;&lt;publisher&gt;WHO&lt;/publisher&gt;&lt;urls&gt;&lt;related-urls&gt;&lt;url&gt;http://apps.who.int/gb/ebwha/pdf_files/WHA66/A66_R10-en.pdf&lt;/url&gt;&lt;/related-urls&gt;&lt;/urls&gt;&lt;/record&gt;&lt;/Cite&gt;&lt;Cite&gt;&lt;Author&gt;WHO&lt;/Author&gt;&lt;Year&gt;2013&lt;/Year&gt;&lt;RecNum&gt;686&lt;/RecNum&gt;&lt;record&gt;&lt;rec-number&gt;686&lt;/rec-number&gt;&lt;foreign-keys&gt;&lt;key app="EN" db-id="9tzf2rda8re2a9es5tuxart3swzx2zws2s02" timestamp="1497146277"&gt;686&lt;/key&gt;&lt;/foreign-keys&gt;&lt;ref-type name="Report"&gt;27&lt;/ref-type&gt;&lt;contributors&gt;&lt;authors&gt;&lt;author&gt;WHO,&lt;/author&gt;&lt;/authors&gt;&lt;/contributors&gt;&lt;titles&gt;&lt;title&gt;Global action plan for the prevention and control of NCDs 2013-2020&lt;/title&gt;&lt;/titles&gt;&lt;dates&gt;&lt;year&gt;2013&lt;/year&gt;&lt;/dates&gt;&lt;pub-location&gt;Geneva&lt;/pub-location&gt;&lt;publisher&gt;World Health Organization&lt;/publisher&gt;&lt;urls&gt;&lt;related-urls&gt;&lt;url&gt;http://www.who.int/iris/bitstream/10665/94384/1/9789241506236_eng.pdf?ua=1&lt;/url&gt;&lt;/related-urls&gt;&lt;/urls&gt;&lt;/record&gt;&lt;/Cite&gt;&lt;/EndNote&gt;</w:instrText>
      </w:r>
      <w:r w:rsidR="00D166CF" w:rsidRPr="00000849">
        <w:rPr>
          <w:rFonts w:cstheme="minorHAnsi"/>
          <w:sz w:val="24"/>
          <w:szCs w:val="24"/>
        </w:rPr>
        <w:fldChar w:fldCharType="separate"/>
      </w:r>
      <w:r w:rsidR="007F3AFF" w:rsidRPr="00000849">
        <w:rPr>
          <w:rFonts w:cstheme="minorHAnsi"/>
          <w:noProof/>
          <w:sz w:val="24"/>
          <w:szCs w:val="24"/>
        </w:rPr>
        <w:t>(WHO, 2013a, 2013b)</w:t>
      </w:r>
      <w:r w:rsidR="00D166CF" w:rsidRPr="00000849">
        <w:rPr>
          <w:rFonts w:cstheme="minorHAnsi"/>
          <w:sz w:val="24"/>
          <w:szCs w:val="24"/>
        </w:rPr>
        <w:fldChar w:fldCharType="end"/>
      </w:r>
      <w:r w:rsidR="00D166CF" w:rsidRPr="00000849">
        <w:rPr>
          <w:rFonts w:cstheme="minorHAnsi"/>
          <w:sz w:val="24"/>
          <w:szCs w:val="24"/>
        </w:rPr>
        <w:t xml:space="preserve">.  </w:t>
      </w:r>
    </w:p>
    <w:p w14:paraId="0F978656" w14:textId="77777777" w:rsidR="00CF1491" w:rsidRPr="00000849" w:rsidRDefault="00CF1491"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178A7155" w14:textId="77777777" w:rsidR="005614DC" w:rsidRPr="00000849" w:rsidRDefault="005614DC" w:rsidP="009F3E10">
      <w:pPr>
        <w:pStyle w:val="NormalWeb"/>
        <w:shd w:val="clear" w:color="auto" w:fill="FFFFFF"/>
        <w:spacing w:before="0" w:beforeAutospacing="0" w:after="165" w:afterAutospacing="0" w:line="480" w:lineRule="auto"/>
        <w:rPr>
          <w:rFonts w:asciiTheme="minorHAnsi" w:hAnsiTheme="minorHAnsi" w:cstheme="minorHAnsi"/>
          <w:color w:val="383838"/>
        </w:rPr>
        <w:sectPr w:rsidR="005614DC" w:rsidRPr="00000849" w:rsidSect="00235F28">
          <w:pgSz w:w="11906" w:h="16838"/>
          <w:pgMar w:top="1440" w:right="1440" w:bottom="1440" w:left="2155" w:header="708" w:footer="708" w:gutter="0"/>
          <w:pgNumType w:start="1"/>
          <w:cols w:space="708"/>
          <w:docGrid w:linePitch="360"/>
        </w:sectPr>
      </w:pPr>
    </w:p>
    <w:p w14:paraId="74E81C45" w14:textId="1ED60F6A" w:rsidR="002B0B4B" w:rsidRPr="00000849" w:rsidRDefault="002B0B4B">
      <w:pPr>
        <w:pStyle w:val="Heading1"/>
      </w:pPr>
      <w:bookmarkStart w:id="28" w:name="_Toc51472082"/>
      <w:r w:rsidRPr="00000849">
        <w:lastRenderedPageBreak/>
        <w:t xml:space="preserve">Chapter </w:t>
      </w:r>
      <w:r w:rsidR="00D92056" w:rsidRPr="00000849">
        <w:t>2</w:t>
      </w:r>
      <w:r w:rsidRPr="00000849">
        <w:t xml:space="preserve">: </w:t>
      </w:r>
      <w:r w:rsidR="00FF7439" w:rsidRPr="00000849">
        <w:t>A meta-analysis and systematic review of the</w:t>
      </w:r>
      <w:r w:rsidR="00FF7439" w:rsidRPr="00000849" w:rsidDel="00FF7439">
        <w:t xml:space="preserve"> </w:t>
      </w:r>
      <w:r w:rsidR="00FF7439" w:rsidRPr="00000849">
        <w:t xml:space="preserve">prevalence and </w:t>
      </w:r>
      <w:r w:rsidR="0054311E" w:rsidRPr="00000849">
        <w:t>determinants</w:t>
      </w:r>
      <w:r w:rsidR="00BA2913" w:rsidRPr="00000849">
        <w:t xml:space="preserve"> </w:t>
      </w:r>
      <w:r w:rsidR="005614DC" w:rsidRPr="00000849">
        <w:t>in older adults in Africa</w:t>
      </w:r>
      <w:bookmarkEnd w:id="28"/>
      <w:r w:rsidR="00FF7439" w:rsidRPr="00000849">
        <w:t xml:space="preserve"> </w:t>
      </w:r>
    </w:p>
    <w:p w14:paraId="46336850" w14:textId="77777777" w:rsidR="00451743" w:rsidRPr="00000849" w:rsidRDefault="00451743" w:rsidP="0054311E">
      <w:pPr>
        <w:jc w:val="both"/>
        <w:rPr>
          <w:sz w:val="24"/>
          <w:szCs w:val="24"/>
        </w:rPr>
      </w:pPr>
    </w:p>
    <w:p w14:paraId="004272D3" w14:textId="59DDBAAA" w:rsidR="0054311E" w:rsidRPr="00000849" w:rsidRDefault="00B77D13" w:rsidP="00520E38">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This chapter</w:t>
      </w:r>
      <w:r w:rsidR="008811CE" w:rsidRPr="00000849">
        <w:rPr>
          <w:rFonts w:asciiTheme="minorHAnsi" w:hAnsiTheme="minorHAnsi" w:cstheme="minorHAnsi"/>
          <w:color w:val="383838"/>
        </w:rPr>
        <w:t xml:space="preserve"> </w:t>
      </w:r>
      <w:r w:rsidR="00CD707E" w:rsidRPr="00000849">
        <w:rPr>
          <w:rFonts w:asciiTheme="minorHAnsi" w:hAnsiTheme="minorHAnsi" w:cstheme="minorHAnsi"/>
          <w:color w:val="383838"/>
        </w:rPr>
        <w:t xml:space="preserve">presents the methods and findings from two published systematic reviews on the prevalence </w:t>
      </w:r>
      <w:r w:rsidR="0088708D" w:rsidRPr="00000849">
        <w:rPr>
          <w:rFonts w:asciiTheme="minorHAnsi" w:hAnsiTheme="minorHAnsi" w:cstheme="minorHAnsi"/>
          <w:color w:val="383838"/>
        </w:rPr>
        <w:t>and the determinants of</w:t>
      </w:r>
      <w:r w:rsidR="00CD707E" w:rsidRPr="00000849">
        <w:rPr>
          <w:rFonts w:asciiTheme="minorHAnsi" w:hAnsiTheme="minorHAnsi" w:cstheme="minorHAnsi"/>
          <w:color w:val="383838"/>
        </w:rPr>
        <w:t xml:space="preserve"> hypertension in older adults </w:t>
      </w:r>
      <w:r w:rsidR="0088708D" w:rsidRPr="00000849">
        <w:rPr>
          <w:rFonts w:asciiTheme="minorHAnsi" w:hAnsiTheme="minorHAnsi" w:cstheme="minorHAnsi"/>
          <w:color w:val="383838"/>
        </w:rPr>
        <w:t xml:space="preserve">in Africa.  It identifies </w:t>
      </w:r>
      <w:r w:rsidR="00765B15" w:rsidRPr="00000849">
        <w:rPr>
          <w:rFonts w:asciiTheme="minorHAnsi" w:hAnsiTheme="minorHAnsi" w:cstheme="minorHAnsi"/>
          <w:color w:val="383838"/>
        </w:rPr>
        <w:t>knowledge gaps in the research and in the policy response to hypertension on the continent.</w:t>
      </w:r>
    </w:p>
    <w:p w14:paraId="26F4C8A0" w14:textId="63D7BAEA" w:rsidR="005810A6" w:rsidRPr="00000849" w:rsidRDefault="005810A6" w:rsidP="005810A6">
      <w:pPr>
        <w:pStyle w:val="NormalWeb"/>
        <w:shd w:val="clear" w:color="auto" w:fill="FFFFFF"/>
        <w:spacing w:before="0" w:beforeAutospacing="0" w:after="165" w:afterAutospacing="0" w:line="480" w:lineRule="auto"/>
        <w:rPr>
          <w:rFonts w:asciiTheme="minorHAnsi" w:hAnsiTheme="minorHAnsi" w:cstheme="minorHAnsi"/>
          <w:color w:val="383838"/>
        </w:rPr>
      </w:pPr>
    </w:p>
    <w:p w14:paraId="692DF09C" w14:textId="5B985422" w:rsidR="00883650" w:rsidRPr="00000849" w:rsidRDefault="00D92056" w:rsidP="00A61BAB">
      <w:pPr>
        <w:pStyle w:val="Heading2"/>
        <w:rPr>
          <w:sz w:val="24"/>
          <w:szCs w:val="24"/>
        </w:rPr>
      </w:pPr>
      <w:bookmarkStart w:id="29" w:name="_Toc51472083"/>
      <w:r w:rsidRPr="00000849">
        <w:rPr>
          <w:sz w:val="24"/>
          <w:szCs w:val="24"/>
        </w:rPr>
        <w:t>2</w:t>
      </w:r>
      <w:r w:rsidR="00883650" w:rsidRPr="00000849">
        <w:rPr>
          <w:sz w:val="24"/>
          <w:szCs w:val="24"/>
        </w:rPr>
        <w:t>.</w:t>
      </w:r>
      <w:r w:rsidRPr="00000849">
        <w:rPr>
          <w:sz w:val="24"/>
          <w:szCs w:val="24"/>
        </w:rPr>
        <w:t>1</w:t>
      </w:r>
      <w:r w:rsidR="00883650" w:rsidRPr="00000849">
        <w:rPr>
          <w:sz w:val="24"/>
          <w:szCs w:val="24"/>
        </w:rPr>
        <w:tab/>
        <w:t>Prevalence of hypertension in older adults in Africa</w:t>
      </w:r>
      <w:r w:rsidR="00B140DD" w:rsidRPr="00000849">
        <w:rPr>
          <w:sz w:val="24"/>
          <w:szCs w:val="24"/>
        </w:rPr>
        <w:t>: systematic review and meta-analysis</w:t>
      </w:r>
      <w:bookmarkEnd w:id="29"/>
    </w:p>
    <w:p w14:paraId="22748B2F" w14:textId="2E3028CE" w:rsidR="00883650" w:rsidRPr="00000849" w:rsidRDefault="00883650" w:rsidP="00883650">
      <w:pPr>
        <w:pStyle w:val="NormalWeb"/>
        <w:shd w:val="clear" w:color="auto" w:fill="FFFFFF"/>
        <w:spacing w:before="0" w:beforeAutospacing="0" w:after="165" w:afterAutospacing="0" w:line="480" w:lineRule="auto"/>
        <w:rPr>
          <w:rFonts w:asciiTheme="minorHAnsi" w:hAnsiTheme="minorHAnsi" w:cstheme="minorHAnsi"/>
          <w:color w:val="383838"/>
        </w:rPr>
      </w:pPr>
    </w:p>
    <w:p w14:paraId="72B47ECE" w14:textId="71193271" w:rsidR="00B21E85" w:rsidRPr="00000849" w:rsidRDefault="00FC12EE" w:rsidP="00F85F78">
      <w:pPr>
        <w:widowControl w:val="0"/>
        <w:spacing w:line="480" w:lineRule="auto"/>
        <w:ind w:firstLine="720"/>
        <w:jc w:val="both"/>
        <w:rPr>
          <w:sz w:val="24"/>
          <w:szCs w:val="24"/>
        </w:rPr>
      </w:pPr>
      <w:r w:rsidRPr="00000849">
        <w:rPr>
          <w:rFonts w:cstheme="minorHAnsi"/>
          <w:sz w:val="24"/>
          <w:szCs w:val="24"/>
        </w:rPr>
        <w:t xml:space="preserve">As outlined in section 1.6, very little is known about the prevalence of hypertension </w:t>
      </w:r>
      <w:r w:rsidR="007F3AFF" w:rsidRPr="00000849">
        <w:rPr>
          <w:rFonts w:cstheme="minorHAnsi"/>
          <w:sz w:val="24"/>
          <w:szCs w:val="24"/>
        </w:rPr>
        <w:t xml:space="preserve">in older adults in Ghana.  A bibliographic analysis of research on </w:t>
      </w:r>
      <w:r w:rsidR="00C516A6" w:rsidRPr="00000849">
        <w:rPr>
          <w:rFonts w:cstheme="minorHAnsi"/>
          <w:sz w:val="24"/>
          <w:szCs w:val="24"/>
        </w:rPr>
        <w:t>ageing</w:t>
      </w:r>
      <w:r w:rsidR="007F3AFF" w:rsidRPr="00000849">
        <w:rPr>
          <w:rFonts w:cstheme="minorHAnsi"/>
          <w:sz w:val="24"/>
          <w:szCs w:val="24"/>
        </w:rPr>
        <w:t xml:space="preserve"> in Ghana from the 1950s to 2016 identified 91 empirical studies</w:t>
      </w:r>
      <w:r w:rsidR="007F3AFF" w:rsidRPr="00000849">
        <w:rPr>
          <w:noProof/>
          <w:sz w:val="24"/>
          <w:szCs w:val="24"/>
        </w:rPr>
        <w:t xml:space="preserve"> </w:t>
      </w:r>
      <w:r w:rsidR="007F3AFF" w:rsidRPr="00000849">
        <w:rPr>
          <w:noProof/>
          <w:sz w:val="24"/>
          <w:szCs w:val="24"/>
        </w:rPr>
        <w:fldChar w:fldCharType="begin"/>
      </w:r>
      <w:r w:rsidR="007F3AFF" w:rsidRPr="00000849">
        <w:rPr>
          <w:noProof/>
          <w:sz w:val="24"/>
          <w:szCs w:val="24"/>
        </w:rPr>
        <w:instrText xml:space="preserve"> ADDIN EN.CITE &lt;EndNote&gt;&lt;Cite&gt;&lt;Author&gt;Aikins&lt;/Author&gt;&lt;Year&gt;2016&lt;/Year&gt;&lt;RecNum&gt;640&lt;/RecNum&gt;&lt;DisplayText&gt;(Aikins et al., 2016)&lt;/DisplayText&gt;&lt;record&gt;&lt;rec-number&gt;640&lt;/rec-number&gt;&lt;foreign-keys&gt;&lt;key app="EN" db-id="9tzf2rda8re2a9es5tuxart3swzx2zws2s02" timestamp="1496880923"&gt;640&lt;/key&gt;&lt;/foreign-keys&gt;&lt;ref-type name="Journal Article"&gt;17&lt;/ref-type&gt;&lt;contributors&gt;&lt;authors&gt;&lt;author&gt;Aikins, Ama de-Graft&lt;/author&gt;&lt;author&gt;Kushitor, Mawuli&lt;/author&gt;&lt;author&gt;Sanuade, Olutobi&lt;/author&gt;&lt;author&gt;Dakey, Samuel&lt;/author&gt;&lt;author&gt;Dovie, Delali&lt;/author&gt;&lt;author&gt;Kwabena-Adade, Joana&lt;/author&gt;&lt;/authors&gt;&lt;/contributors&gt;&lt;titles&gt;&lt;title&gt;Research On Aging in Ghana from the 1950s To 2016: A Bibliography and Commentary&lt;/title&gt;&lt;secondary-title&gt;Ghana Studies&lt;/secondary-title&gt;&lt;/titles&gt;&lt;periodical&gt;&lt;full-title&gt;Ghana Studies&lt;/full-title&gt;&lt;/periodical&gt;&lt;pages&gt;173-189&lt;/pages&gt;&lt;volume&gt;19&lt;/volume&gt;&lt;number&gt;1&lt;/number&gt;&lt;dates&gt;&lt;year&gt;2016&lt;/year&gt;&lt;/dates&gt;&lt;isbn&gt;2333-7168&lt;/isbn&gt;&lt;urls&gt;&lt;/urls&gt;&lt;/record&gt;&lt;/Cite&gt;&lt;/EndNote&gt;</w:instrText>
      </w:r>
      <w:r w:rsidR="007F3AFF" w:rsidRPr="00000849">
        <w:rPr>
          <w:noProof/>
          <w:sz w:val="24"/>
          <w:szCs w:val="24"/>
        </w:rPr>
        <w:fldChar w:fldCharType="separate"/>
      </w:r>
      <w:r w:rsidR="007F3AFF" w:rsidRPr="00000849">
        <w:rPr>
          <w:noProof/>
          <w:sz w:val="24"/>
          <w:szCs w:val="24"/>
        </w:rPr>
        <w:t>(Aikins et al., 2016)</w:t>
      </w:r>
      <w:r w:rsidR="007F3AFF" w:rsidRPr="00000849">
        <w:rPr>
          <w:noProof/>
          <w:sz w:val="24"/>
          <w:szCs w:val="24"/>
        </w:rPr>
        <w:fldChar w:fldCharType="end"/>
      </w:r>
      <w:r w:rsidR="007F3AFF" w:rsidRPr="00000849">
        <w:rPr>
          <w:rFonts w:cstheme="minorHAnsi"/>
          <w:sz w:val="24"/>
          <w:szCs w:val="24"/>
        </w:rPr>
        <w:t xml:space="preserve">.  Most of the studies were sociological and anthropological and were conducted in the Greater Accra and Eastern Regions. Studies in public health were limited and were published from the year 2010. </w:t>
      </w:r>
      <w:r w:rsidR="00B21E85" w:rsidRPr="00000849">
        <w:rPr>
          <w:rFonts w:cstheme="minorHAnsi"/>
          <w:sz w:val="24"/>
          <w:szCs w:val="24"/>
        </w:rPr>
        <w:t xml:space="preserve"> </w:t>
      </w:r>
      <w:r w:rsidR="00061794" w:rsidRPr="00000849">
        <w:rPr>
          <w:sz w:val="24"/>
          <w:szCs w:val="24"/>
        </w:rPr>
        <w:t xml:space="preserve">A systematic review of </w:t>
      </w:r>
      <w:r w:rsidR="00DE523A" w:rsidRPr="00000849">
        <w:rPr>
          <w:sz w:val="24"/>
          <w:szCs w:val="24"/>
        </w:rPr>
        <w:t xml:space="preserve">studies on hypertension in Ghana from 1970 to August 2009 did not identify any studies conducted among older adults </w:t>
      </w:r>
      <w:r w:rsidR="00DE523A" w:rsidRPr="00000849">
        <w:rPr>
          <w:sz w:val="24"/>
          <w:szCs w:val="24"/>
        </w:rPr>
        <w:fldChar w:fldCharType="begin"/>
      </w:r>
      <w:r w:rsidR="003E660C" w:rsidRPr="00000849">
        <w:rPr>
          <w:sz w:val="24"/>
          <w:szCs w:val="24"/>
        </w:rPr>
        <w:instrText xml:space="preserve"> ADDIN EN.CITE &lt;EndNote&gt;&lt;Cite&gt;&lt;Author&gt;Bosu&lt;/Author&gt;&lt;Year&gt;2010&lt;/Year&gt;&lt;RecNum&gt;48&lt;/RecNum&gt;&lt;DisplayText&gt;(Bosu, 2010)&lt;/DisplayText&gt;&lt;record&gt;&lt;rec-number&gt;48&lt;/rec-number&gt;&lt;foreign-keys&gt;&lt;key app="EN" db-id="9tzf2rda8re2a9es5tuxart3swzx2zws2s02" timestamp="1464944378"&gt;48&lt;/key&gt;&lt;/foreign-keys&gt;&lt;ref-type name="Journal Article"&gt;17&lt;/ref-type&gt;&lt;contributors&gt;&lt;authors&gt;&lt;author&gt;Bosu, William K.&lt;/author&gt;&lt;/authors&gt;&lt;/contributors&gt;&lt;titles&gt;&lt;title&gt;Epidemic of hypertension in Ghana: a systematic review.&lt;/title&gt;&lt;secondary-title&gt;BMC Public Health.&lt;/secondary-title&gt;&lt;/titles&gt;&lt;pages&gt;418&lt;/pages&gt;&lt;volume&gt;10&lt;/volume&gt;&lt;dates&gt;&lt;year&gt;2010&lt;/year&gt;&lt;/dates&gt;&lt;urls&gt;&lt;/urls&gt;&lt;electronic-resource-num&gt;10.1186/1471-2458-10-418&lt;/electronic-resource-num&gt;&lt;/record&gt;&lt;/Cite&gt;&lt;/EndNote&gt;</w:instrText>
      </w:r>
      <w:r w:rsidR="00DE523A" w:rsidRPr="00000849">
        <w:rPr>
          <w:sz w:val="24"/>
          <w:szCs w:val="24"/>
        </w:rPr>
        <w:fldChar w:fldCharType="separate"/>
      </w:r>
      <w:r w:rsidR="00DE523A" w:rsidRPr="00000849">
        <w:rPr>
          <w:noProof/>
          <w:sz w:val="24"/>
          <w:szCs w:val="24"/>
        </w:rPr>
        <w:t>(Bosu, 2010)</w:t>
      </w:r>
      <w:r w:rsidR="00DE523A" w:rsidRPr="00000849">
        <w:rPr>
          <w:sz w:val="24"/>
          <w:szCs w:val="24"/>
        </w:rPr>
        <w:fldChar w:fldCharType="end"/>
      </w:r>
      <w:r w:rsidR="00DE523A" w:rsidRPr="00000849">
        <w:rPr>
          <w:sz w:val="24"/>
          <w:szCs w:val="24"/>
        </w:rPr>
        <w:t xml:space="preserve">.  </w:t>
      </w:r>
    </w:p>
    <w:p w14:paraId="4AEFA1B5" w14:textId="1C9377E4" w:rsidR="005503CD" w:rsidRPr="00000849" w:rsidRDefault="00DE523A" w:rsidP="00F85F78">
      <w:pPr>
        <w:widowControl w:val="0"/>
        <w:spacing w:line="480" w:lineRule="auto"/>
        <w:ind w:firstLine="720"/>
        <w:jc w:val="both"/>
        <w:rPr>
          <w:sz w:val="24"/>
          <w:szCs w:val="24"/>
        </w:rPr>
      </w:pPr>
      <w:r w:rsidRPr="00000849">
        <w:rPr>
          <w:sz w:val="24"/>
          <w:szCs w:val="24"/>
        </w:rPr>
        <w:t xml:space="preserve">The </w:t>
      </w:r>
      <w:r w:rsidR="00D84CDA" w:rsidRPr="00000849">
        <w:rPr>
          <w:sz w:val="24"/>
          <w:szCs w:val="24"/>
        </w:rPr>
        <w:t>only published systematic review o</w:t>
      </w:r>
      <w:r w:rsidRPr="00000849">
        <w:rPr>
          <w:sz w:val="24"/>
          <w:szCs w:val="24"/>
        </w:rPr>
        <w:t>n</w:t>
      </w:r>
      <w:r w:rsidR="00D84CDA" w:rsidRPr="00000849">
        <w:rPr>
          <w:sz w:val="24"/>
          <w:szCs w:val="24"/>
        </w:rPr>
        <w:t xml:space="preserve"> hypertension </w:t>
      </w:r>
      <w:r w:rsidRPr="00000849">
        <w:rPr>
          <w:sz w:val="24"/>
          <w:szCs w:val="24"/>
        </w:rPr>
        <w:t xml:space="preserve">among older adults </w:t>
      </w:r>
      <w:r w:rsidR="00D84CDA" w:rsidRPr="00000849">
        <w:rPr>
          <w:sz w:val="24"/>
          <w:szCs w:val="24"/>
        </w:rPr>
        <w:t>in Africa</w:t>
      </w:r>
      <w:r w:rsidRPr="00000849">
        <w:rPr>
          <w:sz w:val="24"/>
          <w:szCs w:val="24"/>
        </w:rPr>
        <w:t xml:space="preserve"> </w:t>
      </w:r>
      <w:r w:rsidR="00B21E85" w:rsidRPr="00000849">
        <w:rPr>
          <w:sz w:val="24"/>
          <w:szCs w:val="24"/>
        </w:rPr>
        <w:t xml:space="preserve">covered studies published from the year 2000 to 2016 among adults aged ≥55 years </w:t>
      </w:r>
      <w:r w:rsidR="00D84CDA" w:rsidRPr="00000849">
        <w:rPr>
          <w:sz w:val="24"/>
          <w:szCs w:val="24"/>
        </w:rPr>
        <w:fldChar w:fldCharType="begin"/>
      </w:r>
      <w:r w:rsidR="003E660C" w:rsidRPr="00000849">
        <w:rPr>
          <w:sz w:val="24"/>
          <w:szCs w:val="24"/>
        </w:rPr>
        <w:instrText xml:space="preserve"> ADDIN EN.CITE &lt;EndNote&gt;&lt;Cite&gt;&lt;Author&gt;Kaze&lt;/Author&gt;&lt;Year&gt;2017&lt;/Year&gt;&lt;RecNum&gt;971&lt;/RecNum&gt;&lt;DisplayText&gt;(Kaze et al., 2017)&lt;/DisplayText&gt;&lt;record&gt;&lt;rec-number&gt;971&lt;/rec-number&gt;&lt;foreign-keys&gt;&lt;key app="EN" db-id="9tzf2rda8re2a9es5tuxart3swzx2zws2s02" timestamp="1575383663"&gt;971&lt;/key&gt;&lt;/foreign-keys&gt;&lt;ref-type name="Journal Article"&gt;17&lt;/ref-type&gt;&lt;contributors&gt;&lt;authors&gt;&lt;author&gt;Kaze, A. D.&lt;/author&gt;&lt;author&gt;Schutte, A. E.&lt;/author&gt;&lt;author&gt;Erqou, S.&lt;/author&gt;&lt;author&gt;Kengne, A. P.&lt;/author&gt;&lt;author&gt;Echouffo-Tcheugui, J. B.&lt;/author&gt;&lt;/authors&gt;&lt;/contributors&gt;&lt;auth-address&gt;aHarvard T.H. Chan School of Public Health, Boston, Massachusetts, USA bMRC Research Unit for Hypertension and Cardiovascular Disease, Hypertension in Africa Research Team (HART), North-West University, Potchefstroom, South Africa cDepartment of Medicine, University of Pittsburgh, Pittsburgh, Pennsylvania, USA dNon-Communicable Diseases Research Unit, South African Medical Research Council, University of Cape Town, Cape Town, South Africa eBrigham and Women&amp;apos;s Hospital, Harvard Medical School, Boston, Massachusetts, USA.&lt;/auth-address&gt;&lt;titles&gt;&lt;title&gt;Prevalence of hypertension in older people in Africa: a systematic review and meta-analysis&lt;/title&gt;&lt;secondary-title&gt;Journal of Hypertension&lt;/secondary-title&gt;&lt;alt-title&gt;Journal of hypertension&lt;/alt-title&gt;&lt;/titles&gt;&lt;pages&gt;1345-1352&lt;/pages&gt;&lt;volume&gt;35&lt;/volume&gt;&lt;number&gt;7&lt;/number&gt;&lt;edition&gt;2017/03/08&lt;/edition&gt;&lt;dates&gt;&lt;year&gt;2017&lt;/year&gt;&lt;pub-dates&gt;&lt;date&gt;Mar 06&lt;/date&gt;&lt;/pub-dates&gt;&lt;/dates&gt;&lt;isbn&gt;0263-6352&lt;/isbn&gt;&lt;accession-num&gt;28267038&lt;/accession-num&gt;&lt;urls&gt;&lt;/urls&gt;&lt;electronic-resource-num&gt;10.1097/HJH.0000000000001345&lt;/electronic-resource-num&gt;&lt;remote-database-provider&gt;NLM&lt;/remote-database-provider&gt;&lt;language&gt;eng&lt;/language&gt;&lt;/record&gt;&lt;/Cite&gt;&lt;/EndNote&gt;</w:instrText>
      </w:r>
      <w:r w:rsidR="00D84CDA" w:rsidRPr="00000849">
        <w:rPr>
          <w:sz w:val="24"/>
          <w:szCs w:val="24"/>
        </w:rPr>
        <w:fldChar w:fldCharType="separate"/>
      </w:r>
      <w:r w:rsidR="00431DA0" w:rsidRPr="00000849">
        <w:rPr>
          <w:noProof/>
          <w:sz w:val="24"/>
          <w:szCs w:val="24"/>
        </w:rPr>
        <w:t>(Kaze et al., 2017)</w:t>
      </w:r>
      <w:r w:rsidR="00D84CDA" w:rsidRPr="00000849">
        <w:rPr>
          <w:sz w:val="24"/>
          <w:szCs w:val="24"/>
        </w:rPr>
        <w:fldChar w:fldCharType="end"/>
      </w:r>
      <w:r w:rsidR="00F85F78" w:rsidRPr="00000849">
        <w:rPr>
          <w:sz w:val="24"/>
          <w:szCs w:val="24"/>
        </w:rPr>
        <w:t xml:space="preserve">.  However, </w:t>
      </w:r>
      <w:r w:rsidR="00B21E85" w:rsidRPr="00000849">
        <w:rPr>
          <w:sz w:val="24"/>
          <w:szCs w:val="24"/>
        </w:rPr>
        <w:t>it</w:t>
      </w:r>
      <w:r w:rsidR="00F85F78" w:rsidRPr="00000849">
        <w:rPr>
          <w:sz w:val="24"/>
          <w:szCs w:val="24"/>
        </w:rPr>
        <w:t xml:space="preserve"> was not specifically dedicated to studies in older </w:t>
      </w:r>
      <w:r w:rsidR="00F85F78" w:rsidRPr="00000849">
        <w:rPr>
          <w:sz w:val="24"/>
          <w:szCs w:val="24"/>
        </w:rPr>
        <w:lastRenderedPageBreak/>
        <w:t xml:space="preserve">adults but to studies covering all other ages including those aged ≥55 years.  Four studies conducted in Ghana </w:t>
      </w:r>
      <w:r w:rsidR="00F85F78" w:rsidRPr="00000849">
        <w:rPr>
          <w:sz w:val="24"/>
          <w:szCs w:val="24"/>
        </w:rPr>
        <w:fldChar w:fldCharType="begin">
          <w:fldData xml:space="preserve">PEVuZE5vdGU+PENpdGU+PEF1dGhvcj5BZGRvPC9BdXRob3I+PFllYXI+MjAwNjwvWWVhcj48UmVj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</w:fldData>
        </w:fldChar>
      </w:r>
      <w:r w:rsidR="003E660C" w:rsidRPr="00000849">
        <w:rPr>
          <w:sz w:val="24"/>
          <w:szCs w:val="24"/>
        </w:rPr>
        <w:instrText xml:space="preserve"> ADDIN EN.CITE </w:instrText>
      </w:r>
      <w:r w:rsidR="003E660C" w:rsidRPr="00000849">
        <w:rPr>
          <w:sz w:val="24"/>
          <w:szCs w:val="24"/>
        </w:rPr>
        <w:fldChar w:fldCharType="begin">
          <w:fldData xml:space="preserve">PEVuZE5vdGU+PENpdGU+PEF1dGhvcj5BZGRvPC9BdXRob3I+PFllYXI+MjAwNjwvWWVhcj48UmVj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</w:fldData>
        </w:fldChar>
      </w:r>
      <w:r w:rsidR="003E660C" w:rsidRPr="00000849">
        <w:rPr>
          <w:sz w:val="24"/>
          <w:szCs w:val="24"/>
        </w:rPr>
        <w:instrText xml:space="preserve"> ADDIN EN.CITE.DATA </w:instrText>
      </w:r>
      <w:r w:rsidR="003E660C" w:rsidRPr="00000849">
        <w:rPr>
          <w:sz w:val="24"/>
          <w:szCs w:val="24"/>
        </w:rPr>
      </w:r>
      <w:r w:rsidR="003E660C" w:rsidRPr="00000849">
        <w:rPr>
          <w:sz w:val="24"/>
          <w:szCs w:val="24"/>
        </w:rPr>
        <w:fldChar w:fldCharType="end"/>
      </w:r>
      <w:r w:rsidR="00F85F78" w:rsidRPr="00000849">
        <w:rPr>
          <w:sz w:val="24"/>
          <w:szCs w:val="24"/>
        </w:rPr>
      </w:r>
      <w:r w:rsidR="00F85F78" w:rsidRPr="00000849">
        <w:rPr>
          <w:sz w:val="24"/>
          <w:szCs w:val="24"/>
        </w:rPr>
        <w:fldChar w:fldCharType="separate"/>
      </w:r>
      <w:r w:rsidR="00431DA0" w:rsidRPr="00000849">
        <w:rPr>
          <w:noProof/>
          <w:sz w:val="24"/>
          <w:szCs w:val="24"/>
        </w:rPr>
        <w:t>(Addo et al., 2006; Addo et al., 2008; Cappuccio et al., 2004; Minicuci et al., 2014)</w:t>
      </w:r>
      <w:r w:rsidR="00F85F78" w:rsidRPr="00000849">
        <w:rPr>
          <w:sz w:val="24"/>
          <w:szCs w:val="24"/>
        </w:rPr>
        <w:fldChar w:fldCharType="end"/>
      </w:r>
      <w:r w:rsidR="00F85F78" w:rsidRPr="00000849">
        <w:rPr>
          <w:sz w:val="24"/>
          <w:szCs w:val="24"/>
        </w:rPr>
        <w:t xml:space="preserve"> were included with only one being specifically conducted among older adults aged ≥50 years.  </w:t>
      </w:r>
      <w:r w:rsidR="00B21E85" w:rsidRPr="00000849">
        <w:rPr>
          <w:sz w:val="24"/>
          <w:szCs w:val="24"/>
        </w:rPr>
        <w:t>S</w:t>
      </w:r>
      <w:r w:rsidR="00C3451C" w:rsidRPr="00000849">
        <w:rPr>
          <w:sz w:val="24"/>
          <w:szCs w:val="24"/>
        </w:rPr>
        <w:t>pecifically-</w:t>
      </w:r>
      <w:r w:rsidR="00DB0B74" w:rsidRPr="00000849">
        <w:rPr>
          <w:sz w:val="24"/>
          <w:szCs w:val="24"/>
        </w:rPr>
        <w:t xml:space="preserve">targeted </w:t>
      </w:r>
      <w:r w:rsidR="00B7638C" w:rsidRPr="00000849">
        <w:rPr>
          <w:sz w:val="24"/>
          <w:szCs w:val="24"/>
        </w:rPr>
        <w:t>studies</w:t>
      </w:r>
      <w:r w:rsidR="00DB0B74" w:rsidRPr="00000849">
        <w:rPr>
          <w:sz w:val="24"/>
          <w:szCs w:val="24"/>
        </w:rPr>
        <w:t xml:space="preserve"> are more likely to generate findings that are more policy</w:t>
      </w:r>
      <w:r w:rsidR="00B21E85" w:rsidRPr="00000849">
        <w:rPr>
          <w:sz w:val="24"/>
          <w:szCs w:val="24"/>
        </w:rPr>
        <w:t>-</w:t>
      </w:r>
      <w:r w:rsidR="00DB0B74" w:rsidRPr="00000849">
        <w:rPr>
          <w:sz w:val="24"/>
          <w:szCs w:val="24"/>
        </w:rPr>
        <w:t>relevan</w:t>
      </w:r>
      <w:r w:rsidR="00B21E85" w:rsidRPr="00000849">
        <w:rPr>
          <w:sz w:val="24"/>
          <w:szCs w:val="24"/>
        </w:rPr>
        <w:t>t</w:t>
      </w:r>
      <w:r w:rsidR="00DB0B74" w:rsidRPr="00000849">
        <w:rPr>
          <w:sz w:val="24"/>
          <w:szCs w:val="24"/>
        </w:rPr>
        <w:t xml:space="preserve"> to the cardiovascular health of older adults than those in which this age group is incidentally sampled.</w:t>
      </w:r>
      <w:r w:rsidR="00B7638C" w:rsidRPr="00000849">
        <w:rPr>
          <w:sz w:val="24"/>
          <w:szCs w:val="24"/>
        </w:rPr>
        <w:t xml:space="preserve"> </w:t>
      </w:r>
    </w:p>
    <w:p w14:paraId="343F98E1" w14:textId="2E047833" w:rsidR="00B21E85" w:rsidRPr="00000849" w:rsidRDefault="00B21E85" w:rsidP="00B21E85">
      <w:pPr>
        <w:widowControl w:val="0"/>
        <w:spacing w:line="480" w:lineRule="auto"/>
        <w:ind w:firstLine="720"/>
        <w:jc w:val="both"/>
        <w:rPr>
          <w:rFonts w:cstheme="minorHAnsi"/>
          <w:sz w:val="24"/>
          <w:szCs w:val="24"/>
        </w:rPr>
      </w:pPr>
      <w:r w:rsidRPr="00000849">
        <w:rPr>
          <w:rFonts w:cstheme="minorHAnsi"/>
          <w:sz w:val="24"/>
          <w:szCs w:val="24"/>
        </w:rPr>
        <w:t xml:space="preserve">There was, therefore, a need to systematically search </w:t>
      </w:r>
      <w:r w:rsidR="005E39BC" w:rsidRPr="00000849">
        <w:rPr>
          <w:rFonts w:cstheme="minorHAnsi"/>
          <w:sz w:val="24"/>
          <w:szCs w:val="24"/>
        </w:rPr>
        <w:t>the</w:t>
      </w:r>
      <w:r w:rsidRPr="00000849">
        <w:rPr>
          <w:rFonts w:cstheme="minorHAnsi"/>
          <w:sz w:val="24"/>
          <w:szCs w:val="24"/>
        </w:rPr>
        <w:t xml:space="preserve"> literature to identify </w:t>
      </w:r>
      <w:r w:rsidR="005E39BC" w:rsidRPr="00000849">
        <w:rPr>
          <w:rFonts w:cstheme="minorHAnsi"/>
          <w:sz w:val="24"/>
          <w:szCs w:val="24"/>
        </w:rPr>
        <w:t xml:space="preserve">studies which will enable the prevalence of </w:t>
      </w:r>
      <w:r w:rsidRPr="00000849">
        <w:rPr>
          <w:rFonts w:cstheme="minorHAnsi"/>
          <w:sz w:val="24"/>
          <w:szCs w:val="24"/>
        </w:rPr>
        <w:t xml:space="preserve">hypertension in </w:t>
      </w:r>
      <w:r w:rsidR="005E39BC" w:rsidRPr="00000849">
        <w:rPr>
          <w:rFonts w:cstheme="minorHAnsi"/>
          <w:sz w:val="24"/>
          <w:szCs w:val="24"/>
        </w:rPr>
        <w:t xml:space="preserve">older adults in </w:t>
      </w:r>
      <w:r w:rsidRPr="00000849">
        <w:rPr>
          <w:rFonts w:cstheme="minorHAnsi"/>
          <w:sz w:val="24"/>
          <w:szCs w:val="24"/>
        </w:rPr>
        <w:t>Ghana</w:t>
      </w:r>
      <w:r w:rsidR="005E39BC" w:rsidRPr="00000849">
        <w:rPr>
          <w:rFonts w:cstheme="minorHAnsi"/>
          <w:sz w:val="24"/>
          <w:szCs w:val="24"/>
        </w:rPr>
        <w:t xml:space="preserve"> to be estimated along with its associated factors</w:t>
      </w:r>
      <w:r w:rsidRPr="00000849">
        <w:rPr>
          <w:rFonts w:cstheme="minorHAnsi"/>
          <w:sz w:val="24"/>
          <w:szCs w:val="24"/>
        </w:rPr>
        <w:t xml:space="preserve">.  </w:t>
      </w:r>
      <w:r w:rsidR="005E39BC" w:rsidRPr="00000849">
        <w:rPr>
          <w:rFonts w:cstheme="minorHAnsi"/>
          <w:sz w:val="24"/>
          <w:szCs w:val="24"/>
        </w:rPr>
        <w:t>This was conducted in the context of Africa as a whole t</w:t>
      </w:r>
      <w:r w:rsidRPr="00000849">
        <w:rPr>
          <w:rFonts w:cstheme="minorHAnsi"/>
          <w:sz w:val="24"/>
          <w:szCs w:val="24"/>
        </w:rPr>
        <w:t>o enable geographic comparisons to be made with other countries</w:t>
      </w:r>
      <w:r w:rsidR="005E39BC" w:rsidRPr="00000849">
        <w:rPr>
          <w:rFonts w:cstheme="minorHAnsi"/>
          <w:sz w:val="24"/>
          <w:szCs w:val="24"/>
        </w:rPr>
        <w:t xml:space="preserve"> </w:t>
      </w:r>
      <w:r w:rsidRPr="00000849">
        <w:rPr>
          <w:rFonts w:cstheme="minorHAnsi"/>
          <w:sz w:val="24"/>
          <w:szCs w:val="24"/>
        </w:rPr>
        <w:fldChar w:fldCharType="begin"/>
      </w:r>
      <w:r w:rsidRPr="00000849">
        <w:rPr>
          <w:rFonts w:cstheme="minorHAnsi"/>
          <w:sz w:val="24"/>
          <w:szCs w:val="24"/>
        </w:rPr>
        <w:instrText xml:space="preserve"> ADDIN EN.CITE &lt;EndNote&gt;&lt;Cite&gt;&lt;Author&gt;Bosu&lt;/Author&gt;&lt;Year&gt;2019&lt;/Year&gt;&lt;RecNum&gt;975&lt;/RecNum&gt;&lt;DisplayText&gt;(Bosu et al., 2019b)&lt;/DisplayText&gt;&lt;record&gt;&lt;rec-number&gt;975&lt;/rec-number&gt;&lt;foreign-keys&gt;&lt;key app="EN" db-id="9tzf2rda8re2a9es5tuxart3swzx2zws2s02" timestamp="1575384237"&gt;975&lt;/key&gt;&lt;/foreign-keys&gt;&lt;ref-type name="Journal Article"&gt;17&lt;/ref-type&gt;&lt;contributors&gt;&lt;authors&gt;&lt;author&gt;Bosu, W. K.&lt;/author&gt;&lt;author&gt;Reilly, S. T.&lt;/author&gt;&lt;author&gt;Aheto, J. M. K.&lt;/author&gt;&lt;author&gt;Zucchelli, E.&lt;/author&gt;&lt;/authors&gt;&lt;/contributors&gt;&lt;auth-address&gt;Department of Public Health and Research, West African Health Organisation, Bobo-Dioulasso, Burkina Faso.&amp;#xD;Division of Health Research, Faculty of Health &amp;amp; Medicine, Lancaster University, Lancaster, United Kingdom.&amp;#xD;Department of Biostatistics, School of Public Health, University of Ghana, Legon, Accra, Ghana.&lt;/auth-address&gt;&lt;titles&gt;&lt;title&gt;Hypertension in older adults in Africa: A systematic review and meta-analysis&lt;/title&gt;&lt;secondary-title&gt;PLoS One&lt;/secondary-title&gt;&lt;/titles&gt;&lt;periodical&gt;&lt;full-title&gt;PLoS One&lt;/full-title&gt;&lt;/periodical&gt;&lt;pages&gt;e0214934&lt;/pages&gt;&lt;volume&gt;14&lt;/volume&gt;&lt;number&gt;4&lt;/number&gt;&lt;edition&gt;2019/04/06&lt;/edition&gt;&lt;dates&gt;&lt;year&gt;2019&lt;/year&gt;&lt;/dates&gt;&lt;isbn&gt;1932-6203 (Electronic)&amp;#xD;1932-6203 (Linking)&lt;/isbn&gt;&lt;accession-num&gt;30951534&lt;/accession-num&gt;&lt;urls&gt;&lt;related-urls&gt;&lt;url&gt;https://www.ncbi.nlm.nih.gov/pubmed/30951534&lt;/url&gt;&lt;/related-urls&gt;&lt;/urls&gt;&lt;custom2&gt;PMC6450645&lt;/custom2&gt;&lt;electronic-resource-num&gt;10.1371/journal.pone.0214934&lt;/electronic-resource-num&gt;&lt;/record&gt;&lt;/Cite&gt;&lt;/EndNote&gt;</w:instrText>
      </w:r>
      <w:r w:rsidRPr="00000849">
        <w:rPr>
          <w:rFonts w:cstheme="minorHAnsi"/>
          <w:sz w:val="24"/>
          <w:szCs w:val="24"/>
        </w:rPr>
        <w:fldChar w:fldCharType="separate"/>
      </w:r>
      <w:r w:rsidRPr="00000849">
        <w:rPr>
          <w:rFonts w:cstheme="minorHAnsi"/>
          <w:noProof/>
          <w:sz w:val="24"/>
          <w:szCs w:val="24"/>
        </w:rPr>
        <w:t>(Bosu et al., 2019b)</w:t>
      </w:r>
      <w:r w:rsidRPr="00000849">
        <w:rPr>
          <w:rFonts w:cstheme="minorHAnsi"/>
          <w:sz w:val="24"/>
          <w:szCs w:val="24"/>
        </w:rPr>
        <w:fldChar w:fldCharType="end"/>
      </w:r>
      <w:r w:rsidRPr="00000849">
        <w:rPr>
          <w:rFonts w:cstheme="minorHAnsi"/>
          <w:sz w:val="24"/>
          <w:szCs w:val="24"/>
        </w:rPr>
        <w:t xml:space="preserve">.  </w:t>
      </w:r>
    </w:p>
    <w:p w14:paraId="2458E2D5" w14:textId="26469C55" w:rsidR="00D84CDA" w:rsidRPr="00000849" w:rsidRDefault="00F85F78" w:rsidP="00F85F78">
      <w:pPr>
        <w:widowControl w:val="0"/>
        <w:spacing w:line="480" w:lineRule="auto"/>
        <w:ind w:firstLine="720"/>
        <w:jc w:val="both"/>
        <w:rPr>
          <w:sz w:val="24"/>
          <w:szCs w:val="24"/>
        </w:rPr>
      </w:pPr>
      <w:r w:rsidRPr="00000849">
        <w:rPr>
          <w:sz w:val="24"/>
          <w:szCs w:val="24"/>
        </w:rPr>
        <w:t xml:space="preserve">The </w:t>
      </w:r>
      <w:r w:rsidR="00DB0B74" w:rsidRPr="00000849">
        <w:rPr>
          <w:sz w:val="24"/>
          <w:szCs w:val="24"/>
        </w:rPr>
        <w:t xml:space="preserve">protocol for the systematic review and meta-analysis of hypertension in  older adults aged </w:t>
      </w:r>
      <w:r w:rsidR="00DB0B74" w:rsidRPr="00000849">
        <w:rPr>
          <w:rFonts w:cstheme="minorHAnsi"/>
          <w:sz w:val="24"/>
          <w:szCs w:val="24"/>
        </w:rPr>
        <w:t>≥</w:t>
      </w:r>
      <w:r w:rsidR="00DB0B74" w:rsidRPr="00000849">
        <w:rPr>
          <w:sz w:val="24"/>
          <w:szCs w:val="24"/>
        </w:rPr>
        <w:t xml:space="preserve">50 years was registered in PROSPERO, an international register of systematic reviews with registration number CRD42017056474 </w:t>
      </w:r>
      <w:r w:rsidR="00DB0B74" w:rsidRPr="00000849">
        <w:rPr>
          <w:sz w:val="24"/>
          <w:szCs w:val="24"/>
        </w:rPr>
        <w:fldChar w:fldCharType="begin"/>
      </w:r>
      <w:r w:rsidR="003E660C" w:rsidRPr="00000849">
        <w:rPr>
          <w:sz w:val="24"/>
          <w:szCs w:val="24"/>
        </w:rPr>
        <w:instrText xml:space="preserve"> ADDIN EN.CITE &lt;EndNote&gt;&lt;Cite&gt;&lt;Author&gt;Bosu&lt;/Author&gt;&lt;Year&gt;2017&lt;/Year&gt;&lt;RecNum&gt;970&lt;/RecNum&gt;&lt;DisplayText&gt;(Bosu et al., 2017)&lt;/DisplayText&gt;&lt;record&gt;&lt;rec-number&gt;970&lt;/rec-number&gt;&lt;foreign-keys&gt;&lt;key app="EN" db-id="9tzf2rda8re2a9es5tuxart3swzx2zws2s02" timestamp="1575382736"&gt;970&lt;/key&gt;&lt;/foreign-keys&gt;&lt;ref-type name="Journal Article"&gt;17&lt;/ref-type&gt;&lt;contributors&gt;&lt;authors&gt;&lt;author&gt;Bosu, William K.&lt;/author&gt;&lt;author&gt;Aheto, Justice M. K.&lt;/author&gt;&lt;author&gt;Zucchelli, Eugenio&lt;/author&gt;&lt;author&gt;Reilly, Siobhan&lt;/author&gt;&lt;/authors&gt;&lt;/contributors&gt;&lt;titles&gt;&lt;title&gt;Prevalence, awareness, and associated risk factors of hypertension in older adults in Africa: a systematic review and meta-analysis protocol.(Report)&lt;/title&gt;&lt;secondary-title&gt;Systematic Reviews&lt;/secondary-title&gt;&lt;/titles&gt;&lt;periodical&gt;&lt;full-title&gt;Systematic Reviews&lt;/full-title&gt;&lt;abbr-1&gt;Syst Rev&lt;/abbr-1&gt;&lt;/periodical&gt;&lt;volume&gt;6&lt;/volume&gt;&lt;number&gt;1&lt;/number&gt;&lt;keywords&gt;&lt;keyword&gt;Elderly – Health Aspects&lt;/keyword&gt;&lt;keyword&gt;Hypertension – Risk Factors&lt;/keyword&gt;&lt;keyword&gt;Prevalence Studies (Epidemiology) – Research&lt;/keyword&gt;&lt;/keywords&gt;&lt;dates&gt;&lt;year&gt;2017&lt;/year&gt;&lt;/dates&gt;&lt;isbn&gt;20464053&lt;/isbn&gt;&lt;urls&gt;&lt;/urls&gt;&lt;electronic-resource-num&gt;10.1186/s13643-017-0585-5&lt;/electronic-resource-num&gt;&lt;/record&gt;&lt;/Cite&gt;&lt;/EndNote&gt;</w:instrText>
      </w:r>
      <w:r w:rsidR="00DB0B74" w:rsidRPr="00000849">
        <w:rPr>
          <w:sz w:val="24"/>
          <w:szCs w:val="24"/>
        </w:rPr>
        <w:fldChar w:fldCharType="separate"/>
      </w:r>
      <w:r w:rsidR="00431DA0" w:rsidRPr="00000849">
        <w:rPr>
          <w:noProof/>
          <w:sz w:val="24"/>
          <w:szCs w:val="24"/>
        </w:rPr>
        <w:t>(Bosu et al., 2017)</w:t>
      </w:r>
      <w:r w:rsidR="00DB0B74" w:rsidRPr="00000849">
        <w:rPr>
          <w:sz w:val="24"/>
          <w:szCs w:val="24"/>
        </w:rPr>
        <w:fldChar w:fldCharType="end"/>
      </w:r>
      <w:r w:rsidR="00CA74F0" w:rsidRPr="00000849">
        <w:rPr>
          <w:sz w:val="24"/>
          <w:szCs w:val="24"/>
        </w:rPr>
        <w:t xml:space="preserve"> (Appendix 1)</w:t>
      </w:r>
      <w:r w:rsidR="00DB0B74" w:rsidRPr="00000849">
        <w:rPr>
          <w:sz w:val="24"/>
          <w:szCs w:val="24"/>
        </w:rPr>
        <w:t>.</w:t>
      </w:r>
      <w:r w:rsidRPr="00000849">
        <w:rPr>
          <w:sz w:val="24"/>
          <w:szCs w:val="24"/>
        </w:rPr>
        <w:t xml:space="preserve"> </w:t>
      </w:r>
      <w:r w:rsidR="00DB0B74" w:rsidRPr="00000849">
        <w:rPr>
          <w:sz w:val="24"/>
          <w:szCs w:val="24"/>
        </w:rPr>
        <w:t xml:space="preserve"> The methods and findings from </w:t>
      </w:r>
      <w:r w:rsidR="00942277" w:rsidRPr="00000849">
        <w:rPr>
          <w:sz w:val="24"/>
          <w:szCs w:val="24"/>
        </w:rPr>
        <w:t>two published systematic reviews are described in this chapter.</w:t>
      </w:r>
    </w:p>
    <w:p w14:paraId="7D47E7E3" w14:textId="4EC80762" w:rsidR="00C3419B" w:rsidRPr="00000849" w:rsidRDefault="00942277" w:rsidP="00942277">
      <w:pPr>
        <w:widowControl w:val="0"/>
        <w:spacing w:line="480" w:lineRule="auto"/>
        <w:ind w:firstLine="567"/>
        <w:jc w:val="both"/>
        <w:rPr>
          <w:sz w:val="24"/>
          <w:szCs w:val="24"/>
        </w:rPr>
      </w:pPr>
      <w:r w:rsidRPr="00000849">
        <w:rPr>
          <w:rFonts w:cstheme="minorHAnsi"/>
          <w:sz w:val="24"/>
          <w:szCs w:val="24"/>
        </w:rPr>
        <w:t>The first</w:t>
      </w:r>
      <w:r w:rsidR="001B62D9" w:rsidRPr="00000849">
        <w:rPr>
          <w:rFonts w:cstheme="minorHAnsi"/>
          <w:sz w:val="24"/>
          <w:szCs w:val="24"/>
        </w:rPr>
        <w:t xml:space="preserve"> systematic review and meta-analysis </w:t>
      </w:r>
      <w:r w:rsidRPr="00000849">
        <w:rPr>
          <w:rFonts w:cstheme="minorHAnsi"/>
          <w:sz w:val="24"/>
          <w:szCs w:val="24"/>
        </w:rPr>
        <w:t xml:space="preserve">sought </w:t>
      </w:r>
      <w:r w:rsidR="00C91C92" w:rsidRPr="00000849">
        <w:rPr>
          <w:rFonts w:cstheme="minorHAnsi"/>
          <w:sz w:val="24"/>
          <w:szCs w:val="24"/>
        </w:rPr>
        <w:t xml:space="preserve">to </w:t>
      </w:r>
      <w:bookmarkStart w:id="30" w:name="_Hlk536619778"/>
      <w:r w:rsidR="002375AB" w:rsidRPr="00000849">
        <w:rPr>
          <w:rFonts w:cstheme="minorHAnsi"/>
          <w:sz w:val="24"/>
          <w:szCs w:val="24"/>
        </w:rPr>
        <w:t>estimat</w:t>
      </w:r>
      <w:r w:rsidR="00C91C92" w:rsidRPr="00000849">
        <w:rPr>
          <w:rFonts w:cstheme="minorHAnsi"/>
          <w:sz w:val="24"/>
          <w:szCs w:val="24"/>
        </w:rPr>
        <w:t>e</w:t>
      </w:r>
      <w:r w:rsidR="002375AB" w:rsidRPr="00000849">
        <w:rPr>
          <w:rFonts w:cstheme="minorHAnsi"/>
          <w:sz w:val="24"/>
          <w:szCs w:val="24"/>
        </w:rPr>
        <w:t xml:space="preserve"> the prevalence of hypertension in adults aged </w:t>
      </w:r>
      <w:r w:rsidR="00C91C92" w:rsidRPr="00000849">
        <w:rPr>
          <w:rFonts w:cstheme="minorHAnsi"/>
          <w:sz w:val="24"/>
          <w:szCs w:val="24"/>
        </w:rPr>
        <w:t>≥</w:t>
      </w:r>
      <w:r w:rsidR="002375AB" w:rsidRPr="00000849">
        <w:rPr>
          <w:rFonts w:cstheme="minorHAnsi"/>
          <w:sz w:val="24"/>
          <w:szCs w:val="24"/>
        </w:rPr>
        <w:t xml:space="preserve">50 years </w:t>
      </w:r>
      <w:r w:rsidR="00C91C92" w:rsidRPr="00000849">
        <w:rPr>
          <w:rFonts w:cstheme="minorHAnsi"/>
          <w:sz w:val="24"/>
          <w:szCs w:val="24"/>
        </w:rPr>
        <w:t xml:space="preserve">living </w:t>
      </w:r>
      <w:r w:rsidR="002375AB" w:rsidRPr="00000849">
        <w:rPr>
          <w:rFonts w:cstheme="minorHAnsi"/>
          <w:sz w:val="24"/>
          <w:szCs w:val="24"/>
        </w:rPr>
        <w:t xml:space="preserve">in Africa and </w:t>
      </w:r>
      <w:bookmarkStart w:id="31" w:name="_Hlk1181762"/>
      <w:r w:rsidR="002375AB" w:rsidRPr="00000849">
        <w:rPr>
          <w:rFonts w:cstheme="minorHAnsi"/>
          <w:sz w:val="24"/>
          <w:szCs w:val="24"/>
        </w:rPr>
        <w:t xml:space="preserve">its distribution by </w:t>
      </w:r>
      <w:bookmarkEnd w:id="30"/>
      <w:r w:rsidR="002375AB" w:rsidRPr="00000849">
        <w:rPr>
          <w:rFonts w:cstheme="minorHAnsi"/>
          <w:sz w:val="24"/>
          <w:szCs w:val="24"/>
        </w:rPr>
        <w:t>demographic factors and over time</w:t>
      </w:r>
      <w:bookmarkEnd w:id="31"/>
      <w:r w:rsidR="00C91C92" w:rsidRPr="00000849">
        <w:rPr>
          <w:rFonts w:cstheme="minorHAnsi"/>
          <w:sz w:val="24"/>
          <w:szCs w:val="24"/>
        </w:rPr>
        <w:t xml:space="preserve"> </w:t>
      </w:r>
      <w:r w:rsidR="006974B4" w:rsidRPr="00000849">
        <w:rPr>
          <w:rFonts w:cstheme="minorHAnsi"/>
          <w:sz w:val="24"/>
          <w:szCs w:val="24"/>
        </w:rPr>
        <w:fldChar w:fldCharType="begin"/>
      </w:r>
      <w:r w:rsidR="00D84CDA" w:rsidRPr="00000849">
        <w:rPr>
          <w:rFonts w:cstheme="minorHAnsi"/>
          <w:sz w:val="24"/>
          <w:szCs w:val="24"/>
        </w:rPr>
        <w:instrText xml:space="preserve"> ADDIN EN.CITE &lt;EndNote&gt;&lt;Cite&gt;&lt;Author&gt;Bosu&lt;/Author&gt;&lt;Year&gt;2019&lt;/Year&gt;&lt;RecNum&gt;975&lt;/RecNum&gt;&lt;DisplayText&gt;(Bosu et al., 2019b)&lt;/DisplayText&gt;&lt;record&gt;&lt;rec-number&gt;975&lt;/rec-number&gt;&lt;foreign-keys&gt;&lt;key app="EN" db-id="9tzf2rda8re2a9es5tuxart3swzx2zws2s02" timestamp="1575384237"&gt;975&lt;/key&gt;&lt;/foreign-keys&gt;&lt;ref-type name="Journal Article"&gt;17&lt;/ref-type&gt;&lt;contributors&gt;&lt;authors&gt;&lt;author&gt;Bosu, W. K.&lt;/author&gt;&lt;author&gt;Reilly, S. T.&lt;/author&gt;&lt;author&gt;Aheto, J. M. K.&lt;/author&gt;&lt;author&gt;Zucchelli, E.&lt;/author&gt;&lt;/authors&gt;&lt;/contributors&gt;&lt;auth-address&gt;Department of Public Health and Research, West African Health Organisation, Bobo-Dioulasso, Burkina Faso.&amp;#xD;Division of Health Research, Faculty of Health &amp;amp; Medicine, Lancaster University, Lancaster, United Kingdom.&amp;#xD;Department of Biostatistics, School of Public Health, University of Ghana, Legon, Accra, Ghana.&lt;/auth-address&gt;&lt;titles&gt;&lt;title&gt;Hypertension in older adults in Africa: A systematic review and meta-analysis&lt;/title&gt;&lt;secondary-title&gt;PLoS One&lt;/secondary-title&gt;&lt;/titles&gt;&lt;periodical&gt;&lt;full-title&gt;PLoS One&lt;/full-title&gt;&lt;/periodical&gt;&lt;pages&gt;e0214934&lt;/pages&gt;&lt;volume&gt;14&lt;/volume&gt;&lt;number&gt;4&lt;/number&gt;&lt;edition&gt;2019/04/06&lt;/edition&gt;&lt;dates&gt;&lt;year&gt;2019&lt;/year&gt;&lt;/dates&gt;&lt;isbn&gt;1932-6203 (Electronic)&amp;#xD;1932-6203 (Linking)&lt;/isbn&gt;&lt;accession-num&gt;30951534&lt;/accession-num&gt;&lt;urls&gt;&lt;related-urls&gt;&lt;url&gt;https://www.ncbi.nlm.nih.gov/pubmed/30951534&lt;/url&gt;&lt;/related-urls&gt;&lt;/urls&gt;&lt;custom2&gt;PMC6450645&lt;/custom2&gt;&lt;electronic-resource-num&gt;10.1371/journal.pone.0214934&lt;/electronic-resource-num&gt;&lt;/record&gt;&lt;/Cite&gt;&lt;/EndNote&gt;</w:instrText>
      </w:r>
      <w:r w:rsidR="006974B4" w:rsidRPr="00000849">
        <w:rPr>
          <w:rFonts w:cstheme="minorHAnsi"/>
          <w:sz w:val="24"/>
          <w:szCs w:val="24"/>
        </w:rPr>
        <w:fldChar w:fldCharType="separate"/>
      </w:r>
      <w:r w:rsidR="00D84CDA" w:rsidRPr="00000849">
        <w:rPr>
          <w:rFonts w:cstheme="minorHAnsi"/>
          <w:noProof/>
          <w:sz w:val="24"/>
          <w:szCs w:val="24"/>
        </w:rPr>
        <w:t>(Bosu et al., 2019b)</w:t>
      </w:r>
      <w:r w:rsidR="006974B4" w:rsidRPr="00000849">
        <w:rPr>
          <w:rFonts w:cstheme="minorHAnsi"/>
          <w:sz w:val="24"/>
          <w:szCs w:val="24"/>
        </w:rPr>
        <w:fldChar w:fldCharType="end"/>
      </w:r>
      <w:r w:rsidR="00217EE3" w:rsidRPr="00000849">
        <w:rPr>
          <w:rFonts w:cstheme="minorHAnsi"/>
          <w:sz w:val="24"/>
          <w:szCs w:val="24"/>
          <w:lang w:val="en-US"/>
        </w:rPr>
        <w:t xml:space="preserve"> (Appendi</w:t>
      </w:r>
      <w:r w:rsidR="007838CC" w:rsidRPr="00000849">
        <w:rPr>
          <w:rFonts w:cstheme="minorHAnsi"/>
          <w:sz w:val="24"/>
          <w:szCs w:val="24"/>
          <w:lang w:val="en-US"/>
        </w:rPr>
        <w:t>x</w:t>
      </w:r>
      <w:r w:rsidR="00217EE3" w:rsidRPr="00000849">
        <w:rPr>
          <w:rFonts w:cstheme="minorHAnsi"/>
          <w:sz w:val="24"/>
          <w:szCs w:val="24"/>
          <w:lang w:val="en-US"/>
        </w:rPr>
        <w:t xml:space="preserve"> </w:t>
      </w:r>
      <w:r w:rsidR="00C91C92" w:rsidRPr="00000849">
        <w:rPr>
          <w:rFonts w:cstheme="minorHAnsi"/>
          <w:sz w:val="24"/>
          <w:szCs w:val="24"/>
          <w:lang w:val="en-US"/>
        </w:rPr>
        <w:t>2</w:t>
      </w:r>
      <w:r w:rsidR="00217EE3" w:rsidRPr="00000849">
        <w:rPr>
          <w:rFonts w:cstheme="minorHAnsi"/>
          <w:sz w:val="24"/>
          <w:szCs w:val="24"/>
          <w:lang w:val="en-US"/>
        </w:rPr>
        <w:t>)</w:t>
      </w:r>
      <w:r w:rsidR="001B62D9" w:rsidRPr="00000849">
        <w:rPr>
          <w:rFonts w:cstheme="minorHAnsi"/>
          <w:sz w:val="24"/>
          <w:szCs w:val="24"/>
          <w:lang w:val="en-US"/>
        </w:rPr>
        <w:t xml:space="preserve">.  </w:t>
      </w:r>
      <w:r w:rsidR="00C91C92" w:rsidRPr="00000849">
        <w:rPr>
          <w:rFonts w:cstheme="minorHAnsi"/>
          <w:sz w:val="24"/>
          <w:szCs w:val="24"/>
          <w:lang w:val="en-US"/>
        </w:rPr>
        <w:t xml:space="preserve">A second </w:t>
      </w:r>
      <w:r w:rsidR="006974B4" w:rsidRPr="00000849">
        <w:rPr>
          <w:rFonts w:cstheme="minorHAnsi"/>
          <w:sz w:val="24"/>
          <w:szCs w:val="24"/>
          <w:lang w:val="en-US"/>
        </w:rPr>
        <w:t xml:space="preserve">published </w:t>
      </w:r>
      <w:r w:rsidR="00C91C92" w:rsidRPr="00000849">
        <w:rPr>
          <w:rFonts w:cstheme="minorHAnsi"/>
          <w:sz w:val="24"/>
          <w:szCs w:val="24"/>
          <w:lang w:val="en-US"/>
        </w:rPr>
        <w:t>systematic review, us</w:t>
      </w:r>
      <w:r w:rsidR="006974B4" w:rsidRPr="00000849">
        <w:rPr>
          <w:rFonts w:cstheme="minorHAnsi"/>
          <w:sz w:val="24"/>
          <w:szCs w:val="24"/>
          <w:lang w:val="en-US"/>
        </w:rPr>
        <w:t>ing the same search strategy and</w:t>
      </w:r>
      <w:r w:rsidR="00C91C92" w:rsidRPr="00000849">
        <w:rPr>
          <w:rFonts w:cstheme="minorHAnsi"/>
          <w:sz w:val="24"/>
          <w:szCs w:val="24"/>
          <w:lang w:val="en-US"/>
        </w:rPr>
        <w:t xml:space="preserve"> slightly modified inclusion </w:t>
      </w:r>
      <w:r w:rsidR="006974B4" w:rsidRPr="00000849">
        <w:rPr>
          <w:rFonts w:cstheme="minorHAnsi"/>
          <w:sz w:val="24"/>
          <w:szCs w:val="24"/>
          <w:lang w:val="en-US"/>
        </w:rPr>
        <w:t xml:space="preserve">and exclusion </w:t>
      </w:r>
      <w:r w:rsidR="00C91C92" w:rsidRPr="00000849">
        <w:rPr>
          <w:rFonts w:cstheme="minorHAnsi"/>
          <w:sz w:val="24"/>
          <w:szCs w:val="24"/>
          <w:lang w:val="en-US"/>
        </w:rPr>
        <w:t>criteria</w:t>
      </w:r>
      <w:r w:rsidR="006974B4" w:rsidRPr="00000849">
        <w:rPr>
          <w:rFonts w:cstheme="minorHAnsi"/>
          <w:sz w:val="24"/>
          <w:szCs w:val="24"/>
          <w:lang w:val="en-US"/>
        </w:rPr>
        <w:t xml:space="preserve">, sought to </w:t>
      </w:r>
      <w:r w:rsidR="00C91C92" w:rsidRPr="00000849">
        <w:rPr>
          <w:sz w:val="24"/>
          <w:szCs w:val="24"/>
        </w:rPr>
        <w:t xml:space="preserve">identify </w:t>
      </w:r>
      <w:r w:rsidR="006974B4" w:rsidRPr="00000849">
        <w:rPr>
          <w:sz w:val="24"/>
          <w:szCs w:val="24"/>
        </w:rPr>
        <w:t xml:space="preserve">the </w:t>
      </w:r>
      <w:r w:rsidR="00C91C92" w:rsidRPr="00000849">
        <w:rPr>
          <w:sz w:val="24"/>
          <w:szCs w:val="24"/>
        </w:rPr>
        <w:t>factors associated with hypertension in older adults in Africa</w:t>
      </w:r>
      <w:r w:rsidR="006974B4" w:rsidRPr="00000849">
        <w:rPr>
          <w:sz w:val="24"/>
          <w:szCs w:val="24"/>
        </w:rPr>
        <w:t xml:space="preserve"> (section </w:t>
      </w:r>
      <w:r w:rsidR="00D92056" w:rsidRPr="00000849">
        <w:rPr>
          <w:sz w:val="24"/>
          <w:szCs w:val="24"/>
        </w:rPr>
        <w:t>2.</w:t>
      </w:r>
      <w:r w:rsidR="006B1857" w:rsidRPr="00000849">
        <w:rPr>
          <w:sz w:val="24"/>
          <w:szCs w:val="24"/>
        </w:rPr>
        <w:t>2</w:t>
      </w:r>
      <w:r w:rsidR="006974B4" w:rsidRPr="00000849">
        <w:rPr>
          <w:sz w:val="24"/>
          <w:szCs w:val="24"/>
        </w:rPr>
        <w:t xml:space="preserve">) </w:t>
      </w:r>
      <w:r w:rsidR="006974B4" w:rsidRPr="00000849">
        <w:rPr>
          <w:sz w:val="24"/>
          <w:szCs w:val="24"/>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sz w:val="24"/>
          <w:szCs w:val="24"/>
        </w:rPr>
        <w:instrText xml:space="preserve"> ADDIN EN.CITE </w:instrText>
      </w:r>
      <w:r w:rsidR="003E660C" w:rsidRPr="00000849">
        <w:rPr>
          <w:sz w:val="24"/>
          <w:szCs w:val="24"/>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sz w:val="24"/>
          <w:szCs w:val="24"/>
        </w:rPr>
        <w:instrText xml:space="preserve"> ADDIN EN.CITE.DATA </w:instrText>
      </w:r>
      <w:r w:rsidR="003E660C" w:rsidRPr="00000849">
        <w:rPr>
          <w:sz w:val="24"/>
          <w:szCs w:val="24"/>
        </w:rPr>
      </w:r>
      <w:r w:rsidR="003E660C" w:rsidRPr="00000849">
        <w:rPr>
          <w:sz w:val="24"/>
          <w:szCs w:val="24"/>
        </w:rPr>
        <w:fldChar w:fldCharType="end"/>
      </w:r>
      <w:r w:rsidR="006974B4" w:rsidRPr="00000849">
        <w:rPr>
          <w:sz w:val="24"/>
          <w:szCs w:val="24"/>
        </w:rPr>
      </w:r>
      <w:r w:rsidR="006974B4" w:rsidRPr="00000849">
        <w:rPr>
          <w:sz w:val="24"/>
          <w:szCs w:val="24"/>
        </w:rPr>
        <w:fldChar w:fldCharType="separate"/>
      </w:r>
      <w:r w:rsidR="00431DA0" w:rsidRPr="00000849">
        <w:rPr>
          <w:noProof/>
          <w:sz w:val="24"/>
          <w:szCs w:val="24"/>
        </w:rPr>
        <w:t>(Bosu et al., 2019a)</w:t>
      </w:r>
      <w:r w:rsidR="006974B4" w:rsidRPr="00000849">
        <w:rPr>
          <w:sz w:val="24"/>
          <w:szCs w:val="24"/>
        </w:rPr>
        <w:fldChar w:fldCharType="end"/>
      </w:r>
      <w:r w:rsidR="007838CC" w:rsidRPr="00000849">
        <w:rPr>
          <w:sz w:val="24"/>
          <w:szCs w:val="24"/>
        </w:rPr>
        <w:t xml:space="preserve"> (Appendix 3)</w:t>
      </w:r>
      <w:r w:rsidR="006974B4" w:rsidRPr="00000849">
        <w:rPr>
          <w:sz w:val="24"/>
          <w:szCs w:val="24"/>
        </w:rPr>
        <w:t xml:space="preserve">.  </w:t>
      </w:r>
    </w:p>
    <w:p w14:paraId="300C4530" w14:textId="7ECDCA3E" w:rsidR="00C91C92" w:rsidRPr="00000849" w:rsidRDefault="006974B4" w:rsidP="00C3419B">
      <w:pPr>
        <w:widowControl w:val="0"/>
        <w:spacing w:line="480" w:lineRule="auto"/>
        <w:ind w:firstLine="567"/>
        <w:jc w:val="both"/>
        <w:rPr>
          <w:rFonts w:cstheme="minorHAnsi"/>
          <w:sz w:val="24"/>
          <w:szCs w:val="24"/>
        </w:rPr>
      </w:pPr>
      <w:r w:rsidRPr="00000849">
        <w:rPr>
          <w:rFonts w:cstheme="minorHAnsi"/>
          <w:sz w:val="24"/>
          <w:szCs w:val="24"/>
        </w:rPr>
        <w:lastRenderedPageBreak/>
        <w:t>The</w:t>
      </w:r>
      <w:r w:rsidR="006B1857" w:rsidRPr="00000849">
        <w:rPr>
          <w:rFonts w:cstheme="minorHAnsi"/>
          <w:sz w:val="24"/>
          <w:szCs w:val="24"/>
        </w:rPr>
        <w:t>se</w:t>
      </w:r>
      <w:r w:rsidRPr="00000849">
        <w:rPr>
          <w:rFonts w:cstheme="minorHAnsi"/>
          <w:sz w:val="24"/>
          <w:szCs w:val="24"/>
        </w:rPr>
        <w:t xml:space="preserve"> systematic reviews</w:t>
      </w:r>
      <w:r w:rsidR="0048443D" w:rsidRPr="00000849">
        <w:rPr>
          <w:rFonts w:cstheme="minorHAnsi"/>
          <w:sz w:val="24"/>
          <w:szCs w:val="24"/>
        </w:rPr>
        <w:t xml:space="preserve"> </w:t>
      </w:r>
      <w:r w:rsidRPr="00000849">
        <w:rPr>
          <w:rFonts w:cstheme="minorHAnsi"/>
          <w:sz w:val="24"/>
          <w:szCs w:val="24"/>
        </w:rPr>
        <w:t>provided a wider geographical perspective of the current study’s research objectives relating to the estimati</w:t>
      </w:r>
      <w:r w:rsidR="0048443D" w:rsidRPr="00000849">
        <w:rPr>
          <w:rFonts w:cstheme="minorHAnsi"/>
          <w:sz w:val="24"/>
          <w:szCs w:val="24"/>
        </w:rPr>
        <w:t>o</w:t>
      </w:r>
      <w:r w:rsidRPr="00000849">
        <w:rPr>
          <w:rFonts w:cstheme="minorHAnsi"/>
          <w:sz w:val="24"/>
          <w:szCs w:val="24"/>
        </w:rPr>
        <w:t>n</w:t>
      </w:r>
      <w:r w:rsidR="0048443D" w:rsidRPr="00000849">
        <w:rPr>
          <w:rFonts w:cstheme="minorHAnsi"/>
          <w:sz w:val="24"/>
          <w:szCs w:val="24"/>
        </w:rPr>
        <w:t xml:space="preserve"> of</w:t>
      </w:r>
      <w:r w:rsidRPr="00000849">
        <w:rPr>
          <w:rFonts w:cstheme="minorHAnsi"/>
          <w:sz w:val="24"/>
          <w:szCs w:val="24"/>
        </w:rPr>
        <w:t xml:space="preserve"> </w:t>
      </w:r>
      <w:r w:rsidR="00C91C92" w:rsidRPr="00000849">
        <w:rPr>
          <w:rFonts w:cstheme="minorHAnsi"/>
          <w:sz w:val="24"/>
          <w:szCs w:val="24"/>
        </w:rPr>
        <w:t xml:space="preserve">the prevalence of hypertension in older adults aged ≥50 years at two time points in Ghana </w:t>
      </w:r>
      <w:r w:rsidRPr="00000849">
        <w:rPr>
          <w:rFonts w:cstheme="minorHAnsi"/>
          <w:sz w:val="24"/>
          <w:szCs w:val="24"/>
        </w:rPr>
        <w:t>and identifying its associated risk factors (section 1.</w:t>
      </w:r>
      <w:r w:rsidR="0048443D" w:rsidRPr="00000849">
        <w:rPr>
          <w:rFonts w:cstheme="minorHAnsi"/>
          <w:sz w:val="24"/>
          <w:szCs w:val="24"/>
        </w:rPr>
        <w:t>7</w:t>
      </w:r>
      <w:r w:rsidRPr="00000849">
        <w:rPr>
          <w:rFonts w:cstheme="minorHAnsi"/>
          <w:sz w:val="24"/>
          <w:szCs w:val="24"/>
        </w:rPr>
        <w:t>).</w:t>
      </w:r>
    </w:p>
    <w:p w14:paraId="10F195CA" w14:textId="1F0C1477" w:rsidR="00542193" w:rsidRPr="00000849" w:rsidRDefault="00542193" w:rsidP="006974B4">
      <w:pPr>
        <w:widowControl w:val="0"/>
        <w:spacing w:line="480" w:lineRule="auto"/>
        <w:jc w:val="both"/>
        <w:rPr>
          <w:rFonts w:cstheme="minorHAnsi"/>
          <w:sz w:val="24"/>
          <w:szCs w:val="24"/>
        </w:rPr>
      </w:pPr>
    </w:p>
    <w:p w14:paraId="38C27E7B" w14:textId="046E682C" w:rsidR="00542193" w:rsidRPr="00000849" w:rsidRDefault="00D92056" w:rsidP="004E2350">
      <w:pPr>
        <w:pStyle w:val="Heading3"/>
        <w:rPr>
          <w:sz w:val="24"/>
        </w:rPr>
      </w:pPr>
      <w:bookmarkStart w:id="32" w:name="_Toc51472084"/>
      <w:r w:rsidRPr="00000849">
        <w:rPr>
          <w:sz w:val="24"/>
        </w:rPr>
        <w:t>2.</w:t>
      </w:r>
      <w:r w:rsidR="00E8513F" w:rsidRPr="00000849">
        <w:rPr>
          <w:sz w:val="24"/>
        </w:rPr>
        <w:t>1</w:t>
      </w:r>
      <w:r w:rsidR="00542193" w:rsidRPr="00000849">
        <w:rPr>
          <w:sz w:val="24"/>
        </w:rPr>
        <w:t>.1</w:t>
      </w:r>
      <w:r w:rsidR="00542193" w:rsidRPr="00000849">
        <w:rPr>
          <w:sz w:val="24"/>
        </w:rPr>
        <w:tab/>
        <w:t>Search strategy, inclusion and exclusion criteria in systematic review</w:t>
      </w:r>
      <w:bookmarkEnd w:id="32"/>
    </w:p>
    <w:p w14:paraId="2D79E7E8" w14:textId="77777777" w:rsidR="00542193" w:rsidRPr="00000849" w:rsidRDefault="00542193" w:rsidP="006974B4">
      <w:pPr>
        <w:widowControl w:val="0"/>
        <w:spacing w:line="480" w:lineRule="auto"/>
        <w:jc w:val="both"/>
        <w:rPr>
          <w:rFonts w:cstheme="minorHAnsi"/>
          <w:sz w:val="24"/>
          <w:szCs w:val="24"/>
        </w:rPr>
      </w:pPr>
    </w:p>
    <w:p w14:paraId="261474DA" w14:textId="65581131" w:rsidR="00883650" w:rsidRPr="00000849" w:rsidRDefault="001B62D9" w:rsidP="00542193">
      <w:pPr>
        <w:widowControl w:val="0"/>
        <w:spacing w:line="480" w:lineRule="auto"/>
        <w:jc w:val="both"/>
        <w:rPr>
          <w:rFonts w:cstheme="minorHAnsi"/>
          <w:sz w:val="24"/>
          <w:szCs w:val="24"/>
        </w:rPr>
      </w:pPr>
      <w:r w:rsidRPr="00000849">
        <w:rPr>
          <w:rFonts w:cstheme="minorHAnsi"/>
          <w:sz w:val="24"/>
          <w:szCs w:val="24"/>
        </w:rPr>
        <w:t xml:space="preserve">A comprehensive search for published and unpublished articles from major databases (PubMed, EMBASE, CINAHL, PsychINFO, </w:t>
      </w:r>
      <w:r w:rsidR="00E5481B" w:rsidRPr="00000849">
        <w:rPr>
          <w:rFonts w:cstheme="minorHAnsi"/>
          <w:sz w:val="24"/>
          <w:szCs w:val="24"/>
        </w:rPr>
        <w:t>Academic Search Complete</w:t>
      </w:r>
      <w:r w:rsidR="00610F12" w:rsidRPr="00000849">
        <w:rPr>
          <w:rFonts w:cstheme="minorHAnsi"/>
          <w:sz w:val="24"/>
          <w:szCs w:val="24"/>
        </w:rPr>
        <w:t xml:space="preserve">) was undertaken to identify population-based citations on the prevalence of hypertension in adults aged ≥50 years </w:t>
      </w:r>
      <w:r w:rsidR="00DB40F3" w:rsidRPr="00000849">
        <w:rPr>
          <w:rFonts w:cstheme="minorHAnsi"/>
          <w:sz w:val="24"/>
          <w:szCs w:val="24"/>
        </w:rPr>
        <w:t xml:space="preserve">living </w:t>
      </w:r>
      <w:r w:rsidR="00610F12" w:rsidRPr="00000849">
        <w:rPr>
          <w:rFonts w:cstheme="minorHAnsi"/>
          <w:sz w:val="24"/>
          <w:szCs w:val="24"/>
        </w:rPr>
        <w:t>in Africa.  Grey literature was obtained from Ovid, Google Scholar and ProQuest.  The articles covered the period from 1 January 1980 to 28 May 2018.</w:t>
      </w:r>
    </w:p>
    <w:p w14:paraId="19973042" w14:textId="7E33A829" w:rsidR="00610F12" w:rsidRPr="00000849" w:rsidRDefault="00610F12" w:rsidP="00217EE3">
      <w:pPr>
        <w:widowControl w:val="0"/>
        <w:spacing w:line="480" w:lineRule="auto"/>
        <w:ind w:firstLine="567"/>
        <w:jc w:val="both"/>
        <w:rPr>
          <w:rFonts w:cstheme="minorHAnsi"/>
          <w:sz w:val="24"/>
          <w:szCs w:val="24"/>
        </w:rPr>
      </w:pPr>
      <w:r w:rsidRPr="00000849">
        <w:rPr>
          <w:rFonts w:cstheme="minorHAnsi"/>
          <w:sz w:val="24"/>
          <w:szCs w:val="24"/>
        </w:rPr>
        <w:t>Using the population, intervention, comparator, outcome and settings (PICOS) approach</w:t>
      </w:r>
      <w:r w:rsidR="00217EE3" w:rsidRPr="00000849">
        <w:rPr>
          <w:rFonts w:cstheme="minorHAnsi"/>
          <w:sz w:val="24"/>
          <w:szCs w:val="24"/>
        </w:rPr>
        <w:t xml:space="preserve"> adapted to non-intervention or non-analytical studies </w:t>
      </w:r>
      <w:r w:rsidR="00217EE3" w:rsidRPr="00000849">
        <w:rPr>
          <w:rFonts w:cstheme="minorHAnsi"/>
          <w:sz w:val="24"/>
          <w:szCs w:val="24"/>
        </w:rPr>
        <w:fldChar w:fldCharType="begin"/>
      </w:r>
      <w:r w:rsidR="00AC2BE6">
        <w:rPr>
          <w:rFonts w:cstheme="minorHAnsi"/>
          <w:sz w:val="24"/>
          <w:szCs w:val="24"/>
        </w:rPr>
        <w:instrText xml:space="preserve"> ADDIN EN.CITE &lt;EndNote&gt;&lt;Cite&gt;&lt;Author&gt;Liberati&lt;/Author&gt;&lt;Year&gt;2009&lt;/Year&gt;&lt;RecNum&gt;14&lt;/RecNum&gt;&lt;DisplayText&gt;(Liberati et al., 2009)&lt;/DisplayText&gt;&lt;record&gt;&lt;rec-number&gt;14&lt;/rec-number&gt;&lt;foreign-keys&gt;&lt;key app="EN" db-id="29t2ptva8t9xtgex0z2vepsadpwpfxd9a2zv" timestamp="1584928805"&gt;14&lt;/key&gt;&lt;/foreign-keys&gt;&lt;ref-type name="Journal Article"&gt;17&lt;/ref-type&gt;&lt;contributors&gt;&lt;authors&gt;&lt;author&gt;Liberati, Alessandro&lt;/author&gt;&lt;author&gt;Altman, Douglas G&lt;/author&gt;&lt;author&gt;Tetzlaff, Jennifer&lt;/author&gt;&lt;author&gt;Mulrow, Cynthia&lt;/author&gt;&lt;author&gt;Gøtzsche, Peter C&lt;/author&gt;&lt;author&gt;Ioannidis, John PA&lt;/author&gt;&lt;author&gt;Clarke, Mike&lt;/author&gt;&lt;author&gt;Devereaux, Pl J&lt;/author&gt;&lt;author&gt;Kleijnen, Jos&lt;/author&gt;&lt;author&gt;Moher, David&lt;/author&gt;&lt;/authors&gt;&lt;/contributors&gt;&lt;titles&gt;&lt;title&gt;The PRISMA statement for reporting systematic reviews and meta-analyses of studies that evaluate health care interventions: explanation and elaboration&lt;/title&gt;&lt;secondary-title&gt;PLoS Medicine&lt;/secondary-title&gt;&lt;/titles&gt;&lt;periodical&gt;&lt;full-title&gt;PLoS Medicine&lt;/full-title&gt;&lt;abbr-1&gt;PLoS Med&lt;/abbr-1&gt;&lt;/periodical&gt;&lt;pages&gt;e1000100&lt;/pages&gt;&lt;volume&gt;6&lt;/volume&gt;&lt;number&gt;7&lt;/number&gt;&lt;dates&gt;&lt;year&gt;2009&lt;/year&gt;&lt;/dates&gt;&lt;isbn&gt;1549-1676&lt;/isbn&gt;&lt;urls&gt;&lt;/urls&gt;&lt;/record&gt;&lt;/Cite&gt;&lt;/EndNote&gt;</w:instrText>
      </w:r>
      <w:r w:rsidR="00217EE3" w:rsidRPr="00000849">
        <w:rPr>
          <w:rFonts w:cstheme="minorHAnsi"/>
          <w:sz w:val="24"/>
          <w:szCs w:val="24"/>
        </w:rPr>
        <w:fldChar w:fldCharType="separate"/>
      </w:r>
      <w:r w:rsidR="001740AB" w:rsidRPr="00000849">
        <w:rPr>
          <w:rFonts w:cstheme="minorHAnsi"/>
          <w:noProof/>
          <w:sz w:val="24"/>
          <w:szCs w:val="24"/>
        </w:rPr>
        <w:t>(Liberati et al., 2009)</w:t>
      </w:r>
      <w:r w:rsidR="00217EE3" w:rsidRPr="00000849">
        <w:rPr>
          <w:rFonts w:cstheme="minorHAnsi"/>
          <w:sz w:val="24"/>
          <w:szCs w:val="24"/>
        </w:rPr>
        <w:fldChar w:fldCharType="end"/>
      </w:r>
      <w:r w:rsidRPr="00000849">
        <w:rPr>
          <w:rFonts w:cstheme="minorHAnsi"/>
          <w:sz w:val="24"/>
          <w:szCs w:val="24"/>
        </w:rPr>
        <w:t>, search terms</w:t>
      </w:r>
      <w:r w:rsidR="007463C0" w:rsidRPr="00000849">
        <w:rPr>
          <w:rFonts w:cstheme="minorHAnsi"/>
          <w:sz w:val="24"/>
          <w:szCs w:val="24"/>
        </w:rPr>
        <w:t xml:space="preserve"> relating to </w:t>
      </w:r>
      <w:r w:rsidRPr="00000849">
        <w:rPr>
          <w:rFonts w:cstheme="minorHAnsi"/>
          <w:sz w:val="24"/>
          <w:szCs w:val="24"/>
        </w:rPr>
        <w:t xml:space="preserve"> </w:t>
      </w:r>
      <w:r w:rsidR="00217EE3" w:rsidRPr="00000849">
        <w:rPr>
          <w:rFonts w:cstheme="minorHAnsi"/>
          <w:sz w:val="24"/>
          <w:szCs w:val="24"/>
        </w:rPr>
        <w:t>“prevalence” were used to represent the intervention concept</w:t>
      </w:r>
      <w:r w:rsidR="006B1857" w:rsidRPr="00000849">
        <w:rPr>
          <w:rFonts w:cstheme="minorHAnsi"/>
          <w:sz w:val="24"/>
          <w:szCs w:val="24"/>
        </w:rPr>
        <w:t xml:space="preserve">; </w:t>
      </w:r>
      <w:r w:rsidR="00217EE3" w:rsidRPr="00000849">
        <w:rPr>
          <w:rFonts w:cstheme="minorHAnsi"/>
          <w:sz w:val="24"/>
          <w:szCs w:val="24"/>
        </w:rPr>
        <w:t xml:space="preserve">"blood pressure" represented the outcome concept while “Africa” and the </w:t>
      </w:r>
      <w:r w:rsidR="00F93ED1" w:rsidRPr="00000849">
        <w:rPr>
          <w:rFonts w:cstheme="minorHAnsi"/>
          <w:sz w:val="24"/>
          <w:szCs w:val="24"/>
        </w:rPr>
        <w:t xml:space="preserve">individual </w:t>
      </w:r>
      <w:r w:rsidR="00217EE3" w:rsidRPr="00000849">
        <w:rPr>
          <w:rFonts w:cstheme="minorHAnsi"/>
          <w:sz w:val="24"/>
          <w:szCs w:val="24"/>
        </w:rPr>
        <w:t xml:space="preserve">names of </w:t>
      </w:r>
      <w:r w:rsidR="00692F37" w:rsidRPr="00000849">
        <w:rPr>
          <w:rFonts w:cstheme="minorHAnsi"/>
          <w:sz w:val="24"/>
          <w:szCs w:val="24"/>
        </w:rPr>
        <w:t>all</w:t>
      </w:r>
      <w:r w:rsidR="00217EE3" w:rsidRPr="00000849">
        <w:rPr>
          <w:rFonts w:cstheme="minorHAnsi"/>
          <w:color w:val="FF0000"/>
          <w:sz w:val="24"/>
          <w:szCs w:val="24"/>
        </w:rPr>
        <w:t xml:space="preserve"> </w:t>
      </w:r>
      <w:r w:rsidR="00217EE3" w:rsidRPr="00000849">
        <w:rPr>
          <w:rFonts w:cstheme="minorHAnsi"/>
          <w:sz w:val="24"/>
          <w:szCs w:val="24"/>
        </w:rPr>
        <w:t xml:space="preserve">African countries represented the settings concept.  These concepts were linked together by relevant Boolean operators “OR” and “AND”.  The search strategy was limited to </w:t>
      </w:r>
      <w:r w:rsidRPr="00000849">
        <w:rPr>
          <w:rFonts w:cstheme="minorHAnsi"/>
          <w:sz w:val="24"/>
          <w:szCs w:val="24"/>
        </w:rPr>
        <w:t xml:space="preserve">human studies </w:t>
      </w:r>
      <w:r w:rsidR="00217EE3" w:rsidRPr="00000849">
        <w:rPr>
          <w:rFonts w:cstheme="minorHAnsi"/>
          <w:sz w:val="24"/>
          <w:szCs w:val="24"/>
        </w:rPr>
        <w:t>involving</w:t>
      </w:r>
      <w:r w:rsidRPr="00000849">
        <w:rPr>
          <w:rFonts w:cstheme="minorHAnsi"/>
          <w:sz w:val="24"/>
          <w:szCs w:val="24"/>
        </w:rPr>
        <w:t xml:space="preserve"> </w:t>
      </w:r>
      <w:r w:rsidRPr="00000849">
        <w:rPr>
          <w:rFonts w:eastAsia="Times New Roman" w:cstheme="minorHAnsi"/>
          <w:color w:val="2D2D2D"/>
          <w:sz w:val="24"/>
          <w:szCs w:val="24"/>
          <w:lang w:eastAsia="en-GB"/>
        </w:rPr>
        <w:t xml:space="preserve">middle-aged (45 to 64 years)" or the "aged (65 and over)".  </w:t>
      </w:r>
      <w:r w:rsidR="007463C0" w:rsidRPr="00000849">
        <w:rPr>
          <w:rFonts w:eastAsia="Times New Roman" w:cstheme="minorHAnsi"/>
          <w:color w:val="2D2D2D"/>
          <w:sz w:val="24"/>
          <w:szCs w:val="24"/>
          <w:lang w:eastAsia="en-GB"/>
        </w:rPr>
        <w:t>S</w:t>
      </w:r>
      <w:r w:rsidR="00217EE3" w:rsidRPr="00000849">
        <w:rPr>
          <w:rFonts w:eastAsia="Times New Roman" w:cstheme="minorHAnsi"/>
          <w:color w:val="2D2D2D"/>
          <w:sz w:val="24"/>
          <w:szCs w:val="24"/>
          <w:lang w:eastAsia="en-GB"/>
        </w:rPr>
        <w:t>ynonyms</w:t>
      </w:r>
      <w:r w:rsidR="007463C0" w:rsidRPr="00000849">
        <w:rPr>
          <w:rFonts w:eastAsia="Times New Roman" w:cstheme="minorHAnsi"/>
          <w:color w:val="2D2D2D"/>
          <w:sz w:val="24"/>
          <w:szCs w:val="24"/>
          <w:lang w:eastAsia="en-GB"/>
        </w:rPr>
        <w:t xml:space="preserve"> of </w:t>
      </w:r>
      <w:r w:rsidRPr="00000849">
        <w:rPr>
          <w:rFonts w:cstheme="minorHAnsi"/>
          <w:sz w:val="24"/>
          <w:szCs w:val="24"/>
        </w:rPr>
        <w:t>"older adults"</w:t>
      </w:r>
      <w:r w:rsidR="007463C0" w:rsidRPr="00000849">
        <w:rPr>
          <w:rFonts w:cstheme="minorHAnsi"/>
          <w:sz w:val="24"/>
          <w:szCs w:val="24"/>
        </w:rPr>
        <w:t xml:space="preserve"> </w:t>
      </w:r>
      <w:r w:rsidR="00B44F49" w:rsidRPr="00000849">
        <w:rPr>
          <w:rFonts w:cstheme="minorHAnsi"/>
          <w:sz w:val="24"/>
          <w:szCs w:val="24"/>
        </w:rPr>
        <w:t xml:space="preserve">were used </w:t>
      </w:r>
      <w:r w:rsidR="00217EE3" w:rsidRPr="00000849">
        <w:rPr>
          <w:rFonts w:cstheme="minorHAnsi"/>
          <w:sz w:val="24"/>
          <w:szCs w:val="24"/>
        </w:rPr>
        <w:t>in databases w</w:t>
      </w:r>
      <w:r w:rsidR="00B44F49" w:rsidRPr="00000849">
        <w:rPr>
          <w:rFonts w:cstheme="minorHAnsi"/>
          <w:sz w:val="24"/>
          <w:szCs w:val="24"/>
        </w:rPr>
        <w:t>h</w:t>
      </w:r>
      <w:r w:rsidR="00217EE3" w:rsidRPr="00000849">
        <w:rPr>
          <w:rFonts w:cstheme="minorHAnsi"/>
          <w:sz w:val="24"/>
          <w:szCs w:val="24"/>
        </w:rPr>
        <w:t>ere the age limits could not be set</w:t>
      </w:r>
      <w:r w:rsidRPr="00000849">
        <w:rPr>
          <w:rFonts w:cstheme="minorHAnsi"/>
          <w:sz w:val="24"/>
          <w:szCs w:val="24"/>
        </w:rPr>
        <w:t xml:space="preserve">. </w:t>
      </w:r>
      <w:r w:rsidR="00A00A3C" w:rsidRPr="00000849">
        <w:rPr>
          <w:rFonts w:cstheme="minorHAnsi"/>
          <w:sz w:val="24"/>
          <w:szCs w:val="24"/>
        </w:rPr>
        <w:t xml:space="preserve"> The bibliography of retrieved articles was hand-searched to identify further eligible articles.  </w:t>
      </w:r>
      <w:r w:rsidR="00DB40F3" w:rsidRPr="00000849">
        <w:rPr>
          <w:rFonts w:cstheme="minorHAnsi"/>
          <w:sz w:val="24"/>
          <w:szCs w:val="24"/>
        </w:rPr>
        <w:t xml:space="preserve">An example of the search </w:t>
      </w:r>
      <w:r w:rsidR="009D3690" w:rsidRPr="00000849">
        <w:rPr>
          <w:rFonts w:cstheme="minorHAnsi"/>
          <w:sz w:val="24"/>
          <w:szCs w:val="24"/>
        </w:rPr>
        <w:t xml:space="preserve">strategy </w:t>
      </w:r>
      <w:r w:rsidR="00C16160" w:rsidRPr="00000849">
        <w:rPr>
          <w:rFonts w:cstheme="minorHAnsi"/>
          <w:sz w:val="24"/>
          <w:szCs w:val="24"/>
        </w:rPr>
        <w:t>is</w:t>
      </w:r>
      <w:r w:rsidR="00DB40F3" w:rsidRPr="00000849">
        <w:rPr>
          <w:rFonts w:cstheme="minorHAnsi"/>
          <w:sz w:val="24"/>
          <w:szCs w:val="24"/>
        </w:rPr>
        <w:t xml:space="preserve"> </w:t>
      </w:r>
      <w:r w:rsidR="00DB40F3" w:rsidRPr="00000849">
        <w:rPr>
          <w:rFonts w:cstheme="minorHAnsi"/>
          <w:sz w:val="24"/>
          <w:szCs w:val="24"/>
        </w:rPr>
        <w:lastRenderedPageBreak/>
        <w:t xml:space="preserve">reproduced in </w:t>
      </w:r>
      <w:r w:rsidR="00007E47" w:rsidRPr="00000849">
        <w:rPr>
          <w:rFonts w:cstheme="minorHAnsi"/>
          <w:sz w:val="24"/>
          <w:szCs w:val="24"/>
        </w:rPr>
        <w:t>Appendix 2</w:t>
      </w:r>
      <w:r w:rsidR="00153EFF" w:rsidRPr="00000849">
        <w:rPr>
          <w:rFonts w:cstheme="minorHAnsi"/>
          <w:sz w:val="24"/>
          <w:szCs w:val="24"/>
        </w:rPr>
        <w:t xml:space="preserve"> Table </w:t>
      </w:r>
      <w:r w:rsidR="001649D8" w:rsidRPr="00000849">
        <w:rPr>
          <w:rFonts w:cstheme="minorHAnsi"/>
          <w:sz w:val="24"/>
          <w:szCs w:val="24"/>
        </w:rPr>
        <w:t>A</w:t>
      </w:r>
      <w:r w:rsidR="00153EFF" w:rsidRPr="00000849">
        <w:rPr>
          <w:rFonts w:cstheme="minorHAnsi"/>
          <w:sz w:val="24"/>
          <w:szCs w:val="24"/>
        </w:rPr>
        <w:t>1</w:t>
      </w:r>
      <w:r w:rsidR="00DB40F3" w:rsidRPr="00000849">
        <w:rPr>
          <w:rFonts w:cstheme="minorHAnsi"/>
          <w:sz w:val="24"/>
          <w:szCs w:val="24"/>
        </w:rPr>
        <w:t>.</w:t>
      </w:r>
    </w:p>
    <w:p w14:paraId="137D6C33" w14:textId="1C67B68E" w:rsidR="00217EE3" w:rsidRPr="00000849" w:rsidRDefault="00DB40F3" w:rsidP="00DB40F3">
      <w:pPr>
        <w:widowControl w:val="0"/>
        <w:spacing w:line="480" w:lineRule="auto"/>
        <w:ind w:firstLine="567"/>
        <w:jc w:val="both"/>
        <w:rPr>
          <w:rFonts w:cstheme="minorHAnsi"/>
          <w:sz w:val="24"/>
          <w:szCs w:val="24"/>
        </w:rPr>
      </w:pPr>
      <w:r w:rsidRPr="00000849">
        <w:rPr>
          <w:rFonts w:cstheme="minorHAnsi"/>
          <w:sz w:val="24"/>
          <w:szCs w:val="24"/>
        </w:rPr>
        <w:t xml:space="preserve">The </w:t>
      </w:r>
      <w:r w:rsidR="0060404B" w:rsidRPr="00000849">
        <w:rPr>
          <w:rFonts w:cstheme="minorHAnsi"/>
          <w:sz w:val="24"/>
          <w:szCs w:val="24"/>
        </w:rPr>
        <w:t>articles</w:t>
      </w:r>
      <w:r w:rsidRPr="00000849">
        <w:rPr>
          <w:rFonts w:cstheme="minorHAnsi"/>
          <w:sz w:val="24"/>
          <w:szCs w:val="24"/>
        </w:rPr>
        <w:t xml:space="preserve"> were included if they were original articles, conference proceedings or abstracts</w:t>
      </w:r>
      <w:r w:rsidR="00F95DF7" w:rsidRPr="00000849">
        <w:rPr>
          <w:rFonts w:cstheme="minorHAnsi"/>
          <w:sz w:val="24"/>
          <w:szCs w:val="24"/>
        </w:rPr>
        <w:t xml:space="preserve"> which</w:t>
      </w:r>
      <w:r w:rsidRPr="00000849">
        <w:rPr>
          <w:rFonts w:cstheme="minorHAnsi"/>
          <w:sz w:val="24"/>
          <w:szCs w:val="24"/>
        </w:rPr>
        <w:t xml:space="preserve"> report</w:t>
      </w:r>
      <w:r w:rsidR="00F95DF7" w:rsidRPr="00000849">
        <w:rPr>
          <w:rFonts w:cstheme="minorHAnsi"/>
          <w:sz w:val="24"/>
          <w:szCs w:val="24"/>
        </w:rPr>
        <w:t>ed</w:t>
      </w:r>
      <w:r w:rsidRPr="00000849">
        <w:rPr>
          <w:rFonts w:cstheme="minorHAnsi"/>
          <w:sz w:val="24"/>
          <w:szCs w:val="24"/>
        </w:rPr>
        <w:t xml:space="preserve"> the incidence or prevalence of hypertension from cr</w:t>
      </w:r>
      <w:r w:rsidR="00217EE3" w:rsidRPr="00000849">
        <w:rPr>
          <w:rFonts w:cstheme="minorHAnsi"/>
          <w:sz w:val="24"/>
          <w:szCs w:val="24"/>
        </w:rPr>
        <w:t xml:space="preserve">oss-sectional or follow-up studies.  </w:t>
      </w:r>
      <w:r w:rsidR="00F95DF7" w:rsidRPr="00000849">
        <w:rPr>
          <w:rFonts w:cstheme="minorHAnsi"/>
          <w:sz w:val="24"/>
          <w:szCs w:val="24"/>
        </w:rPr>
        <w:t xml:space="preserve">They were excluded </w:t>
      </w:r>
      <w:r w:rsidR="0060404B" w:rsidRPr="00000849">
        <w:rPr>
          <w:rFonts w:cstheme="minorHAnsi"/>
          <w:sz w:val="24"/>
          <w:szCs w:val="24"/>
        </w:rPr>
        <w:t>if the study subjects were pregnant, ill, recruited from hospitals or geriatric domiciliary institutions or lived outside Africa</w:t>
      </w:r>
      <w:r w:rsidR="006B1857" w:rsidRPr="00000849">
        <w:rPr>
          <w:rFonts w:cstheme="minorHAnsi"/>
          <w:sz w:val="24"/>
          <w:szCs w:val="24"/>
        </w:rPr>
        <w:t xml:space="preserve"> or if the s</w:t>
      </w:r>
      <w:r w:rsidR="0060404B" w:rsidRPr="00000849">
        <w:rPr>
          <w:rFonts w:cstheme="minorHAnsi"/>
          <w:sz w:val="24"/>
          <w:szCs w:val="24"/>
        </w:rPr>
        <w:t>tudies report</w:t>
      </w:r>
      <w:r w:rsidR="006B1857" w:rsidRPr="00000849">
        <w:rPr>
          <w:rFonts w:cstheme="minorHAnsi"/>
          <w:sz w:val="24"/>
          <w:szCs w:val="24"/>
        </w:rPr>
        <w:t xml:space="preserve">ed </w:t>
      </w:r>
      <w:r w:rsidR="0060404B" w:rsidRPr="00000849">
        <w:rPr>
          <w:rFonts w:cstheme="minorHAnsi"/>
          <w:sz w:val="24"/>
          <w:szCs w:val="24"/>
        </w:rPr>
        <w:t>self-reported or non-systemic hypertension.</w:t>
      </w:r>
    </w:p>
    <w:p w14:paraId="084023E6" w14:textId="26623C98" w:rsidR="008757CC" w:rsidRPr="00000849" w:rsidRDefault="008757CC" w:rsidP="00DB40F3">
      <w:pPr>
        <w:widowControl w:val="0"/>
        <w:spacing w:line="480" w:lineRule="auto"/>
        <w:ind w:firstLine="567"/>
        <w:jc w:val="both"/>
        <w:rPr>
          <w:rFonts w:cstheme="minorHAnsi"/>
          <w:sz w:val="24"/>
          <w:szCs w:val="24"/>
        </w:rPr>
      </w:pPr>
      <w:r w:rsidRPr="00000849">
        <w:rPr>
          <w:rFonts w:cstheme="minorHAnsi"/>
          <w:sz w:val="24"/>
          <w:szCs w:val="24"/>
        </w:rPr>
        <w:t>In line with international guidelines, subjects</w:t>
      </w:r>
      <w:r w:rsidR="00E8513F" w:rsidRPr="00000849">
        <w:rPr>
          <w:rFonts w:cstheme="minorHAnsi"/>
          <w:sz w:val="24"/>
          <w:szCs w:val="24"/>
        </w:rPr>
        <w:t xml:space="preserve"> were considered to have hypertension if they had a</w:t>
      </w:r>
      <w:r w:rsidRPr="00000849">
        <w:rPr>
          <w:rFonts w:cstheme="minorHAnsi"/>
          <w:sz w:val="24"/>
          <w:szCs w:val="24"/>
        </w:rPr>
        <w:t xml:space="preserve"> systolic blood pressure (SBP) ≥ 140 mmHg and/or diastolic blood pressure (DBP) ≥ 90 mmHg or if they reported taking anti-hypertensive medication </w:t>
      </w:r>
      <w:r w:rsidRPr="00000849">
        <w:rPr>
          <w:rFonts w:cstheme="minorHAnsi"/>
          <w:sz w:val="24"/>
          <w:szCs w:val="24"/>
        </w:rPr>
        <w:fldChar w:fldCharType="begin">
          <w:fldData xml:space="preserve">PEVuZE5vdGU+PENpdGU+PEF1dGhvcj5DaG9iYW5pYW48L0F1dGhvcj48WWVhcj4yMDAzPC9ZZWFy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</w:fldData>
        </w:fldChar>
      </w:r>
      <w:r w:rsidR="00AC2BE6">
        <w:rPr>
          <w:rFonts w:cstheme="minorHAnsi"/>
          <w:sz w:val="24"/>
          <w:szCs w:val="24"/>
        </w:rPr>
        <w:instrText xml:space="preserve"> ADDIN EN.CITE </w:instrText>
      </w:r>
      <w:r w:rsidR="00AC2BE6">
        <w:rPr>
          <w:rFonts w:cstheme="minorHAnsi"/>
          <w:sz w:val="24"/>
          <w:szCs w:val="24"/>
        </w:rPr>
        <w:fldChar w:fldCharType="begin">
          <w:fldData xml:space="preserve">PEVuZE5vdGU+PENpdGU+PEF1dGhvcj5DaG9iYW5pYW48L0F1dGhvcj48WWVhcj4yMDAzPC9ZZWFy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</w:fldData>
        </w:fldChar>
      </w:r>
      <w:r w:rsidR="00AC2BE6">
        <w:rPr>
          <w:rFonts w:cstheme="minorHAnsi"/>
          <w:sz w:val="24"/>
          <w:szCs w:val="24"/>
        </w:rPr>
        <w:instrText xml:space="preserve"> ADDIN EN.CITE.DATA </w:instrText>
      </w:r>
      <w:r w:rsidR="00AC2BE6">
        <w:rPr>
          <w:rFonts w:cstheme="minorHAnsi"/>
          <w:sz w:val="24"/>
          <w:szCs w:val="24"/>
        </w:rPr>
      </w:r>
      <w:r w:rsidR="00AC2BE6">
        <w:rPr>
          <w:rFonts w:cstheme="minorHAnsi"/>
          <w:sz w:val="24"/>
          <w:szCs w:val="24"/>
        </w:rPr>
        <w:fldChar w:fldCharType="end"/>
      </w:r>
      <w:r w:rsidRPr="00000849">
        <w:rPr>
          <w:rFonts w:cstheme="minorHAnsi"/>
          <w:sz w:val="24"/>
          <w:szCs w:val="24"/>
        </w:rPr>
      </w:r>
      <w:r w:rsidRPr="00000849">
        <w:rPr>
          <w:rFonts w:cstheme="minorHAnsi"/>
          <w:sz w:val="24"/>
          <w:szCs w:val="24"/>
        </w:rPr>
        <w:fldChar w:fldCharType="separate"/>
      </w:r>
      <w:r w:rsidR="00B45210" w:rsidRPr="00000849">
        <w:rPr>
          <w:rFonts w:cstheme="minorHAnsi"/>
          <w:noProof/>
          <w:sz w:val="24"/>
          <w:szCs w:val="24"/>
        </w:rPr>
        <w:t>(Chobanian et al., 2003a; Williams et al., 2004)</w:t>
      </w:r>
      <w:r w:rsidRPr="00000849">
        <w:rPr>
          <w:rFonts w:cstheme="minorHAnsi"/>
          <w:sz w:val="24"/>
          <w:szCs w:val="24"/>
        </w:rPr>
        <w:fldChar w:fldCharType="end"/>
      </w:r>
      <w:r w:rsidRPr="00000849">
        <w:rPr>
          <w:rFonts w:cstheme="minorHAnsi"/>
          <w:sz w:val="24"/>
          <w:szCs w:val="24"/>
        </w:rPr>
        <w:t xml:space="preserve">.  </w:t>
      </w:r>
    </w:p>
    <w:p w14:paraId="255994D5" w14:textId="4ECD4A50" w:rsidR="00F62EE2" w:rsidRPr="00000849" w:rsidRDefault="00A87E92" w:rsidP="00A87E92">
      <w:pPr>
        <w:widowControl w:val="0"/>
        <w:spacing w:line="480" w:lineRule="auto"/>
        <w:ind w:firstLine="567"/>
        <w:jc w:val="both"/>
        <w:rPr>
          <w:rFonts w:cstheme="minorHAnsi"/>
          <w:sz w:val="24"/>
          <w:szCs w:val="24"/>
        </w:rPr>
      </w:pPr>
      <w:r w:rsidRPr="00000849">
        <w:rPr>
          <w:rFonts w:cstheme="minorHAnsi"/>
          <w:sz w:val="24"/>
          <w:szCs w:val="24"/>
        </w:rPr>
        <w:t xml:space="preserve">The citations from the different databases were managed using the Covidence software which enabled duplicates to be removed </w:t>
      </w:r>
      <w:r w:rsidR="00F62EE2" w:rsidRPr="00000849">
        <w:rPr>
          <w:rFonts w:cstheme="minorHAnsi"/>
          <w:sz w:val="24"/>
          <w:szCs w:val="24"/>
        </w:rPr>
        <w:fldChar w:fldCharType="begin"/>
      </w:r>
      <w:r w:rsidR="00AC2BE6">
        <w:rPr>
          <w:rFonts w:cstheme="minorHAnsi"/>
          <w:sz w:val="24"/>
          <w:szCs w:val="24"/>
        </w:rPr>
        <w:instrText xml:space="preserve"> ADDIN EN.CITE &lt;EndNote&gt;&lt;Cite&gt;&lt;Author&gt;Veritas Health Innovation&lt;/Author&gt;&lt;Year&gt;2018&lt;/Year&gt;&lt;RecNum&gt;92&lt;/RecNum&gt;&lt;DisplayText&gt;(Veritas Health Innovation, 2018)&lt;/DisplayText&gt;&lt;record&gt;&lt;rec-number&gt;92&lt;/rec-number&gt;&lt;foreign-keys&gt;&lt;key app="EN" db-id="29t2ptva8t9xtgex0z2vepsadpwpfxd9a2zv" timestamp="1585501206"&gt;92&lt;/key&gt;&lt;/foreign-keys&gt;&lt;ref-type name="Web Page"&gt;12&lt;/ref-type&gt;&lt;contributors&gt;&lt;authors&gt;&lt;author&gt;Veritas Health Innovation,&lt;/author&gt;&lt;/authors&gt;&lt;/contributors&gt;&lt;titles&gt;&lt;title&gt;Covidence systematic review software.&lt;/title&gt;&lt;/titles&gt;&lt;volume&gt;2018&lt;/volume&gt;&lt;dates&gt;&lt;year&gt;2018&lt;/year&gt;&lt;/dates&gt;&lt;pub-location&gt;Melbourne, Australia&lt;/pub-location&gt;&lt;urls&gt;&lt;related-urls&gt;&lt;url&gt;www.covidence.org&lt;/url&gt;&lt;/related-urls&gt;&lt;/urls&gt;&lt;custom1&gt;2018&lt;/custom1&gt;&lt;/record&gt;&lt;/Cite&gt;&lt;/EndNote&gt;</w:instrText>
      </w:r>
      <w:r w:rsidR="00F62EE2" w:rsidRPr="00000849">
        <w:rPr>
          <w:rFonts w:cstheme="minorHAnsi"/>
          <w:sz w:val="24"/>
          <w:szCs w:val="24"/>
        </w:rPr>
        <w:fldChar w:fldCharType="separate"/>
      </w:r>
      <w:r w:rsidR="00F62EE2" w:rsidRPr="00000849">
        <w:rPr>
          <w:rFonts w:cstheme="minorHAnsi"/>
          <w:noProof/>
          <w:sz w:val="24"/>
          <w:szCs w:val="24"/>
        </w:rPr>
        <w:t>(Veritas Health Innovation, 2018)</w:t>
      </w:r>
      <w:r w:rsidR="00F62EE2" w:rsidRPr="00000849">
        <w:rPr>
          <w:rFonts w:cstheme="minorHAnsi"/>
          <w:sz w:val="24"/>
          <w:szCs w:val="24"/>
        </w:rPr>
        <w:fldChar w:fldCharType="end"/>
      </w:r>
      <w:r w:rsidR="00F62EE2" w:rsidRPr="00000849">
        <w:rPr>
          <w:rFonts w:cstheme="minorHAnsi"/>
          <w:sz w:val="24"/>
          <w:szCs w:val="24"/>
        </w:rPr>
        <w:t xml:space="preserve">.  </w:t>
      </w:r>
      <w:r w:rsidRPr="00000849">
        <w:rPr>
          <w:rFonts w:cstheme="minorHAnsi"/>
          <w:sz w:val="24"/>
          <w:szCs w:val="24"/>
        </w:rPr>
        <w:t>The</w:t>
      </w:r>
      <w:r w:rsidR="00172652" w:rsidRPr="00000849">
        <w:rPr>
          <w:rFonts w:cstheme="minorHAnsi"/>
          <w:sz w:val="24"/>
          <w:szCs w:val="24"/>
        </w:rPr>
        <w:t>y</w:t>
      </w:r>
      <w:r w:rsidRPr="00000849">
        <w:rPr>
          <w:rFonts w:cstheme="minorHAnsi"/>
          <w:sz w:val="24"/>
          <w:szCs w:val="24"/>
        </w:rPr>
        <w:t xml:space="preserve"> were systematically and sequentially screened from their titles, abstracts and full-text versions with exclusions </w:t>
      </w:r>
      <w:r w:rsidR="00763042" w:rsidRPr="00000849">
        <w:rPr>
          <w:rFonts w:cstheme="minorHAnsi"/>
          <w:sz w:val="24"/>
          <w:szCs w:val="24"/>
        </w:rPr>
        <w:t xml:space="preserve">made </w:t>
      </w:r>
      <w:r w:rsidRPr="00000849">
        <w:rPr>
          <w:rFonts w:cstheme="minorHAnsi"/>
          <w:sz w:val="24"/>
          <w:szCs w:val="24"/>
        </w:rPr>
        <w:t xml:space="preserve">at each stage based on the inclusion and exclusion criteria.  The Covidence software facilitated the retrieval of potential articles and for their independent evaluation by two reviewers for inclusion in the </w:t>
      </w:r>
      <w:r w:rsidR="003E4D5C" w:rsidRPr="00000849">
        <w:rPr>
          <w:rFonts w:cstheme="minorHAnsi"/>
          <w:sz w:val="24"/>
          <w:szCs w:val="24"/>
        </w:rPr>
        <w:t xml:space="preserve">systematic review for analysis and for analysis of their risk of bias. </w:t>
      </w:r>
      <w:r w:rsidRPr="00000849">
        <w:rPr>
          <w:rFonts w:cstheme="minorHAnsi"/>
          <w:sz w:val="24"/>
          <w:szCs w:val="24"/>
        </w:rPr>
        <w:t xml:space="preserve"> </w:t>
      </w:r>
      <w:r w:rsidR="003E4D5C" w:rsidRPr="00000849">
        <w:rPr>
          <w:rFonts w:cstheme="minorHAnsi"/>
          <w:sz w:val="24"/>
          <w:szCs w:val="24"/>
        </w:rPr>
        <w:t xml:space="preserve">Conflicts in the evaluation </w:t>
      </w:r>
      <w:r w:rsidR="00174113" w:rsidRPr="00000849">
        <w:rPr>
          <w:rFonts w:cstheme="minorHAnsi"/>
          <w:sz w:val="24"/>
          <w:szCs w:val="24"/>
        </w:rPr>
        <w:t xml:space="preserve">were </w:t>
      </w:r>
      <w:r w:rsidR="003E4D5C" w:rsidRPr="00000849">
        <w:rPr>
          <w:rFonts w:cstheme="minorHAnsi"/>
          <w:sz w:val="24"/>
          <w:szCs w:val="24"/>
        </w:rPr>
        <w:t xml:space="preserve">flagged by Covidence </w:t>
      </w:r>
      <w:r w:rsidR="00174113" w:rsidRPr="00000849">
        <w:rPr>
          <w:rFonts w:cstheme="minorHAnsi"/>
          <w:sz w:val="24"/>
          <w:szCs w:val="24"/>
        </w:rPr>
        <w:t>and</w:t>
      </w:r>
      <w:r w:rsidR="003E4D5C" w:rsidRPr="00000849">
        <w:rPr>
          <w:rFonts w:cstheme="minorHAnsi"/>
          <w:sz w:val="24"/>
          <w:szCs w:val="24"/>
        </w:rPr>
        <w:t xml:space="preserve"> resolved by consensus.  </w:t>
      </w:r>
    </w:p>
    <w:p w14:paraId="73F0E0DC" w14:textId="7AEF446A" w:rsidR="00F62EE2" w:rsidRPr="00000849" w:rsidRDefault="00F62EE2" w:rsidP="00DB40F3">
      <w:pPr>
        <w:widowControl w:val="0"/>
        <w:spacing w:line="480" w:lineRule="auto"/>
        <w:ind w:firstLine="567"/>
        <w:jc w:val="both"/>
        <w:rPr>
          <w:rFonts w:cstheme="minorHAnsi"/>
          <w:sz w:val="24"/>
          <w:szCs w:val="24"/>
        </w:rPr>
      </w:pPr>
    </w:p>
    <w:p w14:paraId="79F53234" w14:textId="07D2D9E3" w:rsidR="008757CC" w:rsidRPr="00000849" w:rsidRDefault="00D92056" w:rsidP="00822877">
      <w:pPr>
        <w:pStyle w:val="Heading3"/>
      </w:pPr>
      <w:bookmarkStart w:id="33" w:name="_Toc51472085"/>
      <w:r w:rsidRPr="00000849">
        <w:lastRenderedPageBreak/>
        <w:t>2.</w:t>
      </w:r>
      <w:r w:rsidR="00AB2B7D" w:rsidRPr="00000849">
        <w:t>1.</w:t>
      </w:r>
      <w:r w:rsidR="008757CC" w:rsidRPr="00000849">
        <w:t>2</w:t>
      </w:r>
      <w:r w:rsidR="008757CC" w:rsidRPr="00000849">
        <w:tab/>
        <w:t>Data extraction</w:t>
      </w:r>
      <w:bookmarkEnd w:id="33"/>
    </w:p>
    <w:p w14:paraId="4820974F" w14:textId="77777777" w:rsidR="00F62EE2" w:rsidRPr="00000849" w:rsidRDefault="00F62EE2" w:rsidP="00000849">
      <w:pPr>
        <w:keepNext/>
        <w:keepLines/>
        <w:widowControl w:val="0"/>
        <w:spacing w:line="480" w:lineRule="auto"/>
        <w:ind w:firstLine="567"/>
        <w:jc w:val="both"/>
        <w:rPr>
          <w:rFonts w:cstheme="minorHAnsi"/>
          <w:sz w:val="24"/>
          <w:szCs w:val="24"/>
        </w:rPr>
      </w:pPr>
    </w:p>
    <w:p w14:paraId="12C88DE0" w14:textId="6B4FC3A9" w:rsidR="003851D7" w:rsidRPr="00000849" w:rsidRDefault="005D272C" w:rsidP="00000849">
      <w:pPr>
        <w:keepNext/>
        <w:keepLines/>
        <w:widowControl w:val="0"/>
        <w:spacing w:line="480" w:lineRule="auto"/>
        <w:jc w:val="both"/>
        <w:rPr>
          <w:rFonts w:cstheme="minorHAnsi"/>
          <w:sz w:val="24"/>
          <w:szCs w:val="24"/>
        </w:rPr>
      </w:pPr>
      <w:r w:rsidRPr="00000849">
        <w:rPr>
          <w:rFonts w:cstheme="minorHAnsi"/>
          <w:sz w:val="24"/>
          <w:szCs w:val="24"/>
        </w:rPr>
        <w:t xml:space="preserve">Data on the </w:t>
      </w:r>
      <w:r w:rsidR="00406769" w:rsidRPr="00000849">
        <w:rPr>
          <w:rFonts w:cstheme="minorHAnsi"/>
          <w:sz w:val="24"/>
          <w:szCs w:val="24"/>
        </w:rPr>
        <w:t xml:space="preserve">publication </w:t>
      </w:r>
      <w:r w:rsidRPr="00000849">
        <w:rPr>
          <w:rFonts w:cstheme="minorHAnsi"/>
          <w:sz w:val="24"/>
          <w:szCs w:val="24"/>
        </w:rPr>
        <w:t xml:space="preserve">characteristics, </w:t>
      </w:r>
      <w:r w:rsidR="00406769" w:rsidRPr="00000849">
        <w:rPr>
          <w:rFonts w:cstheme="minorHAnsi"/>
          <w:sz w:val="24"/>
          <w:szCs w:val="24"/>
        </w:rPr>
        <w:t xml:space="preserve">setting, study design, sampling, </w:t>
      </w:r>
      <w:r w:rsidR="00E71694" w:rsidRPr="00000849">
        <w:rPr>
          <w:rFonts w:cstheme="minorHAnsi"/>
          <w:sz w:val="24"/>
          <w:szCs w:val="24"/>
        </w:rPr>
        <w:t>the outcome, blood pressure measurement process, and explanatory variables (</w:t>
      </w:r>
      <w:r w:rsidRPr="00000849">
        <w:rPr>
          <w:rFonts w:cstheme="minorHAnsi"/>
          <w:sz w:val="24"/>
          <w:szCs w:val="24"/>
        </w:rPr>
        <w:t>demographic</w:t>
      </w:r>
      <w:r w:rsidR="00406769" w:rsidRPr="00000849">
        <w:rPr>
          <w:rFonts w:cstheme="minorHAnsi"/>
          <w:sz w:val="24"/>
          <w:szCs w:val="24"/>
        </w:rPr>
        <w:t>s</w:t>
      </w:r>
      <w:r w:rsidRPr="00000849">
        <w:rPr>
          <w:rFonts w:cstheme="minorHAnsi"/>
          <w:sz w:val="24"/>
          <w:szCs w:val="24"/>
        </w:rPr>
        <w:t xml:space="preserve">, socio-economic </w:t>
      </w:r>
      <w:r w:rsidR="00E71694" w:rsidRPr="00000849">
        <w:rPr>
          <w:rFonts w:cstheme="minorHAnsi"/>
          <w:sz w:val="24"/>
          <w:szCs w:val="24"/>
        </w:rPr>
        <w:t xml:space="preserve">factors, anthropometry, dietary and lifestyles factors) were </w:t>
      </w:r>
      <w:r w:rsidR="003851D7" w:rsidRPr="00000849">
        <w:rPr>
          <w:rFonts w:cstheme="minorHAnsi"/>
          <w:sz w:val="24"/>
          <w:szCs w:val="24"/>
        </w:rPr>
        <w:t xml:space="preserve">extracted </w:t>
      </w:r>
      <w:r w:rsidR="003B2495" w:rsidRPr="00000849">
        <w:rPr>
          <w:rFonts w:cstheme="minorHAnsi"/>
          <w:sz w:val="24"/>
          <w:szCs w:val="24"/>
        </w:rPr>
        <w:t xml:space="preserve">by </w:t>
      </w:r>
      <w:r w:rsidR="00F97EB1" w:rsidRPr="00000849">
        <w:rPr>
          <w:rFonts w:cstheme="minorHAnsi"/>
          <w:sz w:val="24"/>
          <w:szCs w:val="24"/>
        </w:rPr>
        <w:t xml:space="preserve">this </w:t>
      </w:r>
      <w:r w:rsidR="00E8513F" w:rsidRPr="00000849">
        <w:rPr>
          <w:rFonts w:cstheme="minorHAnsi"/>
          <w:sz w:val="24"/>
          <w:szCs w:val="24"/>
        </w:rPr>
        <w:t xml:space="preserve">author </w:t>
      </w:r>
      <w:r w:rsidR="003851D7" w:rsidRPr="00000849">
        <w:rPr>
          <w:rFonts w:cstheme="minorHAnsi"/>
          <w:sz w:val="24"/>
          <w:szCs w:val="24"/>
        </w:rPr>
        <w:t>onto a form in Excel</w:t>
      </w:r>
      <w:r w:rsidR="00BA657F" w:rsidRPr="00000849">
        <w:rPr>
          <w:rFonts w:cstheme="minorHAnsi"/>
          <w:sz w:val="24"/>
          <w:szCs w:val="24"/>
        </w:rPr>
        <w:t xml:space="preserve"> </w:t>
      </w:r>
      <w:r w:rsidR="003851D7" w:rsidRPr="00000849">
        <w:rPr>
          <w:rFonts w:cstheme="minorHAnsi"/>
          <w:sz w:val="24"/>
          <w:szCs w:val="24"/>
        </w:rPr>
        <w:fldChar w:fldCharType="begin"/>
      </w:r>
      <w:r w:rsidR="003E660C" w:rsidRPr="00000849">
        <w:rPr>
          <w:rFonts w:cstheme="minorHAnsi"/>
          <w:sz w:val="24"/>
          <w:szCs w:val="24"/>
        </w:rPr>
        <w:instrText xml:space="preserve"> ADDIN EN.CITE &lt;EndNote&gt;&lt;Cite&gt;&lt;Author&gt;Bosu&lt;/Author&gt;&lt;Year&gt;2017&lt;/Year&gt;&lt;RecNum&gt;970&lt;/RecNum&gt;&lt;DisplayText&gt;(Bosu et al., 2017)&lt;/DisplayText&gt;&lt;record&gt;&lt;rec-number&gt;970&lt;/rec-number&gt;&lt;foreign-keys&gt;&lt;key app="EN" db-id="9tzf2rda8re2a9es5tuxart3swzx2zws2s02" timestamp="1575382736"&gt;970&lt;/key&gt;&lt;/foreign-keys&gt;&lt;ref-type name="Journal Article"&gt;17&lt;/ref-type&gt;&lt;contributors&gt;&lt;authors&gt;&lt;author&gt;Bosu, William K.&lt;/author&gt;&lt;author&gt;Aheto, Justice M. K.&lt;/author&gt;&lt;author&gt;Zucchelli, Eugenio&lt;/author&gt;&lt;author&gt;Reilly, Siobhan&lt;/author&gt;&lt;/authors&gt;&lt;/contributors&gt;&lt;titles&gt;&lt;title&gt;Prevalence, awareness, and associated risk factors of hypertension in older adults in Africa: a systematic review and meta-analysis protocol.(Report)&lt;/title&gt;&lt;secondary-title&gt;Systematic Reviews&lt;/secondary-title&gt;&lt;/titles&gt;&lt;periodical&gt;&lt;full-title&gt;Systematic Reviews&lt;/full-title&gt;&lt;abbr-1&gt;Syst Rev&lt;/abbr-1&gt;&lt;/periodical&gt;&lt;volume&gt;6&lt;/volume&gt;&lt;number&gt;1&lt;/number&gt;&lt;keywords&gt;&lt;keyword&gt;Elderly – Health Aspects&lt;/keyword&gt;&lt;keyword&gt;Hypertension – Risk Factors&lt;/keyword&gt;&lt;keyword&gt;Prevalence Studies (Epidemiology) – Research&lt;/keyword&gt;&lt;/keywords&gt;&lt;dates&gt;&lt;year&gt;2017&lt;/year&gt;&lt;/dates&gt;&lt;isbn&gt;20464053&lt;/isbn&gt;&lt;urls&gt;&lt;/urls&gt;&lt;electronic-resource-num&gt;10.1186/s13643-017-0585-5&lt;/electronic-resource-num&gt;&lt;/record&gt;&lt;/Cite&gt;&lt;/EndNote&gt;</w:instrText>
      </w:r>
      <w:r w:rsidR="003851D7" w:rsidRPr="00000849">
        <w:rPr>
          <w:rFonts w:cstheme="minorHAnsi"/>
          <w:sz w:val="24"/>
          <w:szCs w:val="24"/>
        </w:rPr>
        <w:fldChar w:fldCharType="separate"/>
      </w:r>
      <w:r w:rsidR="0060706B" w:rsidRPr="00000849">
        <w:rPr>
          <w:rFonts w:cstheme="minorHAnsi"/>
          <w:noProof/>
          <w:sz w:val="24"/>
          <w:szCs w:val="24"/>
        </w:rPr>
        <w:t>(Bosu et al., 2017)</w:t>
      </w:r>
      <w:r w:rsidR="003851D7" w:rsidRPr="00000849">
        <w:rPr>
          <w:rFonts w:cstheme="minorHAnsi"/>
          <w:sz w:val="24"/>
          <w:szCs w:val="24"/>
        </w:rPr>
        <w:fldChar w:fldCharType="end"/>
      </w:r>
      <w:r w:rsidR="003851D7" w:rsidRPr="00000849">
        <w:rPr>
          <w:rFonts w:cstheme="minorHAnsi"/>
          <w:sz w:val="24"/>
          <w:szCs w:val="24"/>
        </w:rPr>
        <w:t xml:space="preserve">.  </w:t>
      </w:r>
      <w:r w:rsidR="005130ED" w:rsidRPr="00000849">
        <w:rPr>
          <w:rFonts w:cstheme="minorHAnsi"/>
          <w:sz w:val="24"/>
          <w:szCs w:val="24"/>
        </w:rPr>
        <w:t>Using the standard WHO cut-off points</w:t>
      </w:r>
      <w:r w:rsidR="00B04CDB" w:rsidRPr="00000849">
        <w:rPr>
          <w:rFonts w:cstheme="minorHAnsi"/>
          <w:sz w:val="24"/>
          <w:szCs w:val="24"/>
        </w:rPr>
        <w:t xml:space="preserve"> in kg/m</w:t>
      </w:r>
      <w:r w:rsidR="00B04CDB" w:rsidRPr="00000849">
        <w:rPr>
          <w:rFonts w:cstheme="minorHAnsi"/>
          <w:sz w:val="24"/>
          <w:szCs w:val="24"/>
          <w:vertAlign w:val="superscript"/>
        </w:rPr>
        <w:t>2</w:t>
      </w:r>
      <w:r w:rsidR="005130ED" w:rsidRPr="00000849">
        <w:rPr>
          <w:rFonts w:cstheme="minorHAnsi"/>
          <w:sz w:val="24"/>
          <w:szCs w:val="24"/>
        </w:rPr>
        <w:t xml:space="preserve">, subjects with </w:t>
      </w:r>
      <w:r w:rsidR="005F7F29" w:rsidRPr="00000849">
        <w:rPr>
          <w:rFonts w:cstheme="minorHAnsi"/>
          <w:sz w:val="24"/>
          <w:szCs w:val="24"/>
        </w:rPr>
        <w:t>body mass index (</w:t>
      </w:r>
      <w:r w:rsidR="005130ED" w:rsidRPr="00000849">
        <w:rPr>
          <w:rFonts w:cstheme="minorHAnsi"/>
          <w:sz w:val="24"/>
          <w:szCs w:val="24"/>
        </w:rPr>
        <w:t>BMI</w:t>
      </w:r>
      <w:r w:rsidR="005F7F29" w:rsidRPr="00000849">
        <w:rPr>
          <w:rFonts w:cstheme="minorHAnsi"/>
          <w:sz w:val="24"/>
          <w:szCs w:val="24"/>
        </w:rPr>
        <w:t>)</w:t>
      </w:r>
      <w:r w:rsidR="005130ED" w:rsidRPr="00000849">
        <w:rPr>
          <w:rFonts w:cstheme="minorHAnsi"/>
          <w:sz w:val="24"/>
          <w:szCs w:val="24"/>
        </w:rPr>
        <w:t xml:space="preserve"> </w:t>
      </w:r>
      <w:r w:rsidR="003851D7" w:rsidRPr="00000849">
        <w:rPr>
          <w:rFonts w:cstheme="minorHAnsi"/>
          <w:sz w:val="24"/>
          <w:szCs w:val="24"/>
        </w:rPr>
        <w:t xml:space="preserve">&lt;18.5 </w:t>
      </w:r>
      <w:r w:rsidR="005130ED" w:rsidRPr="00000849">
        <w:rPr>
          <w:rFonts w:cstheme="minorHAnsi"/>
          <w:sz w:val="24"/>
          <w:szCs w:val="24"/>
        </w:rPr>
        <w:t>were classified as</w:t>
      </w:r>
      <w:r w:rsidR="003851D7" w:rsidRPr="00000849">
        <w:rPr>
          <w:rFonts w:cstheme="minorHAnsi"/>
          <w:sz w:val="24"/>
          <w:szCs w:val="24"/>
        </w:rPr>
        <w:t xml:space="preserve"> underweight, 18.5-24.9 kg/m</w:t>
      </w:r>
      <w:r w:rsidR="003851D7" w:rsidRPr="00000849">
        <w:rPr>
          <w:rFonts w:cstheme="minorHAnsi"/>
          <w:sz w:val="24"/>
          <w:szCs w:val="24"/>
          <w:vertAlign w:val="superscript"/>
        </w:rPr>
        <w:t>2</w:t>
      </w:r>
      <w:r w:rsidR="003851D7" w:rsidRPr="00000849">
        <w:rPr>
          <w:rFonts w:cstheme="minorHAnsi"/>
          <w:sz w:val="24"/>
          <w:szCs w:val="24"/>
        </w:rPr>
        <w:t xml:space="preserve"> </w:t>
      </w:r>
      <w:r w:rsidR="00B04CDB" w:rsidRPr="00000849">
        <w:rPr>
          <w:rFonts w:cstheme="minorHAnsi"/>
          <w:sz w:val="24"/>
          <w:szCs w:val="24"/>
        </w:rPr>
        <w:t>-</w:t>
      </w:r>
      <w:r w:rsidR="005130ED" w:rsidRPr="00000849">
        <w:rPr>
          <w:rFonts w:cstheme="minorHAnsi"/>
          <w:sz w:val="24"/>
          <w:szCs w:val="24"/>
        </w:rPr>
        <w:t xml:space="preserve"> </w:t>
      </w:r>
      <w:r w:rsidR="003851D7" w:rsidRPr="00000849">
        <w:rPr>
          <w:rFonts w:cstheme="minorHAnsi"/>
          <w:sz w:val="24"/>
          <w:szCs w:val="24"/>
        </w:rPr>
        <w:t>normal weight, 25.0 – 29.9 kg/m</w:t>
      </w:r>
      <w:r w:rsidR="003851D7" w:rsidRPr="00000849">
        <w:rPr>
          <w:rFonts w:cstheme="minorHAnsi"/>
          <w:sz w:val="24"/>
          <w:szCs w:val="24"/>
          <w:vertAlign w:val="superscript"/>
        </w:rPr>
        <w:t>2</w:t>
      </w:r>
      <w:r w:rsidR="003851D7" w:rsidRPr="00000849">
        <w:rPr>
          <w:rFonts w:cstheme="minorHAnsi"/>
          <w:sz w:val="24"/>
          <w:szCs w:val="24"/>
        </w:rPr>
        <w:t xml:space="preserve"> </w:t>
      </w:r>
      <w:r w:rsidR="00B04CDB" w:rsidRPr="00000849">
        <w:rPr>
          <w:rFonts w:cstheme="minorHAnsi"/>
          <w:sz w:val="24"/>
          <w:szCs w:val="24"/>
        </w:rPr>
        <w:t xml:space="preserve">- overweight </w:t>
      </w:r>
      <w:r w:rsidR="003851D7" w:rsidRPr="00000849">
        <w:rPr>
          <w:rFonts w:cstheme="minorHAnsi"/>
          <w:sz w:val="24"/>
          <w:szCs w:val="24"/>
        </w:rPr>
        <w:t>and ≥30.0 kg/m</w:t>
      </w:r>
      <w:r w:rsidR="003851D7" w:rsidRPr="00000849">
        <w:rPr>
          <w:rFonts w:cstheme="minorHAnsi"/>
          <w:sz w:val="24"/>
          <w:szCs w:val="24"/>
          <w:vertAlign w:val="superscript"/>
        </w:rPr>
        <w:t>2</w:t>
      </w:r>
      <w:r w:rsidR="003851D7" w:rsidRPr="00000849">
        <w:rPr>
          <w:rFonts w:cstheme="minorHAnsi"/>
          <w:sz w:val="24"/>
          <w:szCs w:val="24"/>
        </w:rPr>
        <w:t xml:space="preserve"> </w:t>
      </w:r>
      <w:r w:rsidR="00A12309">
        <w:rPr>
          <w:rFonts w:cstheme="minorHAnsi"/>
          <w:sz w:val="24"/>
          <w:szCs w:val="24"/>
        </w:rPr>
        <w:t>–</w:t>
      </w:r>
      <w:r w:rsidR="00536BB1">
        <w:rPr>
          <w:rFonts w:cstheme="minorHAnsi"/>
          <w:sz w:val="24"/>
          <w:szCs w:val="24"/>
        </w:rPr>
        <w:t xml:space="preserve"> </w:t>
      </w:r>
      <w:r w:rsidR="003851D7" w:rsidRPr="00000849">
        <w:rPr>
          <w:rFonts w:cstheme="minorHAnsi"/>
          <w:sz w:val="24"/>
          <w:szCs w:val="24"/>
        </w:rPr>
        <w:t>obese</w:t>
      </w:r>
      <w:r w:rsidR="00A12309">
        <w:rPr>
          <w:rFonts w:cstheme="minorHAnsi"/>
          <w:sz w:val="24"/>
          <w:szCs w:val="24"/>
        </w:rPr>
        <w:t xml:space="preserve"> </w:t>
      </w:r>
      <w:r w:rsidR="00A12309">
        <w:rPr>
          <w:rFonts w:cstheme="minorHAnsi"/>
          <w:sz w:val="24"/>
          <w:szCs w:val="24"/>
        </w:rPr>
        <w:fldChar w:fldCharType="begin"/>
      </w:r>
      <w:r w:rsidR="00A12309">
        <w:rPr>
          <w:rFonts w:cstheme="minorHAnsi"/>
          <w:sz w:val="24"/>
          <w:szCs w:val="24"/>
        </w:rPr>
        <w:instrText xml:space="preserve"> ADDIN EN.CITE &lt;EndNote&gt;&lt;Cite&gt;&lt;Author&gt;WHO&lt;/Author&gt;&lt;Year&gt;2008&lt;/Year&gt;&lt;RecNum&gt;19&lt;/RecNum&gt;&lt;DisplayText&gt;(WHO, 2008)&lt;/DisplayText&gt;&lt;record&gt;&lt;rec-number&gt;19&lt;/rec-number&gt;&lt;foreign-keys&gt;&lt;key app="EN" db-id="9tzf2rda8re2a9es5tuxart3swzx2zws2s02" timestamp="1463400106"&gt;19&lt;/key&gt;&lt;/foreign-keys&gt;&lt;ref-type name="Electronic Article"&gt;43&lt;/ref-type&gt;&lt;contributors&gt;&lt;authors&gt;&lt;author&gt;WHO,&lt;/author&gt;&lt;/authors&gt;&lt;/contributors&gt;&lt;titles&gt;&lt;title&gt;WHO STEPS Surveillance Manual&lt;/title&gt;&lt;/titles&gt;&lt;dates&gt;&lt;year&gt;2008&lt;/year&gt;&lt;pub-dates&gt;&lt;date&gt;16 May 2016&lt;/date&gt;&lt;/pub-dates&gt;&lt;/dates&gt;&lt;pub-location&gt;Geneva&lt;/pub-location&gt;&lt;publisher&gt;World Health Organization&lt;/publisher&gt;&lt;urls&gt;&lt;related-urls&gt;&lt;url&gt;http://www.who.int/chp/steps/manual/en/&lt;/url&gt;&lt;/related-urls&gt;&lt;/urls&gt;&lt;custom1&gt;2016&lt;/custom1&gt;&lt;custom2&gt;16 May&lt;/custom2&gt;&lt;/record&gt;&lt;/Cite&gt;&lt;/EndNote&gt;</w:instrText>
      </w:r>
      <w:r w:rsidR="00A12309">
        <w:rPr>
          <w:rFonts w:cstheme="minorHAnsi"/>
          <w:sz w:val="24"/>
          <w:szCs w:val="24"/>
        </w:rPr>
        <w:fldChar w:fldCharType="separate"/>
      </w:r>
      <w:r w:rsidR="00A12309">
        <w:rPr>
          <w:rFonts w:cstheme="minorHAnsi"/>
          <w:noProof/>
          <w:sz w:val="24"/>
          <w:szCs w:val="24"/>
        </w:rPr>
        <w:t>(WHO, 2008)</w:t>
      </w:r>
      <w:r w:rsidR="00A12309">
        <w:rPr>
          <w:rFonts w:cstheme="minorHAnsi"/>
          <w:sz w:val="24"/>
          <w:szCs w:val="24"/>
        </w:rPr>
        <w:fldChar w:fldCharType="end"/>
      </w:r>
      <w:r w:rsidR="003851D7" w:rsidRPr="00000849">
        <w:rPr>
          <w:rFonts w:cstheme="minorHAnsi"/>
          <w:sz w:val="24"/>
          <w:szCs w:val="24"/>
        </w:rPr>
        <w:t xml:space="preserve">.  </w:t>
      </w:r>
    </w:p>
    <w:p w14:paraId="5E5B8692" w14:textId="77777777" w:rsidR="003851D7" w:rsidRPr="00000849" w:rsidRDefault="003851D7" w:rsidP="001B62D9">
      <w:pPr>
        <w:widowControl w:val="0"/>
        <w:spacing w:line="480" w:lineRule="auto"/>
        <w:ind w:firstLine="567"/>
        <w:jc w:val="both"/>
        <w:rPr>
          <w:rFonts w:cstheme="minorHAnsi"/>
          <w:sz w:val="24"/>
          <w:szCs w:val="24"/>
        </w:rPr>
      </w:pPr>
    </w:p>
    <w:p w14:paraId="4E93F2B2" w14:textId="7F9C020B" w:rsidR="008757CC" w:rsidRPr="00000849" w:rsidRDefault="00E8513F" w:rsidP="00000849">
      <w:pPr>
        <w:pStyle w:val="Heading3"/>
        <w:keepNext w:val="0"/>
        <w:keepLines w:val="0"/>
      </w:pPr>
      <w:bookmarkStart w:id="34" w:name="_Toc51472086"/>
      <w:r w:rsidRPr="00000849">
        <w:t>2.1</w:t>
      </w:r>
      <w:r w:rsidR="008757CC" w:rsidRPr="00000849">
        <w:t>.</w:t>
      </w:r>
      <w:r w:rsidR="00C90AFA" w:rsidRPr="00000849">
        <w:t>3</w:t>
      </w:r>
      <w:r w:rsidR="008757CC" w:rsidRPr="00000849">
        <w:tab/>
      </w:r>
      <w:r w:rsidR="009357C6" w:rsidRPr="00000849">
        <w:t>Evaluation of risk of bias</w:t>
      </w:r>
      <w:bookmarkEnd w:id="34"/>
    </w:p>
    <w:p w14:paraId="362A8E05" w14:textId="77777777" w:rsidR="00610F12" w:rsidRPr="00000849" w:rsidRDefault="00610F12" w:rsidP="00000849">
      <w:pPr>
        <w:widowControl w:val="0"/>
        <w:spacing w:line="480" w:lineRule="auto"/>
        <w:jc w:val="both"/>
        <w:rPr>
          <w:rFonts w:cstheme="minorHAnsi"/>
          <w:sz w:val="24"/>
          <w:szCs w:val="24"/>
        </w:rPr>
      </w:pPr>
    </w:p>
    <w:p w14:paraId="0066501A" w14:textId="4BACE09B" w:rsidR="006746E9" w:rsidRPr="00000849" w:rsidRDefault="003851D7" w:rsidP="00000849">
      <w:pPr>
        <w:widowControl w:val="0"/>
        <w:spacing w:line="480" w:lineRule="auto"/>
        <w:jc w:val="both"/>
        <w:rPr>
          <w:rFonts w:cstheme="minorHAnsi"/>
          <w:sz w:val="24"/>
          <w:szCs w:val="24"/>
        </w:rPr>
      </w:pPr>
      <w:r w:rsidRPr="00000849">
        <w:rPr>
          <w:rFonts w:cstheme="minorHAnsi"/>
          <w:sz w:val="24"/>
          <w:szCs w:val="24"/>
        </w:rPr>
        <w:t xml:space="preserve">The </w:t>
      </w:r>
      <w:r w:rsidR="00D61E11" w:rsidRPr="00000849">
        <w:rPr>
          <w:rFonts w:cstheme="minorHAnsi"/>
          <w:sz w:val="24"/>
          <w:szCs w:val="24"/>
        </w:rPr>
        <w:t>risk of bias</w:t>
      </w:r>
      <w:r w:rsidRPr="00000849">
        <w:rPr>
          <w:rFonts w:cstheme="minorHAnsi"/>
          <w:sz w:val="24"/>
          <w:szCs w:val="24"/>
        </w:rPr>
        <w:t xml:space="preserve"> of the included studies was evaluated using </w:t>
      </w:r>
      <w:r w:rsidR="00D61E11" w:rsidRPr="00000849">
        <w:rPr>
          <w:rFonts w:cstheme="minorHAnsi"/>
          <w:sz w:val="24"/>
          <w:szCs w:val="24"/>
        </w:rPr>
        <w:t xml:space="preserve">a tool which has been specifically validated for cross-sectional studies </w:t>
      </w:r>
      <w:r w:rsidRPr="00000849">
        <w:rPr>
          <w:rFonts w:cstheme="minorHAnsi"/>
          <w:sz w:val="24"/>
          <w:szCs w:val="24"/>
        </w:rPr>
        <w:fldChar w:fldCharType="begin"/>
      </w:r>
      <w:r w:rsidR="003E660C" w:rsidRPr="00000849">
        <w:rPr>
          <w:rFonts w:cstheme="minorHAnsi"/>
          <w:sz w:val="24"/>
          <w:szCs w:val="24"/>
        </w:rPr>
        <w:instrText xml:space="preserve"> ADDIN EN.CITE &lt;EndNote&gt;&lt;Cite&gt;&lt;Author&gt;Hoy&lt;/Author&gt;&lt;Year&gt;2012&lt;/Year&gt;&lt;RecNum&gt;172&lt;/RecNum&gt;&lt;DisplayText&gt;(Hoy et al., 2012)&lt;/DisplayText&gt;&lt;record&gt;&lt;rec-number&gt;172&lt;/rec-number&gt;&lt;foreign-keys&gt;&lt;key app="EN" db-id="9tzf2rda8re2a9es5tuxart3swzx2zws2s02" timestamp="1485607619"&gt;172&lt;/key&gt;&lt;/foreign-keys&gt;&lt;ref-type name="Journal Article"&gt;17&lt;/ref-type&gt;&lt;contributors&gt;&lt;authors&gt;&lt;author&gt;Hoy, Damian&lt;/author&gt;&lt;author&gt;Brooks, Peter&lt;/author&gt;&lt;author&gt;Woolf, Anthony&lt;/author&gt;&lt;author&gt;Blyth, Fiona&lt;/author&gt;&lt;author&gt;March, Lyn&lt;/author&gt;&lt;author&gt;Bain, Chris&lt;/author&gt;&lt;author&gt;Baker, Peter&lt;/author&gt;&lt;author&gt;Smith, Emma&lt;/author&gt;&lt;author&gt;Buchbinder, Rachelle&lt;/author&gt;&lt;/authors&gt;&lt;/contributors&gt;&lt;titles&gt;&lt;title&gt;Assessing risk of bias in prevalence studies: modification of an existing tool and evidence of interrater agreement&lt;/title&gt;&lt;secondary-title&gt;Journal of Clinical Epidemiology&lt;/secondary-title&gt;&lt;/titles&gt;&lt;periodical&gt;&lt;full-title&gt;Journal of Clinical Epidemiology&lt;/full-title&gt;&lt;abbr-1&gt;J Clin Epidemiol&lt;/abbr-1&gt;&lt;/periodical&gt;&lt;pages&gt;934-939&lt;/pages&gt;&lt;volume&gt;65&lt;/volume&gt;&lt;number&gt;9&lt;/number&gt;&lt;dates&gt;&lt;year&gt;2012&lt;/year&gt;&lt;/dates&gt;&lt;isbn&gt;0895-4356&lt;/isbn&gt;&lt;urls&gt;&lt;/urls&gt;&lt;/record&gt;&lt;/Cite&gt;&lt;/EndNote&gt;</w:instrText>
      </w:r>
      <w:r w:rsidRPr="00000849">
        <w:rPr>
          <w:rFonts w:cstheme="minorHAnsi"/>
          <w:sz w:val="24"/>
          <w:szCs w:val="24"/>
        </w:rPr>
        <w:fldChar w:fldCharType="separate"/>
      </w:r>
      <w:r w:rsidR="001740AB" w:rsidRPr="00000849">
        <w:rPr>
          <w:rFonts w:cstheme="minorHAnsi"/>
          <w:noProof/>
          <w:sz w:val="24"/>
          <w:szCs w:val="24"/>
        </w:rPr>
        <w:t>(Hoy et al., 2012)</w:t>
      </w:r>
      <w:r w:rsidRPr="00000849">
        <w:rPr>
          <w:rFonts w:cstheme="minorHAnsi"/>
          <w:sz w:val="24"/>
          <w:szCs w:val="24"/>
        </w:rPr>
        <w:fldChar w:fldCharType="end"/>
      </w:r>
      <w:r w:rsidRPr="00000849">
        <w:rPr>
          <w:rFonts w:cstheme="minorHAnsi"/>
          <w:sz w:val="24"/>
          <w:szCs w:val="24"/>
        </w:rPr>
        <w:t xml:space="preserve">.  The tool </w:t>
      </w:r>
      <w:r w:rsidR="00586A93" w:rsidRPr="00000849">
        <w:rPr>
          <w:rFonts w:cstheme="minorHAnsi"/>
          <w:sz w:val="24"/>
          <w:szCs w:val="24"/>
        </w:rPr>
        <w:t xml:space="preserve">comprises ten questions used to </w:t>
      </w:r>
      <w:r w:rsidRPr="00000849">
        <w:rPr>
          <w:rFonts w:cstheme="minorHAnsi"/>
          <w:sz w:val="24"/>
          <w:szCs w:val="24"/>
        </w:rPr>
        <w:t xml:space="preserve">assess </w:t>
      </w:r>
      <w:r w:rsidR="00A67296" w:rsidRPr="00000849">
        <w:rPr>
          <w:rFonts w:cstheme="minorHAnsi"/>
          <w:sz w:val="24"/>
          <w:szCs w:val="24"/>
        </w:rPr>
        <w:t xml:space="preserve">both </w:t>
      </w:r>
      <w:r w:rsidRPr="00000849">
        <w:rPr>
          <w:rFonts w:cstheme="minorHAnsi"/>
          <w:sz w:val="24"/>
          <w:szCs w:val="24"/>
        </w:rPr>
        <w:t xml:space="preserve">external validity </w:t>
      </w:r>
      <w:r w:rsidR="00586A93" w:rsidRPr="00000849">
        <w:rPr>
          <w:rFonts w:cstheme="minorHAnsi"/>
          <w:sz w:val="24"/>
          <w:szCs w:val="24"/>
        </w:rPr>
        <w:t xml:space="preserve">(sample </w:t>
      </w:r>
      <w:r w:rsidRPr="00000849">
        <w:rPr>
          <w:rFonts w:cstheme="minorHAnsi"/>
          <w:sz w:val="24"/>
          <w:szCs w:val="24"/>
        </w:rPr>
        <w:t>representativeness, participation rate, sampling methods</w:t>
      </w:r>
      <w:r w:rsidR="00586A93" w:rsidRPr="00000849">
        <w:rPr>
          <w:rFonts w:cstheme="minorHAnsi"/>
          <w:sz w:val="24"/>
          <w:szCs w:val="24"/>
        </w:rPr>
        <w:t xml:space="preserve">) and </w:t>
      </w:r>
      <w:r w:rsidRPr="00000849">
        <w:rPr>
          <w:rFonts w:cstheme="minorHAnsi"/>
          <w:sz w:val="24"/>
          <w:szCs w:val="24"/>
        </w:rPr>
        <w:t xml:space="preserve">internal validity </w:t>
      </w:r>
      <w:r w:rsidR="00586A93" w:rsidRPr="00000849">
        <w:rPr>
          <w:rFonts w:cstheme="minorHAnsi"/>
          <w:sz w:val="24"/>
          <w:szCs w:val="24"/>
        </w:rPr>
        <w:t>(</w:t>
      </w:r>
      <w:r w:rsidRPr="00000849">
        <w:rPr>
          <w:rFonts w:cstheme="minorHAnsi"/>
          <w:sz w:val="24"/>
          <w:szCs w:val="24"/>
        </w:rPr>
        <w:t>direct data collection from subjects or from proxy, suitability of case definition, reliability of study instrument, application of same measurement methods for all subjects</w:t>
      </w:r>
      <w:r w:rsidR="00586A93" w:rsidRPr="00000849">
        <w:rPr>
          <w:rFonts w:cstheme="minorHAnsi"/>
          <w:sz w:val="24"/>
          <w:szCs w:val="24"/>
        </w:rPr>
        <w:t xml:space="preserve">).  </w:t>
      </w:r>
    </w:p>
    <w:p w14:paraId="6C4F2205" w14:textId="405A84D2" w:rsidR="003851D7" w:rsidRPr="00000849" w:rsidRDefault="00586A93" w:rsidP="006746E9">
      <w:pPr>
        <w:widowControl w:val="0"/>
        <w:spacing w:line="480" w:lineRule="auto"/>
        <w:ind w:firstLine="709"/>
        <w:jc w:val="both"/>
        <w:rPr>
          <w:rFonts w:cstheme="minorHAnsi"/>
          <w:sz w:val="24"/>
          <w:szCs w:val="24"/>
        </w:rPr>
      </w:pPr>
      <w:r w:rsidRPr="00000849">
        <w:rPr>
          <w:rFonts w:cstheme="minorHAnsi"/>
          <w:sz w:val="24"/>
          <w:szCs w:val="24"/>
        </w:rPr>
        <w:t xml:space="preserve">Based </w:t>
      </w:r>
      <w:r w:rsidR="00047EE7" w:rsidRPr="00000849">
        <w:rPr>
          <w:rFonts w:cstheme="minorHAnsi"/>
          <w:sz w:val="24"/>
          <w:szCs w:val="24"/>
        </w:rPr>
        <w:t xml:space="preserve">on </w:t>
      </w:r>
      <w:r w:rsidRPr="00000849">
        <w:rPr>
          <w:rFonts w:cstheme="minorHAnsi"/>
          <w:sz w:val="24"/>
          <w:szCs w:val="24"/>
        </w:rPr>
        <w:t>an overall judgement</w:t>
      </w:r>
      <w:r w:rsidR="00B458A1" w:rsidRPr="00000849">
        <w:rPr>
          <w:rFonts w:cstheme="minorHAnsi"/>
          <w:sz w:val="24"/>
          <w:szCs w:val="24"/>
        </w:rPr>
        <w:t xml:space="preserve"> in the confidence of the prevalence estimates</w:t>
      </w:r>
      <w:r w:rsidRPr="00000849">
        <w:rPr>
          <w:rFonts w:cstheme="minorHAnsi"/>
          <w:sz w:val="24"/>
          <w:szCs w:val="24"/>
        </w:rPr>
        <w:t>, each included study was</w:t>
      </w:r>
      <w:r w:rsidR="003851D7" w:rsidRPr="00000849">
        <w:rPr>
          <w:rFonts w:cstheme="minorHAnsi"/>
          <w:sz w:val="24"/>
          <w:szCs w:val="24"/>
        </w:rPr>
        <w:t xml:space="preserve"> classified as </w:t>
      </w:r>
      <w:r w:rsidRPr="00000849">
        <w:rPr>
          <w:rFonts w:cstheme="minorHAnsi"/>
          <w:sz w:val="24"/>
          <w:szCs w:val="24"/>
        </w:rPr>
        <w:t xml:space="preserve">having </w:t>
      </w:r>
      <w:r w:rsidR="003851D7" w:rsidRPr="00000849">
        <w:rPr>
          <w:rFonts w:cstheme="minorHAnsi"/>
          <w:sz w:val="24"/>
          <w:szCs w:val="24"/>
        </w:rPr>
        <w:t xml:space="preserve">low, moderate </w:t>
      </w:r>
      <w:r w:rsidRPr="00000849">
        <w:rPr>
          <w:rFonts w:cstheme="minorHAnsi"/>
          <w:sz w:val="24"/>
          <w:szCs w:val="24"/>
        </w:rPr>
        <w:t>or</w:t>
      </w:r>
      <w:r w:rsidR="003851D7" w:rsidRPr="00000849">
        <w:rPr>
          <w:rFonts w:cstheme="minorHAnsi"/>
          <w:sz w:val="24"/>
          <w:szCs w:val="24"/>
        </w:rPr>
        <w:t xml:space="preserve"> high </w:t>
      </w:r>
      <w:r w:rsidRPr="00000849">
        <w:rPr>
          <w:rFonts w:cstheme="minorHAnsi"/>
          <w:sz w:val="24"/>
          <w:szCs w:val="24"/>
        </w:rPr>
        <w:t>risk of bias</w:t>
      </w:r>
      <w:r w:rsidR="00B458A1" w:rsidRPr="00000849">
        <w:rPr>
          <w:rFonts w:cstheme="minorHAnsi"/>
          <w:sz w:val="24"/>
          <w:szCs w:val="24"/>
        </w:rPr>
        <w:t xml:space="preserve">.  </w:t>
      </w:r>
      <w:r w:rsidR="00D4576C" w:rsidRPr="00000849">
        <w:rPr>
          <w:rFonts w:cstheme="minorHAnsi"/>
          <w:sz w:val="24"/>
          <w:szCs w:val="24"/>
        </w:rPr>
        <w:t xml:space="preserve">In conformity with </w:t>
      </w:r>
      <w:r w:rsidR="00D850A8" w:rsidRPr="00000849">
        <w:rPr>
          <w:rFonts w:cstheme="minorHAnsi"/>
          <w:sz w:val="24"/>
          <w:szCs w:val="24"/>
        </w:rPr>
        <w:t xml:space="preserve">best practice, no numerical rating of the risk was computed </w:t>
      </w:r>
      <w:r w:rsidR="00D850A8" w:rsidRPr="00000849">
        <w:rPr>
          <w:rFonts w:cstheme="minorHAnsi"/>
          <w:sz w:val="24"/>
          <w:szCs w:val="24"/>
        </w:rPr>
        <w:fldChar w:fldCharType="begin">
          <w:fldData xml:space="preserve">PEVuZE5vdGU+PENpdGU+PEF1dGhvcj5Ib3k8L0F1dGhvcj48WWVhcj4yMDEyPC9ZZWFyPjxSZWNO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</w:fldData>
        </w:fldChar>
      </w:r>
      <w:r w:rsidR="003E660C" w:rsidRPr="00000849">
        <w:rPr>
          <w:rFonts w:cstheme="minorHAnsi"/>
          <w:sz w:val="24"/>
          <w:szCs w:val="24"/>
        </w:rPr>
        <w:instrText xml:space="preserve"> ADDIN EN.CITE </w:instrText>
      </w:r>
      <w:r w:rsidR="003E660C" w:rsidRPr="00000849">
        <w:rPr>
          <w:rFonts w:cstheme="minorHAnsi"/>
          <w:sz w:val="24"/>
          <w:szCs w:val="24"/>
        </w:rPr>
        <w:fldChar w:fldCharType="begin">
          <w:fldData xml:space="preserve">PEVuZE5vdGU+PENpdGU+PEF1dGhvcj5Ib3k8L0F1dGhvcj48WWVhcj4yMDEyPC9ZZWFyPjxSZWNO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</w:fldData>
        </w:fldChar>
      </w:r>
      <w:r w:rsidR="003E660C" w:rsidRPr="00000849">
        <w:rPr>
          <w:rFonts w:cstheme="minorHAnsi"/>
          <w:sz w:val="24"/>
          <w:szCs w:val="24"/>
        </w:rPr>
        <w:instrText xml:space="preserve"> ADDIN EN.CITE.DATA </w:instrText>
      </w:r>
      <w:r w:rsidR="003E660C" w:rsidRPr="00000849">
        <w:rPr>
          <w:rFonts w:cstheme="minorHAnsi"/>
          <w:sz w:val="24"/>
          <w:szCs w:val="24"/>
        </w:rPr>
      </w:r>
      <w:r w:rsidR="003E660C" w:rsidRPr="00000849">
        <w:rPr>
          <w:rFonts w:cstheme="minorHAnsi"/>
          <w:sz w:val="24"/>
          <w:szCs w:val="24"/>
        </w:rPr>
        <w:fldChar w:fldCharType="end"/>
      </w:r>
      <w:r w:rsidR="00D850A8" w:rsidRPr="00000849">
        <w:rPr>
          <w:rFonts w:cstheme="minorHAnsi"/>
          <w:sz w:val="24"/>
          <w:szCs w:val="24"/>
        </w:rPr>
      </w:r>
      <w:r w:rsidR="00D850A8" w:rsidRPr="00000849">
        <w:rPr>
          <w:rFonts w:cstheme="minorHAnsi"/>
          <w:sz w:val="24"/>
          <w:szCs w:val="24"/>
        </w:rPr>
        <w:fldChar w:fldCharType="separate"/>
      </w:r>
      <w:r w:rsidR="00D850A8" w:rsidRPr="00000849">
        <w:rPr>
          <w:rFonts w:cstheme="minorHAnsi"/>
          <w:noProof/>
          <w:sz w:val="24"/>
          <w:szCs w:val="24"/>
        </w:rPr>
        <w:t>(Hoy et al., 2012; Shamseer et al., 2015)</w:t>
      </w:r>
      <w:r w:rsidR="00D850A8" w:rsidRPr="00000849">
        <w:rPr>
          <w:rFonts w:cstheme="minorHAnsi"/>
          <w:sz w:val="24"/>
          <w:szCs w:val="24"/>
        </w:rPr>
        <w:fldChar w:fldCharType="end"/>
      </w:r>
      <w:r w:rsidR="00D850A8" w:rsidRPr="00000849">
        <w:rPr>
          <w:rFonts w:cstheme="minorHAnsi"/>
          <w:sz w:val="24"/>
          <w:szCs w:val="24"/>
        </w:rPr>
        <w:t xml:space="preserve">.  Typically, studies that had non-representative </w:t>
      </w:r>
      <w:r w:rsidR="00D850A8" w:rsidRPr="00000849">
        <w:rPr>
          <w:rFonts w:cstheme="minorHAnsi"/>
          <w:sz w:val="24"/>
          <w:szCs w:val="24"/>
        </w:rPr>
        <w:lastRenderedPageBreak/>
        <w:t xml:space="preserve">samples or had low participation rates were judged to have a high risk of bias while those which scored low risk on most of the criteria were judged to have low risk.  Studies which did not fit into these extreme categories were judged to have moderate risk of bias. </w:t>
      </w:r>
      <w:r w:rsidR="006746E9" w:rsidRPr="00000849">
        <w:rPr>
          <w:rFonts w:cstheme="minorHAnsi"/>
          <w:sz w:val="24"/>
          <w:szCs w:val="24"/>
        </w:rPr>
        <w:t>The quality appraisal was done independently by two reviewers with any discrepancies resolved through consensus.</w:t>
      </w:r>
      <w:r w:rsidR="00C71AEC" w:rsidRPr="00000849">
        <w:rPr>
          <w:rFonts w:cstheme="minorHAnsi"/>
          <w:sz w:val="24"/>
          <w:szCs w:val="24"/>
        </w:rPr>
        <w:t xml:space="preserve">  </w:t>
      </w:r>
      <w:r w:rsidR="00B04CDB" w:rsidRPr="00000849">
        <w:rPr>
          <w:rFonts w:cstheme="minorHAnsi"/>
          <w:sz w:val="24"/>
          <w:szCs w:val="24"/>
        </w:rPr>
        <w:t>T</w:t>
      </w:r>
      <w:r w:rsidR="00C71AEC" w:rsidRPr="00000849">
        <w:rPr>
          <w:rFonts w:cstheme="minorHAnsi"/>
          <w:sz w:val="24"/>
          <w:szCs w:val="24"/>
        </w:rPr>
        <w:t>hat</w:t>
      </w:r>
      <w:r w:rsidR="00B04CDB" w:rsidRPr="00000849">
        <w:rPr>
          <w:rFonts w:cstheme="minorHAnsi"/>
          <w:sz w:val="24"/>
          <w:szCs w:val="24"/>
        </w:rPr>
        <w:t xml:space="preserve"> said</w:t>
      </w:r>
      <w:r w:rsidR="00C71AEC" w:rsidRPr="00000849">
        <w:rPr>
          <w:rFonts w:cstheme="minorHAnsi"/>
          <w:sz w:val="24"/>
          <w:szCs w:val="24"/>
        </w:rPr>
        <w:t xml:space="preserve">, some studies using the </w:t>
      </w:r>
      <w:r w:rsidR="00C71AEC" w:rsidRPr="00000849">
        <w:rPr>
          <w:rFonts w:cstheme="minorHAnsi"/>
          <w:sz w:val="24"/>
          <w:szCs w:val="24"/>
        </w:rPr>
        <w:fldChar w:fldCharType="begin"/>
      </w:r>
      <w:r w:rsidR="003E660C" w:rsidRPr="00000849">
        <w:rPr>
          <w:rFonts w:cstheme="minorHAnsi"/>
          <w:sz w:val="24"/>
          <w:szCs w:val="24"/>
        </w:rPr>
        <w:instrText xml:space="preserve"> ADDIN EN.CITE &lt;EndNote&gt;&lt;Cite AuthorYear="1"&gt;&lt;Author&gt;Hoy&lt;/Author&gt;&lt;Year&gt;2012&lt;/Year&gt;&lt;RecNum&gt;172&lt;/RecNum&gt;&lt;DisplayText&gt;Hoy et al. (2012)&lt;/DisplayText&gt;&lt;record&gt;&lt;rec-number&gt;172&lt;/rec-number&gt;&lt;foreign-keys&gt;&lt;key app="EN" db-id="9tzf2rda8re2a9es5tuxart3swzx2zws2s02" timestamp="1485607619"&gt;172&lt;/key&gt;&lt;/foreign-keys&gt;&lt;ref-type name="Journal Article"&gt;17&lt;/ref-type&gt;&lt;contributors&gt;&lt;authors&gt;&lt;author&gt;Hoy, Damian&lt;/author&gt;&lt;author&gt;Brooks, Peter&lt;/author&gt;&lt;author&gt;Woolf, Anthony&lt;/author&gt;&lt;author&gt;Blyth, Fiona&lt;/author&gt;&lt;author&gt;March, Lyn&lt;/author&gt;&lt;author&gt;Bain, Chris&lt;/author&gt;&lt;author&gt;Baker, Peter&lt;/author&gt;&lt;author&gt;Smith, Emma&lt;/author&gt;&lt;author&gt;Buchbinder, Rachelle&lt;/author&gt;&lt;/authors&gt;&lt;/contributors&gt;&lt;titles&gt;&lt;title&gt;Assessing risk of bias in prevalence studies: modification of an existing tool and evidence of interrater agreement&lt;/title&gt;&lt;secondary-title&gt;Journal of Clinical Epidemiology&lt;/secondary-title&gt;&lt;/titles&gt;&lt;periodical&gt;&lt;full-title&gt;Journal of Clinical Epidemiology&lt;/full-title&gt;&lt;abbr-1&gt;J Clin Epidemiol&lt;/abbr-1&gt;&lt;/periodical&gt;&lt;pages&gt;934-939&lt;/pages&gt;&lt;volume&gt;65&lt;/volume&gt;&lt;number&gt;9&lt;/number&gt;&lt;dates&gt;&lt;year&gt;2012&lt;/year&gt;&lt;/dates&gt;&lt;isbn&gt;0895-4356&lt;/isbn&gt;&lt;urls&gt;&lt;/urls&gt;&lt;/record&gt;&lt;/Cite&gt;&lt;/EndNote&gt;</w:instrText>
      </w:r>
      <w:r w:rsidR="00C71AEC" w:rsidRPr="00000849">
        <w:rPr>
          <w:rFonts w:cstheme="minorHAnsi"/>
          <w:sz w:val="24"/>
          <w:szCs w:val="24"/>
        </w:rPr>
        <w:fldChar w:fldCharType="separate"/>
      </w:r>
      <w:r w:rsidR="00C71AEC" w:rsidRPr="00000849">
        <w:rPr>
          <w:rFonts w:cstheme="minorHAnsi"/>
          <w:noProof/>
          <w:sz w:val="24"/>
          <w:szCs w:val="24"/>
        </w:rPr>
        <w:t>Hoy et al. (2012)</w:t>
      </w:r>
      <w:r w:rsidR="00C71AEC" w:rsidRPr="00000849">
        <w:rPr>
          <w:rFonts w:cstheme="minorHAnsi"/>
          <w:sz w:val="24"/>
          <w:szCs w:val="24"/>
        </w:rPr>
        <w:fldChar w:fldCharType="end"/>
      </w:r>
      <w:r w:rsidR="00C71AEC" w:rsidRPr="00000849">
        <w:rPr>
          <w:rFonts w:cstheme="minorHAnsi"/>
          <w:sz w:val="24"/>
          <w:szCs w:val="24"/>
        </w:rPr>
        <w:t xml:space="preserve"> tool</w:t>
      </w:r>
      <w:r w:rsidR="00B04CDB" w:rsidRPr="00000849">
        <w:rPr>
          <w:rFonts w:cstheme="minorHAnsi"/>
          <w:sz w:val="24"/>
          <w:szCs w:val="24"/>
        </w:rPr>
        <w:t xml:space="preserve"> score</w:t>
      </w:r>
      <w:r w:rsidR="00C71AEC" w:rsidRPr="00000849">
        <w:rPr>
          <w:rFonts w:cstheme="minorHAnsi"/>
          <w:sz w:val="24"/>
          <w:szCs w:val="24"/>
        </w:rPr>
        <w:t xml:space="preserve"> the individual criteria numerical</w:t>
      </w:r>
      <w:r w:rsidR="00B04CDB" w:rsidRPr="00000849">
        <w:rPr>
          <w:rFonts w:cstheme="minorHAnsi"/>
          <w:sz w:val="24"/>
          <w:szCs w:val="24"/>
        </w:rPr>
        <w:t>ly</w:t>
      </w:r>
      <w:r w:rsidR="00C71AEC" w:rsidRPr="00000849">
        <w:rPr>
          <w:rFonts w:cstheme="minorHAnsi"/>
          <w:sz w:val="24"/>
          <w:szCs w:val="24"/>
        </w:rPr>
        <w:t xml:space="preserve"> as 1 and 0 for low risk and high risk of bias respectively</w:t>
      </w:r>
      <w:r w:rsidR="001C6F4C" w:rsidRPr="00000849">
        <w:rPr>
          <w:rFonts w:cstheme="minorHAnsi"/>
          <w:sz w:val="24"/>
          <w:szCs w:val="24"/>
        </w:rPr>
        <w:t xml:space="preserve"> </w:t>
      </w:r>
      <w:r w:rsidR="001C6F4C" w:rsidRPr="00000849">
        <w:rPr>
          <w:rFonts w:cstheme="minorHAnsi"/>
          <w:sz w:val="24"/>
          <w:szCs w:val="24"/>
        </w:rPr>
        <w:fldChar w:fldCharType="begin"/>
      </w:r>
      <w:r w:rsidR="00431DA0" w:rsidRPr="00000849">
        <w:rPr>
          <w:rFonts w:cstheme="minorHAnsi"/>
          <w:sz w:val="24"/>
          <w:szCs w:val="24"/>
        </w:rPr>
        <w:instrText xml:space="preserve"> ADDIN EN.CITE &lt;EndNote&gt;&lt;Cite&gt;&lt;Author&gt;Nguyen&lt;/Author&gt;&lt;Year&gt;2016&lt;/Year&gt;&lt;RecNum&gt;1648&lt;/RecNum&gt;&lt;DisplayText&gt;(Nguyen et al., 2016)&lt;/DisplayText&gt;&lt;record&gt;&lt;rec-number&gt;1648&lt;/rec-number&gt;&lt;foreign-keys&gt;&lt;key app="EN" db-id="9tzf2rda8re2a9es5tuxart3swzx2zws2s02" timestamp="1593918089"&gt;1648&lt;/key&gt;&lt;/foreign-keys&gt;&lt;ref-type name="Journal Article"&gt;17&lt;/ref-type&gt;&lt;contributors&gt;&lt;authors&gt;&lt;author&gt;Nguyen, K. A.&lt;/author&gt;&lt;author&gt;Peer, N.&lt;/author&gt;&lt;author&gt;Mills, E. J.&lt;/author&gt;&lt;author&gt;Kengne, A. P.&lt;/author&gt;&lt;/authors&gt;&lt;/contributors&gt;&lt;auth-address&gt;Non-Communicable Diseases Research Unit, South African Medical Research Council, Cape Town, South Africa.&amp;#xD;Department of Medicine, University of Cape Town, Cape Town, South Africa.&amp;#xD;Global Evaluation Science, Vancouver, Canada.&lt;/auth-address&gt;&lt;titles&gt;&lt;title&gt;A Meta-Analysis of the Metabolic Syndrome Prevalence in the Global HIV-Infected Population&lt;/title&gt;&lt;secondary-title&gt;PLoS One&lt;/secondary-title&gt;&lt;/titles&gt;&lt;periodical&gt;&lt;full-title&gt;PLoS One&lt;/full-title&gt;&lt;/periodical&gt;&lt;pages&gt;e0150970&lt;/pages&gt;&lt;volume&gt;11&lt;/volume&gt;&lt;number&gt;3&lt;/number&gt;&lt;edition&gt;2016/03/24&lt;/edition&gt;&lt;keywords&gt;&lt;keyword&gt;Adolescent&lt;/keyword&gt;&lt;keyword&gt;Adult&lt;/keyword&gt;&lt;keyword&gt;HIV Infections/*complications/drug therapy&lt;/keyword&gt;&lt;keyword&gt;Humans&lt;/keyword&gt;&lt;keyword&gt;Metabolic Syndrome/complications/*epidemiology&lt;/keyword&gt;&lt;keyword&gt;Prevalence&lt;/keyword&gt;&lt;keyword&gt;Young Adult&lt;/keyword&gt;&lt;/keywords&gt;&lt;dates&gt;&lt;year&gt;2016&lt;/year&gt;&lt;/dates&gt;&lt;isbn&gt;1932-6203&lt;/isbn&gt;&lt;accession-num&gt;27008536&lt;/accession-num&gt;&lt;urls&gt;&lt;/urls&gt;&lt;custom2&gt;PMC4805252 are no patents, products in development or marketed products to declare. This does not alter the authors&amp;apos; adherence to all the PLOS ONE policies on sharing data and materials, as detailed online in the guide for authors.&lt;/custom2&gt;&lt;electronic-resource-num&gt;10.1371/journal.pone.0150970&lt;/electronic-resource-num&gt;&lt;remote-database-provider&gt;NLM&lt;/remote-database-provider&gt;&lt;language&gt;eng&lt;/language&gt;&lt;/record&gt;&lt;/Cite&gt;&lt;/EndNote&gt;</w:instrText>
      </w:r>
      <w:r w:rsidR="001C6F4C" w:rsidRPr="00000849">
        <w:rPr>
          <w:rFonts w:cstheme="minorHAnsi"/>
          <w:sz w:val="24"/>
          <w:szCs w:val="24"/>
        </w:rPr>
        <w:fldChar w:fldCharType="separate"/>
      </w:r>
      <w:r w:rsidR="00431DA0" w:rsidRPr="00000849">
        <w:rPr>
          <w:rFonts w:cstheme="minorHAnsi"/>
          <w:noProof/>
          <w:sz w:val="24"/>
          <w:szCs w:val="24"/>
        </w:rPr>
        <w:t>(Nguyen et al., 2016)</w:t>
      </w:r>
      <w:r w:rsidR="001C6F4C" w:rsidRPr="00000849">
        <w:rPr>
          <w:rFonts w:cstheme="minorHAnsi"/>
          <w:sz w:val="24"/>
          <w:szCs w:val="24"/>
        </w:rPr>
        <w:fldChar w:fldCharType="end"/>
      </w:r>
      <w:r w:rsidR="00C71AEC" w:rsidRPr="00000849">
        <w:rPr>
          <w:rFonts w:cstheme="minorHAnsi"/>
          <w:sz w:val="24"/>
          <w:szCs w:val="24"/>
        </w:rPr>
        <w:t>.  The scores for the ten questions are summed for each study and the overall risk of bias</w:t>
      </w:r>
      <w:r w:rsidR="001C6F4C" w:rsidRPr="00000849">
        <w:rPr>
          <w:rFonts w:cstheme="minorHAnsi"/>
          <w:sz w:val="24"/>
          <w:szCs w:val="24"/>
        </w:rPr>
        <w:t xml:space="preserve"> rated as low risk if the total score </w:t>
      </w:r>
      <w:r w:rsidR="00B04CDB" w:rsidRPr="00000849">
        <w:rPr>
          <w:rFonts w:cstheme="minorHAnsi"/>
          <w:sz w:val="24"/>
          <w:szCs w:val="24"/>
        </w:rPr>
        <w:t xml:space="preserve">is </w:t>
      </w:r>
      <w:r w:rsidR="001C6F4C" w:rsidRPr="00000849">
        <w:rPr>
          <w:rFonts w:cstheme="minorHAnsi"/>
          <w:sz w:val="24"/>
          <w:szCs w:val="24"/>
        </w:rPr>
        <w:t xml:space="preserve">0-3, moderate risk if 4-6  and high risk if 7-9. </w:t>
      </w:r>
    </w:p>
    <w:p w14:paraId="67569E45" w14:textId="0102ACF0" w:rsidR="009357C6" w:rsidRPr="00000849" w:rsidRDefault="009357C6" w:rsidP="00AB2B7D">
      <w:pPr>
        <w:widowControl w:val="0"/>
        <w:spacing w:line="480" w:lineRule="auto"/>
        <w:jc w:val="both"/>
        <w:rPr>
          <w:rFonts w:cstheme="minorHAnsi"/>
          <w:sz w:val="24"/>
          <w:szCs w:val="24"/>
        </w:rPr>
      </w:pPr>
    </w:p>
    <w:p w14:paraId="2D97FCCE" w14:textId="637991E5" w:rsidR="009357C6" w:rsidRPr="00000849" w:rsidRDefault="00D92056" w:rsidP="004E2350">
      <w:pPr>
        <w:pStyle w:val="Heading3"/>
      </w:pPr>
      <w:bookmarkStart w:id="35" w:name="_Toc51472087"/>
      <w:r w:rsidRPr="00000849">
        <w:t>2.1</w:t>
      </w:r>
      <w:r w:rsidR="009357C6" w:rsidRPr="00000849">
        <w:t>.4</w:t>
      </w:r>
      <w:r w:rsidR="009357C6" w:rsidRPr="00000849">
        <w:tab/>
        <w:t>Data analysis</w:t>
      </w:r>
      <w:bookmarkEnd w:id="35"/>
    </w:p>
    <w:p w14:paraId="5EB12DEE" w14:textId="4E3BECE3" w:rsidR="009357C6" w:rsidRPr="00000849" w:rsidRDefault="009357C6" w:rsidP="003851D7">
      <w:pPr>
        <w:spacing w:line="480" w:lineRule="auto"/>
        <w:jc w:val="both"/>
        <w:rPr>
          <w:rFonts w:ascii="Arial" w:hAnsi="Arial" w:cs="Arial"/>
        </w:rPr>
      </w:pPr>
    </w:p>
    <w:p w14:paraId="7B8F0999" w14:textId="1BC4265F" w:rsidR="00411583" w:rsidRPr="00000849" w:rsidRDefault="003851D7" w:rsidP="003363FD">
      <w:pPr>
        <w:widowControl w:val="0"/>
        <w:spacing w:line="480" w:lineRule="auto"/>
        <w:jc w:val="both"/>
        <w:rPr>
          <w:rFonts w:cstheme="minorHAnsi"/>
          <w:sz w:val="24"/>
          <w:szCs w:val="24"/>
        </w:rPr>
      </w:pPr>
      <w:r w:rsidRPr="00000849">
        <w:rPr>
          <w:rFonts w:cstheme="minorHAnsi"/>
          <w:sz w:val="24"/>
          <w:szCs w:val="24"/>
        </w:rPr>
        <w:t xml:space="preserve">The </w:t>
      </w:r>
      <w:r w:rsidR="00A7341E" w:rsidRPr="00000849">
        <w:rPr>
          <w:rFonts w:cstheme="minorHAnsi"/>
          <w:sz w:val="24"/>
          <w:szCs w:val="24"/>
        </w:rPr>
        <w:t xml:space="preserve">crude </w:t>
      </w:r>
      <w:r w:rsidRPr="00000849">
        <w:rPr>
          <w:rFonts w:cstheme="minorHAnsi"/>
          <w:sz w:val="24"/>
          <w:szCs w:val="24"/>
        </w:rPr>
        <w:t xml:space="preserve">prevalence </w:t>
      </w:r>
      <w:r w:rsidR="00A7341E" w:rsidRPr="00000849">
        <w:rPr>
          <w:rFonts w:cstheme="minorHAnsi"/>
          <w:sz w:val="24"/>
          <w:szCs w:val="24"/>
        </w:rPr>
        <w:t xml:space="preserve">of hypertension in older </w:t>
      </w:r>
      <w:r w:rsidRPr="00000849">
        <w:rPr>
          <w:rFonts w:cstheme="minorHAnsi"/>
          <w:sz w:val="24"/>
          <w:szCs w:val="24"/>
        </w:rPr>
        <w:t>across studies was estimated</w:t>
      </w:r>
      <w:r w:rsidR="00A7341E" w:rsidRPr="00000849">
        <w:rPr>
          <w:rFonts w:cstheme="minorHAnsi"/>
          <w:sz w:val="24"/>
          <w:szCs w:val="24"/>
        </w:rPr>
        <w:t xml:space="preserve"> by dividing </w:t>
      </w:r>
      <w:r w:rsidR="00721EDA" w:rsidRPr="00000849">
        <w:rPr>
          <w:rFonts w:cstheme="minorHAnsi"/>
          <w:sz w:val="24"/>
          <w:szCs w:val="24"/>
        </w:rPr>
        <w:t xml:space="preserve">the number of </w:t>
      </w:r>
      <w:r w:rsidR="00543A4C" w:rsidRPr="00000849">
        <w:rPr>
          <w:rFonts w:cstheme="minorHAnsi"/>
          <w:sz w:val="24"/>
          <w:szCs w:val="24"/>
        </w:rPr>
        <w:t xml:space="preserve">older adults identified with hypertension by the total number </w:t>
      </w:r>
      <w:r w:rsidR="00047EE7" w:rsidRPr="00000849">
        <w:rPr>
          <w:rFonts w:cstheme="minorHAnsi"/>
          <w:sz w:val="24"/>
          <w:szCs w:val="24"/>
        </w:rPr>
        <w:t xml:space="preserve">of adults </w:t>
      </w:r>
      <w:r w:rsidR="00543A4C" w:rsidRPr="00000849">
        <w:rPr>
          <w:rFonts w:cstheme="minorHAnsi"/>
          <w:sz w:val="24"/>
          <w:szCs w:val="24"/>
        </w:rPr>
        <w:t xml:space="preserve">whose blood pressure was measured.  The pooled prevalence of hypertension across all the included studies was estimated using a </w:t>
      </w:r>
      <w:r w:rsidRPr="00000849">
        <w:rPr>
          <w:rFonts w:cstheme="minorHAnsi"/>
          <w:sz w:val="24"/>
          <w:szCs w:val="24"/>
        </w:rPr>
        <w:t xml:space="preserve">random effects model </w:t>
      </w:r>
      <w:r w:rsidR="00543A4C" w:rsidRPr="00000849">
        <w:rPr>
          <w:rFonts w:cstheme="minorHAnsi"/>
          <w:sz w:val="24"/>
          <w:szCs w:val="24"/>
        </w:rPr>
        <w:t xml:space="preserve">in </w:t>
      </w:r>
      <w:r w:rsidRPr="00000849">
        <w:rPr>
          <w:rFonts w:cstheme="minorHAnsi"/>
          <w:sz w:val="24"/>
          <w:szCs w:val="24"/>
        </w:rPr>
        <w:t xml:space="preserve">which the variances of the prevalence estimates </w:t>
      </w:r>
      <w:r w:rsidR="00543A4C" w:rsidRPr="00000849">
        <w:rPr>
          <w:rFonts w:cstheme="minorHAnsi"/>
          <w:sz w:val="24"/>
          <w:szCs w:val="24"/>
        </w:rPr>
        <w:t xml:space="preserve">were stabilized </w:t>
      </w:r>
      <w:r w:rsidRPr="00000849">
        <w:rPr>
          <w:rFonts w:cstheme="minorHAnsi"/>
          <w:sz w:val="24"/>
          <w:szCs w:val="24"/>
        </w:rPr>
        <w:t xml:space="preserve">through Freeman-Tukey arcsine transformation </w:t>
      </w:r>
      <w:r w:rsidRPr="00000849">
        <w:rPr>
          <w:rFonts w:cstheme="minorHAnsi"/>
          <w:sz w:val="24"/>
          <w:szCs w:val="24"/>
        </w:rPr>
        <w:fldChar w:fldCharType="begin"/>
      </w:r>
      <w:r w:rsidR="00431DA0" w:rsidRPr="00000849">
        <w:rPr>
          <w:rFonts w:cstheme="minorHAnsi"/>
          <w:sz w:val="24"/>
          <w:szCs w:val="24"/>
        </w:rPr>
        <w:instrText xml:space="preserve"> ADDIN EN.CITE &lt;EndNote&gt;&lt;Cite&gt;&lt;Author&gt;Nyaga&lt;/Author&gt;&lt;Year&gt;2014&lt;/Year&gt;&lt;RecNum&gt;90&lt;/RecNum&gt;&lt;DisplayText&gt;(Nyaga et al., 2014)&lt;/DisplayText&gt;&lt;record&gt;&lt;rec-number&gt;90&lt;/rec-number&gt;&lt;foreign-keys&gt;&lt;key app="EN" db-id="pzfw02x58peadyevdp8vswt40etp25t5ddp0" timestamp="1534705314"&gt;90&lt;/key&gt;&lt;/foreign-keys&gt;&lt;ref-type name="Journal Article"&gt;17&lt;/ref-type&gt;&lt;contributors&gt;&lt;authors&gt;&lt;author&gt;Nyaga, Victoria N.&lt;/author&gt;&lt;author&gt;Arbyn, Marc&lt;/author&gt;&lt;author&gt;Aerts, Marc&lt;/author&gt;&lt;/authors&gt;&lt;/contributors&gt;&lt;titles&gt;&lt;title&gt;Metaprop: a Stata command to perform meta-analysis of binomial data&lt;/title&gt;&lt;secondary-title&gt;Archives of Public Health&lt;/secondary-title&gt;&lt;/titles&gt;&lt;periodical&gt;&lt;full-title&gt;Archives of Public Health&lt;/full-title&gt;&lt;abbr-1&gt;Arch Public Health&lt;/abbr-1&gt;&lt;/periodical&gt;&lt;pages&gt;39&lt;/pages&gt;&lt;volume&gt;72&lt;/volume&gt;&lt;number&gt;1&lt;/number&gt;&lt;keywords&gt;&lt;keyword&gt;Epidemiology – Analysis&lt;/keyword&gt;&lt;/keywords&gt;&lt;dates&gt;&lt;year&gt;2014&lt;/year&gt;&lt;/dates&gt;&lt;isbn&gt;0778-7367&lt;/isbn&gt;&lt;urls&gt;&lt;/urls&gt;&lt;electronic-resource-num&gt;10.1186/2049-3258-72-39&lt;/electronic-resource-num&gt;&lt;/record&gt;&lt;/Cite&gt;&lt;/EndNote&gt;</w:instrText>
      </w:r>
      <w:r w:rsidRPr="00000849">
        <w:rPr>
          <w:rFonts w:cstheme="minorHAnsi"/>
          <w:sz w:val="24"/>
          <w:szCs w:val="24"/>
        </w:rPr>
        <w:fldChar w:fldCharType="separate"/>
      </w:r>
      <w:r w:rsidR="00431DA0" w:rsidRPr="00000849">
        <w:rPr>
          <w:rFonts w:cstheme="minorHAnsi"/>
          <w:noProof/>
          <w:sz w:val="24"/>
          <w:szCs w:val="24"/>
        </w:rPr>
        <w:t>(Nyaga et al., 2014)</w:t>
      </w:r>
      <w:r w:rsidRPr="00000849">
        <w:rPr>
          <w:rFonts w:cstheme="minorHAnsi"/>
          <w:sz w:val="24"/>
          <w:szCs w:val="24"/>
        </w:rPr>
        <w:fldChar w:fldCharType="end"/>
      </w:r>
      <w:r w:rsidRPr="00000849">
        <w:rPr>
          <w:rFonts w:cstheme="minorHAnsi"/>
          <w:sz w:val="24"/>
          <w:szCs w:val="24"/>
        </w:rPr>
        <w:t xml:space="preserve">.  </w:t>
      </w:r>
    </w:p>
    <w:p w14:paraId="1998284D" w14:textId="509BE6C9" w:rsidR="00744CAE" w:rsidRPr="00000849" w:rsidRDefault="003851D7" w:rsidP="00411583">
      <w:pPr>
        <w:widowControl w:val="0"/>
        <w:spacing w:line="480" w:lineRule="auto"/>
        <w:ind w:firstLine="567"/>
        <w:jc w:val="both"/>
        <w:rPr>
          <w:rFonts w:cstheme="minorHAnsi"/>
          <w:sz w:val="24"/>
          <w:szCs w:val="24"/>
        </w:rPr>
      </w:pPr>
      <w:r w:rsidRPr="00000849">
        <w:rPr>
          <w:rFonts w:cstheme="minorHAnsi"/>
          <w:sz w:val="24"/>
          <w:szCs w:val="24"/>
        </w:rPr>
        <w:t xml:space="preserve">Heterogeneity between studies was </w:t>
      </w:r>
      <w:r w:rsidR="00543A4C" w:rsidRPr="00000849">
        <w:rPr>
          <w:rFonts w:cstheme="minorHAnsi"/>
          <w:sz w:val="24"/>
          <w:szCs w:val="24"/>
        </w:rPr>
        <w:t>evaluated using</w:t>
      </w:r>
      <w:r w:rsidRPr="00000849">
        <w:rPr>
          <w:rFonts w:cstheme="minorHAnsi"/>
          <w:sz w:val="24"/>
          <w:szCs w:val="24"/>
        </w:rPr>
        <w:t xml:space="preserve"> the </w:t>
      </w:r>
      <w:r w:rsidR="00543A4C" w:rsidRPr="00000849">
        <w:rPr>
          <w:rFonts w:cstheme="minorHAnsi"/>
          <w:sz w:val="24"/>
          <w:szCs w:val="24"/>
        </w:rPr>
        <w:t xml:space="preserve">Cochran’s </w:t>
      </w:r>
      <w:r w:rsidRPr="00000849">
        <w:rPr>
          <w:rFonts w:cstheme="minorHAnsi"/>
          <w:sz w:val="24"/>
          <w:szCs w:val="24"/>
        </w:rPr>
        <w:t xml:space="preserve">chi-squared test (alpha set at 0.1) </w:t>
      </w:r>
      <w:r w:rsidRPr="00000849">
        <w:rPr>
          <w:rFonts w:cstheme="minorHAnsi"/>
          <w:sz w:val="24"/>
          <w:szCs w:val="24"/>
        </w:rPr>
        <w:fldChar w:fldCharType="begin"/>
      </w:r>
      <w:r w:rsidR="00AC2BE6">
        <w:rPr>
          <w:rFonts w:cstheme="minorHAnsi"/>
          <w:sz w:val="24"/>
          <w:szCs w:val="24"/>
        </w:rPr>
        <w:instrText xml:space="preserve"> ADDIN EN.CITE &lt;EndNote&gt;&lt;Cite&gt;&lt;Author&gt;Cochran&lt;/Author&gt;&lt;Year&gt;1954&lt;/Year&gt;&lt;RecNum&gt;79&lt;/RecNum&gt;&lt;DisplayText&gt;(Cochran, 1954)&lt;/DisplayText&gt;&lt;record&gt;&lt;rec-number&gt;79&lt;/rec-number&gt;&lt;foreign-keys&gt;&lt;key app="EN" db-id="29t2ptva8t9xtgex0z2vepsadpwpfxd9a2zv" timestamp="1585486343"&gt;79&lt;/key&gt;&lt;/foreign-keys&gt;&lt;ref-type name="Journal Article"&gt;17&lt;/ref-type&gt;&lt;contributors&gt;&lt;authors&gt;&lt;author&gt;Cochran, William G&lt;/author&gt;&lt;/authors&gt;&lt;/contributors&gt;&lt;titles&gt;&lt;title&gt;The combination of estimates from different experiments&lt;/title&gt;&lt;secondary-title&gt;Biometrics&lt;/secondary-title&gt;&lt;/titles&gt;&lt;periodical&gt;&lt;full-title&gt;Biometrics&lt;/full-title&gt;&lt;/periodical&gt;&lt;pages&gt;101-129&lt;/pages&gt;&lt;volume&gt;10&lt;/volume&gt;&lt;number&gt;1&lt;/number&gt;&lt;dates&gt;&lt;year&gt;1954&lt;/year&gt;&lt;/dates&gt;&lt;isbn&gt;0006-341X&lt;/isbn&gt;&lt;urls&gt;&lt;/urls&gt;&lt;/record&gt;&lt;/Cite&gt;&lt;/EndNote&gt;</w:instrText>
      </w:r>
      <w:r w:rsidRPr="00000849">
        <w:rPr>
          <w:rFonts w:cstheme="minorHAnsi"/>
          <w:sz w:val="24"/>
          <w:szCs w:val="24"/>
        </w:rPr>
        <w:fldChar w:fldCharType="separate"/>
      </w:r>
      <w:r w:rsidRPr="00000849">
        <w:rPr>
          <w:rFonts w:cstheme="minorHAnsi"/>
          <w:noProof/>
          <w:sz w:val="24"/>
          <w:szCs w:val="24"/>
        </w:rPr>
        <w:t>(Cochran, 1954)</w:t>
      </w:r>
      <w:r w:rsidRPr="00000849">
        <w:rPr>
          <w:rFonts w:cstheme="minorHAnsi"/>
          <w:sz w:val="24"/>
          <w:szCs w:val="24"/>
        </w:rPr>
        <w:fldChar w:fldCharType="end"/>
      </w:r>
      <w:r w:rsidRPr="00000849">
        <w:rPr>
          <w:rFonts w:cstheme="minorHAnsi"/>
          <w:sz w:val="24"/>
          <w:szCs w:val="24"/>
        </w:rPr>
        <w:t xml:space="preserve"> and the I</w:t>
      </w:r>
      <w:r w:rsidRPr="00000849">
        <w:rPr>
          <w:rFonts w:cstheme="minorHAnsi"/>
          <w:sz w:val="24"/>
          <w:szCs w:val="24"/>
          <w:vertAlign w:val="superscript"/>
        </w:rPr>
        <w:t>2</w:t>
      </w:r>
      <w:r w:rsidRPr="00000849">
        <w:rPr>
          <w:rFonts w:cstheme="minorHAnsi"/>
          <w:sz w:val="24"/>
          <w:szCs w:val="24"/>
        </w:rPr>
        <w:t xml:space="preserve"> statistic </w:t>
      </w:r>
      <w:r w:rsidRPr="00000849">
        <w:rPr>
          <w:rFonts w:cstheme="minorHAnsi"/>
          <w:sz w:val="24"/>
          <w:szCs w:val="24"/>
        </w:rPr>
        <w:fldChar w:fldCharType="begin"/>
      </w:r>
      <w:r w:rsidR="003E660C" w:rsidRPr="00000849">
        <w:rPr>
          <w:rFonts w:cstheme="minorHAnsi"/>
          <w:sz w:val="24"/>
          <w:szCs w:val="24"/>
        </w:rPr>
        <w:instrText xml:space="preserve"> ADDIN EN.CITE &lt;EndNote&gt;&lt;Cite&gt;&lt;Author&gt;Higgins&lt;/Author&gt;&lt;Year&gt;2003&lt;/Year&gt;&lt;RecNum&gt;458&lt;/RecNum&gt;&lt;DisplayText&gt;(Higgins et al., 2003)&lt;/DisplayText&gt;&lt;record&gt;&lt;rec-number&gt;458&lt;/rec-number&gt;&lt;foreign-keys&gt;&lt;key app="EN" db-id="9tzf2rda8re2a9es5tuxart3swzx2zws2s02" timestamp="1491789128"&gt;458&lt;/key&gt;&lt;/foreign-keys&gt;&lt;ref-type name="Journal Article"&gt;17&lt;/ref-type&gt;&lt;contributors&gt;&lt;authors&gt;&lt;author&gt;Higgins, J. P.&lt;/author&gt;&lt;author&gt;Thompson, S. G.&lt;/author&gt;&lt;author&gt;Deeks, J. J.&lt;/author&gt;&lt;author&gt;Altman, D. G.&lt;/author&gt;&lt;/authors&gt;&lt;/contributors&gt;&lt;auth-address&gt;MRC Biostatistics Unit, Institute of Public Health, Cambridge CB2 2SR. julian.higgins@mrc-bsu.cam.ac.uk&lt;/auth-address&gt;&lt;titles&gt;&lt;title&gt;Measuring inconsistency in meta-analyses&lt;/title&gt;&lt;secondary-title&gt;BMJ&lt;/secondary-title&gt;&lt;alt-title&gt;BMJ (Clinical research ed.)&lt;/alt-title&gt;&lt;/titles&gt;&lt;periodical&gt;&lt;full-title&gt;BMJ&lt;/full-title&gt;&lt;/periodical&gt;&lt;pages&gt;557-60&lt;/pages&gt;&lt;volume&gt;327&lt;/volume&gt;&lt;number&gt;7414&lt;/number&gt;&lt;edition&gt;2003/09/06&lt;/edition&gt;&lt;keywords&gt;&lt;keyword&gt;Data Interpretation, Statistical&lt;/keyword&gt;&lt;keyword&gt;*Meta-Analysis as Topic&lt;/keyword&gt;&lt;keyword&gt;Reproducibility of Results&lt;/keyword&gt;&lt;keyword&gt;Sensitivity and Specificity&lt;/keyword&gt;&lt;/keywords&gt;&lt;dates&gt;&lt;year&gt;2003&lt;/year&gt;&lt;pub-dates&gt;&lt;date&gt;Sep 06&lt;/date&gt;&lt;/pub-dates&gt;&lt;/dates&gt;&lt;isbn&gt;0959-535x&lt;/isbn&gt;&lt;accession-num&gt;12958120&lt;/accession-num&gt;&lt;urls&gt;&lt;/urls&gt;&lt;custom2&gt;PMC192859&lt;/custom2&gt;&lt;electronic-resource-num&gt;10.1136/bmj.327.7414.557&lt;/electronic-resource-num&gt;&lt;remote-database-provider&gt;NLM&lt;/remote-database-provider&gt;&lt;language&gt;eng&lt;/language&gt;&lt;/record&gt;&lt;/Cite&gt;&lt;/EndNote&gt;</w:instrText>
      </w:r>
      <w:r w:rsidRPr="00000849">
        <w:rPr>
          <w:rFonts w:cstheme="minorHAnsi"/>
          <w:sz w:val="24"/>
          <w:szCs w:val="24"/>
        </w:rPr>
        <w:fldChar w:fldCharType="separate"/>
      </w:r>
      <w:r w:rsidR="00431DA0" w:rsidRPr="00000849">
        <w:rPr>
          <w:rFonts w:cstheme="minorHAnsi"/>
          <w:noProof/>
          <w:sz w:val="24"/>
          <w:szCs w:val="24"/>
        </w:rPr>
        <w:t>(Higgins et al., 2003)</w:t>
      </w:r>
      <w:r w:rsidRPr="00000849">
        <w:rPr>
          <w:rFonts w:cstheme="minorHAnsi"/>
          <w:sz w:val="24"/>
          <w:szCs w:val="24"/>
        </w:rPr>
        <w:fldChar w:fldCharType="end"/>
      </w:r>
      <w:r w:rsidRPr="00000849">
        <w:rPr>
          <w:rFonts w:cstheme="minorHAnsi"/>
          <w:sz w:val="24"/>
          <w:szCs w:val="24"/>
        </w:rPr>
        <w:t xml:space="preserve">.  </w:t>
      </w:r>
      <w:r w:rsidR="00B04CDB" w:rsidRPr="00000849">
        <w:rPr>
          <w:rFonts w:cstheme="minorHAnsi"/>
          <w:sz w:val="24"/>
          <w:szCs w:val="24"/>
        </w:rPr>
        <w:t>P</w:t>
      </w:r>
      <w:r w:rsidR="00D40EFE" w:rsidRPr="00000849">
        <w:rPr>
          <w:rFonts w:cstheme="minorHAnsi"/>
          <w:sz w:val="24"/>
          <w:szCs w:val="24"/>
        </w:rPr>
        <w:t>otential source</w:t>
      </w:r>
      <w:r w:rsidR="00B04CDB" w:rsidRPr="00000849">
        <w:rPr>
          <w:rFonts w:cstheme="minorHAnsi"/>
          <w:sz w:val="24"/>
          <w:szCs w:val="24"/>
        </w:rPr>
        <w:t>s</w:t>
      </w:r>
      <w:r w:rsidR="00D40EFE" w:rsidRPr="00000849">
        <w:rPr>
          <w:rFonts w:cstheme="minorHAnsi"/>
          <w:sz w:val="24"/>
          <w:szCs w:val="24"/>
        </w:rPr>
        <w:t xml:space="preserve"> of heterogeneity</w:t>
      </w:r>
      <w:r w:rsidR="00B04CDB" w:rsidRPr="00000849">
        <w:rPr>
          <w:rFonts w:cstheme="minorHAnsi"/>
          <w:sz w:val="24"/>
          <w:szCs w:val="24"/>
        </w:rPr>
        <w:t xml:space="preserve"> were investigated through </w:t>
      </w:r>
      <w:r w:rsidR="00D40EFE" w:rsidRPr="00000849">
        <w:rPr>
          <w:rFonts w:cstheme="minorHAnsi"/>
          <w:sz w:val="24"/>
          <w:szCs w:val="24"/>
        </w:rPr>
        <w:t>s</w:t>
      </w:r>
      <w:r w:rsidRPr="00000849">
        <w:rPr>
          <w:rFonts w:cstheme="minorHAnsi"/>
          <w:sz w:val="24"/>
          <w:szCs w:val="24"/>
        </w:rPr>
        <w:t>ub-group analyses based on</w:t>
      </w:r>
      <w:r w:rsidR="00D40EFE" w:rsidRPr="00000849">
        <w:rPr>
          <w:rFonts w:cstheme="minorHAnsi"/>
          <w:sz w:val="24"/>
          <w:szCs w:val="24"/>
        </w:rPr>
        <w:t xml:space="preserve"> age</w:t>
      </w:r>
      <w:r w:rsidR="006D5CB3" w:rsidRPr="00000849">
        <w:rPr>
          <w:rFonts w:cstheme="minorHAnsi"/>
          <w:sz w:val="24"/>
          <w:szCs w:val="24"/>
        </w:rPr>
        <w:t xml:space="preserve"> group</w:t>
      </w:r>
      <w:r w:rsidR="00D40EFE" w:rsidRPr="00000849">
        <w:rPr>
          <w:rFonts w:cstheme="minorHAnsi"/>
          <w:sz w:val="24"/>
          <w:szCs w:val="24"/>
        </w:rPr>
        <w:t>, urban/rural residence, African sub-region</w:t>
      </w:r>
      <w:r w:rsidR="005E4F85" w:rsidRPr="00000849">
        <w:rPr>
          <w:rFonts w:cstheme="minorHAnsi"/>
          <w:sz w:val="24"/>
          <w:szCs w:val="24"/>
        </w:rPr>
        <w:t>, study design</w:t>
      </w:r>
      <w:r w:rsidR="00D40EFE" w:rsidRPr="00000849">
        <w:rPr>
          <w:rFonts w:cstheme="minorHAnsi"/>
          <w:sz w:val="24"/>
          <w:szCs w:val="24"/>
        </w:rPr>
        <w:t xml:space="preserve"> and the </w:t>
      </w:r>
      <w:r w:rsidR="00D40EFE" w:rsidRPr="00000849">
        <w:rPr>
          <w:rFonts w:cstheme="minorHAnsi"/>
          <w:sz w:val="24"/>
          <w:szCs w:val="24"/>
        </w:rPr>
        <w:lastRenderedPageBreak/>
        <w:t xml:space="preserve">risk of study bias.  </w:t>
      </w:r>
      <w:r w:rsidR="00943CBB" w:rsidRPr="00000849">
        <w:rPr>
          <w:rFonts w:cstheme="minorHAnsi"/>
          <w:sz w:val="24"/>
          <w:szCs w:val="24"/>
        </w:rPr>
        <w:t>H</w:t>
      </w:r>
      <w:r w:rsidR="00E45482" w:rsidRPr="00000849">
        <w:rPr>
          <w:rFonts w:cstheme="minorHAnsi"/>
          <w:sz w:val="24"/>
          <w:szCs w:val="24"/>
        </w:rPr>
        <w:t>eterogeneity</w:t>
      </w:r>
      <w:r w:rsidR="00943CBB" w:rsidRPr="00000849">
        <w:rPr>
          <w:rFonts w:cstheme="minorHAnsi"/>
          <w:sz w:val="24"/>
          <w:szCs w:val="24"/>
        </w:rPr>
        <w:t xml:space="preserve"> was also explored through a </w:t>
      </w:r>
      <w:r w:rsidR="00E45482" w:rsidRPr="00000849">
        <w:rPr>
          <w:rFonts w:cstheme="minorHAnsi"/>
          <w:sz w:val="24"/>
          <w:szCs w:val="24"/>
        </w:rPr>
        <w:t>post-hoc random-effects meta-regression analysis</w:t>
      </w:r>
      <w:r w:rsidR="00943CBB" w:rsidRPr="00000849">
        <w:rPr>
          <w:rFonts w:cstheme="minorHAnsi"/>
          <w:sz w:val="24"/>
          <w:szCs w:val="24"/>
        </w:rPr>
        <w:t xml:space="preserve"> model which included six variables - study year, publication year sample size enrolled, percentage of obesity, percentage with no education in the total sample, type of BP monitor </w:t>
      </w:r>
      <w:r w:rsidR="00E45482" w:rsidRPr="00000849">
        <w:rPr>
          <w:rFonts w:cstheme="minorHAnsi"/>
          <w:sz w:val="24"/>
          <w:szCs w:val="24"/>
        </w:rPr>
        <w:fldChar w:fldCharType="begin"/>
      </w:r>
      <w:r w:rsidR="001740AB" w:rsidRPr="00000849">
        <w:rPr>
          <w:rFonts w:cstheme="minorHAnsi"/>
          <w:sz w:val="24"/>
          <w:szCs w:val="24"/>
        </w:rPr>
        <w:instrText xml:space="preserve"> ADDIN EN.CITE &lt;EndNote&gt;&lt;Cite&gt;&lt;Author&gt;Harbord&lt;/Author&gt;&lt;Year&gt;2008&lt;/Year&gt;&lt;RecNum&gt;442&lt;/RecNum&gt;&lt;DisplayText&gt;(Harbord &amp;amp; Higgins, 2008)&lt;/DisplayText&gt;&lt;record&gt;&lt;rec-number&gt;442&lt;/rec-number&gt;&lt;foreign-keys&gt;&lt;key app="EN" db-id="pzfw02x58peadyevdp8vswt40etp25t5ddp0" timestamp="1549203289"&gt;442&lt;/key&gt;&lt;/foreign-keys&gt;&lt;ref-type name="Journal Article"&gt;17&lt;/ref-type&gt;&lt;contributors&gt;&lt;authors&gt;&lt;author&gt;Harbord, Roger M&lt;/author&gt;&lt;author&gt;Higgins, Julian PT&lt;/author&gt;&lt;/authors&gt;&lt;/contributors&gt;&lt;titles&gt;&lt;title&gt;Meta-regression in Stata&lt;/title&gt;&lt;secondary-title&gt;The Stata Journal&lt;/secondary-title&gt;&lt;/titles&gt;&lt;periodical&gt;&lt;full-title&gt;The Stata Journal&lt;/full-title&gt;&lt;/periodical&gt;&lt;pages&gt;493-519&lt;/pages&gt;&lt;volume&gt;8&lt;/volume&gt;&lt;number&gt;4&lt;/number&gt;&lt;dates&gt;&lt;year&gt;2008&lt;/year&gt;&lt;/dates&gt;&lt;isbn&gt;1536-867X&lt;/isbn&gt;&lt;urls&gt;&lt;related-urls&gt;&lt;url&gt;https://journals.sagepub.com/doi/pdf/10.1177/1536867X0800800403&lt;/url&gt;&lt;/related-urls&gt;&lt;/urls&gt;&lt;/record&gt;&lt;/Cite&gt;&lt;/EndNote&gt;</w:instrText>
      </w:r>
      <w:r w:rsidR="00E45482" w:rsidRPr="00000849">
        <w:rPr>
          <w:rFonts w:cstheme="minorHAnsi"/>
          <w:sz w:val="24"/>
          <w:szCs w:val="24"/>
        </w:rPr>
        <w:fldChar w:fldCharType="separate"/>
      </w:r>
      <w:r w:rsidR="00E45482" w:rsidRPr="00000849">
        <w:rPr>
          <w:rFonts w:cstheme="minorHAnsi"/>
          <w:noProof/>
          <w:sz w:val="24"/>
          <w:szCs w:val="24"/>
        </w:rPr>
        <w:t>(Harbord &amp; Higgins, 2008)</w:t>
      </w:r>
      <w:r w:rsidR="00E45482" w:rsidRPr="00000849">
        <w:rPr>
          <w:rFonts w:cstheme="minorHAnsi"/>
          <w:sz w:val="24"/>
          <w:szCs w:val="24"/>
        </w:rPr>
        <w:fldChar w:fldCharType="end"/>
      </w:r>
      <w:r w:rsidR="00943CBB" w:rsidRPr="00000849">
        <w:rPr>
          <w:rFonts w:cstheme="minorHAnsi"/>
          <w:sz w:val="24"/>
          <w:szCs w:val="24"/>
        </w:rPr>
        <w:t xml:space="preserve">. </w:t>
      </w:r>
      <w:r w:rsidR="00E45482" w:rsidRPr="00000849">
        <w:rPr>
          <w:rFonts w:cstheme="minorHAnsi"/>
          <w:sz w:val="24"/>
          <w:szCs w:val="24"/>
        </w:rPr>
        <w:t xml:space="preserve"> </w:t>
      </w:r>
      <w:r w:rsidR="00D40EFE" w:rsidRPr="00000849">
        <w:rPr>
          <w:rFonts w:cstheme="minorHAnsi"/>
          <w:sz w:val="24"/>
          <w:szCs w:val="24"/>
        </w:rPr>
        <w:t>Influence analysis was performed to evaluate the effect of excluding one study at a time on the overall pooled estimate.  The weighted study-derived and overall pooled prevalence with their 95% interval estimates were depicted in f</w:t>
      </w:r>
      <w:r w:rsidRPr="00000849">
        <w:rPr>
          <w:rFonts w:cstheme="minorHAnsi"/>
          <w:sz w:val="24"/>
          <w:szCs w:val="24"/>
        </w:rPr>
        <w:t xml:space="preserve">orest plots.  </w:t>
      </w:r>
    </w:p>
    <w:p w14:paraId="62032AE1" w14:textId="32858EE5" w:rsidR="003851D7" w:rsidRPr="00000849" w:rsidRDefault="000137C2" w:rsidP="00411583">
      <w:pPr>
        <w:widowControl w:val="0"/>
        <w:spacing w:line="480" w:lineRule="auto"/>
        <w:ind w:firstLine="567"/>
        <w:jc w:val="both"/>
        <w:rPr>
          <w:rFonts w:cstheme="minorHAnsi"/>
          <w:sz w:val="24"/>
          <w:szCs w:val="24"/>
        </w:rPr>
      </w:pPr>
      <w:r w:rsidRPr="00000849">
        <w:rPr>
          <w:rFonts w:cstheme="minorHAnsi"/>
          <w:sz w:val="24"/>
          <w:szCs w:val="24"/>
        </w:rPr>
        <w:t xml:space="preserve">The presence of reporting bias was assessed through the inspection of funnel plots for asymmetry as well as through Egger’s test </w:t>
      </w:r>
      <w:r w:rsidRPr="00000849">
        <w:rPr>
          <w:rFonts w:cstheme="minorHAnsi"/>
          <w:sz w:val="24"/>
          <w:szCs w:val="24"/>
        </w:rPr>
        <w:fldChar w:fldCharType="begin"/>
      </w:r>
      <w:r w:rsidR="00431DA0" w:rsidRPr="00000849">
        <w:rPr>
          <w:rFonts w:cstheme="minorHAnsi"/>
          <w:sz w:val="24"/>
          <w:szCs w:val="24"/>
        </w:rPr>
        <w:instrText xml:space="preserve"> ADDIN EN.CITE &lt;EndNote&gt;&lt;Cite&gt;&lt;Author&gt;Egger&lt;/Author&gt;&lt;Year&gt;1997&lt;/Year&gt;&lt;RecNum&gt;456&lt;/RecNum&gt;&lt;DisplayText&gt;(Egger et al., 1997)&lt;/DisplayText&gt;&lt;record&gt;&lt;rec-number&gt;456&lt;/rec-number&gt;&lt;foreign-keys&gt;&lt;key app="EN" db-id="9tzf2rda8re2a9es5tuxart3swzx2zws2s02" timestamp="1491788357"&gt;456&lt;/key&gt;&lt;/foreign-keys&gt;&lt;ref-type name="Journal Article"&gt;17&lt;/ref-type&gt;&lt;contributors&gt;&lt;authors&gt;&lt;author&gt;Egger, M.&lt;/author&gt;&lt;author&gt;Davey Smith, G.&lt;/author&gt;&lt;author&gt;Schneider, M.&lt;/author&gt;&lt;author&gt;Minder, C.&lt;/author&gt;&lt;/authors&gt;&lt;/contributors&gt;&lt;auth-address&gt;Department of Social Medicine, University of Bristol. m.egger@bristol.ac.uk&lt;/auth-address&gt;&lt;titles&gt;&lt;title&gt;Bias in meta-analysis detected by a simple, graphical test&lt;/title&gt;&lt;secondary-title&gt;BMJ&lt;/secondary-title&gt;&lt;alt-title&gt;BMJ (Clinical research ed.)&lt;/alt-title&gt;&lt;/titles&gt;&lt;periodical&gt;&lt;full-title&gt;BMJ&lt;/full-title&gt;&lt;/periodical&gt;&lt;pages&gt;629-34&lt;/pages&gt;&lt;volume&gt;315&lt;/volume&gt;&lt;number&gt;7109&lt;/number&gt;&lt;edition&gt;1997/10/06&lt;/edition&gt;&lt;keywords&gt;&lt;keyword&gt;*Bias (Epidemiology)&lt;/keyword&gt;&lt;keyword&gt;*Meta-Analysis as Topic&lt;/keyword&gt;&lt;keyword&gt;Randomized Controlled Trials as Topic&lt;/keyword&gt;&lt;keyword&gt;Regression Analysis&lt;/keyword&gt;&lt;keyword&gt;Statistics as Topic&lt;/keyword&gt;&lt;keyword&gt;Treatment Outcome&lt;/keyword&gt;&lt;/keywords&gt;&lt;dates&gt;&lt;year&gt;1997&lt;/year&gt;&lt;pub-dates&gt;&lt;date&gt;Sep 13&lt;/date&gt;&lt;/pub-dates&gt;&lt;/dates&gt;&lt;isbn&gt;0959-8138 (Print)&amp;#xD;0959-535x&lt;/isbn&gt;&lt;accession-num&gt;9310563&lt;/accession-num&gt;&lt;urls&gt;&lt;/urls&gt;&lt;custom2&gt;PMC2127453&lt;/custom2&gt;&lt;remote-database-provider&gt;NLM&lt;/remote-database-provider&gt;&lt;language&gt;eng&lt;/language&gt;&lt;/record&gt;&lt;/Cite&gt;&lt;/EndNote&gt;</w:instrText>
      </w:r>
      <w:r w:rsidRPr="00000849">
        <w:rPr>
          <w:rFonts w:cstheme="minorHAnsi"/>
          <w:sz w:val="24"/>
          <w:szCs w:val="24"/>
        </w:rPr>
        <w:fldChar w:fldCharType="separate"/>
      </w:r>
      <w:r w:rsidR="00431DA0" w:rsidRPr="00000849">
        <w:rPr>
          <w:rFonts w:cstheme="minorHAnsi"/>
          <w:noProof/>
          <w:sz w:val="24"/>
          <w:szCs w:val="24"/>
        </w:rPr>
        <w:t>(Egger et al., 1997)</w:t>
      </w:r>
      <w:r w:rsidRPr="00000849">
        <w:rPr>
          <w:rFonts w:cstheme="minorHAnsi"/>
          <w:sz w:val="24"/>
          <w:szCs w:val="24"/>
        </w:rPr>
        <w:fldChar w:fldCharType="end"/>
      </w:r>
      <w:r w:rsidRPr="00000849">
        <w:rPr>
          <w:rFonts w:cstheme="minorHAnsi"/>
          <w:sz w:val="24"/>
          <w:szCs w:val="24"/>
        </w:rPr>
        <w:t>.</w:t>
      </w:r>
      <w:r w:rsidR="001F4D0A" w:rsidRPr="00000849">
        <w:rPr>
          <w:rFonts w:cstheme="minorHAnsi"/>
          <w:sz w:val="24"/>
          <w:szCs w:val="24"/>
        </w:rPr>
        <w:t xml:space="preserve">  </w:t>
      </w:r>
      <w:r w:rsidR="00744CAE" w:rsidRPr="00000849">
        <w:rPr>
          <w:rFonts w:cstheme="minorHAnsi"/>
          <w:sz w:val="24"/>
          <w:szCs w:val="24"/>
        </w:rPr>
        <w:t xml:space="preserve">Publication or reporting bias arises when articles that are peer-reviewed, show statistically significant results, </w:t>
      </w:r>
      <w:r w:rsidR="006533FC" w:rsidRPr="00000849">
        <w:rPr>
          <w:rFonts w:cstheme="minorHAnsi"/>
          <w:sz w:val="24"/>
          <w:szCs w:val="24"/>
        </w:rPr>
        <w:t xml:space="preserve">are published in English or </w:t>
      </w:r>
      <w:r w:rsidR="00744CAE" w:rsidRPr="00000849">
        <w:rPr>
          <w:rFonts w:cstheme="minorHAnsi"/>
          <w:sz w:val="24"/>
          <w:szCs w:val="24"/>
        </w:rPr>
        <w:t>are</w:t>
      </w:r>
      <w:r w:rsidR="006533FC" w:rsidRPr="00000849">
        <w:rPr>
          <w:rFonts w:cstheme="minorHAnsi"/>
          <w:sz w:val="24"/>
          <w:szCs w:val="24"/>
        </w:rPr>
        <w:t xml:space="preserve"> readily accessible to researchers are</w:t>
      </w:r>
      <w:r w:rsidR="00744CAE" w:rsidRPr="00000849">
        <w:rPr>
          <w:rFonts w:cstheme="minorHAnsi"/>
          <w:sz w:val="24"/>
          <w:szCs w:val="24"/>
        </w:rPr>
        <w:t xml:space="preserve"> more likel</w:t>
      </w:r>
      <w:r w:rsidR="006533FC" w:rsidRPr="00000849">
        <w:rPr>
          <w:rFonts w:cstheme="minorHAnsi"/>
          <w:sz w:val="24"/>
          <w:szCs w:val="24"/>
        </w:rPr>
        <w:t xml:space="preserve">y to be included in meta-analysis than others </w:t>
      </w:r>
      <w:r w:rsidR="006533FC" w:rsidRPr="00000849">
        <w:rPr>
          <w:rFonts w:cstheme="minorHAnsi"/>
          <w:sz w:val="24"/>
          <w:szCs w:val="24"/>
        </w:rPr>
        <w:fldChar w:fldCharType="begin"/>
      </w:r>
      <w:r w:rsidR="00431DA0" w:rsidRPr="00000849">
        <w:rPr>
          <w:rFonts w:cstheme="minorHAnsi"/>
          <w:sz w:val="24"/>
          <w:szCs w:val="24"/>
        </w:rPr>
        <w:instrText xml:space="preserve"> ADDIN EN.CITE &lt;EndNote&gt;&lt;Cite&gt;&lt;Author&gt;Borenstein&lt;/Author&gt;&lt;Year&gt;2009&lt;/Year&gt;&lt;RecNum&gt;1649&lt;/RecNum&gt;&lt;DisplayText&gt;(Borenstein et al., 2009)&lt;/DisplayText&gt;&lt;record&gt;&lt;rec-number&gt;1649&lt;/rec-number&gt;&lt;foreign-keys&gt;&lt;key app="EN" db-id="9tzf2rda8re2a9es5tuxart3swzx2zws2s02" timestamp="1593945642"&gt;1649&lt;/key&gt;&lt;/foreign-keys&gt;&lt;ref-type name="Book Section"&gt;5&lt;/ref-type&gt;&lt;contributors&gt;&lt;authors&gt;&lt;author&gt;Borenstein, M.&lt;/author&gt;&lt;author&gt;Hedges, L.V.&lt;/author&gt;&lt;author&gt;Higgins, J.P.T.&lt;/author&gt;&lt;author&gt;Rothstein, H.R.&lt;/author&gt;&lt;/authors&gt;&lt;secondary-authors&gt;&lt;author&gt;Borenstein, M.&lt;/author&gt;&lt;author&gt;Hedges, L.V.&lt;/author&gt;&lt;author&gt;Higgins, J.P.T.&lt;/author&gt;&lt;author&gt;Rothstein, H.R.&lt;/author&gt;&lt;/secondary-authors&gt;&lt;/contributors&gt;&lt;titles&gt;&lt;title&gt;Publication Bias&lt;/title&gt;&lt;secondary-title&gt;Introduction to Meta‐Analysis&lt;/secondary-title&gt;&lt;/titles&gt;&lt;pages&gt;277-292&lt;/pages&gt;&lt;section&gt;30&lt;/section&gt;&lt;dates&gt;&lt;year&gt;2009&lt;/year&gt;&lt;/dates&gt;&lt;pub-location&gt;Chichester, West Sussex, UK&lt;/pub-location&gt;&lt;publisher&gt;John Wiley &amp;amp; Sons, Ltd&lt;/publisher&gt;&lt;urls&gt;&lt;related-urls&gt;&lt;url&gt;https://onlinelibrary.wiley.com/doi/abs/10.1002/9780470743386.ch30&lt;/url&gt;&lt;/related-urls&gt;&lt;/urls&gt;&lt;electronic-resource-num&gt;10.1002/9780470743386.ch30&lt;/electronic-resource-num&gt;&lt;/record&gt;&lt;/Cite&gt;&lt;/EndNote&gt;</w:instrText>
      </w:r>
      <w:r w:rsidR="006533FC" w:rsidRPr="00000849">
        <w:rPr>
          <w:rFonts w:cstheme="minorHAnsi"/>
          <w:sz w:val="24"/>
          <w:szCs w:val="24"/>
        </w:rPr>
        <w:fldChar w:fldCharType="separate"/>
      </w:r>
      <w:r w:rsidR="00431DA0" w:rsidRPr="00000849">
        <w:rPr>
          <w:rFonts w:cstheme="minorHAnsi"/>
          <w:noProof/>
          <w:sz w:val="24"/>
          <w:szCs w:val="24"/>
        </w:rPr>
        <w:t>(Borenstein et al., 2009)</w:t>
      </w:r>
      <w:r w:rsidR="006533FC" w:rsidRPr="00000849">
        <w:rPr>
          <w:rFonts w:cstheme="minorHAnsi"/>
          <w:sz w:val="24"/>
          <w:szCs w:val="24"/>
        </w:rPr>
        <w:fldChar w:fldCharType="end"/>
      </w:r>
      <w:r w:rsidR="006533FC" w:rsidRPr="00000849">
        <w:rPr>
          <w:rFonts w:cstheme="minorHAnsi"/>
          <w:sz w:val="24"/>
          <w:szCs w:val="24"/>
        </w:rPr>
        <w:t>.  Studies with small sample size with a higher risk of imprecise estimates are the most likely not to be published.  Publication bias is, therefore, expected to increase as the sample size gets smaller.</w:t>
      </w:r>
      <w:r w:rsidR="001F4D0A" w:rsidRPr="00000849">
        <w:rPr>
          <w:rFonts w:cstheme="minorHAnsi"/>
          <w:sz w:val="24"/>
          <w:szCs w:val="24"/>
        </w:rPr>
        <w:t xml:space="preserve">  In the absence of publication bias, the studies are expected to be symmetrically distributed around the pooled prevalence</w:t>
      </w:r>
      <w:r w:rsidR="00C7396B" w:rsidRPr="00000849">
        <w:rPr>
          <w:rFonts w:cstheme="minorHAnsi"/>
          <w:sz w:val="24"/>
          <w:szCs w:val="24"/>
        </w:rPr>
        <w:t xml:space="preserve"> in a funnel plot</w:t>
      </w:r>
      <w:r w:rsidR="001F4D0A" w:rsidRPr="00000849">
        <w:rPr>
          <w:rFonts w:cstheme="minorHAnsi"/>
          <w:sz w:val="24"/>
          <w:szCs w:val="24"/>
        </w:rPr>
        <w:t xml:space="preserve">.  </w:t>
      </w:r>
      <w:r w:rsidRPr="00000849">
        <w:rPr>
          <w:rFonts w:cstheme="minorHAnsi"/>
          <w:sz w:val="24"/>
          <w:szCs w:val="24"/>
        </w:rPr>
        <w:t xml:space="preserve">Egger’s test </w:t>
      </w:r>
      <w:r w:rsidR="00C7396B" w:rsidRPr="00000849">
        <w:rPr>
          <w:rFonts w:cstheme="minorHAnsi"/>
          <w:sz w:val="24"/>
          <w:szCs w:val="24"/>
        </w:rPr>
        <w:t xml:space="preserve">assesses funnel asymmetry by </w:t>
      </w:r>
      <w:r w:rsidRPr="00000849">
        <w:rPr>
          <w:rFonts w:cstheme="minorHAnsi"/>
          <w:sz w:val="24"/>
          <w:szCs w:val="24"/>
        </w:rPr>
        <w:t>regress</w:t>
      </w:r>
      <w:r w:rsidR="00C7396B" w:rsidRPr="00000849">
        <w:rPr>
          <w:rFonts w:cstheme="minorHAnsi"/>
          <w:sz w:val="24"/>
          <w:szCs w:val="24"/>
        </w:rPr>
        <w:t>ing</w:t>
      </w:r>
      <w:r w:rsidRPr="00000849">
        <w:rPr>
          <w:rFonts w:cstheme="minorHAnsi"/>
          <w:sz w:val="24"/>
          <w:szCs w:val="24"/>
        </w:rPr>
        <w:t xml:space="preserve"> th</w:t>
      </w:r>
      <w:r w:rsidR="007F7C84" w:rsidRPr="00000849">
        <w:rPr>
          <w:rFonts w:cstheme="minorHAnsi"/>
          <w:sz w:val="24"/>
          <w:szCs w:val="24"/>
        </w:rPr>
        <w:t>e</w:t>
      </w:r>
      <w:r w:rsidRPr="00000849">
        <w:rPr>
          <w:rFonts w:cstheme="minorHAnsi"/>
          <w:sz w:val="24"/>
          <w:szCs w:val="24"/>
        </w:rPr>
        <w:t xml:space="preserve"> standard normal deviate of the prevalence against its standard error.  </w:t>
      </w:r>
      <w:r w:rsidR="003851D7" w:rsidRPr="00000849">
        <w:rPr>
          <w:rFonts w:cstheme="minorHAnsi"/>
          <w:sz w:val="24"/>
          <w:szCs w:val="24"/>
        </w:rPr>
        <w:t xml:space="preserve">Statistical analyses were performed </w:t>
      </w:r>
      <w:r w:rsidR="00D40EFE" w:rsidRPr="00000849">
        <w:rPr>
          <w:rFonts w:cstheme="minorHAnsi"/>
          <w:sz w:val="24"/>
          <w:szCs w:val="24"/>
        </w:rPr>
        <w:t xml:space="preserve">at the 5% significance level using </w:t>
      </w:r>
      <w:r w:rsidR="003851D7" w:rsidRPr="00000849">
        <w:rPr>
          <w:rFonts w:cstheme="minorHAnsi"/>
          <w:sz w:val="24"/>
          <w:szCs w:val="24"/>
        </w:rPr>
        <w:t xml:space="preserve">Stata 14 </w:t>
      </w:r>
      <w:r w:rsidR="003851D7" w:rsidRPr="00000849">
        <w:rPr>
          <w:rFonts w:cstheme="minorHAnsi"/>
          <w:sz w:val="24"/>
          <w:szCs w:val="24"/>
        </w:rPr>
        <w:fldChar w:fldCharType="begin"/>
      </w:r>
      <w:r w:rsidR="00AC2BE6">
        <w:rPr>
          <w:rFonts w:cstheme="minorHAnsi"/>
          <w:sz w:val="24"/>
          <w:szCs w:val="24"/>
        </w:rPr>
        <w:instrText xml:space="preserve"> ADDIN EN.CITE &lt;EndNote&gt;&lt;Cite&gt;&lt;Author&gt;StataCorp.&lt;/Author&gt;&lt;Year&gt;2015&lt;/Year&gt;&lt;RecNum&gt;18&lt;/RecNum&gt;&lt;DisplayText&gt;(StataCorp., 2015)&lt;/DisplayText&gt;&lt;record&gt;&lt;rec-number&gt;18&lt;/rec-number&gt;&lt;foreign-keys&gt;&lt;key app="EN" db-id="29t2ptva8t9xtgex0z2vepsadpwpfxd9a2zv" timestamp="1584928805"&gt;18&lt;/key&gt;&lt;/foreign-keys&gt;&lt;ref-type name="Web Page"&gt;12&lt;/ref-type&gt;&lt;contributors&gt;&lt;authors&gt;&lt;author&gt;StataCorp., &lt;/author&gt;&lt;/authors&gt;&lt;/contributors&gt;&lt;titles&gt;&lt;title&gt;Stata Statistical Software: Release 14. : &lt;/title&gt;&lt;/titles&gt;&lt;dates&gt;&lt;year&gt;2015&lt;/year&gt;&lt;/dates&gt;&lt;pub-location&gt;College Station, TX&lt;/pub-location&gt;&lt;publisher&gt;StataCorp LP&lt;/publisher&gt;&lt;urls&gt;&lt;/urls&gt;&lt;/record&gt;&lt;/Cite&gt;&lt;/EndNote&gt;</w:instrText>
      </w:r>
      <w:r w:rsidR="003851D7" w:rsidRPr="00000849">
        <w:rPr>
          <w:rFonts w:cstheme="minorHAnsi"/>
          <w:sz w:val="24"/>
          <w:szCs w:val="24"/>
        </w:rPr>
        <w:fldChar w:fldCharType="separate"/>
      </w:r>
      <w:r w:rsidR="003851D7" w:rsidRPr="00000849">
        <w:rPr>
          <w:rFonts w:cstheme="minorHAnsi"/>
          <w:noProof/>
          <w:sz w:val="24"/>
          <w:szCs w:val="24"/>
        </w:rPr>
        <w:t>(StataCorp., 2015)</w:t>
      </w:r>
      <w:r w:rsidR="003851D7" w:rsidRPr="00000849">
        <w:rPr>
          <w:rFonts w:cstheme="minorHAnsi"/>
          <w:sz w:val="24"/>
          <w:szCs w:val="24"/>
        </w:rPr>
        <w:fldChar w:fldCharType="end"/>
      </w:r>
      <w:r w:rsidR="003851D7" w:rsidRPr="00000849">
        <w:rPr>
          <w:rFonts w:cstheme="minorHAnsi"/>
          <w:sz w:val="24"/>
          <w:szCs w:val="24"/>
        </w:rPr>
        <w:t>.</w:t>
      </w:r>
      <w:r w:rsidR="00C43665" w:rsidRPr="00000849">
        <w:rPr>
          <w:rFonts w:cstheme="minorHAnsi"/>
          <w:sz w:val="24"/>
          <w:szCs w:val="24"/>
        </w:rPr>
        <w:t xml:space="preserve">  </w:t>
      </w:r>
    </w:p>
    <w:p w14:paraId="4422A47D" w14:textId="77777777" w:rsidR="001F4D0A" w:rsidRPr="00000849" w:rsidRDefault="001F4D0A" w:rsidP="002D1E87">
      <w:pPr>
        <w:widowControl w:val="0"/>
        <w:spacing w:line="480" w:lineRule="auto"/>
        <w:jc w:val="both"/>
        <w:rPr>
          <w:rFonts w:cstheme="minorHAnsi"/>
          <w:sz w:val="24"/>
          <w:szCs w:val="24"/>
        </w:rPr>
      </w:pPr>
    </w:p>
    <w:p w14:paraId="1CD26F9B" w14:textId="49DEFBD9" w:rsidR="008757CC" w:rsidRPr="00000849" w:rsidRDefault="00D92056" w:rsidP="00822877">
      <w:pPr>
        <w:pStyle w:val="Heading3"/>
      </w:pPr>
      <w:bookmarkStart w:id="36" w:name="_Toc51472088"/>
      <w:r w:rsidRPr="00000849">
        <w:lastRenderedPageBreak/>
        <w:t>2.1</w:t>
      </w:r>
      <w:r w:rsidR="008757CC" w:rsidRPr="00000849">
        <w:t>.</w:t>
      </w:r>
      <w:r w:rsidR="009357C6" w:rsidRPr="00000849">
        <w:t>5</w:t>
      </w:r>
      <w:r w:rsidR="008757CC" w:rsidRPr="00000849">
        <w:tab/>
      </w:r>
      <w:r w:rsidR="00AB2B7D" w:rsidRPr="00000849">
        <w:t>Background</w:t>
      </w:r>
      <w:r w:rsidR="00C90AFA" w:rsidRPr="00000849">
        <w:t xml:space="preserve"> characteristics</w:t>
      </w:r>
      <w:r w:rsidR="00B832AC" w:rsidRPr="00000849">
        <w:t xml:space="preserve"> of studies and participants</w:t>
      </w:r>
      <w:bookmarkEnd w:id="36"/>
    </w:p>
    <w:p w14:paraId="42E40B2C" w14:textId="418D7804" w:rsidR="00883650" w:rsidRPr="00000849" w:rsidRDefault="00883650" w:rsidP="00000849">
      <w:pPr>
        <w:keepNext/>
        <w:keepLines/>
        <w:widowControl w:val="0"/>
        <w:spacing w:line="480" w:lineRule="auto"/>
        <w:ind w:firstLine="720"/>
        <w:jc w:val="both"/>
        <w:rPr>
          <w:rFonts w:cstheme="minorHAnsi"/>
          <w:sz w:val="24"/>
          <w:szCs w:val="24"/>
        </w:rPr>
      </w:pPr>
    </w:p>
    <w:p w14:paraId="30BB8081" w14:textId="24F18A0D" w:rsidR="005A5CFE" w:rsidRPr="00000849" w:rsidRDefault="006D5CB3" w:rsidP="00000849">
      <w:pPr>
        <w:keepNext/>
        <w:keepLines/>
        <w:widowControl w:val="0"/>
        <w:spacing w:line="480" w:lineRule="auto"/>
        <w:jc w:val="both"/>
        <w:rPr>
          <w:rFonts w:cstheme="minorHAnsi"/>
          <w:sz w:val="24"/>
          <w:szCs w:val="24"/>
        </w:rPr>
      </w:pPr>
      <w:r w:rsidRPr="00000849">
        <w:rPr>
          <w:rFonts w:cstheme="minorHAnsi"/>
          <w:sz w:val="24"/>
          <w:szCs w:val="24"/>
        </w:rPr>
        <w:t xml:space="preserve">The search </w:t>
      </w:r>
      <w:r w:rsidR="00A00A3C" w:rsidRPr="00000849">
        <w:rPr>
          <w:rFonts w:cstheme="minorHAnsi"/>
          <w:sz w:val="24"/>
          <w:szCs w:val="24"/>
        </w:rPr>
        <w:t>strategy across the different databases</w:t>
      </w:r>
      <w:r w:rsidRPr="00000849">
        <w:rPr>
          <w:rFonts w:cstheme="minorHAnsi"/>
          <w:sz w:val="24"/>
          <w:szCs w:val="24"/>
        </w:rPr>
        <w:t xml:space="preserve"> yielded </w:t>
      </w:r>
      <w:r w:rsidR="00A00A3C" w:rsidRPr="00000849">
        <w:rPr>
          <w:rFonts w:cstheme="minorHAnsi"/>
          <w:sz w:val="24"/>
          <w:szCs w:val="24"/>
        </w:rPr>
        <w:t xml:space="preserve">a total of </w:t>
      </w:r>
      <w:r w:rsidRPr="00000849">
        <w:rPr>
          <w:rFonts w:cstheme="minorHAnsi"/>
          <w:sz w:val="24"/>
          <w:szCs w:val="24"/>
        </w:rPr>
        <w:t xml:space="preserve">10,719 </w:t>
      </w:r>
      <w:r w:rsidR="00A00A3C" w:rsidRPr="00000849">
        <w:rPr>
          <w:rFonts w:cstheme="minorHAnsi"/>
          <w:sz w:val="24"/>
          <w:szCs w:val="24"/>
        </w:rPr>
        <w:t xml:space="preserve">citations including </w:t>
      </w:r>
      <w:r w:rsidRPr="00000849">
        <w:rPr>
          <w:rFonts w:cstheme="minorHAnsi"/>
          <w:sz w:val="24"/>
          <w:szCs w:val="24"/>
        </w:rPr>
        <w:t>1,944 duplicate</w:t>
      </w:r>
      <w:r w:rsidR="00A00A3C" w:rsidRPr="00000849">
        <w:rPr>
          <w:rFonts w:cstheme="minorHAnsi"/>
          <w:sz w:val="24"/>
          <w:szCs w:val="24"/>
        </w:rPr>
        <w:t>s which were</w:t>
      </w:r>
      <w:r w:rsidRPr="00000849">
        <w:rPr>
          <w:rFonts w:cstheme="minorHAnsi"/>
          <w:sz w:val="24"/>
          <w:szCs w:val="24"/>
        </w:rPr>
        <w:t xml:space="preserve"> excluded (</w:t>
      </w:r>
      <w:r w:rsidR="00007E47" w:rsidRPr="00000849">
        <w:rPr>
          <w:rFonts w:cstheme="minorHAnsi"/>
          <w:sz w:val="24"/>
          <w:szCs w:val="24"/>
        </w:rPr>
        <w:t>Appendix 2</w:t>
      </w:r>
      <w:r w:rsidR="005A7187" w:rsidRPr="00000849">
        <w:rPr>
          <w:rFonts w:cstheme="minorHAnsi"/>
          <w:sz w:val="24"/>
          <w:szCs w:val="24"/>
        </w:rPr>
        <w:t xml:space="preserve"> </w:t>
      </w:r>
      <w:r w:rsidR="0009103F" w:rsidRPr="00000849">
        <w:rPr>
          <w:rFonts w:cstheme="minorHAnsi"/>
          <w:sz w:val="24"/>
          <w:szCs w:val="24"/>
        </w:rPr>
        <w:t xml:space="preserve">Figure </w:t>
      </w:r>
      <w:r w:rsidR="001649D8" w:rsidRPr="00000849">
        <w:rPr>
          <w:rFonts w:cstheme="minorHAnsi"/>
          <w:sz w:val="24"/>
          <w:szCs w:val="24"/>
        </w:rPr>
        <w:t>1</w:t>
      </w:r>
      <w:r w:rsidR="0009103F" w:rsidRPr="00000849">
        <w:rPr>
          <w:rFonts w:cstheme="minorHAnsi"/>
          <w:sz w:val="24"/>
          <w:szCs w:val="24"/>
        </w:rPr>
        <w:t>)</w:t>
      </w:r>
      <w:r w:rsidRPr="00000849">
        <w:rPr>
          <w:rFonts w:cstheme="minorHAnsi"/>
          <w:sz w:val="24"/>
          <w:szCs w:val="24"/>
        </w:rPr>
        <w:t xml:space="preserve">.  </w:t>
      </w:r>
      <w:r w:rsidR="00A00A3C" w:rsidRPr="00000849">
        <w:rPr>
          <w:rFonts w:cstheme="minorHAnsi"/>
          <w:sz w:val="24"/>
          <w:szCs w:val="24"/>
        </w:rPr>
        <w:t>Of the 8,775 citations screened</w:t>
      </w:r>
      <w:r w:rsidRPr="00000849">
        <w:rPr>
          <w:rFonts w:cstheme="minorHAnsi"/>
          <w:sz w:val="24"/>
          <w:szCs w:val="24"/>
        </w:rPr>
        <w:t xml:space="preserve">, 103 full-text articles were retrieved and </w:t>
      </w:r>
      <w:r w:rsidR="00A00A3C" w:rsidRPr="00000849">
        <w:rPr>
          <w:rFonts w:cstheme="minorHAnsi"/>
          <w:sz w:val="24"/>
          <w:szCs w:val="24"/>
        </w:rPr>
        <w:t>assessed</w:t>
      </w:r>
      <w:r w:rsidRPr="00000849">
        <w:rPr>
          <w:rFonts w:cstheme="minorHAnsi"/>
          <w:sz w:val="24"/>
          <w:szCs w:val="24"/>
        </w:rPr>
        <w:t xml:space="preserve"> for </w:t>
      </w:r>
      <w:r w:rsidR="00A00A3C" w:rsidRPr="00000849">
        <w:rPr>
          <w:rFonts w:cstheme="minorHAnsi"/>
          <w:sz w:val="24"/>
          <w:szCs w:val="24"/>
        </w:rPr>
        <w:t>eligibility</w:t>
      </w:r>
      <w:r w:rsidRPr="00000849">
        <w:rPr>
          <w:rFonts w:cstheme="minorHAnsi"/>
          <w:sz w:val="24"/>
          <w:szCs w:val="24"/>
        </w:rPr>
        <w:t xml:space="preserve">.  </w:t>
      </w:r>
      <w:r w:rsidR="00A00A3C" w:rsidRPr="00000849">
        <w:rPr>
          <w:rFonts w:cstheme="minorHAnsi"/>
          <w:sz w:val="24"/>
          <w:szCs w:val="24"/>
        </w:rPr>
        <w:t>Sixty-three studies were included in the systematic review after excluding 40 which did not meet the inclusion criteria</w:t>
      </w:r>
      <w:r w:rsidRPr="00000849">
        <w:rPr>
          <w:rFonts w:cstheme="minorHAnsi"/>
          <w:sz w:val="24"/>
          <w:szCs w:val="24"/>
        </w:rPr>
        <w:t xml:space="preserve">.  </w:t>
      </w:r>
      <w:r w:rsidR="00A00A3C" w:rsidRPr="00000849">
        <w:rPr>
          <w:rFonts w:cstheme="minorHAnsi"/>
          <w:sz w:val="24"/>
          <w:szCs w:val="24"/>
        </w:rPr>
        <w:t xml:space="preserve">Twenty-nine of these were multiple publications </w:t>
      </w:r>
      <w:r w:rsidR="00DC3996" w:rsidRPr="00000849">
        <w:rPr>
          <w:rFonts w:cstheme="minorHAnsi"/>
          <w:sz w:val="24"/>
          <w:szCs w:val="24"/>
        </w:rPr>
        <w:t xml:space="preserve">from </w:t>
      </w:r>
      <w:r w:rsidR="00A00A3C" w:rsidRPr="00000849">
        <w:rPr>
          <w:rFonts w:cstheme="minorHAnsi"/>
          <w:sz w:val="24"/>
          <w:szCs w:val="24"/>
        </w:rPr>
        <w:t>the same study</w:t>
      </w:r>
      <w:r w:rsidR="005A5CFE" w:rsidRPr="00000849">
        <w:rPr>
          <w:rFonts w:cstheme="minorHAnsi"/>
          <w:sz w:val="24"/>
          <w:szCs w:val="24"/>
        </w:rPr>
        <w:t xml:space="preserve">, </w:t>
      </w:r>
      <w:r w:rsidR="00A00A3C" w:rsidRPr="00000849">
        <w:rPr>
          <w:rFonts w:cstheme="minorHAnsi"/>
          <w:sz w:val="24"/>
          <w:szCs w:val="24"/>
        </w:rPr>
        <w:t xml:space="preserve">leaving 34 unique studies which were included in the final systematic review and meta-analysis.  </w:t>
      </w:r>
    </w:p>
    <w:p w14:paraId="039F97CE" w14:textId="5B895E11" w:rsidR="0065578E" w:rsidRPr="00000849" w:rsidRDefault="005A5CFE" w:rsidP="0076214B">
      <w:pPr>
        <w:widowControl w:val="0"/>
        <w:spacing w:line="480" w:lineRule="auto"/>
        <w:ind w:firstLine="720"/>
        <w:jc w:val="both"/>
        <w:rPr>
          <w:rFonts w:cstheme="minorHAnsi"/>
          <w:sz w:val="24"/>
          <w:szCs w:val="24"/>
        </w:rPr>
      </w:pPr>
      <w:r w:rsidRPr="00000849">
        <w:rPr>
          <w:rFonts w:cstheme="minorHAnsi"/>
          <w:sz w:val="24"/>
          <w:szCs w:val="24"/>
        </w:rPr>
        <w:t xml:space="preserve">The retained studies were published over the period from 2005 to 2018 - four (11.7%) in 2005-2009, 18 (52.9%) in 2010-2014 and 12 (35.3%) in 2015-2018.  </w:t>
      </w:r>
      <w:r w:rsidR="008F5C0D" w:rsidRPr="00000849">
        <w:rPr>
          <w:rFonts w:cstheme="minorHAnsi"/>
          <w:sz w:val="24"/>
          <w:szCs w:val="24"/>
        </w:rPr>
        <w:t xml:space="preserve">Three of the 34 unique studies covered multiple countries or cohorts, and so provided a total of 37 data contributions.  </w:t>
      </w:r>
      <w:r w:rsidR="004106D1" w:rsidRPr="00000849">
        <w:rPr>
          <w:rFonts w:cstheme="minorHAnsi"/>
          <w:sz w:val="24"/>
          <w:szCs w:val="24"/>
        </w:rPr>
        <w:t xml:space="preserve">Overall, the systematic review </w:t>
      </w:r>
      <w:r w:rsidR="0065578E" w:rsidRPr="00000849">
        <w:rPr>
          <w:rFonts w:cstheme="minorHAnsi"/>
          <w:sz w:val="24"/>
          <w:szCs w:val="24"/>
        </w:rPr>
        <w:t xml:space="preserve">with the 37 data points </w:t>
      </w:r>
      <w:r w:rsidR="004106D1" w:rsidRPr="00000849">
        <w:rPr>
          <w:rFonts w:cstheme="minorHAnsi"/>
          <w:sz w:val="24"/>
          <w:szCs w:val="24"/>
        </w:rPr>
        <w:t xml:space="preserve">covered a total of </w:t>
      </w:r>
      <w:r w:rsidR="008F5C0D" w:rsidRPr="00000849">
        <w:rPr>
          <w:rFonts w:cstheme="minorHAnsi"/>
          <w:sz w:val="24"/>
          <w:szCs w:val="24"/>
        </w:rPr>
        <w:t xml:space="preserve">in 15 countries - eight </w:t>
      </w:r>
      <w:r w:rsidR="004106D1" w:rsidRPr="00000849">
        <w:rPr>
          <w:rFonts w:cstheme="minorHAnsi"/>
          <w:sz w:val="24"/>
          <w:szCs w:val="24"/>
        </w:rPr>
        <w:t xml:space="preserve">studies </w:t>
      </w:r>
      <w:r w:rsidR="008F5C0D" w:rsidRPr="00000849">
        <w:rPr>
          <w:rFonts w:cstheme="minorHAnsi"/>
          <w:sz w:val="24"/>
          <w:szCs w:val="24"/>
        </w:rPr>
        <w:t>in Nigeria, five in Tanzania, four in Ghana, three in Uganda, two each in CAR, Congo, Kenya, Senegal, South Africa and Tunisia and one each in Algeria, Burkina Faso, Cameroon, Egypt and Seychelles</w:t>
      </w:r>
      <w:r w:rsidR="00D82F55" w:rsidRPr="00000849">
        <w:rPr>
          <w:rFonts w:cstheme="minorHAnsi"/>
          <w:sz w:val="24"/>
          <w:szCs w:val="24"/>
        </w:rPr>
        <w:t xml:space="preserve"> (Appendix 2 Table A2)</w:t>
      </w:r>
      <w:r w:rsidR="008F5C0D" w:rsidRPr="00000849">
        <w:rPr>
          <w:rFonts w:cstheme="minorHAnsi"/>
          <w:sz w:val="24"/>
          <w:szCs w:val="24"/>
        </w:rPr>
        <w:t>.</w:t>
      </w:r>
      <w:r w:rsidR="0076214B" w:rsidRPr="00000849">
        <w:rPr>
          <w:rFonts w:cstheme="minorHAnsi"/>
          <w:sz w:val="24"/>
          <w:szCs w:val="24"/>
        </w:rPr>
        <w:t xml:space="preserve">  </w:t>
      </w:r>
    </w:p>
    <w:p w14:paraId="0930EFB2" w14:textId="567F7708" w:rsidR="00E43239" w:rsidRPr="00000849" w:rsidRDefault="003D319B" w:rsidP="00E43239">
      <w:pPr>
        <w:widowControl w:val="0"/>
        <w:spacing w:line="480" w:lineRule="auto"/>
        <w:ind w:firstLine="720"/>
        <w:jc w:val="both"/>
        <w:rPr>
          <w:rFonts w:cstheme="minorHAnsi"/>
          <w:sz w:val="24"/>
          <w:szCs w:val="24"/>
        </w:rPr>
      </w:pPr>
      <w:r w:rsidRPr="00000849">
        <w:rPr>
          <w:rFonts w:cstheme="minorHAnsi"/>
          <w:sz w:val="24"/>
          <w:szCs w:val="24"/>
        </w:rPr>
        <w:t xml:space="preserve">The studies included in the analysis had several diverse features.  </w:t>
      </w:r>
      <w:r w:rsidR="008509BB" w:rsidRPr="00000849">
        <w:rPr>
          <w:rFonts w:cstheme="minorHAnsi"/>
          <w:sz w:val="24"/>
          <w:szCs w:val="24"/>
        </w:rPr>
        <w:t>E</w:t>
      </w:r>
      <w:r w:rsidR="00E43239" w:rsidRPr="00000849">
        <w:rPr>
          <w:rFonts w:cstheme="minorHAnsi"/>
          <w:sz w:val="24"/>
          <w:szCs w:val="24"/>
        </w:rPr>
        <w:t xml:space="preserve">xcept for </w:t>
      </w:r>
      <w:r w:rsidR="008509BB" w:rsidRPr="00000849">
        <w:rPr>
          <w:rFonts w:cstheme="minorHAnsi"/>
          <w:sz w:val="24"/>
          <w:szCs w:val="24"/>
        </w:rPr>
        <w:t xml:space="preserve">one study which was an unpublished </w:t>
      </w:r>
      <w:r w:rsidR="00BB5472" w:rsidRPr="00000849">
        <w:rPr>
          <w:sz w:val="24"/>
          <w:szCs w:val="24"/>
        </w:rPr>
        <w:t>dissertation</w:t>
      </w:r>
      <w:r w:rsidR="008509BB" w:rsidRPr="00000849">
        <w:rPr>
          <w:rFonts w:cstheme="minorHAnsi"/>
          <w:sz w:val="24"/>
          <w:szCs w:val="24"/>
        </w:rPr>
        <w:t xml:space="preserve">, the analysed </w:t>
      </w:r>
      <w:r w:rsidRPr="00000849">
        <w:rPr>
          <w:rFonts w:cstheme="minorHAnsi"/>
          <w:sz w:val="24"/>
          <w:szCs w:val="24"/>
        </w:rPr>
        <w:t>st</w:t>
      </w:r>
      <w:r w:rsidR="008509BB" w:rsidRPr="00000849">
        <w:rPr>
          <w:rFonts w:cstheme="minorHAnsi"/>
          <w:sz w:val="24"/>
          <w:szCs w:val="24"/>
        </w:rPr>
        <w:t>udies were all original articles</w:t>
      </w:r>
      <w:r w:rsidR="00E43239" w:rsidRPr="00000849">
        <w:rPr>
          <w:rFonts w:cstheme="minorHAnsi"/>
          <w:sz w:val="24"/>
          <w:szCs w:val="24"/>
        </w:rPr>
        <w:t xml:space="preserve">.  </w:t>
      </w:r>
      <w:r w:rsidRPr="00000849">
        <w:rPr>
          <w:rFonts w:cstheme="minorHAnsi"/>
          <w:sz w:val="24"/>
          <w:szCs w:val="24"/>
        </w:rPr>
        <w:t xml:space="preserve">Of the 37 </w:t>
      </w:r>
      <w:r w:rsidR="00E43239" w:rsidRPr="00000849">
        <w:rPr>
          <w:rFonts w:cstheme="minorHAnsi"/>
          <w:sz w:val="24"/>
          <w:szCs w:val="24"/>
        </w:rPr>
        <w:t>data contributions</w:t>
      </w:r>
      <w:r w:rsidRPr="00000849">
        <w:rPr>
          <w:rFonts w:cstheme="minorHAnsi"/>
          <w:sz w:val="24"/>
          <w:szCs w:val="24"/>
        </w:rPr>
        <w:t>, 32</w:t>
      </w:r>
      <w:r w:rsidR="00E43239" w:rsidRPr="00000849">
        <w:rPr>
          <w:rFonts w:cstheme="minorHAnsi"/>
          <w:sz w:val="24"/>
          <w:szCs w:val="24"/>
        </w:rPr>
        <w:t xml:space="preserve"> (86.5%) were cross-sectional in design and five </w:t>
      </w:r>
      <w:r w:rsidRPr="00000849">
        <w:rPr>
          <w:rFonts w:cstheme="minorHAnsi"/>
          <w:sz w:val="24"/>
          <w:szCs w:val="24"/>
        </w:rPr>
        <w:t xml:space="preserve">(13.5%) </w:t>
      </w:r>
      <w:r w:rsidR="00E43239" w:rsidRPr="00000849">
        <w:rPr>
          <w:rFonts w:cstheme="minorHAnsi"/>
          <w:sz w:val="24"/>
          <w:szCs w:val="24"/>
        </w:rPr>
        <w:t xml:space="preserve">were follow-up studies.  </w:t>
      </w:r>
      <w:r w:rsidRPr="00000849">
        <w:rPr>
          <w:rFonts w:cstheme="minorHAnsi"/>
          <w:sz w:val="24"/>
          <w:szCs w:val="24"/>
        </w:rPr>
        <w:t xml:space="preserve">The search strategy was comprehensive and captured 17 (50.0%) </w:t>
      </w:r>
      <w:r w:rsidR="00E43239" w:rsidRPr="00000849">
        <w:rPr>
          <w:rFonts w:cstheme="minorHAnsi"/>
          <w:sz w:val="24"/>
          <w:szCs w:val="24"/>
        </w:rPr>
        <w:t>studies</w:t>
      </w:r>
      <w:r w:rsidRPr="00000849">
        <w:rPr>
          <w:rFonts w:cstheme="minorHAnsi"/>
          <w:sz w:val="24"/>
          <w:szCs w:val="24"/>
        </w:rPr>
        <w:t xml:space="preserve"> in which</w:t>
      </w:r>
      <w:r w:rsidR="00E43239" w:rsidRPr="00000849">
        <w:rPr>
          <w:rFonts w:cstheme="minorHAnsi"/>
          <w:sz w:val="24"/>
          <w:szCs w:val="24"/>
        </w:rPr>
        <w:t xml:space="preserve"> hypertension was </w:t>
      </w:r>
      <w:r w:rsidRPr="00000849">
        <w:rPr>
          <w:rFonts w:cstheme="minorHAnsi"/>
          <w:sz w:val="24"/>
          <w:szCs w:val="24"/>
        </w:rPr>
        <w:t>not t</w:t>
      </w:r>
      <w:r w:rsidR="00E43239" w:rsidRPr="00000849">
        <w:rPr>
          <w:rFonts w:cstheme="minorHAnsi"/>
          <w:sz w:val="24"/>
          <w:szCs w:val="24"/>
        </w:rPr>
        <w:t xml:space="preserve">he main objective of the study.  </w:t>
      </w:r>
      <w:r w:rsidRPr="00000849">
        <w:rPr>
          <w:rFonts w:cstheme="minorHAnsi"/>
          <w:sz w:val="24"/>
          <w:szCs w:val="24"/>
        </w:rPr>
        <w:t>There were 31</w:t>
      </w:r>
      <w:r w:rsidR="00E43239" w:rsidRPr="00000849">
        <w:rPr>
          <w:rFonts w:cstheme="minorHAnsi"/>
          <w:sz w:val="24"/>
          <w:szCs w:val="24"/>
        </w:rPr>
        <w:t xml:space="preserve"> (91.2%) </w:t>
      </w:r>
      <w:r w:rsidR="00D44547" w:rsidRPr="00000849">
        <w:rPr>
          <w:rFonts w:cstheme="minorHAnsi"/>
          <w:sz w:val="24"/>
          <w:szCs w:val="24"/>
        </w:rPr>
        <w:t>publications</w:t>
      </w:r>
      <w:r w:rsidR="00E43239" w:rsidRPr="00000849">
        <w:rPr>
          <w:rFonts w:cstheme="minorHAnsi"/>
          <w:sz w:val="24"/>
          <w:szCs w:val="24"/>
        </w:rPr>
        <w:t xml:space="preserve"> in English and three </w:t>
      </w:r>
      <w:r w:rsidR="00E43239" w:rsidRPr="00000849">
        <w:rPr>
          <w:rFonts w:cstheme="minorHAnsi"/>
          <w:sz w:val="24"/>
          <w:szCs w:val="24"/>
        </w:rPr>
        <w:lastRenderedPageBreak/>
        <w:t>(8.8%) in French</w:t>
      </w:r>
      <w:r w:rsidR="003550BC" w:rsidRPr="00000849">
        <w:rPr>
          <w:rFonts w:cstheme="minorHAnsi"/>
          <w:sz w:val="24"/>
          <w:szCs w:val="24"/>
        </w:rPr>
        <w:t xml:space="preserve"> </w:t>
      </w:r>
      <w:r w:rsidR="00E43239" w:rsidRPr="00000849">
        <w:rPr>
          <w:rFonts w:cstheme="minorHAnsi"/>
          <w:sz w:val="24"/>
          <w:szCs w:val="24"/>
        </w:rPr>
        <w:t>(</w:t>
      </w:r>
      <w:r w:rsidR="00007E47" w:rsidRPr="00000849">
        <w:rPr>
          <w:rFonts w:cstheme="minorHAnsi"/>
          <w:sz w:val="24"/>
          <w:szCs w:val="24"/>
        </w:rPr>
        <w:t>Appendix 2</w:t>
      </w:r>
      <w:r w:rsidR="00EF3A79" w:rsidRPr="00000849">
        <w:rPr>
          <w:rFonts w:cstheme="minorHAnsi"/>
          <w:sz w:val="24"/>
          <w:szCs w:val="24"/>
        </w:rPr>
        <w:t xml:space="preserve"> Table </w:t>
      </w:r>
      <w:r w:rsidR="001649D8" w:rsidRPr="00000849">
        <w:rPr>
          <w:rFonts w:cstheme="minorHAnsi"/>
          <w:sz w:val="24"/>
          <w:szCs w:val="24"/>
        </w:rPr>
        <w:t>A</w:t>
      </w:r>
      <w:r w:rsidR="00EF3A79" w:rsidRPr="00000849">
        <w:rPr>
          <w:rFonts w:cstheme="minorHAnsi"/>
          <w:sz w:val="24"/>
          <w:szCs w:val="24"/>
        </w:rPr>
        <w:t>2</w:t>
      </w:r>
      <w:r w:rsidR="00E43239" w:rsidRPr="00000849">
        <w:rPr>
          <w:rFonts w:cstheme="minorHAnsi"/>
          <w:sz w:val="24"/>
          <w:szCs w:val="24"/>
        </w:rPr>
        <w:t xml:space="preserve">). </w:t>
      </w:r>
    </w:p>
    <w:p w14:paraId="1431A1C4" w14:textId="33FB72EF" w:rsidR="00D44547" w:rsidRPr="00000849" w:rsidRDefault="005A7187" w:rsidP="0065578E">
      <w:pPr>
        <w:spacing w:line="480" w:lineRule="auto"/>
        <w:ind w:firstLine="720"/>
        <w:jc w:val="both"/>
        <w:rPr>
          <w:rFonts w:cstheme="minorHAnsi"/>
          <w:sz w:val="24"/>
          <w:szCs w:val="24"/>
        </w:rPr>
      </w:pPr>
      <w:r w:rsidRPr="00000849">
        <w:rPr>
          <w:rFonts w:cstheme="minorHAnsi"/>
          <w:sz w:val="24"/>
          <w:szCs w:val="24"/>
        </w:rPr>
        <w:t xml:space="preserve">Overall, </w:t>
      </w:r>
      <w:r w:rsidR="0065578E" w:rsidRPr="00000849">
        <w:rPr>
          <w:rFonts w:cstheme="minorHAnsi"/>
          <w:sz w:val="24"/>
          <w:szCs w:val="24"/>
        </w:rPr>
        <w:t xml:space="preserve">43,025 </w:t>
      </w:r>
      <w:r w:rsidRPr="00000849">
        <w:rPr>
          <w:rFonts w:cstheme="minorHAnsi"/>
          <w:sz w:val="24"/>
          <w:szCs w:val="24"/>
        </w:rPr>
        <w:t xml:space="preserve">older adults were enrolled across the studies with a </w:t>
      </w:r>
      <w:r w:rsidR="0065578E" w:rsidRPr="00000849">
        <w:rPr>
          <w:rFonts w:cstheme="minorHAnsi"/>
          <w:sz w:val="24"/>
          <w:szCs w:val="24"/>
        </w:rPr>
        <w:t xml:space="preserve">median of 598 subjects </w:t>
      </w:r>
      <w:r w:rsidRPr="00000849">
        <w:rPr>
          <w:rFonts w:cstheme="minorHAnsi"/>
          <w:sz w:val="24"/>
          <w:szCs w:val="24"/>
        </w:rPr>
        <w:t>in the 37 data points</w:t>
      </w:r>
      <w:r w:rsidR="0065578E" w:rsidRPr="00000849">
        <w:rPr>
          <w:rFonts w:cstheme="minorHAnsi"/>
          <w:sz w:val="24"/>
          <w:szCs w:val="24"/>
        </w:rPr>
        <w:t xml:space="preserve"> (</w:t>
      </w:r>
      <w:r w:rsidR="00EF3A79" w:rsidRPr="00000849">
        <w:rPr>
          <w:rFonts w:cstheme="minorHAnsi"/>
          <w:sz w:val="24"/>
          <w:szCs w:val="24"/>
        </w:rPr>
        <w:t xml:space="preserve">Appendix 2 </w:t>
      </w:r>
      <w:r w:rsidR="0065578E" w:rsidRPr="00000849">
        <w:rPr>
          <w:rFonts w:cstheme="minorHAnsi"/>
          <w:sz w:val="24"/>
          <w:szCs w:val="24"/>
        </w:rPr>
        <w:t xml:space="preserve">Table </w:t>
      </w:r>
      <w:r w:rsidR="00D744E5" w:rsidRPr="00000849">
        <w:rPr>
          <w:rFonts w:cstheme="minorHAnsi"/>
          <w:sz w:val="24"/>
          <w:szCs w:val="24"/>
        </w:rPr>
        <w:t>A</w:t>
      </w:r>
      <w:r w:rsidR="00EF3A79" w:rsidRPr="00000849">
        <w:rPr>
          <w:rFonts w:cstheme="minorHAnsi"/>
          <w:sz w:val="24"/>
          <w:szCs w:val="24"/>
        </w:rPr>
        <w:t>2</w:t>
      </w:r>
      <w:r w:rsidR="0065578E" w:rsidRPr="00000849">
        <w:rPr>
          <w:rFonts w:cstheme="minorHAnsi"/>
          <w:sz w:val="24"/>
          <w:szCs w:val="24"/>
        </w:rPr>
        <w:t xml:space="preserve">).  </w:t>
      </w:r>
      <w:r w:rsidRPr="00000849">
        <w:rPr>
          <w:rFonts w:cstheme="minorHAnsi"/>
          <w:sz w:val="24"/>
          <w:szCs w:val="24"/>
        </w:rPr>
        <w:t>T</w:t>
      </w:r>
      <w:r w:rsidR="0065578E" w:rsidRPr="00000849">
        <w:rPr>
          <w:rFonts w:cstheme="minorHAnsi"/>
          <w:sz w:val="24"/>
          <w:szCs w:val="24"/>
        </w:rPr>
        <w:t xml:space="preserve">he total sample size ranged from 46 to 4,724 </w:t>
      </w:r>
      <w:r w:rsidR="00E43239" w:rsidRPr="00000849">
        <w:rPr>
          <w:rFonts w:cstheme="minorHAnsi"/>
          <w:sz w:val="24"/>
          <w:szCs w:val="24"/>
        </w:rPr>
        <w:t>subjects per data contribution</w:t>
      </w:r>
      <w:r w:rsidR="0065578E" w:rsidRPr="00000849">
        <w:rPr>
          <w:rFonts w:cstheme="minorHAnsi"/>
          <w:sz w:val="24"/>
          <w:szCs w:val="24"/>
        </w:rPr>
        <w:t>.  The</w:t>
      </w:r>
      <w:r w:rsidR="00E43239" w:rsidRPr="00000849">
        <w:rPr>
          <w:rFonts w:cstheme="minorHAnsi"/>
          <w:sz w:val="24"/>
          <w:szCs w:val="24"/>
        </w:rPr>
        <w:t xml:space="preserve"> subject’s</w:t>
      </w:r>
      <w:r w:rsidR="0065578E" w:rsidRPr="00000849">
        <w:rPr>
          <w:rFonts w:cstheme="minorHAnsi"/>
          <w:sz w:val="24"/>
          <w:szCs w:val="24"/>
        </w:rPr>
        <w:t xml:space="preserve"> ages ranged from 50 to 110 years.  The sex distribution of participants was provided by 32 studies which reported a median of 254 males and 391 females.  </w:t>
      </w:r>
    </w:p>
    <w:p w14:paraId="4B26F9F3" w14:textId="77777777" w:rsidR="00494FF2" w:rsidRPr="00000849" w:rsidRDefault="00494FF2" w:rsidP="00883650">
      <w:pPr>
        <w:pStyle w:val="NormalWeb"/>
        <w:shd w:val="clear" w:color="auto" w:fill="FFFFFF"/>
        <w:spacing w:before="0" w:beforeAutospacing="0" w:after="165" w:afterAutospacing="0" w:line="480" w:lineRule="auto"/>
        <w:rPr>
          <w:rFonts w:asciiTheme="minorHAnsi" w:hAnsiTheme="minorHAnsi" w:cstheme="minorHAnsi"/>
          <w:color w:val="383838"/>
        </w:rPr>
      </w:pPr>
    </w:p>
    <w:p w14:paraId="5A40BE5C" w14:textId="2033274E" w:rsidR="0034622F" w:rsidRPr="00000849" w:rsidRDefault="00D92056" w:rsidP="004E2350">
      <w:pPr>
        <w:pStyle w:val="Heading3"/>
      </w:pPr>
      <w:bookmarkStart w:id="37" w:name="_Toc51472089"/>
      <w:r w:rsidRPr="00000849">
        <w:t>2.1</w:t>
      </w:r>
      <w:r w:rsidR="0034622F" w:rsidRPr="00000849">
        <w:t>.</w:t>
      </w:r>
      <w:r w:rsidR="003550BC" w:rsidRPr="00000849">
        <w:t>6</w:t>
      </w:r>
      <w:r w:rsidR="0034622F" w:rsidRPr="00000849">
        <w:tab/>
        <w:t>Pooled estimate</w:t>
      </w:r>
      <w:r w:rsidR="005E385E" w:rsidRPr="00000849">
        <w:t>d prevalence</w:t>
      </w:r>
      <w:r w:rsidR="0034622F" w:rsidRPr="00000849">
        <w:t xml:space="preserve"> of hypertension</w:t>
      </w:r>
      <w:bookmarkEnd w:id="37"/>
    </w:p>
    <w:p w14:paraId="4089E079" w14:textId="04755FB2" w:rsidR="0034622F" w:rsidRPr="00000849" w:rsidRDefault="0034622F" w:rsidP="004F3079">
      <w:pPr>
        <w:spacing w:line="480" w:lineRule="auto"/>
        <w:ind w:firstLine="720"/>
        <w:jc w:val="both"/>
        <w:rPr>
          <w:rFonts w:cstheme="minorHAnsi"/>
          <w:sz w:val="24"/>
          <w:szCs w:val="24"/>
        </w:rPr>
      </w:pPr>
    </w:p>
    <w:p w14:paraId="7F86D2A6" w14:textId="5E122041" w:rsidR="005E385E" w:rsidRPr="00000849" w:rsidRDefault="00E56870" w:rsidP="00000849">
      <w:pPr>
        <w:spacing w:line="480" w:lineRule="auto"/>
        <w:jc w:val="both"/>
        <w:rPr>
          <w:rFonts w:cstheme="minorHAnsi"/>
          <w:sz w:val="24"/>
          <w:szCs w:val="24"/>
        </w:rPr>
      </w:pPr>
      <w:r w:rsidRPr="00000849">
        <w:rPr>
          <w:rFonts w:cstheme="minorHAnsi"/>
          <w:sz w:val="24"/>
          <w:szCs w:val="24"/>
        </w:rPr>
        <w:t>In individual studies, t</w:t>
      </w:r>
      <w:r w:rsidR="00F6201C" w:rsidRPr="00000849">
        <w:rPr>
          <w:rFonts w:cstheme="minorHAnsi"/>
          <w:sz w:val="24"/>
          <w:szCs w:val="24"/>
        </w:rPr>
        <w:t xml:space="preserve">he prevalence of hypertension ranged from 22.3% to 90.0%.  </w:t>
      </w:r>
      <w:r w:rsidR="00A72568" w:rsidRPr="00000849">
        <w:rPr>
          <w:rFonts w:cstheme="minorHAnsi"/>
          <w:sz w:val="24"/>
          <w:szCs w:val="24"/>
        </w:rPr>
        <w:t xml:space="preserve">In the four studies conducted in Ghana, the prevalence ranged from 24.1% to 54.3%.  </w:t>
      </w:r>
      <w:r w:rsidRPr="00000849">
        <w:rPr>
          <w:rFonts w:cstheme="minorHAnsi"/>
          <w:sz w:val="24"/>
          <w:szCs w:val="24"/>
        </w:rPr>
        <w:t xml:space="preserve">The </w:t>
      </w:r>
      <w:r w:rsidR="00F6201C" w:rsidRPr="00000849">
        <w:rPr>
          <w:rFonts w:cstheme="minorHAnsi"/>
          <w:sz w:val="24"/>
          <w:szCs w:val="24"/>
        </w:rPr>
        <w:t xml:space="preserve">pooled </w:t>
      </w:r>
      <w:r w:rsidR="00EC59B4" w:rsidRPr="00000849">
        <w:rPr>
          <w:rFonts w:cstheme="minorHAnsi"/>
          <w:sz w:val="24"/>
          <w:szCs w:val="24"/>
        </w:rPr>
        <w:t>prevalence</w:t>
      </w:r>
      <w:r w:rsidR="00F6201C" w:rsidRPr="00000849">
        <w:rPr>
          <w:rFonts w:cstheme="minorHAnsi"/>
          <w:sz w:val="24"/>
          <w:szCs w:val="24"/>
        </w:rPr>
        <w:t xml:space="preserve"> from the random effects model was 57.0% (95% CI 52%-61%)</w:t>
      </w:r>
      <w:r w:rsidR="00662C87" w:rsidRPr="00000849">
        <w:rPr>
          <w:rFonts w:cstheme="minorHAnsi"/>
          <w:sz w:val="24"/>
          <w:szCs w:val="24"/>
        </w:rPr>
        <w:t xml:space="preserve">, this being similar to </w:t>
      </w:r>
      <w:r w:rsidR="009240AC" w:rsidRPr="00000849">
        <w:rPr>
          <w:rFonts w:cstheme="minorHAnsi"/>
          <w:sz w:val="24"/>
          <w:szCs w:val="24"/>
        </w:rPr>
        <w:t xml:space="preserve">the 55.2% </w:t>
      </w:r>
      <w:r w:rsidR="00662C87" w:rsidRPr="00000849">
        <w:rPr>
          <w:rFonts w:cstheme="minorHAnsi"/>
          <w:sz w:val="24"/>
          <w:szCs w:val="24"/>
        </w:rPr>
        <w:t xml:space="preserve">from </w:t>
      </w:r>
      <w:r w:rsidR="009240AC" w:rsidRPr="00000849">
        <w:rPr>
          <w:rFonts w:cstheme="minorHAnsi"/>
          <w:sz w:val="24"/>
          <w:szCs w:val="24"/>
        </w:rPr>
        <w:t xml:space="preserve">the only other published systematic review of hypertension </w:t>
      </w:r>
      <w:r w:rsidR="00B40340" w:rsidRPr="00000849">
        <w:rPr>
          <w:rFonts w:cstheme="minorHAnsi"/>
          <w:sz w:val="24"/>
          <w:szCs w:val="24"/>
        </w:rPr>
        <w:t xml:space="preserve">in Africa </w:t>
      </w:r>
      <w:r w:rsidR="00B40340" w:rsidRPr="00000849">
        <w:rPr>
          <w:rFonts w:cstheme="minorHAnsi"/>
          <w:sz w:val="24"/>
          <w:szCs w:val="24"/>
        </w:rPr>
        <w:fldChar w:fldCharType="begin"/>
      </w:r>
      <w:r w:rsidR="003E660C" w:rsidRPr="00000849">
        <w:rPr>
          <w:rFonts w:cstheme="minorHAnsi"/>
          <w:sz w:val="24"/>
          <w:szCs w:val="24"/>
        </w:rPr>
        <w:instrText xml:space="preserve"> ADDIN EN.CITE &lt;EndNote&gt;&lt;Cite&gt;&lt;Author&gt;Kaze&lt;/Author&gt;&lt;Year&gt;2017&lt;/Year&gt;&lt;RecNum&gt;971&lt;/RecNum&gt;&lt;DisplayText&gt;(Kaze et al., 2017)&lt;/DisplayText&gt;&lt;record&gt;&lt;rec-number&gt;971&lt;/rec-number&gt;&lt;foreign-keys&gt;&lt;key app="EN" db-id="9tzf2rda8re2a9es5tuxart3swzx2zws2s02" timestamp="1575383663"&gt;971&lt;/key&gt;&lt;/foreign-keys&gt;&lt;ref-type name="Journal Article"&gt;17&lt;/ref-type&gt;&lt;contributors&gt;&lt;authors&gt;&lt;author&gt;Kaze, A. D.&lt;/author&gt;&lt;author&gt;Schutte, A. E.&lt;/author&gt;&lt;author&gt;Erqou, S.&lt;/author&gt;&lt;author&gt;Kengne, A. P.&lt;/author&gt;&lt;author&gt;Echouffo-Tcheugui, J. B.&lt;/author&gt;&lt;/authors&gt;&lt;/contributors&gt;&lt;auth-address&gt;aHarvard T.H. Chan School of Public Health, Boston, Massachusetts, USA bMRC Research Unit for Hypertension and Cardiovascular Disease, Hypertension in Africa Research Team (HART), North-West University, Potchefstroom, South Africa cDepartment of Medicine, University of Pittsburgh, Pittsburgh, Pennsylvania, USA dNon-Communicable Diseases Research Unit, South African Medical Research Council, University of Cape Town, Cape Town, South Africa eBrigham and Women&amp;apos;s Hospital, Harvard Medical School, Boston, Massachusetts, USA.&lt;/auth-address&gt;&lt;titles&gt;&lt;title&gt;Prevalence of hypertension in older people in Africa: a systematic review and meta-analysis&lt;/title&gt;&lt;secondary-title&gt;Journal of Hypertension&lt;/secondary-title&gt;&lt;alt-title&gt;Journal of hypertension&lt;/alt-title&gt;&lt;/titles&gt;&lt;pages&gt;1345-1352&lt;/pages&gt;&lt;volume&gt;35&lt;/volume&gt;&lt;number&gt;7&lt;/number&gt;&lt;edition&gt;2017/03/08&lt;/edition&gt;&lt;dates&gt;&lt;year&gt;2017&lt;/year&gt;&lt;pub-dates&gt;&lt;date&gt;Mar 06&lt;/date&gt;&lt;/pub-dates&gt;&lt;/dates&gt;&lt;isbn&gt;0263-6352&lt;/isbn&gt;&lt;accession-num&gt;28267038&lt;/accession-num&gt;&lt;urls&gt;&lt;/urls&gt;&lt;electronic-resource-num&gt;10.1097/HJH.0000000000001345&lt;/electronic-resource-num&gt;&lt;remote-database-provider&gt;NLM&lt;/remote-database-provider&gt;&lt;language&gt;eng&lt;/language&gt;&lt;/record&gt;&lt;/Cite&gt;&lt;/EndNote&gt;</w:instrText>
      </w:r>
      <w:r w:rsidR="00B40340" w:rsidRPr="00000849">
        <w:rPr>
          <w:rFonts w:cstheme="minorHAnsi"/>
          <w:sz w:val="24"/>
          <w:szCs w:val="24"/>
        </w:rPr>
        <w:fldChar w:fldCharType="separate"/>
      </w:r>
      <w:r w:rsidR="00F41DFD" w:rsidRPr="00000849">
        <w:rPr>
          <w:rFonts w:cstheme="minorHAnsi"/>
          <w:noProof/>
          <w:sz w:val="24"/>
          <w:szCs w:val="24"/>
        </w:rPr>
        <w:t>(Kaze et al., 2017)</w:t>
      </w:r>
      <w:r w:rsidR="00B40340" w:rsidRPr="00000849">
        <w:rPr>
          <w:rFonts w:cstheme="minorHAnsi"/>
          <w:sz w:val="24"/>
          <w:szCs w:val="24"/>
        </w:rPr>
        <w:fldChar w:fldCharType="end"/>
      </w:r>
      <w:r w:rsidR="00867726" w:rsidRPr="00000849">
        <w:rPr>
          <w:rFonts w:cstheme="minorHAnsi"/>
          <w:sz w:val="24"/>
          <w:szCs w:val="24"/>
        </w:rPr>
        <w:t xml:space="preserve"> but higher than that of 31.9% (95% CI 18.5%–49.2%) among </w:t>
      </w:r>
      <w:r w:rsidR="005E2724" w:rsidRPr="00000849">
        <w:rPr>
          <w:rFonts w:cstheme="minorHAnsi"/>
          <w:sz w:val="24"/>
          <w:szCs w:val="24"/>
        </w:rPr>
        <w:t xml:space="preserve">adults </w:t>
      </w:r>
      <w:r w:rsidR="00867726" w:rsidRPr="00000849">
        <w:rPr>
          <w:rFonts w:cstheme="minorHAnsi"/>
          <w:sz w:val="24"/>
          <w:szCs w:val="24"/>
        </w:rPr>
        <w:t xml:space="preserve">in SSA </w:t>
      </w:r>
      <w:r w:rsidR="005E2724" w:rsidRPr="00000849">
        <w:rPr>
          <w:rFonts w:cstheme="minorHAnsi"/>
          <w:sz w:val="24"/>
          <w:szCs w:val="24"/>
        </w:rPr>
        <w:t xml:space="preserve">aged ≥50 years living with human immunodeficiency virus </w:t>
      </w:r>
      <w:r w:rsidR="00822877" w:rsidRPr="00000849">
        <w:rPr>
          <w:rFonts w:cstheme="minorHAnsi"/>
          <w:sz w:val="24"/>
          <w:szCs w:val="24"/>
        </w:rPr>
        <w:fldChar w:fldCharType="begin"/>
      </w:r>
      <w:r w:rsidR="00000849" w:rsidRPr="00000849">
        <w:rPr>
          <w:rFonts w:cstheme="minorHAnsi"/>
          <w:sz w:val="24"/>
          <w:szCs w:val="24"/>
        </w:rPr>
        <w:instrText xml:space="preserve"> ADDIN EN.CITE &lt;EndNote&gt;&lt;Cite&gt;&lt;Author&gt;Dakum&lt;/Author&gt;&lt;Year&gt;2019&lt;/Year&gt;&lt;RecNum&gt;1130&lt;/RecNum&gt;&lt;DisplayText&gt;(Dakum et al., 2019)&lt;/DisplayText&gt;&lt;record&gt;&lt;rec-number&gt;1130&lt;/rec-number&gt;&lt;foreign-keys&gt;&lt;key app="EN" db-id="9tzf2rda8re2a9es5tuxart3swzx2zws2s02" timestamp="1580088900"&gt;1130&lt;/key&gt;&lt;/foreign-keys&gt;&lt;ref-type name="Journal Article"&gt;17&lt;/ref-type&gt;&lt;contributors&gt;&lt;authors&gt;&lt;author&gt;Dakum, Patrick&lt;/author&gt;&lt;author&gt;Kayode, Gbenga Ayodele&lt;/author&gt;&lt;author&gt;Abimiku, Alash’le&lt;/author&gt;&lt;author&gt;Avong, Yohanna Kambai&lt;/author&gt;&lt;author&gt;Okuma, James&lt;/author&gt;&lt;author&gt;Onyemata, Ezenwa&lt;/author&gt;&lt;author&gt;Ali, Taofeekat&lt;/author&gt;&lt;author&gt;Adekanmbi, Victor&lt;/author&gt;&lt;author&gt;Uthman, Olalekan&lt;/author&gt;&lt;/authors&gt;&lt;/contributors&gt;&lt;titles&gt;&lt;title&gt;Prevalence of hypertension among patients aged 50 and older living with human immunodeficiency virus&lt;/title&gt;&lt;secondary-title&gt;Medicine (Baltimore)&lt;/secondary-title&gt;&lt;/titles&gt;&lt;periodical&gt;&lt;full-title&gt;Medicine (Baltimore)&lt;/full-title&gt;&lt;/periodical&gt;&lt;pages&gt;e15024&lt;/pages&gt;&lt;volume&gt;98&lt;/volume&gt;&lt;number&gt;15&lt;/number&gt;&lt;dates&gt;&lt;year&gt;2019&lt;/year&gt;&lt;/dates&gt;&lt;urls&gt;&lt;/urls&gt;&lt;electronic-resource-num&gt;10.1097/md.0000000000015024&lt;/electronic-resource-num&gt;&lt;/record&gt;&lt;/Cite&gt;&lt;/EndNote&gt;</w:instrText>
      </w:r>
      <w:r w:rsidR="00822877" w:rsidRPr="00000849">
        <w:rPr>
          <w:rFonts w:cstheme="minorHAnsi"/>
          <w:sz w:val="24"/>
          <w:szCs w:val="24"/>
        </w:rPr>
        <w:fldChar w:fldCharType="separate"/>
      </w:r>
      <w:r w:rsidR="00000849" w:rsidRPr="00000849">
        <w:rPr>
          <w:rFonts w:cstheme="minorHAnsi"/>
          <w:noProof/>
          <w:sz w:val="24"/>
          <w:szCs w:val="24"/>
        </w:rPr>
        <w:t>(Dakum et al., 2019)</w:t>
      </w:r>
      <w:r w:rsidR="00822877" w:rsidRPr="00000849">
        <w:rPr>
          <w:rFonts w:cstheme="minorHAnsi"/>
          <w:sz w:val="24"/>
          <w:szCs w:val="24"/>
        </w:rPr>
        <w:fldChar w:fldCharType="end"/>
      </w:r>
      <w:r w:rsidR="005E2724" w:rsidRPr="00000849">
        <w:rPr>
          <w:rFonts w:cstheme="minorHAnsi"/>
          <w:sz w:val="24"/>
          <w:szCs w:val="24"/>
        </w:rPr>
        <w:t xml:space="preserve">.  </w:t>
      </w:r>
    </w:p>
    <w:p w14:paraId="1D22814D" w14:textId="748FC6E4" w:rsidR="00AB07EF" w:rsidRPr="00000849" w:rsidRDefault="005F7D0B">
      <w:pPr>
        <w:spacing w:line="480" w:lineRule="auto"/>
        <w:ind w:firstLine="720"/>
        <w:jc w:val="both"/>
        <w:rPr>
          <w:rFonts w:cstheme="minorHAnsi"/>
          <w:sz w:val="24"/>
          <w:szCs w:val="24"/>
          <w:lang w:val="en-US"/>
        </w:rPr>
      </w:pPr>
      <w:r w:rsidRPr="00000849">
        <w:rPr>
          <w:rFonts w:cstheme="minorHAnsi"/>
          <w:sz w:val="24"/>
          <w:szCs w:val="24"/>
        </w:rPr>
        <w:t>T</w:t>
      </w:r>
      <w:r w:rsidR="001C6F4C" w:rsidRPr="00000849">
        <w:rPr>
          <w:rFonts w:cstheme="minorHAnsi"/>
          <w:sz w:val="24"/>
          <w:szCs w:val="24"/>
        </w:rPr>
        <w:t xml:space="preserve">he pooled prevalence </w:t>
      </w:r>
      <w:r w:rsidRPr="00000849">
        <w:rPr>
          <w:rFonts w:cstheme="minorHAnsi"/>
          <w:sz w:val="24"/>
          <w:szCs w:val="24"/>
        </w:rPr>
        <w:t xml:space="preserve">of </w:t>
      </w:r>
      <w:r w:rsidR="00A72568" w:rsidRPr="00000849">
        <w:rPr>
          <w:rFonts w:cstheme="minorHAnsi"/>
          <w:sz w:val="24"/>
          <w:szCs w:val="24"/>
        </w:rPr>
        <w:t xml:space="preserve">hypertension in </w:t>
      </w:r>
      <w:r w:rsidRPr="00000849">
        <w:rPr>
          <w:rFonts w:cstheme="minorHAnsi"/>
          <w:sz w:val="24"/>
          <w:szCs w:val="24"/>
        </w:rPr>
        <w:t xml:space="preserve">individual countries </w:t>
      </w:r>
      <w:r w:rsidR="001C6F4C" w:rsidRPr="00000849">
        <w:rPr>
          <w:rFonts w:cstheme="minorHAnsi"/>
          <w:sz w:val="24"/>
          <w:szCs w:val="24"/>
        </w:rPr>
        <w:t>ranged from</w:t>
      </w:r>
      <w:r w:rsidRPr="00000849">
        <w:rPr>
          <w:rFonts w:cstheme="minorHAnsi"/>
          <w:sz w:val="24"/>
          <w:szCs w:val="24"/>
        </w:rPr>
        <w:t xml:space="preserve"> 31.0% (95% CI 25.0%-39.0%) in Egypt to 82.0% (95% CI 78.0%-86.0%) in Burkina Faso.  Ghana’s pooled prevalence </w:t>
      </w:r>
      <w:r w:rsidR="00B06B66" w:rsidRPr="00000849">
        <w:rPr>
          <w:rFonts w:cstheme="minorHAnsi"/>
          <w:sz w:val="24"/>
          <w:szCs w:val="24"/>
        </w:rPr>
        <w:t xml:space="preserve">was </w:t>
      </w:r>
      <w:r w:rsidRPr="00000849">
        <w:rPr>
          <w:rFonts w:cstheme="minorHAnsi"/>
          <w:sz w:val="24"/>
          <w:szCs w:val="24"/>
        </w:rPr>
        <w:t xml:space="preserve">44.0% (95% CI </w:t>
      </w:r>
      <w:r w:rsidR="00A72568" w:rsidRPr="00000849">
        <w:rPr>
          <w:rFonts w:cstheme="minorHAnsi"/>
          <w:sz w:val="24"/>
          <w:szCs w:val="24"/>
        </w:rPr>
        <w:t>3</w:t>
      </w:r>
      <w:r w:rsidR="00A9593C" w:rsidRPr="00000849">
        <w:rPr>
          <w:rFonts w:cstheme="minorHAnsi"/>
          <w:sz w:val="24"/>
          <w:szCs w:val="24"/>
        </w:rPr>
        <w:t>4</w:t>
      </w:r>
      <w:r w:rsidR="00A72568" w:rsidRPr="00000849">
        <w:rPr>
          <w:rFonts w:cstheme="minorHAnsi"/>
          <w:sz w:val="24"/>
          <w:szCs w:val="24"/>
        </w:rPr>
        <w:t>.0%-54.0%).</w:t>
      </w:r>
      <w:r w:rsidRPr="00000849">
        <w:rPr>
          <w:rFonts w:cstheme="minorHAnsi"/>
          <w:sz w:val="24"/>
          <w:szCs w:val="24"/>
        </w:rPr>
        <w:t xml:space="preserve"> </w:t>
      </w:r>
      <w:r w:rsidR="001C6F4C" w:rsidRPr="00000849">
        <w:rPr>
          <w:rFonts w:cstheme="minorHAnsi"/>
          <w:sz w:val="24"/>
          <w:szCs w:val="24"/>
        </w:rPr>
        <w:t xml:space="preserve"> </w:t>
      </w:r>
      <w:r w:rsidR="00B06B66" w:rsidRPr="00000849">
        <w:rPr>
          <w:rFonts w:cstheme="minorHAnsi"/>
          <w:sz w:val="24"/>
          <w:szCs w:val="24"/>
        </w:rPr>
        <w:t>T</w:t>
      </w:r>
      <w:r w:rsidR="00F6201C" w:rsidRPr="00000849">
        <w:rPr>
          <w:rFonts w:cstheme="minorHAnsi"/>
          <w:sz w:val="24"/>
          <w:szCs w:val="24"/>
        </w:rPr>
        <w:t xml:space="preserve">he prevalence of hypertension </w:t>
      </w:r>
      <w:r w:rsidR="00EC59B4" w:rsidRPr="00000849">
        <w:rPr>
          <w:rFonts w:cstheme="minorHAnsi"/>
          <w:sz w:val="24"/>
          <w:szCs w:val="24"/>
        </w:rPr>
        <w:t xml:space="preserve">was </w:t>
      </w:r>
      <w:r w:rsidR="005448A9" w:rsidRPr="00000849">
        <w:rPr>
          <w:rFonts w:cstheme="minorHAnsi"/>
          <w:sz w:val="24"/>
          <w:szCs w:val="24"/>
        </w:rPr>
        <w:t xml:space="preserve">significantly </w:t>
      </w:r>
      <w:r w:rsidR="00EC59B4" w:rsidRPr="00000849">
        <w:rPr>
          <w:rFonts w:cstheme="minorHAnsi"/>
          <w:sz w:val="24"/>
          <w:szCs w:val="24"/>
        </w:rPr>
        <w:t xml:space="preserve">higher in </w:t>
      </w:r>
      <w:r w:rsidR="002B12FA" w:rsidRPr="00000849">
        <w:rPr>
          <w:rFonts w:cstheme="minorHAnsi"/>
          <w:sz w:val="24"/>
          <w:szCs w:val="24"/>
        </w:rPr>
        <w:t>Southern Africa</w:t>
      </w:r>
      <w:r w:rsidR="00EC59B4" w:rsidRPr="00000849">
        <w:rPr>
          <w:rFonts w:cstheme="minorHAnsi"/>
          <w:sz w:val="24"/>
          <w:szCs w:val="24"/>
        </w:rPr>
        <w:t xml:space="preserve"> </w:t>
      </w:r>
      <w:r w:rsidR="00A35830" w:rsidRPr="00000849">
        <w:rPr>
          <w:rFonts w:cstheme="minorHAnsi"/>
          <w:sz w:val="24"/>
          <w:szCs w:val="24"/>
        </w:rPr>
        <w:t xml:space="preserve">(78.0%; 95% CI 77.0%-80.0%) </w:t>
      </w:r>
      <w:r w:rsidR="00EC59B4" w:rsidRPr="00000849">
        <w:rPr>
          <w:rFonts w:cstheme="minorHAnsi"/>
          <w:sz w:val="24"/>
          <w:szCs w:val="24"/>
        </w:rPr>
        <w:t>than in the other African sub-regions</w:t>
      </w:r>
      <w:r w:rsidR="002040B6" w:rsidRPr="00000849">
        <w:rPr>
          <w:rFonts w:cstheme="minorHAnsi"/>
          <w:sz w:val="24"/>
          <w:szCs w:val="24"/>
        </w:rPr>
        <w:t xml:space="preserve"> where the prevalence was similar</w:t>
      </w:r>
      <w:r w:rsidR="00EC59B4" w:rsidRPr="00000849">
        <w:rPr>
          <w:rFonts w:cstheme="minorHAnsi"/>
          <w:sz w:val="24"/>
          <w:szCs w:val="24"/>
        </w:rPr>
        <w:t xml:space="preserve"> </w:t>
      </w:r>
      <w:r w:rsidR="00A35830" w:rsidRPr="00000849">
        <w:rPr>
          <w:rFonts w:cstheme="minorHAnsi"/>
          <w:sz w:val="24"/>
          <w:szCs w:val="24"/>
        </w:rPr>
        <w:t>[(53.0%; 95% CI 46.0%-</w:t>
      </w:r>
      <w:r w:rsidR="00DF34AA" w:rsidRPr="00000849">
        <w:rPr>
          <w:rFonts w:cstheme="minorHAnsi"/>
          <w:sz w:val="24"/>
          <w:szCs w:val="24"/>
        </w:rPr>
        <w:t>59</w:t>
      </w:r>
      <w:r w:rsidR="00A35830" w:rsidRPr="00000849">
        <w:rPr>
          <w:rFonts w:cstheme="minorHAnsi"/>
          <w:sz w:val="24"/>
          <w:szCs w:val="24"/>
        </w:rPr>
        <w:t>.0%)</w:t>
      </w:r>
      <w:r w:rsidR="00DF34AA" w:rsidRPr="00000849">
        <w:rPr>
          <w:rFonts w:cstheme="minorHAnsi"/>
          <w:sz w:val="24"/>
          <w:szCs w:val="24"/>
        </w:rPr>
        <w:t xml:space="preserve"> - (58.0%; 95% CI 41.0%-74.0%)]</w:t>
      </w:r>
      <w:r w:rsidR="00A72568" w:rsidRPr="00000849">
        <w:rPr>
          <w:rFonts w:cstheme="minorHAnsi"/>
          <w:sz w:val="24"/>
          <w:szCs w:val="24"/>
        </w:rPr>
        <w:t xml:space="preserve"> (Appendix 2 Figure 2)</w:t>
      </w:r>
      <w:r w:rsidR="005448A9" w:rsidRPr="00000849">
        <w:rPr>
          <w:rFonts w:cstheme="minorHAnsi"/>
          <w:sz w:val="24"/>
          <w:szCs w:val="24"/>
        </w:rPr>
        <w:t xml:space="preserve">.  </w:t>
      </w:r>
      <w:r w:rsidR="002040B6" w:rsidRPr="00000849">
        <w:rPr>
          <w:rFonts w:cstheme="minorHAnsi"/>
          <w:sz w:val="24"/>
          <w:szCs w:val="24"/>
        </w:rPr>
        <w:t xml:space="preserve">In the earlier </w:t>
      </w:r>
      <w:r w:rsidR="002040B6" w:rsidRPr="00000849">
        <w:rPr>
          <w:rFonts w:cstheme="minorHAnsi"/>
          <w:sz w:val="24"/>
          <w:szCs w:val="24"/>
        </w:rPr>
        <w:lastRenderedPageBreak/>
        <w:t xml:space="preserve">meta-analysis of hypertension in older adults in Africa, the </w:t>
      </w:r>
      <w:r w:rsidR="00A16104" w:rsidRPr="00000849">
        <w:rPr>
          <w:rFonts w:cstheme="minorHAnsi"/>
          <w:sz w:val="24"/>
          <w:szCs w:val="24"/>
        </w:rPr>
        <w:t xml:space="preserve">prevalence </w:t>
      </w:r>
      <w:r w:rsidR="002040B6" w:rsidRPr="00000849">
        <w:rPr>
          <w:rFonts w:cstheme="minorHAnsi"/>
          <w:sz w:val="24"/>
          <w:szCs w:val="24"/>
        </w:rPr>
        <w:t>did not differ</w:t>
      </w:r>
      <w:r w:rsidR="00A16104" w:rsidRPr="00000849">
        <w:rPr>
          <w:rFonts w:cstheme="minorHAnsi"/>
          <w:sz w:val="24"/>
          <w:szCs w:val="24"/>
        </w:rPr>
        <w:t xml:space="preserve"> </w:t>
      </w:r>
      <w:r w:rsidR="00867726" w:rsidRPr="00000849">
        <w:rPr>
          <w:rFonts w:cstheme="minorHAnsi"/>
          <w:sz w:val="24"/>
          <w:szCs w:val="24"/>
        </w:rPr>
        <w:t xml:space="preserve">significantly </w:t>
      </w:r>
      <w:r w:rsidR="00A16104" w:rsidRPr="00000849">
        <w:rPr>
          <w:rFonts w:cstheme="minorHAnsi"/>
          <w:sz w:val="24"/>
          <w:szCs w:val="24"/>
        </w:rPr>
        <w:t>by sub-region</w:t>
      </w:r>
      <w:r w:rsidR="00867726" w:rsidRPr="00000849">
        <w:rPr>
          <w:rFonts w:cstheme="minorHAnsi"/>
          <w:sz w:val="24"/>
          <w:szCs w:val="24"/>
        </w:rPr>
        <w:t xml:space="preserve"> </w:t>
      </w:r>
      <w:r w:rsidR="00656BF1" w:rsidRPr="00000849">
        <w:rPr>
          <w:rFonts w:cstheme="minorHAnsi"/>
          <w:sz w:val="24"/>
          <w:szCs w:val="24"/>
        </w:rPr>
        <w:t>and</w:t>
      </w:r>
      <w:r w:rsidR="00A16104" w:rsidRPr="00000849">
        <w:rPr>
          <w:rFonts w:cstheme="minorHAnsi"/>
          <w:sz w:val="24"/>
          <w:szCs w:val="24"/>
        </w:rPr>
        <w:t xml:space="preserve"> </w:t>
      </w:r>
      <w:r w:rsidR="00867726" w:rsidRPr="00000849">
        <w:rPr>
          <w:rFonts w:cstheme="minorHAnsi"/>
          <w:sz w:val="24"/>
          <w:szCs w:val="24"/>
        </w:rPr>
        <w:t xml:space="preserve">the lowest prevalence was in Southern Africa </w:t>
      </w:r>
      <w:r w:rsidR="00A16104" w:rsidRPr="00000849">
        <w:rPr>
          <w:rFonts w:cstheme="minorHAnsi"/>
          <w:sz w:val="24"/>
          <w:szCs w:val="24"/>
        </w:rPr>
        <w:fldChar w:fldCharType="begin"/>
      </w:r>
      <w:r w:rsidR="003E660C" w:rsidRPr="00000849">
        <w:rPr>
          <w:rFonts w:cstheme="minorHAnsi"/>
          <w:sz w:val="24"/>
          <w:szCs w:val="24"/>
        </w:rPr>
        <w:instrText xml:space="preserve"> ADDIN EN.CITE &lt;EndNote&gt;&lt;Cite&gt;&lt;Author&gt;Kaze&lt;/Author&gt;&lt;Year&gt;2017&lt;/Year&gt;&lt;RecNum&gt;971&lt;/RecNum&gt;&lt;DisplayText&gt;(Kaze et al., 2017)&lt;/DisplayText&gt;&lt;record&gt;&lt;rec-number&gt;971&lt;/rec-number&gt;&lt;foreign-keys&gt;&lt;key app="EN" db-id="9tzf2rda8re2a9es5tuxart3swzx2zws2s02" timestamp="1575383663"&gt;971&lt;/key&gt;&lt;/foreign-keys&gt;&lt;ref-type name="Journal Article"&gt;17&lt;/ref-type&gt;&lt;contributors&gt;&lt;authors&gt;&lt;author&gt;Kaze, A. D.&lt;/author&gt;&lt;author&gt;Schutte, A. E.&lt;/author&gt;&lt;author&gt;Erqou, S.&lt;/author&gt;&lt;author&gt;Kengne, A. P.&lt;/author&gt;&lt;author&gt;Echouffo-Tcheugui, J. B.&lt;/author&gt;&lt;/authors&gt;&lt;/contributors&gt;&lt;auth-address&gt;aHarvard T.H. Chan School of Public Health, Boston, Massachusetts, USA bMRC Research Unit for Hypertension and Cardiovascular Disease, Hypertension in Africa Research Team (HART), North-West University, Potchefstroom, South Africa cDepartment of Medicine, University of Pittsburgh, Pittsburgh, Pennsylvania, USA dNon-Communicable Diseases Research Unit, South African Medical Research Council, University of Cape Town, Cape Town, South Africa eBrigham and Women&amp;apos;s Hospital, Harvard Medical School, Boston, Massachusetts, USA.&lt;/auth-address&gt;&lt;titles&gt;&lt;title&gt;Prevalence of hypertension in older people in Africa: a systematic review and meta-analysis&lt;/title&gt;&lt;secondary-title&gt;Journal of Hypertension&lt;/secondary-title&gt;&lt;alt-title&gt;Journal of hypertension&lt;/alt-title&gt;&lt;/titles&gt;&lt;pages&gt;1345-1352&lt;/pages&gt;&lt;volume&gt;35&lt;/volume&gt;&lt;number&gt;7&lt;/number&gt;&lt;edition&gt;2017/03/08&lt;/edition&gt;&lt;dates&gt;&lt;year&gt;2017&lt;/year&gt;&lt;pub-dates&gt;&lt;date&gt;Mar 06&lt;/date&gt;&lt;/pub-dates&gt;&lt;/dates&gt;&lt;isbn&gt;0263-6352&lt;/isbn&gt;&lt;accession-num&gt;28267038&lt;/accession-num&gt;&lt;urls&gt;&lt;/urls&gt;&lt;electronic-resource-num&gt;10.1097/HJH.0000000000001345&lt;/electronic-resource-num&gt;&lt;remote-database-provider&gt;NLM&lt;/remote-database-provider&gt;&lt;language&gt;eng&lt;/language&gt;&lt;/record&gt;&lt;/Cite&gt;&lt;/EndNote&gt;</w:instrText>
      </w:r>
      <w:r w:rsidR="00A16104" w:rsidRPr="00000849">
        <w:rPr>
          <w:rFonts w:cstheme="minorHAnsi"/>
          <w:sz w:val="24"/>
          <w:szCs w:val="24"/>
        </w:rPr>
        <w:fldChar w:fldCharType="separate"/>
      </w:r>
      <w:r w:rsidR="00645915" w:rsidRPr="00000849">
        <w:rPr>
          <w:rFonts w:cstheme="minorHAnsi"/>
          <w:noProof/>
          <w:sz w:val="24"/>
          <w:szCs w:val="24"/>
        </w:rPr>
        <w:t>(Kaze et al., 2017)</w:t>
      </w:r>
      <w:r w:rsidR="00A16104" w:rsidRPr="00000849">
        <w:rPr>
          <w:rFonts w:cstheme="minorHAnsi"/>
          <w:sz w:val="24"/>
          <w:szCs w:val="24"/>
        </w:rPr>
        <w:fldChar w:fldCharType="end"/>
      </w:r>
      <w:r w:rsidR="00A16104" w:rsidRPr="00000849">
        <w:rPr>
          <w:rFonts w:cstheme="minorHAnsi"/>
          <w:sz w:val="24"/>
          <w:szCs w:val="24"/>
        </w:rPr>
        <w:t xml:space="preserve">.  </w:t>
      </w:r>
      <w:r w:rsidR="00821528" w:rsidRPr="00000849">
        <w:rPr>
          <w:rFonts w:cstheme="minorHAnsi"/>
          <w:sz w:val="24"/>
          <w:szCs w:val="24"/>
        </w:rPr>
        <w:t>The pooled prevalence of hypertension</w:t>
      </w:r>
      <w:r w:rsidR="005448A9" w:rsidRPr="00000849">
        <w:rPr>
          <w:rFonts w:cstheme="minorHAnsi"/>
          <w:sz w:val="24"/>
          <w:szCs w:val="24"/>
        </w:rPr>
        <w:t xml:space="preserve"> was higher </w:t>
      </w:r>
      <w:r w:rsidR="00EC59B4" w:rsidRPr="00000849">
        <w:rPr>
          <w:rFonts w:cstheme="minorHAnsi"/>
          <w:sz w:val="24"/>
          <w:szCs w:val="24"/>
        </w:rPr>
        <w:t xml:space="preserve">in urban </w:t>
      </w:r>
      <w:r w:rsidR="005448A9" w:rsidRPr="00000849">
        <w:rPr>
          <w:rFonts w:cstheme="minorHAnsi"/>
          <w:sz w:val="24"/>
          <w:szCs w:val="24"/>
        </w:rPr>
        <w:t xml:space="preserve">(66.0%, 95% CI 55.0%-77.0%) </w:t>
      </w:r>
      <w:r w:rsidR="00EC59B4" w:rsidRPr="00000849">
        <w:rPr>
          <w:rFonts w:cstheme="minorHAnsi"/>
          <w:sz w:val="24"/>
          <w:szCs w:val="24"/>
        </w:rPr>
        <w:t>than in rural populations</w:t>
      </w:r>
      <w:r w:rsidR="005448A9" w:rsidRPr="00000849">
        <w:rPr>
          <w:rFonts w:cstheme="minorHAnsi"/>
          <w:sz w:val="24"/>
          <w:szCs w:val="24"/>
        </w:rPr>
        <w:t xml:space="preserve"> (56.0%, 95% 41.0%-70.0%) but the difference was not statistically significant (Figure </w:t>
      </w:r>
      <w:r w:rsidR="004F3079" w:rsidRPr="00000849">
        <w:rPr>
          <w:rFonts w:cstheme="minorHAnsi"/>
          <w:sz w:val="24"/>
          <w:szCs w:val="24"/>
        </w:rPr>
        <w:t>3</w:t>
      </w:r>
      <w:r w:rsidR="005448A9" w:rsidRPr="00000849">
        <w:rPr>
          <w:rFonts w:cstheme="minorHAnsi"/>
          <w:sz w:val="24"/>
          <w:szCs w:val="24"/>
        </w:rPr>
        <w:t>).</w:t>
      </w:r>
      <w:r w:rsidR="00544D05" w:rsidRPr="00000849">
        <w:rPr>
          <w:rFonts w:cstheme="minorHAnsi"/>
          <w:sz w:val="24"/>
          <w:szCs w:val="24"/>
        </w:rPr>
        <w:t xml:space="preserve">  </w:t>
      </w:r>
      <w:r w:rsidR="001045FB" w:rsidRPr="00000849">
        <w:rPr>
          <w:rFonts w:cstheme="minorHAnsi"/>
          <w:sz w:val="24"/>
          <w:szCs w:val="24"/>
        </w:rPr>
        <w:t>In the other review</w:t>
      </w:r>
      <w:r w:rsidR="00656BF1" w:rsidRPr="00000849">
        <w:rPr>
          <w:rFonts w:cstheme="minorHAnsi"/>
          <w:sz w:val="24"/>
          <w:szCs w:val="24"/>
        </w:rPr>
        <w:t>, urban hypertension</w:t>
      </w:r>
      <w:r w:rsidR="001045FB" w:rsidRPr="00000849">
        <w:rPr>
          <w:rFonts w:cstheme="minorHAnsi"/>
          <w:sz w:val="24"/>
          <w:szCs w:val="24"/>
        </w:rPr>
        <w:t xml:space="preserve"> in older adults was significantly</w:t>
      </w:r>
      <w:r w:rsidR="00656BF1" w:rsidRPr="00000849">
        <w:rPr>
          <w:rFonts w:cstheme="minorHAnsi"/>
          <w:sz w:val="24"/>
          <w:szCs w:val="24"/>
        </w:rPr>
        <w:t xml:space="preserve"> higher than rural hypertension </w:t>
      </w:r>
      <w:r w:rsidR="00656BF1" w:rsidRPr="00000849">
        <w:rPr>
          <w:rFonts w:cstheme="minorHAnsi"/>
          <w:sz w:val="24"/>
          <w:szCs w:val="24"/>
        </w:rPr>
        <w:fldChar w:fldCharType="begin"/>
      </w:r>
      <w:r w:rsidR="00656BF1" w:rsidRPr="00000849">
        <w:rPr>
          <w:rFonts w:cstheme="minorHAnsi"/>
          <w:sz w:val="24"/>
          <w:szCs w:val="24"/>
        </w:rPr>
        <w:instrText xml:space="preserve"> ADDIN EN.CITE &lt;EndNote&gt;&lt;Cite&gt;&lt;Author&gt;Kaze&lt;/Author&gt;&lt;Year&gt;2017&lt;/Year&gt;&lt;RecNum&gt;971&lt;/RecNum&gt;&lt;DisplayText&gt;(Kaze et al., 2017)&lt;/DisplayText&gt;&lt;record&gt;&lt;rec-number&gt;971&lt;/rec-number&gt;&lt;foreign-keys&gt;&lt;key app="EN" db-id="9tzf2rda8re2a9es5tuxart3swzx2zws2s02" timestamp="1575383663"&gt;971&lt;/key&gt;&lt;/foreign-keys&gt;&lt;ref-type name="Journal Article"&gt;17&lt;/ref-type&gt;&lt;contributors&gt;&lt;authors&gt;&lt;author&gt;Kaze, A. D.&lt;/author&gt;&lt;author&gt;Schutte, A. E.&lt;/author&gt;&lt;author&gt;Erqou, S.&lt;/author&gt;&lt;author&gt;Kengne, A. P.&lt;/author&gt;&lt;author&gt;Echouffo-Tcheugui, J. B.&lt;/author&gt;&lt;/authors&gt;&lt;/contributors&gt;&lt;auth-address&gt;aHarvard T.H. Chan School of Public Health, Boston, Massachusetts, USA bMRC Research Unit for Hypertension and Cardiovascular Disease, Hypertension in Africa Research Team (HART), North-West University, Potchefstroom, South Africa cDepartment of Medicine, University of Pittsburgh, Pittsburgh, Pennsylvania, USA dNon-Communicable Diseases Research Unit, South African Medical Research Council, University of Cape Town, Cape Town, South Africa eBrigham and Women&amp;apos;s Hospital, Harvard Medical School, Boston, Massachusetts, USA.&lt;/auth-address&gt;&lt;titles&gt;&lt;title&gt;Prevalence of hypertension in older people in Africa: a systematic review and meta-analysis&lt;/title&gt;&lt;secondary-title&gt;Journal of Hypertension&lt;/secondary-title&gt;&lt;alt-title&gt;Journal of hypertension&lt;/alt-title&gt;&lt;/titles&gt;&lt;pages&gt;1345-1352&lt;/pages&gt;&lt;volume&gt;35&lt;/volume&gt;&lt;number&gt;7&lt;/number&gt;&lt;edition&gt;2017/03/08&lt;/edition&gt;&lt;dates&gt;&lt;year&gt;2017&lt;/year&gt;&lt;pub-dates&gt;&lt;date&gt;Mar 06&lt;/date&gt;&lt;/pub-dates&gt;&lt;/dates&gt;&lt;isbn&gt;0263-6352&lt;/isbn&gt;&lt;accession-num&gt;28267038&lt;/accession-num&gt;&lt;urls&gt;&lt;/urls&gt;&lt;electronic-resource-num&gt;10.1097/HJH.0000000000001345&lt;/electronic-resource-num&gt;&lt;remote-database-provider&gt;NLM&lt;/remote-database-provider&gt;&lt;language&gt;eng&lt;/language&gt;&lt;/record&gt;&lt;/Cite&gt;&lt;/EndNote&gt;</w:instrText>
      </w:r>
      <w:r w:rsidR="00656BF1" w:rsidRPr="00000849">
        <w:rPr>
          <w:rFonts w:cstheme="minorHAnsi"/>
          <w:sz w:val="24"/>
          <w:szCs w:val="24"/>
        </w:rPr>
        <w:fldChar w:fldCharType="separate"/>
      </w:r>
      <w:r w:rsidR="00656BF1" w:rsidRPr="00000849">
        <w:rPr>
          <w:rFonts w:cstheme="minorHAnsi"/>
          <w:noProof/>
          <w:sz w:val="24"/>
          <w:szCs w:val="24"/>
        </w:rPr>
        <w:t>(Kaze et al., 2017)</w:t>
      </w:r>
      <w:r w:rsidR="00656BF1" w:rsidRPr="00000849">
        <w:rPr>
          <w:rFonts w:cstheme="minorHAnsi"/>
          <w:sz w:val="24"/>
          <w:szCs w:val="24"/>
        </w:rPr>
        <w:fldChar w:fldCharType="end"/>
      </w:r>
      <w:r w:rsidR="001045FB" w:rsidRPr="00000849">
        <w:rPr>
          <w:rFonts w:cstheme="minorHAnsi"/>
          <w:sz w:val="24"/>
          <w:szCs w:val="24"/>
        </w:rPr>
        <w:t>.</w:t>
      </w:r>
    </w:p>
    <w:p w14:paraId="7B2A3FF9" w14:textId="25EB8C2B" w:rsidR="00EC59B4" w:rsidRPr="00000849" w:rsidRDefault="00EC59B4" w:rsidP="00F6201C">
      <w:pPr>
        <w:spacing w:line="480" w:lineRule="auto"/>
        <w:ind w:firstLine="720"/>
        <w:jc w:val="both"/>
        <w:rPr>
          <w:rFonts w:cstheme="minorHAnsi"/>
          <w:sz w:val="24"/>
          <w:szCs w:val="24"/>
        </w:rPr>
      </w:pPr>
    </w:p>
    <w:p w14:paraId="0F873D63" w14:textId="6A31EA25" w:rsidR="007F4BFB" w:rsidRPr="00000849" w:rsidRDefault="00F5730A" w:rsidP="0024004F">
      <w:pPr>
        <w:pStyle w:val="TableSAGE1"/>
        <w:ind w:left="1282" w:hanging="994"/>
        <w:rPr>
          <w:szCs w:val="24"/>
        </w:rPr>
      </w:pPr>
      <w:bookmarkStart w:id="38" w:name="_Toc71153642"/>
      <w:r w:rsidRPr="00000849">
        <w:rPr>
          <w:szCs w:val="24"/>
        </w:rPr>
        <w:t xml:space="preserve">Figure </w:t>
      </w:r>
      <w:r w:rsidRPr="00000849">
        <w:rPr>
          <w:szCs w:val="24"/>
        </w:rPr>
        <w:fldChar w:fldCharType="begin"/>
      </w:r>
      <w:r w:rsidRPr="00000849">
        <w:rPr>
          <w:szCs w:val="24"/>
        </w:rPr>
        <w:instrText xml:space="preserve"> SEQ Figure \* ARABIC </w:instrText>
      </w:r>
      <w:r w:rsidRPr="00000849">
        <w:rPr>
          <w:szCs w:val="24"/>
        </w:rPr>
        <w:fldChar w:fldCharType="separate"/>
      </w:r>
      <w:r w:rsidR="00C0100F">
        <w:rPr>
          <w:noProof/>
          <w:szCs w:val="24"/>
        </w:rPr>
        <w:t>3</w:t>
      </w:r>
      <w:r w:rsidRPr="00000849">
        <w:rPr>
          <w:szCs w:val="24"/>
        </w:rPr>
        <w:fldChar w:fldCharType="end"/>
      </w:r>
      <w:r w:rsidR="007F4BFB" w:rsidRPr="00000849">
        <w:rPr>
          <w:szCs w:val="24"/>
        </w:rPr>
        <w:t xml:space="preserve">: Forest plot of the prevalence of hypertension </w:t>
      </w:r>
      <w:r w:rsidR="00B06B66" w:rsidRPr="00000849">
        <w:rPr>
          <w:szCs w:val="24"/>
        </w:rPr>
        <w:t xml:space="preserve">in </w:t>
      </w:r>
      <w:r w:rsidR="007F4BFB" w:rsidRPr="00000849">
        <w:rPr>
          <w:szCs w:val="24"/>
        </w:rPr>
        <w:t xml:space="preserve">older adults </w:t>
      </w:r>
      <w:r w:rsidR="0024004F" w:rsidRPr="00000849">
        <w:rPr>
          <w:szCs w:val="24"/>
        </w:rPr>
        <w:t>by residence</w:t>
      </w:r>
      <w:bookmarkEnd w:id="38"/>
    </w:p>
    <w:p w14:paraId="084B0571" w14:textId="3050317C" w:rsidR="00A35830" w:rsidRPr="00000849" w:rsidRDefault="00A35830" w:rsidP="00B448FE">
      <w:pPr>
        <w:pStyle w:val="Caption"/>
        <w:rPr>
          <w:rFonts w:cstheme="minorHAnsi"/>
          <w:sz w:val="24"/>
          <w:szCs w:val="24"/>
          <w:lang w:val="en-US"/>
        </w:rPr>
      </w:pPr>
      <w:r w:rsidRPr="00000849">
        <w:rPr>
          <w:noProof/>
          <w:lang w:val="en-US"/>
        </w:rPr>
        <w:drawing>
          <wp:inline distT="0" distB="0" distL="0" distR="0" wp14:anchorId="23DA3D7B" wp14:editId="569CFA70">
            <wp:extent cx="4906638" cy="5068396"/>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14257" cy="5076266"/>
                    </a:xfrm>
                    <a:prstGeom prst="rect">
                      <a:avLst/>
                    </a:prstGeom>
                    <a:noFill/>
                    <a:ln>
                      <a:noFill/>
                    </a:ln>
                  </pic:spPr>
                </pic:pic>
              </a:graphicData>
            </a:graphic>
          </wp:inline>
        </w:drawing>
      </w:r>
    </w:p>
    <w:p w14:paraId="3FE32A61" w14:textId="60A611A9" w:rsidR="002F7929" w:rsidRPr="00000849" w:rsidRDefault="002F7929">
      <w:pPr>
        <w:spacing w:line="480" w:lineRule="auto"/>
        <w:ind w:firstLine="720"/>
        <w:jc w:val="both"/>
        <w:rPr>
          <w:rFonts w:cstheme="minorHAnsi"/>
          <w:sz w:val="24"/>
          <w:szCs w:val="24"/>
        </w:rPr>
      </w:pPr>
      <w:r w:rsidRPr="00000849">
        <w:rPr>
          <w:rFonts w:cstheme="minorHAnsi"/>
          <w:sz w:val="24"/>
          <w:szCs w:val="24"/>
        </w:rPr>
        <w:lastRenderedPageBreak/>
        <w:t xml:space="preserve">The pooled prevalence of hypertension, based on 13 studies, </w:t>
      </w:r>
      <w:r w:rsidR="00137704" w:rsidRPr="00000849">
        <w:rPr>
          <w:rFonts w:cstheme="minorHAnsi"/>
          <w:sz w:val="24"/>
          <w:szCs w:val="24"/>
        </w:rPr>
        <w:t xml:space="preserve">in males and females was similar at </w:t>
      </w:r>
      <w:r w:rsidRPr="00000849">
        <w:rPr>
          <w:rFonts w:cstheme="minorHAnsi"/>
          <w:sz w:val="24"/>
          <w:szCs w:val="24"/>
        </w:rPr>
        <w:t xml:space="preserve">55.0% (95% CI 46.0%-63.0%) and 56.0% (95% CI 45.0%-67.0%) </w:t>
      </w:r>
      <w:r w:rsidR="00137704" w:rsidRPr="00000849">
        <w:rPr>
          <w:rFonts w:cstheme="minorHAnsi"/>
          <w:sz w:val="24"/>
          <w:szCs w:val="24"/>
        </w:rPr>
        <w:t>respectively</w:t>
      </w:r>
      <w:r w:rsidRPr="00000849">
        <w:rPr>
          <w:rFonts w:cstheme="minorHAnsi"/>
          <w:sz w:val="24"/>
          <w:szCs w:val="24"/>
        </w:rPr>
        <w:t xml:space="preserve"> (</w:t>
      </w:r>
      <w:r w:rsidR="00137704" w:rsidRPr="00000849">
        <w:rPr>
          <w:rFonts w:cstheme="minorHAnsi"/>
          <w:sz w:val="24"/>
          <w:szCs w:val="24"/>
        </w:rPr>
        <w:t xml:space="preserve">Appendix 2 </w:t>
      </w:r>
      <w:r w:rsidRPr="00000849">
        <w:rPr>
          <w:rFonts w:cstheme="minorHAnsi"/>
          <w:sz w:val="24"/>
          <w:szCs w:val="24"/>
        </w:rPr>
        <w:t>Fig</w:t>
      </w:r>
      <w:r w:rsidR="00137704" w:rsidRPr="00000849">
        <w:rPr>
          <w:rFonts w:cstheme="minorHAnsi"/>
          <w:sz w:val="24"/>
          <w:szCs w:val="24"/>
        </w:rPr>
        <w:t>ure</w:t>
      </w:r>
      <w:r w:rsidRPr="00000849">
        <w:rPr>
          <w:rFonts w:cstheme="minorHAnsi"/>
          <w:sz w:val="24"/>
          <w:szCs w:val="24"/>
        </w:rPr>
        <w:t xml:space="preserve">s 4 and 5).  </w:t>
      </w:r>
      <w:r w:rsidR="001045FB" w:rsidRPr="00000849">
        <w:rPr>
          <w:rFonts w:cstheme="minorHAnsi"/>
          <w:sz w:val="24"/>
          <w:szCs w:val="24"/>
        </w:rPr>
        <w:t xml:space="preserve">It </w:t>
      </w:r>
      <w:r w:rsidRPr="00000849">
        <w:rPr>
          <w:rFonts w:cstheme="minorHAnsi"/>
          <w:sz w:val="24"/>
          <w:szCs w:val="24"/>
        </w:rPr>
        <w:t>was higher in older age groups</w:t>
      </w:r>
      <w:r w:rsidR="001045FB" w:rsidRPr="00000849">
        <w:rPr>
          <w:rFonts w:cstheme="minorHAnsi"/>
          <w:sz w:val="24"/>
          <w:szCs w:val="24"/>
        </w:rPr>
        <w:t xml:space="preserve">, being 53.0% (95% CI 45.0%-61.0%) in studies </w:t>
      </w:r>
      <w:r w:rsidRPr="00000849">
        <w:rPr>
          <w:rFonts w:cstheme="minorHAnsi"/>
          <w:sz w:val="24"/>
          <w:szCs w:val="24"/>
        </w:rPr>
        <w:t xml:space="preserve">in which less than half of the subjects were aged ≥70 years compared to 61.0% (95% CI 54.0%-68.0%) in </w:t>
      </w:r>
      <w:r w:rsidR="001045FB" w:rsidRPr="00000849">
        <w:rPr>
          <w:rFonts w:cstheme="minorHAnsi"/>
          <w:sz w:val="24"/>
          <w:szCs w:val="24"/>
        </w:rPr>
        <w:t>studies</w:t>
      </w:r>
      <w:r w:rsidRPr="00000849">
        <w:rPr>
          <w:rFonts w:cstheme="minorHAnsi"/>
          <w:sz w:val="24"/>
          <w:szCs w:val="24"/>
        </w:rPr>
        <w:t xml:space="preserve"> in which at least half of the subjects were aged ≥70 years.  </w:t>
      </w:r>
    </w:p>
    <w:p w14:paraId="7390BE4A" w14:textId="7662DF15" w:rsidR="00F6201C" w:rsidRPr="00000849" w:rsidRDefault="00F6201C" w:rsidP="00DF35B9">
      <w:pPr>
        <w:spacing w:line="480" w:lineRule="auto"/>
        <w:ind w:firstLine="720"/>
        <w:jc w:val="both"/>
        <w:rPr>
          <w:rFonts w:cstheme="minorHAnsi"/>
          <w:sz w:val="24"/>
          <w:szCs w:val="24"/>
        </w:rPr>
      </w:pPr>
      <w:r w:rsidRPr="00000849">
        <w:rPr>
          <w:rFonts w:cstheme="minorHAnsi"/>
          <w:sz w:val="24"/>
          <w:szCs w:val="24"/>
        </w:rPr>
        <w:t xml:space="preserve">The </w:t>
      </w:r>
      <w:r w:rsidR="00593DBB" w:rsidRPr="00000849">
        <w:rPr>
          <w:rFonts w:cstheme="minorHAnsi"/>
          <w:sz w:val="24"/>
          <w:szCs w:val="24"/>
        </w:rPr>
        <w:t xml:space="preserve">pooled </w:t>
      </w:r>
      <w:r w:rsidRPr="00000849">
        <w:rPr>
          <w:rFonts w:cstheme="minorHAnsi"/>
          <w:sz w:val="24"/>
          <w:szCs w:val="24"/>
        </w:rPr>
        <w:t>prevalence of hypertension</w:t>
      </w:r>
      <w:r w:rsidR="00593DBB" w:rsidRPr="00000849">
        <w:rPr>
          <w:rFonts w:cstheme="minorHAnsi"/>
          <w:sz w:val="24"/>
          <w:szCs w:val="24"/>
        </w:rPr>
        <w:t xml:space="preserve"> </w:t>
      </w:r>
      <w:r w:rsidR="00A24DEC" w:rsidRPr="00000849">
        <w:rPr>
          <w:rFonts w:cstheme="minorHAnsi"/>
          <w:sz w:val="24"/>
          <w:szCs w:val="24"/>
        </w:rPr>
        <w:t>in studies published at or after the median year of 2013 (63.0%, 95% CI 57.0%-69.0%)</w:t>
      </w:r>
      <w:r w:rsidRPr="00000849">
        <w:rPr>
          <w:rFonts w:cstheme="minorHAnsi"/>
          <w:sz w:val="24"/>
          <w:szCs w:val="24"/>
        </w:rPr>
        <w:t xml:space="preserve"> </w:t>
      </w:r>
      <w:r w:rsidR="006A3FB5" w:rsidRPr="00000849">
        <w:rPr>
          <w:rFonts w:cstheme="minorHAnsi"/>
          <w:sz w:val="24"/>
          <w:szCs w:val="24"/>
        </w:rPr>
        <w:t xml:space="preserve">was significantly </w:t>
      </w:r>
      <w:r w:rsidR="001045FB" w:rsidRPr="00000849">
        <w:rPr>
          <w:rFonts w:cstheme="minorHAnsi"/>
          <w:sz w:val="24"/>
          <w:szCs w:val="24"/>
        </w:rPr>
        <w:t xml:space="preserve">higher </w:t>
      </w:r>
      <w:r w:rsidR="00A24DEC" w:rsidRPr="00000849">
        <w:rPr>
          <w:rFonts w:cstheme="minorHAnsi"/>
          <w:sz w:val="24"/>
          <w:szCs w:val="24"/>
        </w:rPr>
        <w:t>than in those</w:t>
      </w:r>
      <w:r w:rsidRPr="00000849">
        <w:rPr>
          <w:rFonts w:cstheme="minorHAnsi"/>
          <w:sz w:val="24"/>
          <w:szCs w:val="24"/>
        </w:rPr>
        <w:t xml:space="preserve"> before the median publication year</w:t>
      </w:r>
      <w:r w:rsidR="00A24DEC" w:rsidRPr="00000849">
        <w:rPr>
          <w:rFonts w:cstheme="minorHAnsi"/>
          <w:sz w:val="24"/>
          <w:szCs w:val="24"/>
        </w:rPr>
        <w:t xml:space="preserve"> </w:t>
      </w:r>
      <w:r w:rsidRPr="00000849">
        <w:rPr>
          <w:rFonts w:cstheme="minorHAnsi"/>
          <w:sz w:val="24"/>
          <w:szCs w:val="24"/>
        </w:rPr>
        <w:t>(47.0%, 95% CI 40.0%-55.0%)</w:t>
      </w:r>
      <w:r w:rsidR="00A24DEC" w:rsidRPr="00000849">
        <w:rPr>
          <w:rFonts w:cstheme="minorHAnsi"/>
          <w:sz w:val="24"/>
          <w:szCs w:val="24"/>
        </w:rPr>
        <w:t>.</w:t>
      </w:r>
      <w:r w:rsidRPr="00000849">
        <w:rPr>
          <w:rFonts w:cstheme="minorHAnsi"/>
          <w:sz w:val="24"/>
          <w:szCs w:val="24"/>
        </w:rPr>
        <w:t xml:space="preserve">  </w:t>
      </w:r>
      <w:r w:rsidR="006A3FB5" w:rsidRPr="00000849">
        <w:rPr>
          <w:rFonts w:cstheme="minorHAnsi"/>
          <w:sz w:val="24"/>
          <w:szCs w:val="24"/>
        </w:rPr>
        <w:t>It</w:t>
      </w:r>
      <w:r w:rsidR="0079145B" w:rsidRPr="00000849">
        <w:rPr>
          <w:rFonts w:cstheme="minorHAnsi"/>
          <w:sz w:val="24"/>
          <w:szCs w:val="24"/>
        </w:rPr>
        <w:t xml:space="preserve"> </w:t>
      </w:r>
      <w:r w:rsidR="00B06B66" w:rsidRPr="00000849">
        <w:rPr>
          <w:rFonts w:cstheme="minorHAnsi"/>
          <w:sz w:val="24"/>
          <w:szCs w:val="24"/>
        </w:rPr>
        <w:t>was not</w:t>
      </w:r>
      <w:r w:rsidR="0076258C" w:rsidRPr="00000849">
        <w:rPr>
          <w:rFonts w:cstheme="minorHAnsi"/>
          <w:sz w:val="24"/>
          <w:szCs w:val="24"/>
        </w:rPr>
        <w:t xml:space="preserve"> </w:t>
      </w:r>
      <w:r w:rsidR="0079145B" w:rsidRPr="00000849">
        <w:rPr>
          <w:rFonts w:cstheme="minorHAnsi"/>
          <w:sz w:val="24"/>
          <w:szCs w:val="24"/>
        </w:rPr>
        <w:t>influenced by study design</w:t>
      </w:r>
      <w:r w:rsidR="00B06B66" w:rsidRPr="00000849">
        <w:rPr>
          <w:rFonts w:cstheme="minorHAnsi"/>
          <w:sz w:val="24"/>
          <w:szCs w:val="24"/>
        </w:rPr>
        <w:t xml:space="preserve">, being </w:t>
      </w:r>
      <w:r w:rsidR="00EC59B4" w:rsidRPr="00000849">
        <w:rPr>
          <w:rFonts w:cstheme="minorHAnsi"/>
          <w:sz w:val="24"/>
          <w:szCs w:val="24"/>
        </w:rPr>
        <w:t>56.0% (95% CI 51.0%-61.0%)</w:t>
      </w:r>
      <w:r w:rsidR="00EE06C8" w:rsidRPr="00000849">
        <w:rPr>
          <w:rFonts w:cstheme="minorHAnsi"/>
          <w:sz w:val="24"/>
          <w:szCs w:val="24"/>
        </w:rPr>
        <w:t xml:space="preserve"> in</w:t>
      </w:r>
      <w:r w:rsidR="00EC59B4" w:rsidRPr="00000849">
        <w:rPr>
          <w:rFonts w:cstheme="minorHAnsi"/>
          <w:sz w:val="24"/>
          <w:szCs w:val="24"/>
        </w:rPr>
        <w:t xml:space="preserve"> </w:t>
      </w:r>
      <w:r w:rsidR="00EE06C8" w:rsidRPr="00000849">
        <w:rPr>
          <w:rFonts w:cstheme="minorHAnsi"/>
          <w:sz w:val="24"/>
          <w:szCs w:val="24"/>
        </w:rPr>
        <w:t xml:space="preserve">cross-sectional studies </w:t>
      </w:r>
      <w:r w:rsidR="00EC59B4" w:rsidRPr="00000849">
        <w:rPr>
          <w:rFonts w:cstheme="minorHAnsi"/>
          <w:sz w:val="24"/>
          <w:szCs w:val="24"/>
        </w:rPr>
        <w:t xml:space="preserve">and </w:t>
      </w:r>
      <w:r w:rsidR="00EE06C8" w:rsidRPr="00000849">
        <w:rPr>
          <w:rFonts w:cstheme="minorHAnsi"/>
          <w:sz w:val="24"/>
          <w:szCs w:val="24"/>
        </w:rPr>
        <w:t xml:space="preserve">59.0% (51.0%-67.0%) in </w:t>
      </w:r>
      <w:r w:rsidR="00EC59B4" w:rsidRPr="00000849">
        <w:rPr>
          <w:rFonts w:cstheme="minorHAnsi"/>
          <w:sz w:val="24"/>
          <w:szCs w:val="24"/>
        </w:rPr>
        <w:t>follow-up studies</w:t>
      </w:r>
      <w:r w:rsidR="00EE06C8" w:rsidRPr="00000849">
        <w:rPr>
          <w:rFonts w:cstheme="minorHAnsi"/>
          <w:sz w:val="24"/>
          <w:szCs w:val="24"/>
        </w:rPr>
        <w:t>.</w:t>
      </w:r>
      <w:r w:rsidR="0072755E" w:rsidRPr="00000849">
        <w:rPr>
          <w:rFonts w:cstheme="minorHAnsi"/>
          <w:sz w:val="24"/>
          <w:szCs w:val="24"/>
        </w:rPr>
        <w:t xml:space="preserve">  This finding is similar to that </w:t>
      </w:r>
      <w:r w:rsidR="00B06B66" w:rsidRPr="00000849">
        <w:rPr>
          <w:rFonts w:cstheme="minorHAnsi"/>
          <w:sz w:val="24"/>
          <w:szCs w:val="24"/>
        </w:rPr>
        <w:t xml:space="preserve">of </w:t>
      </w:r>
      <w:r w:rsidR="00B06B66" w:rsidRPr="00000849">
        <w:rPr>
          <w:rFonts w:cstheme="minorHAnsi"/>
          <w:sz w:val="24"/>
          <w:szCs w:val="24"/>
        </w:rPr>
        <w:fldChar w:fldCharType="begin"/>
      </w:r>
      <w:r w:rsidR="00000849" w:rsidRPr="00000849">
        <w:rPr>
          <w:rFonts w:cstheme="minorHAnsi"/>
          <w:sz w:val="24"/>
          <w:szCs w:val="24"/>
        </w:rPr>
        <w:instrText xml:space="preserve"> ADDIN EN.CITE &lt;EndNote&gt;&lt;Cite AuthorYear="1"&gt;&lt;Author&gt;Dakum&lt;/Author&gt;&lt;Year&gt;2019&lt;/Year&gt;&lt;RecNum&gt;1130&lt;/RecNum&gt;&lt;DisplayText&gt;Dakum et al. (2019)&lt;/DisplayText&gt;&lt;record&gt;&lt;rec-number&gt;1130&lt;/rec-number&gt;&lt;foreign-keys&gt;&lt;key app="EN" db-id="9tzf2rda8re2a9es5tuxart3swzx2zws2s02" timestamp="1580088900"&gt;1130&lt;/key&gt;&lt;/foreign-keys&gt;&lt;ref-type name="Journal Article"&gt;17&lt;/ref-type&gt;&lt;contributors&gt;&lt;authors&gt;&lt;author&gt;Dakum, Patrick&lt;/author&gt;&lt;author&gt;Kayode, Gbenga Ayodele&lt;/author&gt;&lt;author&gt;Abimiku, Alash’le&lt;/author&gt;&lt;author&gt;Avong, Yohanna Kambai&lt;/author&gt;&lt;author&gt;Okuma, James&lt;/author&gt;&lt;author&gt;Onyemata, Ezenwa&lt;/author&gt;&lt;author&gt;Ali, Taofeekat&lt;/author&gt;&lt;author&gt;Adekanmbi, Victor&lt;/author&gt;&lt;author&gt;Uthman, Olalekan&lt;/author&gt;&lt;/authors&gt;&lt;/contributors&gt;&lt;titles&gt;&lt;title&gt;Prevalence of hypertension among patients aged 50 and older living with human immunodeficiency virus&lt;/title&gt;&lt;secondary-title&gt;Medicine (Baltimore)&lt;/secondary-title&gt;&lt;/titles&gt;&lt;periodical&gt;&lt;full-title&gt;Medicine (Baltimore)&lt;/full-title&gt;&lt;/periodical&gt;&lt;pages&gt;e15024&lt;/pages&gt;&lt;volume&gt;98&lt;/volume&gt;&lt;number&gt;15&lt;/number&gt;&lt;dates&gt;&lt;year&gt;2019&lt;/year&gt;&lt;/dates&gt;&lt;urls&gt;&lt;/urls&gt;&lt;electronic-resource-num&gt;10.1097/md.0000000000015024&lt;/electronic-resource-num&gt;&lt;/record&gt;&lt;/Cite&gt;&lt;/EndNote&gt;</w:instrText>
      </w:r>
      <w:r w:rsidR="00B06B66" w:rsidRPr="00000849">
        <w:rPr>
          <w:rFonts w:cstheme="minorHAnsi"/>
          <w:sz w:val="24"/>
          <w:szCs w:val="24"/>
        </w:rPr>
        <w:fldChar w:fldCharType="separate"/>
      </w:r>
      <w:r w:rsidR="00000849" w:rsidRPr="00000849">
        <w:rPr>
          <w:rFonts w:cstheme="minorHAnsi"/>
          <w:noProof/>
          <w:sz w:val="24"/>
          <w:szCs w:val="24"/>
        </w:rPr>
        <w:t>Dakum et al. (2019)</w:t>
      </w:r>
      <w:r w:rsidR="00B06B66" w:rsidRPr="00000849">
        <w:rPr>
          <w:rFonts w:cstheme="minorHAnsi"/>
          <w:sz w:val="24"/>
          <w:szCs w:val="24"/>
        </w:rPr>
        <w:fldChar w:fldCharType="end"/>
      </w:r>
      <w:r w:rsidR="0072755E" w:rsidRPr="00000849">
        <w:rPr>
          <w:rFonts w:cstheme="minorHAnsi"/>
          <w:sz w:val="24"/>
          <w:szCs w:val="24"/>
        </w:rPr>
        <w:t>.</w:t>
      </w:r>
    </w:p>
    <w:p w14:paraId="06670EA5" w14:textId="3AA97D59" w:rsidR="00EE06C8" w:rsidRPr="00000849" w:rsidRDefault="00EE06C8" w:rsidP="0072755E">
      <w:pPr>
        <w:spacing w:line="480" w:lineRule="auto"/>
        <w:jc w:val="both"/>
        <w:rPr>
          <w:rFonts w:cstheme="minorHAnsi"/>
          <w:sz w:val="24"/>
          <w:szCs w:val="24"/>
        </w:rPr>
      </w:pPr>
    </w:p>
    <w:p w14:paraId="133A9C05" w14:textId="0DF980F7" w:rsidR="00EE06C8" w:rsidRPr="00000849" w:rsidRDefault="00D92056" w:rsidP="004E2350">
      <w:pPr>
        <w:pStyle w:val="Heading3"/>
      </w:pPr>
      <w:bookmarkStart w:id="39" w:name="_Toc51472090"/>
      <w:r w:rsidRPr="00000849">
        <w:t>2.1</w:t>
      </w:r>
      <w:r w:rsidR="0072755E" w:rsidRPr="00000849">
        <w:t>.</w:t>
      </w:r>
      <w:r w:rsidR="003550BC" w:rsidRPr="00000849">
        <w:t>7</w:t>
      </w:r>
      <w:r w:rsidR="0072755E" w:rsidRPr="00000849">
        <w:tab/>
        <w:t>Risk of bias and sensitivity analysis</w:t>
      </w:r>
      <w:bookmarkEnd w:id="39"/>
    </w:p>
    <w:p w14:paraId="2E20A22D" w14:textId="6EEE54CA" w:rsidR="00F6201C" w:rsidRPr="00000849" w:rsidRDefault="00F6201C" w:rsidP="00F6201C">
      <w:pPr>
        <w:spacing w:line="480" w:lineRule="auto"/>
        <w:jc w:val="both"/>
        <w:rPr>
          <w:rFonts w:ascii="Arial" w:hAnsi="Arial" w:cs="Arial"/>
        </w:rPr>
      </w:pPr>
    </w:p>
    <w:p w14:paraId="719E0C81" w14:textId="39FE1D51" w:rsidR="00356045" w:rsidRPr="00000849" w:rsidRDefault="00356045" w:rsidP="00356045">
      <w:pPr>
        <w:spacing w:line="480" w:lineRule="auto"/>
        <w:jc w:val="both"/>
        <w:rPr>
          <w:rFonts w:cstheme="minorHAnsi"/>
          <w:sz w:val="24"/>
          <w:szCs w:val="24"/>
        </w:rPr>
      </w:pPr>
      <w:r w:rsidRPr="00000849">
        <w:rPr>
          <w:rFonts w:cstheme="minorHAnsi"/>
          <w:sz w:val="24"/>
          <w:szCs w:val="24"/>
        </w:rPr>
        <w:t xml:space="preserve">Out of the 34 studies, </w:t>
      </w:r>
      <w:r w:rsidR="0072755E" w:rsidRPr="00000849">
        <w:rPr>
          <w:rFonts w:cstheme="minorHAnsi"/>
          <w:sz w:val="24"/>
          <w:szCs w:val="24"/>
        </w:rPr>
        <w:t xml:space="preserve">eight </w:t>
      </w:r>
      <w:r w:rsidRPr="00000849">
        <w:rPr>
          <w:rFonts w:cstheme="minorHAnsi"/>
          <w:sz w:val="24"/>
          <w:szCs w:val="24"/>
        </w:rPr>
        <w:t xml:space="preserve">(23.5%) </w:t>
      </w:r>
      <w:r w:rsidR="00447F88" w:rsidRPr="00000849">
        <w:rPr>
          <w:rFonts w:cstheme="minorHAnsi"/>
          <w:sz w:val="24"/>
          <w:szCs w:val="24"/>
        </w:rPr>
        <w:t xml:space="preserve">were considered to have </w:t>
      </w:r>
      <w:r w:rsidR="0072755E" w:rsidRPr="00000849">
        <w:rPr>
          <w:rFonts w:cstheme="minorHAnsi"/>
          <w:sz w:val="24"/>
          <w:szCs w:val="24"/>
        </w:rPr>
        <w:t xml:space="preserve">a high risk of bias </w:t>
      </w:r>
      <w:r w:rsidR="00447F88" w:rsidRPr="00000849">
        <w:rPr>
          <w:rFonts w:cstheme="minorHAnsi"/>
          <w:sz w:val="24"/>
          <w:szCs w:val="24"/>
        </w:rPr>
        <w:t xml:space="preserve">had a moderate </w:t>
      </w:r>
      <w:r w:rsidR="008D1D68" w:rsidRPr="00000849">
        <w:rPr>
          <w:rFonts w:cstheme="minorHAnsi"/>
          <w:sz w:val="24"/>
          <w:szCs w:val="24"/>
        </w:rPr>
        <w:t>risk and</w:t>
      </w:r>
      <w:r w:rsidR="0072755E" w:rsidRPr="00000849">
        <w:rPr>
          <w:rFonts w:cstheme="minorHAnsi"/>
          <w:sz w:val="24"/>
          <w:szCs w:val="24"/>
        </w:rPr>
        <w:t xml:space="preserve"> the remaining 17 studies had low risk of bias</w:t>
      </w:r>
      <w:r w:rsidR="008D1D68" w:rsidRPr="00000849">
        <w:rPr>
          <w:rFonts w:cstheme="minorHAnsi"/>
          <w:sz w:val="24"/>
          <w:szCs w:val="24"/>
        </w:rPr>
        <w:t xml:space="preserve"> based on the application of the validated tool </w:t>
      </w:r>
      <w:r w:rsidR="008D1D68" w:rsidRPr="00000849">
        <w:rPr>
          <w:rFonts w:cstheme="minorHAnsi"/>
          <w:sz w:val="24"/>
          <w:szCs w:val="24"/>
        </w:rPr>
        <w:fldChar w:fldCharType="begin"/>
      </w:r>
      <w:r w:rsidR="003E660C" w:rsidRPr="00000849">
        <w:rPr>
          <w:rFonts w:cstheme="minorHAnsi"/>
          <w:sz w:val="24"/>
          <w:szCs w:val="24"/>
        </w:rPr>
        <w:instrText xml:space="preserve"> ADDIN EN.CITE &lt;EndNote&gt;&lt;Cite&gt;&lt;Author&gt;Hoy&lt;/Author&gt;&lt;Year&gt;2012&lt;/Year&gt;&lt;RecNum&gt;172&lt;/RecNum&gt;&lt;DisplayText&gt;(Hoy et al., 2012)&lt;/DisplayText&gt;&lt;record&gt;&lt;rec-number&gt;172&lt;/rec-number&gt;&lt;foreign-keys&gt;&lt;key app="EN" db-id="9tzf2rda8re2a9es5tuxart3swzx2zws2s02" timestamp="1485607619"&gt;172&lt;/key&gt;&lt;/foreign-keys&gt;&lt;ref-type name="Journal Article"&gt;17&lt;/ref-type&gt;&lt;contributors&gt;&lt;authors&gt;&lt;author&gt;Hoy, Damian&lt;/author&gt;&lt;author&gt;Brooks, Peter&lt;/author&gt;&lt;author&gt;Woolf, Anthony&lt;/author&gt;&lt;author&gt;Blyth, Fiona&lt;/author&gt;&lt;author&gt;March, Lyn&lt;/author&gt;&lt;author&gt;Bain, Chris&lt;/author&gt;&lt;author&gt;Baker, Peter&lt;/author&gt;&lt;author&gt;Smith, Emma&lt;/author&gt;&lt;author&gt;Buchbinder, Rachelle&lt;/author&gt;&lt;/authors&gt;&lt;/contributors&gt;&lt;titles&gt;&lt;title&gt;Assessing risk of bias in prevalence studies: modification of an existing tool and evidence of interrater agreement&lt;/title&gt;&lt;secondary-title&gt;Journal of Clinical Epidemiology&lt;/secondary-title&gt;&lt;/titles&gt;&lt;periodical&gt;&lt;full-title&gt;Journal of Clinical Epidemiology&lt;/full-title&gt;&lt;abbr-1&gt;J Clin Epidemiol&lt;/abbr-1&gt;&lt;/periodical&gt;&lt;pages&gt;934-939&lt;/pages&gt;&lt;volume&gt;65&lt;/volume&gt;&lt;number&gt;9&lt;/number&gt;&lt;dates&gt;&lt;year&gt;2012&lt;/year&gt;&lt;/dates&gt;&lt;isbn&gt;0895-4356&lt;/isbn&gt;&lt;urls&gt;&lt;/urls&gt;&lt;/record&gt;&lt;/Cite&gt;&lt;/EndNote&gt;</w:instrText>
      </w:r>
      <w:r w:rsidR="008D1D68" w:rsidRPr="00000849">
        <w:rPr>
          <w:rFonts w:cstheme="minorHAnsi"/>
          <w:sz w:val="24"/>
          <w:szCs w:val="24"/>
        </w:rPr>
        <w:fldChar w:fldCharType="separate"/>
      </w:r>
      <w:r w:rsidR="001740AB" w:rsidRPr="00000849">
        <w:rPr>
          <w:rFonts w:cstheme="minorHAnsi"/>
          <w:noProof/>
          <w:sz w:val="24"/>
          <w:szCs w:val="24"/>
        </w:rPr>
        <w:t>(Hoy et al., 2012)</w:t>
      </w:r>
      <w:r w:rsidR="008D1D68" w:rsidRPr="00000849">
        <w:rPr>
          <w:rFonts w:cstheme="minorHAnsi"/>
          <w:sz w:val="24"/>
          <w:szCs w:val="24"/>
        </w:rPr>
        <w:fldChar w:fldCharType="end"/>
      </w:r>
      <w:r w:rsidR="0072755E" w:rsidRPr="00000849">
        <w:rPr>
          <w:rFonts w:cstheme="minorHAnsi"/>
          <w:sz w:val="24"/>
          <w:szCs w:val="24"/>
        </w:rPr>
        <w:t xml:space="preserve"> (</w:t>
      </w:r>
      <w:r w:rsidR="00007E47" w:rsidRPr="00000849">
        <w:rPr>
          <w:rFonts w:cstheme="minorHAnsi"/>
          <w:sz w:val="24"/>
          <w:szCs w:val="24"/>
        </w:rPr>
        <w:t>Appendix 2</w:t>
      </w:r>
      <w:r w:rsidR="001929B0" w:rsidRPr="00000849">
        <w:rPr>
          <w:rFonts w:cstheme="minorHAnsi"/>
          <w:sz w:val="24"/>
          <w:szCs w:val="24"/>
        </w:rPr>
        <w:t xml:space="preserve"> Table</w:t>
      </w:r>
      <w:r w:rsidR="001F68CE" w:rsidRPr="00000849">
        <w:rPr>
          <w:rFonts w:cstheme="minorHAnsi"/>
          <w:sz w:val="24"/>
          <w:szCs w:val="24"/>
        </w:rPr>
        <w:t xml:space="preserve"> </w:t>
      </w:r>
      <w:r w:rsidR="00C7396B" w:rsidRPr="00000849">
        <w:rPr>
          <w:rFonts w:cstheme="minorHAnsi"/>
          <w:sz w:val="24"/>
          <w:szCs w:val="24"/>
        </w:rPr>
        <w:t>A3</w:t>
      </w:r>
      <w:r w:rsidR="0072755E" w:rsidRPr="00000849">
        <w:rPr>
          <w:rFonts w:cstheme="minorHAnsi"/>
          <w:sz w:val="24"/>
          <w:szCs w:val="24"/>
        </w:rPr>
        <w:t xml:space="preserve">).  </w:t>
      </w:r>
      <w:r w:rsidR="00447F88" w:rsidRPr="00000849">
        <w:rPr>
          <w:rFonts w:cstheme="minorHAnsi"/>
          <w:sz w:val="24"/>
          <w:szCs w:val="24"/>
        </w:rPr>
        <w:t>However, sub-group analysis showed that t</w:t>
      </w:r>
      <w:r w:rsidR="0072755E" w:rsidRPr="00000849">
        <w:rPr>
          <w:rFonts w:cstheme="minorHAnsi"/>
          <w:sz w:val="24"/>
          <w:szCs w:val="24"/>
        </w:rPr>
        <w:t xml:space="preserve">he pooled prevalence of hypertension </w:t>
      </w:r>
      <w:r w:rsidR="00447F88" w:rsidRPr="00000849">
        <w:rPr>
          <w:rFonts w:cstheme="minorHAnsi"/>
          <w:sz w:val="24"/>
          <w:szCs w:val="24"/>
        </w:rPr>
        <w:t>w</w:t>
      </w:r>
      <w:r w:rsidR="008D1D68" w:rsidRPr="00000849">
        <w:rPr>
          <w:rFonts w:cstheme="minorHAnsi"/>
          <w:sz w:val="24"/>
          <w:szCs w:val="24"/>
        </w:rPr>
        <w:t>as</w:t>
      </w:r>
      <w:r w:rsidR="00447F88" w:rsidRPr="00000849">
        <w:rPr>
          <w:rFonts w:cstheme="minorHAnsi"/>
          <w:sz w:val="24"/>
          <w:szCs w:val="24"/>
        </w:rPr>
        <w:t xml:space="preserve"> statistically similar between the three risk groups - 50.0% (95% CI 42.0%-59.0%) for the studies with </w:t>
      </w:r>
      <w:r w:rsidR="0072755E" w:rsidRPr="00000849">
        <w:rPr>
          <w:rFonts w:cstheme="minorHAnsi"/>
          <w:sz w:val="24"/>
          <w:szCs w:val="24"/>
        </w:rPr>
        <w:t>high</w:t>
      </w:r>
      <w:r w:rsidR="00447F88" w:rsidRPr="00000849">
        <w:rPr>
          <w:rFonts w:cstheme="minorHAnsi"/>
          <w:sz w:val="24"/>
          <w:szCs w:val="24"/>
        </w:rPr>
        <w:t xml:space="preserve"> risk of bias, 62.0% (95% CI 51.0%-73.0%) for the moderate risk</w:t>
      </w:r>
      <w:r w:rsidR="0072755E" w:rsidRPr="00000849">
        <w:rPr>
          <w:rFonts w:cstheme="minorHAnsi"/>
          <w:sz w:val="24"/>
          <w:szCs w:val="24"/>
        </w:rPr>
        <w:t xml:space="preserve"> and </w:t>
      </w:r>
      <w:r w:rsidR="00447F88" w:rsidRPr="00000849">
        <w:rPr>
          <w:rFonts w:cstheme="minorHAnsi"/>
          <w:sz w:val="24"/>
          <w:szCs w:val="24"/>
        </w:rPr>
        <w:t xml:space="preserve">56.0% (95% CI 50.0%-62.0%) for </w:t>
      </w:r>
      <w:r w:rsidR="008D1D68" w:rsidRPr="00000849">
        <w:rPr>
          <w:rFonts w:cstheme="minorHAnsi"/>
          <w:sz w:val="24"/>
          <w:szCs w:val="24"/>
        </w:rPr>
        <w:t>the low risk</w:t>
      </w:r>
      <w:r w:rsidR="00447F88" w:rsidRPr="00000849">
        <w:rPr>
          <w:rFonts w:cstheme="minorHAnsi"/>
          <w:sz w:val="24"/>
          <w:szCs w:val="24"/>
        </w:rPr>
        <w:t xml:space="preserve"> (</w:t>
      </w:r>
      <w:r w:rsidR="00007E47" w:rsidRPr="00000849">
        <w:rPr>
          <w:rFonts w:cstheme="minorHAnsi"/>
          <w:sz w:val="24"/>
          <w:szCs w:val="24"/>
        </w:rPr>
        <w:t>Appendix 2</w:t>
      </w:r>
      <w:r w:rsidR="00857D61" w:rsidRPr="00000849">
        <w:rPr>
          <w:rFonts w:cstheme="minorHAnsi"/>
          <w:sz w:val="24"/>
          <w:szCs w:val="24"/>
        </w:rPr>
        <w:t xml:space="preserve"> Fig</w:t>
      </w:r>
      <w:r w:rsidR="00AA6DF6" w:rsidRPr="00000849">
        <w:rPr>
          <w:rFonts w:cstheme="minorHAnsi"/>
          <w:sz w:val="24"/>
          <w:szCs w:val="24"/>
        </w:rPr>
        <w:t>ure</w:t>
      </w:r>
      <w:r w:rsidR="00857D61" w:rsidRPr="00000849">
        <w:rPr>
          <w:rFonts w:cstheme="minorHAnsi"/>
          <w:sz w:val="24"/>
          <w:szCs w:val="24"/>
        </w:rPr>
        <w:t xml:space="preserve"> </w:t>
      </w:r>
      <w:r w:rsidR="003A4275" w:rsidRPr="00000849">
        <w:rPr>
          <w:rFonts w:cstheme="minorHAnsi"/>
          <w:sz w:val="24"/>
          <w:szCs w:val="24"/>
        </w:rPr>
        <w:t>A1</w:t>
      </w:r>
      <w:r w:rsidR="00447F88" w:rsidRPr="00000849">
        <w:rPr>
          <w:rFonts w:cstheme="minorHAnsi"/>
          <w:sz w:val="24"/>
          <w:szCs w:val="24"/>
        </w:rPr>
        <w:t xml:space="preserve">). </w:t>
      </w:r>
      <w:r w:rsidR="0072755E" w:rsidRPr="00000849">
        <w:rPr>
          <w:rFonts w:cstheme="minorHAnsi"/>
          <w:sz w:val="24"/>
          <w:szCs w:val="24"/>
        </w:rPr>
        <w:t xml:space="preserve"> E</w:t>
      </w:r>
      <w:r w:rsidR="008D1D68" w:rsidRPr="00000849">
        <w:rPr>
          <w:rFonts w:cstheme="minorHAnsi"/>
          <w:sz w:val="24"/>
          <w:szCs w:val="24"/>
        </w:rPr>
        <w:t xml:space="preserve">liminating </w:t>
      </w:r>
      <w:r w:rsidR="008D1D68" w:rsidRPr="00000849">
        <w:rPr>
          <w:rFonts w:cstheme="minorHAnsi"/>
          <w:sz w:val="24"/>
          <w:szCs w:val="24"/>
        </w:rPr>
        <w:lastRenderedPageBreak/>
        <w:t>t</w:t>
      </w:r>
      <w:r w:rsidR="0072755E" w:rsidRPr="00000849">
        <w:rPr>
          <w:rFonts w:cstheme="minorHAnsi"/>
          <w:sz w:val="24"/>
          <w:szCs w:val="24"/>
        </w:rPr>
        <w:t xml:space="preserve">he </w:t>
      </w:r>
      <w:r w:rsidR="008D1D68" w:rsidRPr="00000849">
        <w:rPr>
          <w:rFonts w:cstheme="minorHAnsi"/>
          <w:sz w:val="24"/>
          <w:szCs w:val="24"/>
        </w:rPr>
        <w:t>high-risk</w:t>
      </w:r>
      <w:r w:rsidR="0072755E" w:rsidRPr="00000849">
        <w:rPr>
          <w:rFonts w:cstheme="minorHAnsi"/>
          <w:sz w:val="24"/>
          <w:szCs w:val="24"/>
        </w:rPr>
        <w:t xml:space="preserve"> bias </w:t>
      </w:r>
      <w:r w:rsidR="008D1D68" w:rsidRPr="00000849">
        <w:rPr>
          <w:rFonts w:cstheme="minorHAnsi"/>
          <w:sz w:val="24"/>
          <w:szCs w:val="24"/>
        </w:rPr>
        <w:t xml:space="preserve">studies </w:t>
      </w:r>
      <w:r w:rsidR="0072755E" w:rsidRPr="00000849">
        <w:rPr>
          <w:rFonts w:cstheme="minorHAnsi"/>
          <w:sz w:val="24"/>
          <w:szCs w:val="24"/>
        </w:rPr>
        <w:t xml:space="preserve">did not have any significant </w:t>
      </w:r>
      <w:r w:rsidR="008D1D68" w:rsidRPr="00000849">
        <w:rPr>
          <w:rFonts w:cstheme="minorHAnsi"/>
          <w:sz w:val="24"/>
          <w:szCs w:val="24"/>
        </w:rPr>
        <w:t>effect</w:t>
      </w:r>
      <w:r w:rsidR="0072755E" w:rsidRPr="00000849">
        <w:rPr>
          <w:rFonts w:cstheme="minorHAnsi"/>
          <w:sz w:val="24"/>
          <w:szCs w:val="24"/>
        </w:rPr>
        <w:t xml:space="preserve"> o</w:t>
      </w:r>
      <w:r w:rsidR="008D1D68" w:rsidRPr="00000849">
        <w:rPr>
          <w:rFonts w:cstheme="minorHAnsi"/>
          <w:sz w:val="24"/>
          <w:szCs w:val="24"/>
        </w:rPr>
        <w:t>n the estimated p</w:t>
      </w:r>
      <w:r w:rsidR="0072755E" w:rsidRPr="00000849">
        <w:rPr>
          <w:rFonts w:cstheme="minorHAnsi"/>
          <w:sz w:val="24"/>
          <w:szCs w:val="24"/>
        </w:rPr>
        <w:t xml:space="preserve">ooled prevalence of hypertension. </w:t>
      </w:r>
      <w:r w:rsidRPr="00000849">
        <w:rPr>
          <w:rFonts w:cstheme="minorHAnsi"/>
          <w:sz w:val="24"/>
          <w:szCs w:val="24"/>
        </w:rPr>
        <w:t xml:space="preserve"> </w:t>
      </w:r>
    </w:p>
    <w:p w14:paraId="2300493A" w14:textId="7488AD51" w:rsidR="00107F9B" w:rsidRPr="00000849" w:rsidRDefault="00107F9B" w:rsidP="0072755E">
      <w:pPr>
        <w:spacing w:line="480" w:lineRule="auto"/>
        <w:ind w:firstLine="720"/>
        <w:jc w:val="both"/>
        <w:rPr>
          <w:rFonts w:cstheme="minorHAnsi"/>
          <w:sz w:val="24"/>
          <w:szCs w:val="24"/>
        </w:rPr>
      </w:pPr>
      <w:r w:rsidRPr="00000849">
        <w:rPr>
          <w:rFonts w:cstheme="minorHAnsi"/>
          <w:sz w:val="24"/>
          <w:szCs w:val="24"/>
        </w:rPr>
        <w:t xml:space="preserve">The </w:t>
      </w:r>
      <w:r w:rsidR="00AB2DFF" w:rsidRPr="00000849">
        <w:rPr>
          <w:rFonts w:cstheme="minorHAnsi"/>
          <w:sz w:val="24"/>
          <w:szCs w:val="24"/>
        </w:rPr>
        <w:t xml:space="preserve">sensitivity </w:t>
      </w:r>
      <w:r w:rsidRPr="00000849">
        <w:rPr>
          <w:rFonts w:cstheme="minorHAnsi"/>
          <w:sz w:val="24"/>
          <w:szCs w:val="24"/>
        </w:rPr>
        <w:t>analysis showed that the removal of three studies</w:t>
      </w:r>
      <w:r w:rsidR="00C11170" w:rsidRPr="00000849">
        <w:rPr>
          <w:rFonts w:cstheme="minorHAnsi"/>
          <w:sz w:val="24"/>
          <w:szCs w:val="24"/>
        </w:rPr>
        <w:t xml:space="preserve"> one at-a-time</w:t>
      </w:r>
      <w:r w:rsidRPr="00000849">
        <w:rPr>
          <w:rFonts w:cstheme="minorHAnsi"/>
          <w:sz w:val="24"/>
          <w:szCs w:val="24"/>
        </w:rPr>
        <w:t xml:space="preserve"> resulted in a statistical significant reduction by 1.1 percentage points </w:t>
      </w:r>
      <w:r w:rsidRPr="00000849">
        <w:rPr>
          <w:rFonts w:cstheme="minorHAnsi"/>
          <w:sz w:val="24"/>
          <w:szCs w:val="24"/>
        </w:rPr>
        <w:fldChar w:fldCharType="begin"/>
      </w:r>
      <w:r w:rsidR="00AC2BE6">
        <w:rPr>
          <w:rFonts w:cstheme="minorHAnsi"/>
          <w:sz w:val="24"/>
          <w:szCs w:val="24"/>
        </w:rPr>
        <w:instrText xml:space="preserve"> ADDIN EN.CITE &lt;EndNote&gt;&lt;Cite&gt;&lt;Author&gt;Peltzer&lt;/Author&gt;&lt;Year&gt;2013&lt;/Year&gt;&lt;RecNum&gt;869&lt;/RecNum&gt;&lt;DisplayText&gt;(Peltzer &amp;amp; Phaswana-Mafuya, 2013a)&lt;/DisplayText&gt;&lt;record&gt;&lt;rec-number&gt;869&lt;/rec-number&gt;&lt;foreign-keys&gt;&lt;key app="EN" db-id="29t2ptva8t9xtgex0z2vepsadpwpfxd9a2zv" timestamp="1615774562"&gt;869&lt;/key&gt;&lt;/foreign-keys&gt;&lt;ref-type name="Journal Article"&gt;17&lt;/ref-type&gt;&lt;contributors&gt;&lt;authors&gt;&lt;author&gt;Peltzer, K.&lt;/author&gt;&lt;author&gt;Phaswana-Mafuya, N.&lt;/author&gt;&lt;/authors&gt;&lt;/contributors&gt;&lt;auth-address&gt;HIV/AIDS/SIT and TB (HAST), Human Sciences Research Council, Pretoria, South Africa&lt;/auth-address&gt;&lt;titles&gt;&lt;title&gt;Hypertension and associated factors in older adults in South Africa&lt;/title&gt;&lt;secondary-title&gt;Cardiovascular Journal of Africa&lt;/secondary-title&gt;&lt;/titles&gt;&lt;periodical&gt;&lt;full-title&gt;Cardiovascular Journal of Africa&lt;/full-title&gt;&lt;abbr-1&gt;Cardiovasc J Afr&lt;/abbr-1&gt;&lt;/periodical&gt;&lt;pages&gt;66-71&lt;/pages&gt;&lt;volume&gt;24&lt;/volume&gt;&lt;number&gt;3&lt;/number&gt;&lt;keywords&gt;&lt;keyword&gt;adult&lt;/keyword&gt;&lt;keyword&gt;aged&lt;/keyword&gt;&lt;keyword&gt;anthropometry&lt;/keyword&gt;&lt;keyword&gt;article&lt;/keyword&gt;&lt;keyword&gt;blood pressure measurement&lt;/keyword&gt;&lt;keyword&gt;female&lt;/keyword&gt;&lt;keyword&gt;human&lt;/keyword&gt;&lt;keyword&gt;*hypertension/ep [Epidemiology]&lt;/keyword&gt;&lt;keyword&gt;major clinical study&lt;/keyword&gt;&lt;keyword&gt;male&lt;/keyword&gt;&lt;keyword&gt;outpatient care&lt;/keyword&gt;&lt;keyword&gt;prevalence&lt;/keyword&gt;&lt;keyword&gt;questionnaire&lt;/keyword&gt;&lt;keyword&gt;*senescence&lt;/keyword&gt;&lt;keyword&gt;*South Africa&lt;/keyword&gt;&lt;/keywords&gt;&lt;dates&gt;&lt;year&gt;2013&lt;/year&gt;&lt;/dates&gt;&lt;pub-location&gt;South Africa&lt;/pub-location&gt;&lt;publisher&gt;Clinics Cardive Publishing (PTY)Ltd (PO Box 1013, Durbanville 7551, South Africa)&lt;/publisher&gt;&lt;isbn&gt;1995-1892&lt;/isbn&gt;&lt;urls&gt;&lt;related-urls&gt;&lt;url&gt;http://search.sabinet.co.za/WebZ/images/ejour/cardio1/cardio1_v24_n3_a5.pdf?sessionid=01-35585-666414646&amp;amp;format=F&lt;/url&gt;&lt;url&gt;http://ovidsp.ovid.com/ovidweb.cgi?T=JS&amp;amp;PAGE=reference&amp;amp;D=emed15&amp;amp;NEWS=N&amp;amp;AN=368996853&lt;/url&gt;&lt;/related-urls&gt;&lt;/urls&gt;&lt;electronic-resource-num&gt;10.5830/cvja-2013-002&lt;/electronic-resource-num&gt;&lt;/record&gt;&lt;/Cite&gt;&lt;/EndNote&gt;</w:instrText>
      </w:r>
      <w:r w:rsidRPr="00000849">
        <w:rPr>
          <w:rFonts w:cstheme="minorHAnsi"/>
          <w:sz w:val="24"/>
          <w:szCs w:val="24"/>
        </w:rPr>
        <w:fldChar w:fldCharType="separate"/>
      </w:r>
      <w:r w:rsidR="00D363A0">
        <w:rPr>
          <w:rFonts w:cstheme="minorHAnsi"/>
          <w:noProof/>
          <w:sz w:val="24"/>
          <w:szCs w:val="24"/>
        </w:rPr>
        <w:t>(Peltzer &amp; Phaswana-Mafuya, 2013a)</w:t>
      </w:r>
      <w:r w:rsidRPr="00000849">
        <w:rPr>
          <w:rFonts w:cstheme="minorHAnsi"/>
          <w:sz w:val="24"/>
          <w:szCs w:val="24"/>
        </w:rPr>
        <w:fldChar w:fldCharType="end"/>
      </w:r>
      <w:r w:rsidRPr="00000849">
        <w:rPr>
          <w:rFonts w:cstheme="minorHAnsi"/>
          <w:sz w:val="24"/>
          <w:szCs w:val="24"/>
        </w:rPr>
        <w:t xml:space="preserve"> or increase by 2.2–2.5 percentage points </w:t>
      </w:r>
      <w:r w:rsidR="00F27D58" w:rsidRPr="00000849">
        <w:rPr>
          <w:rFonts w:cstheme="minorHAnsi"/>
          <w:sz w:val="24"/>
          <w:szCs w:val="24"/>
        </w:rPr>
        <w:fldChar w:fldCharType="begin">
          <w:fldData xml:space="preserve">PEVuZE5vdGU+PENpdGU+PEF1dGhvcj5Lb29wbWFuPC9BdXRob3I+PFllYXI+MjAxMjwvWWVhcj48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</w:fldData>
        </w:fldChar>
      </w:r>
      <w:r w:rsidR="00AC2BE6">
        <w:rPr>
          <w:rFonts w:cstheme="minorHAnsi"/>
          <w:sz w:val="24"/>
          <w:szCs w:val="24"/>
        </w:rPr>
        <w:instrText xml:space="preserve"> ADDIN EN.CITE </w:instrText>
      </w:r>
      <w:r w:rsidR="00AC2BE6">
        <w:rPr>
          <w:rFonts w:cstheme="minorHAnsi"/>
          <w:sz w:val="24"/>
          <w:szCs w:val="24"/>
        </w:rPr>
        <w:fldChar w:fldCharType="begin">
          <w:fldData xml:space="preserve">PEVuZE5vdGU+PENpdGU+PEF1dGhvcj5Lb29wbWFuPC9BdXRob3I+PFllYXI+MjAxMjwvWWVhcj48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</w:fldData>
        </w:fldChar>
      </w:r>
      <w:r w:rsidR="00AC2BE6">
        <w:rPr>
          <w:rFonts w:cstheme="minorHAnsi"/>
          <w:sz w:val="24"/>
          <w:szCs w:val="24"/>
        </w:rPr>
        <w:instrText xml:space="preserve"> ADDIN EN.CITE.DATA </w:instrText>
      </w:r>
      <w:r w:rsidR="00AC2BE6">
        <w:rPr>
          <w:rFonts w:cstheme="minorHAnsi"/>
          <w:sz w:val="24"/>
          <w:szCs w:val="24"/>
        </w:rPr>
      </w:r>
      <w:r w:rsidR="00AC2BE6">
        <w:rPr>
          <w:rFonts w:cstheme="minorHAnsi"/>
          <w:sz w:val="24"/>
          <w:szCs w:val="24"/>
        </w:rPr>
        <w:fldChar w:fldCharType="end"/>
      </w:r>
      <w:r w:rsidR="00F27D58" w:rsidRPr="00000849">
        <w:rPr>
          <w:rFonts w:cstheme="minorHAnsi"/>
          <w:sz w:val="24"/>
          <w:szCs w:val="24"/>
        </w:rPr>
      </w:r>
      <w:r w:rsidR="00F27D58" w:rsidRPr="00000849">
        <w:rPr>
          <w:rFonts w:cstheme="minorHAnsi"/>
          <w:sz w:val="24"/>
          <w:szCs w:val="24"/>
        </w:rPr>
        <w:fldChar w:fldCharType="separate"/>
      </w:r>
      <w:r w:rsidR="0060706B" w:rsidRPr="00000849">
        <w:rPr>
          <w:rFonts w:cstheme="minorHAnsi"/>
          <w:noProof/>
          <w:sz w:val="24"/>
          <w:szCs w:val="24"/>
        </w:rPr>
        <w:t>(Koopman et al., 2012a; Nuertey et al., 2017)</w:t>
      </w:r>
      <w:r w:rsidR="00F27D58" w:rsidRPr="00000849">
        <w:rPr>
          <w:rFonts w:cstheme="minorHAnsi"/>
          <w:sz w:val="24"/>
          <w:szCs w:val="24"/>
        </w:rPr>
        <w:fldChar w:fldCharType="end"/>
      </w:r>
      <w:r w:rsidR="00332B3D" w:rsidRPr="00000849">
        <w:rPr>
          <w:rFonts w:cstheme="minorHAnsi"/>
          <w:sz w:val="24"/>
          <w:szCs w:val="24"/>
        </w:rPr>
        <w:t xml:space="preserve"> </w:t>
      </w:r>
      <w:r w:rsidRPr="00000849">
        <w:rPr>
          <w:rFonts w:cstheme="minorHAnsi"/>
          <w:sz w:val="24"/>
          <w:szCs w:val="24"/>
        </w:rPr>
        <w:t xml:space="preserve">of the original </w:t>
      </w:r>
      <w:r w:rsidR="00332B3D" w:rsidRPr="00000849">
        <w:rPr>
          <w:rFonts w:cstheme="minorHAnsi"/>
          <w:sz w:val="24"/>
          <w:szCs w:val="24"/>
        </w:rPr>
        <w:t>pooled</w:t>
      </w:r>
      <w:r w:rsidRPr="00000849">
        <w:rPr>
          <w:rFonts w:cstheme="minorHAnsi"/>
          <w:sz w:val="24"/>
          <w:szCs w:val="24"/>
        </w:rPr>
        <w:t xml:space="preserve"> estimate</w:t>
      </w:r>
      <w:r w:rsidR="00332B3D" w:rsidRPr="00000849">
        <w:rPr>
          <w:rFonts w:cstheme="minorHAnsi"/>
          <w:sz w:val="24"/>
          <w:szCs w:val="24"/>
        </w:rPr>
        <w:t xml:space="preserve"> in the prevalence of hypertension</w:t>
      </w:r>
      <w:r w:rsidR="00F27D58" w:rsidRPr="00000849">
        <w:rPr>
          <w:rFonts w:cstheme="minorHAnsi"/>
          <w:sz w:val="24"/>
          <w:szCs w:val="24"/>
        </w:rPr>
        <w:t xml:space="preserve"> (</w:t>
      </w:r>
      <w:r w:rsidR="00007E47" w:rsidRPr="00000849">
        <w:rPr>
          <w:rFonts w:cstheme="minorHAnsi"/>
          <w:sz w:val="24"/>
          <w:szCs w:val="24"/>
        </w:rPr>
        <w:t>Appendix 2</w:t>
      </w:r>
      <w:r w:rsidR="00E65DDC" w:rsidRPr="00000849">
        <w:rPr>
          <w:rFonts w:cstheme="minorHAnsi"/>
          <w:sz w:val="24"/>
          <w:szCs w:val="24"/>
        </w:rPr>
        <w:t xml:space="preserve"> Figure </w:t>
      </w:r>
      <w:r w:rsidR="003A4275" w:rsidRPr="00000849">
        <w:rPr>
          <w:rFonts w:cstheme="minorHAnsi"/>
          <w:sz w:val="24"/>
          <w:szCs w:val="24"/>
        </w:rPr>
        <w:t>A2</w:t>
      </w:r>
      <w:r w:rsidR="00F27D58" w:rsidRPr="00000849">
        <w:rPr>
          <w:rFonts w:cstheme="minorHAnsi"/>
          <w:sz w:val="24"/>
          <w:szCs w:val="24"/>
        </w:rPr>
        <w:t>).</w:t>
      </w:r>
    </w:p>
    <w:p w14:paraId="17FB51A7" w14:textId="77777777" w:rsidR="00C7396B" w:rsidRPr="00000849" w:rsidRDefault="00C7396B" w:rsidP="0072755E">
      <w:pPr>
        <w:spacing w:line="480" w:lineRule="auto"/>
        <w:ind w:firstLine="720"/>
        <w:jc w:val="both"/>
        <w:rPr>
          <w:rFonts w:cstheme="minorHAnsi"/>
          <w:sz w:val="24"/>
          <w:szCs w:val="24"/>
        </w:rPr>
      </w:pPr>
    </w:p>
    <w:p w14:paraId="672067CE" w14:textId="64B7849D" w:rsidR="0072755E" w:rsidRPr="00000849" w:rsidRDefault="00D92056" w:rsidP="004E2350">
      <w:pPr>
        <w:pStyle w:val="Heading3"/>
      </w:pPr>
      <w:bookmarkStart w:id="40" w:name="_Toc51472091"/>
      <w:r w:rsidRPr="00000849">
        <w:t>2.1</w:t>
      </w:r>
      <w:r w:rsidR="0072755E" w:rsidRPr="00000849">
        <w:t>.</w:t>
      </w:r>
      <w:r w:rsidR="003550BC" w:rsidRPr="00000849">
        <w:t>8</w:t>
      </w:r>
      <w:r w:rsidR="0072755E" w:rsidRPr="00000849">
        <w:tab/>
        <w:t>Sources of heterogeneity</w:t>
      </w:r>
      <w:bookmarkEnd w:id="40"/>
    </w:p>
    <w:p w14:paraId="0A1E8DBB" w14:textId="77777777" w:rsidR="0072755E" w:rsidRPr="00000849" w:rsidRDefault="0072755E" w:rsidP="00EF06A2">
      <w:pPr>
        <w:spacing w:line="480" w:lineRule="auto"/>
        <w:ind w:firstLine="720"/>
        <w:jc w:val="both"/>
        <w:rPr>
          <w:rFonts w:cstheme="minorHAnsi"/>
          <w:sz w:val="24"/>
          <w:szCs w:val="24"/>
        </w:rPr>
      </w:pPr>
    </w:p>
    <w:p w14:paraId="731118D2" w14:textId="0A60BB6C" w:rsidR="00AB2DFF" w:rsidRPr="00000849" w:rsidRDefault="0072755E" w:rsidP="00AB2DFF">
      <w:pPr>
        <w:spacing w:line="480" w:lineRule="auto"/>
        <w:jc w:val="both"/>
        <w:rPr>
          <w:rFonts w:cstheme="minorHAnsi"/>
          <w:sz w:val="24"/>
          <w:szCs w:val="24"/>
        </w:rPr>
      </w:pPr>
      <w:r w:rsidRPr="00000849">
        <w:rPr>
          <w:rFonts w:cstheme="minorHAnsi"/>
          <w:sz w:val="24"/>
          <w:szCs w:val="24"/>
        </w:rPr>
        <w:t xml:space="preserve">There was </w:t>
      </w:r>
      <w:r w:rsidR="00AB2DFF" w:rsidRPr="00000849">
        <w:rPr>
          <w:rFonts w:cstheme="minorHAnsi"/>
          <w:sz w:val="24"/>
          <w:szCs w:val="24"/>
        </w:rPr>
        <w:t>considerable</w:t>
      </w:r>
      <w:r w:rsidRPr="00000849">
        <w:rPr>
          <w:rFonts w:cstheme="minorHAnsi"/>
          <w:sz w:val="24"/>
          <w:szCs w:val="24"/>
        </w:rPr>
        <w:t xml:space="preserve"> heterogeneity </w:t>
      </w:r>
      <w:r w:rsidR="00AB2DFF" w:rsidRPr="00000849">
        <w:rPr>
          <w:rFonts w:cstheme="minorHAnsi"/>
          <w:sz w:val="24"/>
          <w:szCs w:val="24"/>
        </w:rPr>
        <w:t>among</w:t>
      </w:r>
      <w:r w:rsidRPr="00000849">
        <w:rPr>
          <w:rFonts w:cstheme="minorHAnsi"/>
          <w:sz w:val="24"/>
          <w:szCs w:val="24"/>
        </w:rPr>
        <w:t xml:space="preserve"> the </w:t>
      </w:r>
      <w:r w:rsidR="00AB2DFF" w:rsidRPr="00000849">
        <w:rPr>
          <w:rFonts w:cstheme="minorHAnsi"/>
          <w:sz w:val="24"/>
          <w:szCs w:val="24"/>
        </w:rPr>
        <w:t>analysed</w:t>
      </w:r>
      <w:r w:rsidRPr="00000849">
        <w:rPr>
          <w:rFonts w:cstheme="minorHAnsi"/>
          <w:sz w:val="24"/>
          <w:szCs w:val="24"/>
        </w:rPr>
        <w:t xml:space="preserve"> studies as </w:t>
      </w:r>
      <w:r w:rsidR="00AB2DFF" w:rsidRPr="00000849">
        <w:rPr>
          <w:rFonts w:cstheme="minorHAnsi"/>
          <w:sz w:val="24"/>
          <w:szCs w:val="24"/>
        </w:rPr>
        <w:t>shown</w:t>
      </w:r>
      <w:r w:rsidRPr="00000849">
        <w:rPr>
          <w:rFonts w:cstheme="minorHAnsi"/>
          <w:sz w:val="24"/>
          <w:szCs w:val="24"/>
        </w:rPr>
        <w:t xml:space="preserve"> by </w:t>
      </w:r>
      <w:r w:rsidR="00AB2DFF" w:rsidRPr="00000849">
        <w:rPr>
          <w:rFonts w:cstheme="minorHAnsi"/>
          <w:sz w:val="24"/>
          <w:szCs w:val="24"/>
        </w:rPr>
        <w:t>a</w:t>
      </w:r>
      <w:r w:rsidRPr="00000849">
        <w:rPr>
          <w:rFonts w:cstheme="minorHAnsi"/>
          <w:sz w:val="24"/>
          <w:szCs w:val="24"/>
        </w:rPr>
        <w:t xml:space="preserve"> I</w:t>
      </w:r>
      <w:r w:rsidRPr="00000849">
        <w:rPr>
          <w:rFonts w:cstheme="minorHAnsi"/>
          <w:sz w:val="24"/>
          <w:szCs w:val="24"/>
          <w:vertAlign w:val="superscript"/>
        </w:rPr>
        <w:t>2</w:t>
      </w:r>
      <w:r w:rsidRPr="00000849">
        <w:rPr>
          <w:rFonts w:cstheme="minorHAnsi"/>
          <w:sz w:val="24"/>
          <w:szCs w:val="24"/>
        </w:rPr>
        <w:t xml:space="preserve"> statistic of 98.9% and the </w:t>
      </w:r>
      <w:r w:rsidR="00AB2DFF" w:rsidRPr="00000849">
        <w:rPr>
          <w:rFonts w:cstheme="minorHAnsi"/>
          <w:sz w:val="24"/>
          <w:szCs w:val="24"/>
        </w:rPr>
        <w:t xml:space="preserve">Cochran's </w:t>
      </w:r>
      <w:r w:rsidRPr="00000849">
        <w:rPr>
          <w:rFonts w:cstheme="minorHAnsi"/>
          <w:sz w:val="24"/>
          <w:szCs w:val="24"/>
        </w:rPr>
        <w:t xml:space="preserve">chi-square test (p &lt;0.0001).  </w:t>
      </w:r>
      <w:r w:rsidR="00AB2DFF" w:rsidRPr="00000849">
        <w:rPr>
          <w:rFonts w:cstheme="minorHAnsi"/>
          <w:sz w:val="24"/>
          <w:szCs w:val="24"/>
        </w:rPr>
        <w:t>S</w:t>
      </w:r>
      <w:r w:rsidRPr="00000849">
        <w:rPr>
          <w:rFonts w:cstheme="minorHAnsi"/>
          <w:sz w:val="24"/>
          <w:szCs w:val="24"/>
        </w:rPr>
        <w:t>ub-group analys</w:t>
      </w:r>
      <w:r w:rsidR="00AB2DFF" w:rsidRPr="00000849">
        <w:rPr>
          <w:rFonts w:cstheme="minorHAnsi"/>
          <w:sz w:val="24"/>
          <w:szCs w:val="24"/>
        </w:rPr>
        <w:t>e</w:t>
      </w:r>
      <w:r w:rsidRPr="00000849">
        <w:rPr>
          <w:rFonts w:cstheme="minorHAnsi"/>
          <w:sz w:val="24"/>
          <w:szCs w:val="24"/>
        </w:rPr>
        <w:t xml:space="preserve">s </w:t>
      </w:r>
      <w:r w:rsidR="00AB2DFF" w:rsidRPr="00000849">
        <w:rPr>
          <w:rFonts w:cstheme="minorHAnsi"/>
          <w:sz w:val="24"/>
          <w:szCs w:val="24"/>
        </w:rPr>
        <w:t xml:space="preserve">did not identify </w:t>
      </w:r>
      <w:r w:rsidRPr="00000849">
        <w:rPr>
          <w:rFonts w:cstheme="minorHAnsi"/>
          <w:sz w:val="24"/>
          <w:szCs w:val="24"/>
        </w:rPr>
        <w:t xml:space="preserve">sex, study design, type of residence or sub-region </w:t>
      </w:r>
      <w:r w:rsidR="00AB2DFF" w:rsidRPr="00000849">
        <w:rPr>
          <w:rFonts w:cstheme="minorHAnsi"/>
          <w:sz w:val="24"/>
          <w:szCs w:val="24"/>
        </w:rPr>
        <w:t>as the</w:t>
      </w:r>
      <w:r w:rsidRPr="00000849">
        <w:rPr>
          <w:rFonts w:cstheme="minorHAnsi"/>
          <w:sz w:val="24"/>
          <w:szCs w:val="24"/>
        </w:rPr>
        <w:t xml:space="preserve"> source </w:t>
      </w:r>
      <w:r w:rsidR="00AB2DFF" w:rsidRPr="00000849">
        <w:rPr>
          <w:rFonts w:cstheme="minorHAnsi"/>
          <w:sz w:val="24"/>
          <w:szCs w:val="24"/>
        </w:rPr>
        <w:t>of the</w:t>
      </w:r>
      <w:r w:rsidRPr="00000849">
        <w:rPr>
          <w:rFonts w:cstheme="minorHAnsi"/>
          <w:sz w:val="24"/>
          <w:szCs w:val="24"/>
        </w:rPr>
        <w:t xml:space="preserve"> heterogeneity.  </w:t>
      </w:r>
    </w:p>
    <w:p w14:paraId="3A8096E7" w14:textId="347F4A84" w:rsidR="0072755E" w:rsidRPr="00000849" w:rsidRDefault="002F12DA" w:rsidP="00C11170">
      <w:pPr>
        <w:spacing w:line="480" w:lineRule="auto"/>
        <w:ind w:firstLine="720"/>
        <w:jc w:val="both"/>
        <w:rPr>
          <w:rFonts w:cstheme="minorHAnsi"/>
          <w:sz w:val="24"/>
          <w:szCs w:val="24"/>
        </w:rPr>
      </w:pPr>
      <w:r w:rsidRPr="00000849">
        <w:rPr>
          <w:rFonts w:cstheme="minorHAnsi"/>
          <w:sz w:val="24"/>
          <w:szCs w:val="24"/>
        </w:rPr>
        <w:t xml:space="preserve">The univariate meta-regression model included the study year, publication year, enrolled sample size, percentage obesity in the total sample, percentage with no education and the type of BP device.  Only </w:t>
      </w:r>
      <w:r w:rsidR="0072755E" w:rsidRPr="00000849">
        <w:rPr>
          <w:rFonts w:cstheme="minorHAnsi"/>
          <w:sz w:val="24"/>
          <w:szCs w:val="24"/>
        </w:rPr>
        <w:t>the percentage of obesity was statistically significant, explaining 23.2% of the between-study heterogeneity in the prevalence of hypertension (</w:t>
      </w:r>
      <w:r w:rsidR="00580594" w:rsidRPr="00000849">
        <w:rPr>
          <w:rFonts w:cstheme="minorHAnsi"/>
          <w:sz w:val="24"/>
          <w:szCs w:val="24"/>
        </w:rPr>
        <w:t xml:space="preserve">Appendix 2 </w:t>
      </w:r>
      <w:r w:rsidR="0072755E" w:rsidRPr="00000849">
        <w:rPr>
          <w:rFonts w:cstheme="minorHAnsi"/>
          <w:sz w:val="24"/>
          <w:szCs w:val="24"/>
        </w:rPr>
        <w:t xml:space="preserve">Table </w:t>
      </w:r>
      <w:r w:rsidR="00A17DE7" w:rsidRPr="00000849">
        <w:rPr>
          <w:rFonts w:cstheme="minorHAnsi"/>
          <w:sz w:val="24"/>
          <w:szCs w:val="24"/>
        </w:rPr>
        <w:t>A</w:t>
      </w:r>
      <w:r w:rsidR="0029123B" w:rsidRPr="00000849">
        <w:rPr>
          <w:rFonts w:cstheme="minorHAnsi"/>
          <w:sz w:val="24"/>
          <w:szCs w:val="24"/>
        </w:rPr>
        <w:t>4</w:t>
      </w:r>
      <w:r w:rsidR="0072755E" w:rsidRPr="00000849">
        <w:rPr>
          <w:rFonts w:cstheme="minorHAnsi"/>
          <w:sz w:val="24"/>
          <w:szCs w:val="24"/>
        </w:rPr>
        <w:t xml:space="preserve">).  </w:t>
      </w:r>
      <w:r w:rsidRPr="00000849">
        <w:rPr>
          <w:rFonts w:cstheme="minorHAnsi"/>
          <w:sz w:val="24"/>
          <w:szCs w:val="24"/>
        </w:rPr>
        <w:t xml:space="preserve">In the </w:t>
      </w:r>
      <w:r w:rsidR="004A4A38" w:rsidRPr="00000849">
        <w:rPr>
          <w:rFonts w:cstheme="minorHAnsi"/>
          <w:sz w:val="24"/>
          <w:szCs w:val="24"/>
        </w:rPr>
        <w:t>multivariable</w:t>
      </w:r>
      <w:r w:rsidRPr="00000849">
        <w:rPr>
          <w:rFonts w:cstheme="minorHAnsi"/>
          <w:sz w:val="24"/>
          <w:szCs w:val="24"/>
        </w:rPr>
        <w:t xml:space="preserve"> model involving 16 studies, </w:t>
      </w:r>
      <w:r w:rsidR="0072755E" w:rsidRPr="00000849">
        <w:rPr>
          <w:rFonts w:cstheme="minorHAnsi"/>
          <w:sz w:val="24"/>
          <w:szCs w:val="24"/>
        </w:rPr>
        <w:t xml:space="preserve">the </w:t>
      </w:r>
      <w:r w:rsidR="00A17DE7" w:rsidRPr="00000849">
        <w:rPr>
          <w:rFonts w:cstheme="minorHAnsi"/>
          <w:sz w:val="24"/>
          <w:szCs w:val="24"/>
        </w:rPr>
        <w:t xml:space="preserve">addition of </w:t>
      </w:r>
      <w:r w:rsidR="0072755E" w:rsidRPr="00000849">
        <w:rPr>
          <w:rFonts w:cstheme="minorHAnsi"/>
          <w:sz w:val="24"/>
          <w:szCs w:val="24"/>
        </w:rPr>
        <w:t>study year</w:t>
      </w:r>
      <w:r w:rsidR="001B4975" w:rsidRPr="00000849">
        <w:rPr>
          <w:rFonts w:cstheme="minorHAnsi"/>
          <w:sz w:val="24"/>
          <w:szCs w:val="24"/>
        </w:rPr>
        <w:t xml:space="preserve"> and</w:t>
      </w:r>
      <w:r w:rsidR="0072755E" w:rsidRPr="00000849">
        <w:rPr>
          <w:rFonts w:cstheme="minorHAnsi"/>
          <w:sz w:val="24"/>
          <w:szCs w:val="24"/>
        </w:rPr>
        <w:t xml:space="preserve"> publication year </w:t>
      </w:r>
      <w:r w:rsidR="00A17DE7" w:rsidRPr="00000849">
        <w:rPr>
          <w:rFonts w:cstheme="minorHAnsi"/>
          <w:sz w:val="24"/>
          <w:szCs w:val="24"/>
        </w:rPr>
        <w:t>increased the explained between-study heterogeneity to 50.0%</w:t>
      </w:r>
      <w:r w:rsidR="0072755E" w:rsidRPr="00000849">
        <w:rPr>
          <w:rFonts w:cstheme="minorHAnsi"/>
          <w:sz w:val="24"/>
          <w:szCs w:val="24"/>
        </w:rPr>
        <w:t xml:space="preserve"> (I</w:t>
      </w:r>
      <w:r w:rsidR="0072755E" w:rsidRPr="00000849">
        <w:rPr>
          <w:rFonts w:cstheme="minorHAnsi"/>
          <w:sz w:val="24"/>
          <w:szCs w:val="24"/>
          <w:vertAlign w:val="superscript"/>
        </w:rPr>
        <w:t>2</w:t>
      </w:r>
      <w:r w:rsidR="0072755E" w:rsidRPr="00000849">
        <w:rPr>
          <w:rFonts w:cstheme="minorHAnsi"/>
          <w:sz w:val="24"/>
          <w:szCs w:val="24"/>
        </w:rPr>
        <w:t xml:space="preserve"> = 87.5%, tau</w:t>
      </w:r>
      <w:r w:rsidR="0072755E" w:rsidRPr="00000849">
        <w:rPr>
          <w:rFonts w:cstheme="minorHAnsi"/>
          <w:sz w:val="24"/>
          <w:szCs w:val="24"/>
          <w:vertAlign w:val="superscript"/>
        </w:rPr>
        <w:t>2</w:t>
      </w:r>
      <w:r w:rsidR="0072755E" w:rsidRPr="00000849">
        <w:rPr>
          <w:rFonts w:cstheme="minorHAnsi"/>
          <w:sz w:val="24"/>
          <w:szCs w:val="24"/>
        </w:rPr>
        <w:t xml:space="preserve"> = 0.008</w:t>
      </w:r>
      <w:r w:rsidR="00A17DE7" w:rsidRPr="00000849">
        <w:rPr>
          <w:rFonts w:cstheme="minorHAnsi"/>
          <w:sz w:val="24"/>
          <w:szCs w:val="24"/>
        </w:rPr>
        <w:t>, p=0.03</w:t>
      </w:r>
      <w:r w:rsidR="0072755E" w:rsidRPr="00000849">
        <w:rPr>
          <w:rFonts w:cstheme="minorHAnsi"/>
          <w:sz w:val="24"/>
          <w:szCs w:val="24"/>
        </w:rPr>
        <w:t>).  The</w:t>
      </w:r>
      <w:r w:rsidR="00FE42D2" w:rsidRPr="00000849">
        <w:rPr>
          <w:rFonts w:cstheme="minorHAnsi"/>
          <w:sz w:val="24"/>
          <w:szCs w:val="24"/>
        </w:rPr>
        <w:t xml:space="preserve"> </w:t>
      </w:r>
      <w:r w:rsidR="0072755E" w:rsidRPr="00000849">
        <w:rPr>
          <w:rFonts w:cstheme="minorHAnsi"/>
          <w:sz w:val="24"/>
          <w:szCs w:val="24"/>
        </w:rPr>
        <w:t xml:space="preserve">prevalence of hypertension </w:t>
      </w:r>
      <w:r w:rsidR="00FE42D2" w:rsidRPr="00000849">
        <w:rPr>
          <w:rFonts w:cstheme="minorHAnsi"/>
          <w:sz w:val="24"/>
          <w:szCs w:val="24"/>
        </w:rPr>
        <w:t xml:space="preserve">increased </w:t>
      </w:r>
      <w:r w:rsidR="0072755E" w:rsidRPr="00000849">
        <w:rPr>
          <w:rFonts w:cstheme="minorHAnsi"/>
          <w:sz w:val="24"/>
          <w:szCs w:val="24"/>
        </w:rPr>
        <w:t xml:space="preserve">with </w:t>
      </w:r>
      <w:r w:rsidR="0018282B" w:rsidRPr="00000849">
        <w:rPr>
          <w:rFonts w:cstheme="minorHAnsi"/>
          <w:sz w:val="24"/>
          <w:szCs w:val="24"/>
        </w:rPr>
        <w:t xml:space="preserve">the </w:t>
      </w:r>
      <w:r w:rsidR="0072755E" w:rsidRPr="00000849">
        <w:rPr>
          <w:rFonts w:cstheme="minorHAnsi"/>
          <w:sz w:val="24"/>
          <w:szCs w:val="24"/>
        </w:rPr>
        <w:t xml:space="preserve">publication </w:t>
      </w:r>
      <w:r w:rsidR="0018282B" w:rsidRPr="00000849">
        <w:rPr>
          <w:rFonts w:cstheme="minorHAnsi"/>
          <w:sz w:val="24"/>
          <w:szCs w:val="24"/>
        </w:rPr>
        <w:t xml:space="preserve">year </w:t>
      </w:r>
      <w:r w:rsidR="0072755E" w:rsidRPr="00000849">
        <w:rPr>
          <w:rFonts w:cstheme="minorHAnsi"/>
          <w:sz w:val="24"/>
          <w:szCs w:val="24"/>
        </w:rPr>
        <w:t xml:space="preserve">and </w:t>
      </w:r>
      <w:r w:rsidR="0018282B" w:rsidRPr="00000849">
        <w:rPr>
          <w:rFonts w:cstheme="minorHAnsi"/>
          <w:sz w:val="24"/>
          <w:szCs w:val="24"/>
        </w:rPr>
        <w:t xml:space="preserve">with </w:t>
      </w:r>
      <w:r w:rsidR="0072755E" w:rsidRPr="00000849">
        <w:rPr>
          <w:rFonts w:cstheme="minorHAnsi"/>
          <w:sz w:val="24"/>
          <w:szCs w:val="24"/>
        </w:rPr>
        <w:t>percentage obesity.</w:t>
      </w:r>
      <w:r w:rsidR="001B4975" w:rsidRPr="00000849">
        <w:rPr>
          <w:rFonts w:cstheme="minorHAnsi"/>
          <w:sz w:val="24"/>
          <w:szCs w:val="24"/>
        </w:rPr>
        <w:t xml:space="preserve"> </w:t>
      </w:r>
    </w:p>
    <w:p w14:paraId="55F53E6B" w14:textId="4C3C1A2F" w:rsidR="00A17DE7" w:rsidRPr="00000849" w:rsidRDefault="00A17DE7" w:rsidP="00C11170">
      <w:pPr>
        <w:spacing w:line="480" w:lineRule="auto"/>
        <w:ind w:firstLine="720"/>
        <w:jc w:val="both"/>
        <w:rPr>
          <w:rFonts w:cstheme="minorHAnsi"/>
          <w:sz w:val="24"/>
          <w:szCs w:val="24"/>
        </w:rPr>
      </w:pPr>
    </w:p>
    <w:p w14:paraId="38C555F1" w14:textId="3C02E44B" w:rsidR="00A17DE7" w:rsidRPr="00000849" w:rsidRDefault="005C5C8E" w:rsidP="004E2350">
      <w:pPr>
        <w:pStyle w:val="Heading3"/>
      </w:pPr>
      <w:bookmarkStart w:id="41" w:name="_Toc51472092"/>
      <w:r w:rsidRPr="00000849">
        <w:t>2.1.</w:t>
      </w:r>
      <w:r w:rsidR="003550BC" w:rsidRPr="00000849">
        <w:t>9</w:t>
      </w:r>
      <w:r w:rsidRPr="00000849">
        <w:tab/>
      </w:r>
      <w:r w:rsidR="00A17DE7" w:rsidRPr="00000849">
        <w:t>Temporal trends in the pooled  prevalence of hypertension</w:t>
      </w:r>
      <w:bookmarkEnd w:id="41"/>
    </w:p>
    <w:p w14:paraId="25D74135" w14:textId="77777777" w:rsidR="005C5C8E" w:rsidRPr="00000849" w:rsidRDefault="005C5C8E" w:rsidP="001D354F">
      <w:pPr>
        <w:keepNext/>
        <w:keepLines/>
        <w:spacing w:line="480" w:lineRule="auto"/>
        <w:ind w:firstLine="720"/>
        <w:jc w:val="both"/>
        <w:rPr>
          <w:rFonts w:cstheme="minorHAnsi"/>
          <w:sz w:val="24"/>
          <w:szCs w:val="24"/>
        </w:rPr>
      </w:pPr>
    </w:p>
    <w:p w14:paraId="33526166" w14:textId="1ED65EA7" w:rsidR="00165137" w:rsidRPr="00000849" w:rsidRDefault="00A17DE7" w:rsidP="001D354F">
      <w:pPr>
        <w:keepNext/>
        <w:keepLines/>
        <w:spacing w:line="480" w:lineRule="auto"/>
        <w:jc w:val="both"/>
        <w:rPr>
          <w:rFonts w:cstheme="minorHAnsi"/>
          <w:sz w:val="24"/>
          <w:szCs w:val="24"/>
        </w:rPr>
      </w:pPr>
      <w:r w:rsidRPr="00000849">
        <w:rPr>
          <w:rFonts w:cstheme="minorHAnsi"/>
          <w:sz w:val="24"/>
          <w:szCs w:val="24"/>
        </w:rPr>
        <w:t>In the univariable meta-regression analysis, the prevalence of hypertension increased with increasing study year and with increasing publication year but the trends were not statistically significant  (Figure</w:t>
      </w:r>
      <w:r w:rsidR="005C5C8E" w:rsidRPr="00000849">
        <w:rPr>
          <w:rFonts w:cstheme="minorHAnsi"/>
          <w:sz w:val="24"/>
          <w:szCs w:val="24"/>
        </w:rPr>
        <w:t>s</w:t>
      </w:r>
      <w:r w:rsidRPr="00000849">
        <w:rPr>
          <w:rFonts w:cstheme="minorHAnsi"/>
          <w:sz w:val="24"/>
          <w:szCs w:val="24"/>
        </w:rPr>
        <w:t xml:space="preserve"> </w:t>
      </w:r>
      <w:r w:rsidR="00702C75" w:rsidRPr="00000849">
        <w:rPr>
          <w:rFonts w:cstheme="minorHAnsi"/>
          <w:sz w:val="24"/>
          <w:szCs w:val="24"/>
        </w:rPr>
        <w:t>4</w:t>
      </w:r>
      <w:r w:rsidR="005C5C8E" w:rsidRPr="00000849">
        <w:rPr>
          <w:rFonts w:cstheme="minorHAnsi"/>
          <w:sz w:val="24"/>
          <w:szCs w:val="24"/>
        </w:rPr>
        <w:t xml:space="preserve"> and </w:t>
      </w:r>
      <w:r w:rsidR="00702C75" w:rsidRPr="00000849">
        <w:rPr>
          <w:rFonts w:cstheme="minorHAnsi"/>
          <w:sz w:val="24"/>
          <w:szCs w:val="24"/>
        </w:rPr>
        <w:t>5</w:t>
      </w:r>
      <w:r w:rsidRPr="00000849">
        <w:rPr>
          <w:rFonts w:cstheme="minorHAnsi"/>
          <w:sz w:val="24"/>
          <w:szCs w:val="24"/>
        </w:rPr>
        <w:t>, Appendix 2 Table A</w:t>
      </w:r>
      <w:r w:rsidR="00466C66" w:rsidRPr="00000849">
        <w:rPr>
          <w:rFonts w:cstheme="minorHAnsi"/>
          <w:sz w:val="24"/>
          <w:szCs w:val="24"/>
        </w:rPr>
        <w:t>4</w:t>
      </w:r>
      <w:r w:rsidRPr="00000849">
        <w:rPr>
          <w:rFonts w:cstheme="minorHAnsi"/>
          <w:sz w:val="24"/>
          <w:szCs w:val="24"/>
        </w:rPr>
        <w:t xml:space="preserve">).  </w:t>
      </w:r>
    </w:p>
    <w:p w14:paraId="40AAF988" w14:textId="77777777" w:rsidR="001D354F" w:rsidRPr="00000849" w:rsidRDefault="001D354F" w:rsidP="005C5C8E">
      <w:pPr>
        <w:spacing w:line="480" w:lineRule="auto"/>
        <w:jc w:val="both"/>
        <w:rPr>
          <w:rFonts w:cstheme="minorHAnsi"/>
          <w:sz w:val="24"/>
          <w:szCs w:val="24"/>
        </w:rPr>
      </w:pPr>
    </w:p>
    <w:p w14:paraId="2B43D565" w14:textId="2456723B" w:rsidR="00A17DE7" w:rsidRPr="00000849" w:rsidRDefault="00A17DE7" w:rsidP="00165137">
      <w:pPr>
        <w:pStyle w:val="TableSAGE1"/>
        <w:keepNext/>
        <w:ind w:left="1276" w:hanging="992"/>
        <w:rPr>
          <w:szCs w:val="24"/>
        </w:rPr>
      </w:pPr>
      <w:bookmarkStart w:id="42" w:name="_Toc71153643"/>
      <w:r w:rsidRPr="00000849">
        <w:rPr>
          <w:szCs w:val="24"/>
        </w:rPr>
        <w:t xml:space="preserve">Figure </w:t>
      </w:r>
      <w:r w:rsidR="001D354F" w:rsidRPr="00000849">
        <w:rPr>
          <w:szCs w:val="24"/>
        </w:rPr>
        <w:fldChar w:fldCharType="begin"/>
      </w:r>
      <w:r w:rsidR="001D354F" w:rsidRPr="00000849">
        <w:rPr>
          <w:szCs w:val="24"/>
        </w:rPr>
        <w:instrText xml:space="preserve"> SEQ Figure \* ARABIC </w:instrText>
      </w:r>
      <w:r w:rsidR="001D354F" w:rsidRPr="00000849">
        <w:rPr>
          <w:szCs w:val="24"/>
        </w:rPr>
        <w:fldChar w:fldCharType="separate"/>
      </w:r>
      <w:r w:rsidR="00C0100F">
        <w:rPr>
          <w:noProof/>
          <w:szCs w:val="24"/>
        </w:rPr>
        <w:t>4</w:t>
      </w:r>
      <w:r w:rsidR="001D354F" w:rsidRPr="00000849">
        <w:rPr>
          <w:szCs w:val="24"/>
        </w:rPr>
        <w:fldChar w:fldCharType="end"/>
      </w:r>
      <w:r w:rsidRPr="00000849">
        <w:rPr>
          <w:szCs w:val="24"/>
        </w:rPr>
        <w:t xml:space="preserve">: </w:t>
      </w:r>
      <w:r w:rsidRPr="00000849">
        <w:t>Meta-regression analysis showing trend in estimated prevalence of hypertension in Africa by study year</w:t>
      </w:r>
      <w:bookmarkEnd w:id="42"/>
      <w:r w:rsidRPr="00000849">
        <w:t xml:space="preserve"> </w:t>
      </w:r>
    </w:p>
    <w:p w14:paraId="645E5211" w14:textId="77777777" w:rsidR="00A17DE7" w:rsidRPr="00000849" w:rsidRDefault="00A17DE7" w:rsidP="00A17DE7">
      <w:pPr>
        <w:spacing w:line="480" w:lineRule="auto"/>
        <w:ind w:firstLine="720"/>
        <w:jc w:val="both"/>
        <w:rPr>
          <w:rFonts w:cstheme="minorHAnsi"/>
          <w:sz w:val="24"/>
          <w:szCs w:val="24"/>
        </w:rPr>
      </w:pPr>
      <w:r w:rsidRPr="00000849">
        <w:rPr>
          <w:rFonts w:cstheme="minorHAnsi"/>
          <w:noProof/>
          <w:sz w:val="24"/>
          <w:szCs w:val="24"/>
        </w:rPr>
        <w:drawing>
          <wp:inline distT="0" distB="0" distL="0" distR="0" wp14:anchorId="575C1B62" wp14:editId="0DB59D24">
            <wp:extent cx="4997450" cy="3668936"/>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3556" cy="3673419"/>
                    </a:xfrm>
                    <a:prstGeom prst="rect">
                      <a:avLst/>
                    </a:prstGeom>
                    <a:noFill/>
                    <a:ln>
                      <a:noFill/>
                    </a:ln>
                  </pic:spPr>
                </pic:pic>
              </a:graphicData>
            </a:graphic>
          </wp:inline>
        </w:drawing>
      </w:r>
    </w:p>
    <w:p w14:paraId="117F2FDE" w14:textId="59969E07" w:rsidR="00A17DE7" w:rsidRPr="00000849" w:rsidRDefault="00A17DE7" w:rsidP="00A17DE7">
      <w:pPr>
        <w:spacing w:line="480" w:lineRule="auto"/>
        <w:ind w:firstLine="720"/>
        <w:jc w:val="both"/>
        <w:rPr>
          <w:rFonts w:cstheme="minorHAnsi"/>
          <w:sz w:val="24"/>
          <w:szCs w:val="24"/>
        </w:rPr>
      </w:pPr>
    </w:p>
    <w:p w14:paraId="0C6DEF66" w14:textId="64551E5D" w:rsidR="00165137" w:rsidRPr="00000849" w:rsidRDefault="00165137" w:rsidP="00165137">
      <w:pPr>
        <w:spacing w:line="480" w:lineRule="auto"/>
        <w:jc w:val="both"/>
        <w:rPr>
          <w:rFonts w:cstheme="minorHAnsi"/>
          <w:sz w:val="24"/>
          <w:szCs w:val="24"/>
        </w:rPr>
      </w:pPr>
      <w:r w:rsidRPr="00000849">
        <w:rPr>
          <w:rFonts w:cstheme="minorHAnsi"/>
          <w:sz w:val="24"/>
          <w:szCs w:val="24"/>
        </w:rPr>
        <w:lastRenderedPageBreak/>
        <w:t>However, in the multivariable model which included the study year, sample size and percentage obesity, the prevalence of hypertension increased with increasing study year (p=0.031) and the publication year (p=0.027).  This finding contrasts with that</w:t>
      </w:r>
      <w:r w:rsidR="003E660C" w:rsidRPr="00000849">
        <w:rPr>
          <w:rFonts w:cstheme="minorHAnsi"/>
          <w:sz w:val="24"/>
          <w:szCs w:val="24"/>
        </w:rPr>
        <w:t xml:space="preserve"> of </w:t>
      </w:r>
      <w:r w:rsidR="003E660C" w:rsidRPr="00000849">
        <w:rPr>
          <w:rFonts w:cstheme="minorHAnsi"/>
          <w:sz w:val="24"/>
          <w:szCs w:val="24"/>
        </w:rPr>
        <w:fldChar w:fldCharType="begin"/>
      </w:r>
      <w:r w:rsidR="003E660C" w:rsidRPr="00000849">
        <w:rPr>
          <w:rFonts w:cstheme="minorHAnsi"/>
          <w:sz w:val="24"/>
          <w:szCs w:val="24"/>
        </w:rPr>
        <w:instrText xml:space="preserve"> ADDIN EN.CITE &lt;EndNote&gt;&lt;Cite AuthorYear="1"&gt;&lt;Author&gt;Kaze&lt;/Author&gt;&lt;Year&gt;2017&lt;/Year&gt;&lt;RecNum&gt;971&lt;/RecNum&gt;&lt;DisplayText&gt;Kaze et al. (2017)&lt;/DisplayText&gt;&lt;record&gt;&lt;rec-number&gt;971&lt;/rec-number&gt;&lt;foreign-keys&gt;&lt;key app="EN" db-id="9tzf2rda8re2a9es5tuxart3swzx2zws2s02" timestamp="1575383663"&gt;971&lt;/key&gt;&lt;/foreign-keys&gt;&lt;ref-type name="Journal Article"&gt;17&lt;/ref-type&gt;&lt;contributors&gt;&lt;authors&gt;&lt;author&gt;Kaze, A. D.&lt;/author&gt;&lt;author&gt;Schutte, A. E.&lt;/author&gt;&lt;author&gt;Erqou, S.&lt;/author&gt;&lt;author&gt;Kengne, A. P.&lt;/author&gt;&lt;author&gt;Echouffo-Tcheugui, J. B.&lt;/author&gt;&lt;/authors&gt;&lt;/contributors&gt;&lt;auth-address&gt;aHarvard T.H. Chan School of Public Health, Boston, Massachusetts, USA bMRC Research Unit for Hypertension and Cardiovascular Disease, Hypertension in Africa Research Team (HART), North-West University, Potchefstroom, South Africa cDepartment of Medicine, University of Pittsburgh, Pittsburgh, Pennsylvania, USA dNon-Communicable Diseases Research Unit, South African Medical Research Council, University of Cape Town, Cape Town, South Africa eBrigham and Women&amp;apos;s Hospital, Harvard Medical School, Boston, Massachusetts, USA.&lt;/auth-address&gt;&lt;titles&gt;&lt;title&gt;Prevalence of hypertension in older people in Africa: a systematic review and meta-analysis&lt;/title&gt;&lt;secondary-title&gt;Journal of Hypertension&lt;/secondary-title&gt;&lt;alt-title&gt;Journal of hypertension&lt;/alt-title&gt;&lt;/titles&gt;&lt;pages&gt;1345-1352&lt;/pages&gt;&lt;volume&gt;35&lt;/volume&gt;&lt;number&gt;7&lt;/number&gt;&lt;edition&gt;2017/03/08&lt;/edition&gt;&lt;dates&gt;&lt;year&gt;2017&lt;/year&gt;&lt;pub-dates&gt;&lt;date&gt;Mar 06&lt;/date&gt;&lt;/pub-dates&gt;&lt;/dates&gt;&lt;isbn&gt;0263-6352&lt;/isbn&gt;&lt;accession-num&gt;28267038&lt;/accession-num&gt;&lt;urls&gt;&lt;/urls&gt;&lt;electronic-resource-num&gt;10.1097/HJH.0000000000001345&lt;/electronic-resource-num&gt;&lt;remote-database-provider&gt;NLM&lt;/remote-database-provider&gt;&lt;language&gt;eng&lt;/language&gt;&lt;/record&gt;&lt;/Cite&gt;&lt;/EndNote&gt;</w:instrText>
      </w:r>
      <w:r w:rsidR="003E660C" w:rsidRPr="00000849">
        <w:rPr>
          <w:rFonts w:cstheme="minorHAnsi"/>
          <w:sz w:val="24"/>
          <w:szCs w:val="24"/>
        </w:rPr>
        <w:fldChar w:fldCharType="separate"/>
      </w:r>
      <w:r w:rsidR="003E660C" w:rsidRPr="00000849">
        <w:rPr>
          <w:rFonts w:cstheme="minorHAnsi"/>
          <w:noProof/>
          <w:sz w:val="24"/>
          <w:szCs w:val="24"/>
        </w:rPr>
        <w:t>Kaze et al. (2017)</w:t>
      </w:r>
      <w:r w:rsidR="003E660C" w:rsidRPr="00000849">
        <w:rPr>
          <w:rFonts w:cstheme="minorHAnsi"/>
          <w:sz w:val="24"/>
          <w:szCs w:val="24"/>
        </w:rPr>
        <w:fldChar w:fldCharType="end"/>
      </w:r>
      <w:r w:rsidR="003E660C" w:rsidRPr="00000849">
        <w:rPr>
          <w:rFonts w:cstheme="minorHAnsi"/>
          <w:sz w:val="24"/>
          <w:szCs w:val="24"/>
        </w:rPr>
        <w:t xml:space="preserve"> </w:t>
      </w:r>
      <w:r w:rsidR="001D1AED" w:rsidRPr="00000849">
        <w:rPr>
          <w:rFonts w:cstheme="minorHAnsi"/>
          <w:sz w:val="24"/>
          <w:szCs w:val="24"/>
        </w:rPr>
        <w:t>in which the prevalence</w:t>
      </w:r>
      <w:r w:rsidRPr="00000849">
        <w:rPr>
          <w:rFonts w:cstheme="minorHAnsi"/>
          <w:sz w:val="24"/>
          <w:szCs w:val="24"/>
        </w:rPr>
        <w:t xml:space="preserve"> of hypertension in older adults in Africa </w:t>
      </w:r>
      <w:r w:rsidR="001D1AED" w:rsidRPr="00000849">
        <w:rPr>
          <w:rFonts w:cstheme="minorHAnsi"/>
          <w:sz w:val="24"/>
          <w:szCs w:val="24"/>
        </w:rPr>
        <w:t xml:space="preserve">did not change </w:t>
      </w:r>
      <w:r w:rsidRPr="00000849">
        <w:rPr>
          <w:rFonts w:cstheme="minorHAnsi"/>
          <w:sz w:val="24"/>
          <w:szCs w:val="24"/>
        </w:rPr>
        <w:t>significant</w:t>
      </w:r>
      <w:r w:rsidR="001D1AED" w:rsidRPr="00000849">
        <w:rPr>
          <w:rFonts w:cstheme="minorHAnsi"/>
          <w:sz w:val="24"/>
          <w:szCs w:val="24"/>
        </w:rPr>
        <w:t xml:space="preserve">ly </w:t>
      </w:r>
      <w:r w:rsidRPr="00000849">
        <w:rPr>
          <w:rFonts w:cstheme="minorHAnsi"/>
          <w:sz w:val="24"/>
          <w:szCs w:val="24"/>
        </w:rPr>
        <w:t xml:space="preserve">over </w:t>
      </w:r>
      <w:r w:rsidR="001D1AED" w:rsidRPr="00000849">
        <w:rPr>
          <w:rFonts w:cstheme="minorHAnsi"/>
          <w:sz w:val="24"/>
          <w:szCs w:val="24"/>
        </w:rPr>
        <w:t>time.</w:t>
      </w:r>
    </w:p>
    <w:p w14:paraId="023966C3" w14:textId="77777777" w:rsidR="00165137" w:rsidRPr="00000849" w:rsidRDefault="00165137" w:rsidP="00A17DE7">
      <w:pPr>
        <w:spacing w:line="480" w:lineRule="auto"/>
        <w:ind w:firstLine="720"/>
        <w:jc w:val="both"/>
        <w:rPr>
          <w:rFonts w:cstheme="minorHAnsi"/>
          <w:sz w:val="24"/>
          <w:szCs w:val="24"/>
        </w:rPr>
      </w:pPr>
    </w:p>
    <w:p w14:paraId="414AB9E4" w14:textId="4883BEBE" w:rsidR="009D3883" w:rsidRPr="00000849" w:rsidRDefault="005C5C8E" w:rsidP="007A2AD0">
      <w:pPr>
        <w:pStyle w:val="TableSAGE1"/>
        <w:keepNext/>
        <w:ind w:left="1276" w:hanging="992"/>
        <w:rPr>
          <w:szCs w:val="24"/>
        </w:rPr>
      </w:pPr>
      <w:bookmarkStart w:id="43" w:name="_Toc71153644"/>
      <w:r w:rsidRPr="00000849">
        <w:rPr>
          <w:szCs w:val="24"/>
        </w:rPr>
        <w:t xml:space="preserve">Figure </w:t>
      </w:r>
      <w:bookmarkStart w:id="44" w:name="_Hlk44993927"/>
      <w:r w:rsidR="001D354F" w:rsidRPr="00000849">
        <w:rPr>
          <w:szCs w:val="24"/>
        </w:rPr>
        <w:fldChar w:fldCharType="begin"/>
      </w:r>
      <w:r w:rsidR="001D354F" w:rsidRPr="00000849">
        <w:rPr>
          <w:szCs w:val="24"/>
        </w:rPr>
        <w:instrText xml:space="preserve"> SEQ Figure \* ARABIC </w:instrText>
      </w:r>
      <w:r w:rsidR="001D354F" w:rsidRPr="00000849">
        <w:rPr>
          <w:szCs w:val="24"/>
        </w:rPr>
        <w:fldChar w:fldCharType="separate"/>
      </w:r>
      <w:r w:rsidR="00C0100F">
        <w:rPr>
          <w:noProof/>
          <w:szCs w:val="24"/>
        </w:rPr>
        <w:t>5</w:t>
      </w:r>
      <w:r w:rsidR="001D354F" w:rsidRPr="00000849">
        <w:rPr>
          <w:szCs w:val="24"/>
        </w:rPr>
        <w:fldChar w:fldCharType="end"/>
      </w:r>
      <w:bookmarkEnd w:id="44"/>
      <w:r w:rsidRPr="00000849">
        <w:rPr>
          <w:szCs w:val="24"/>
        </w:rPr>
        <w:t xml:space="preserve">: </w:t>
      </w:r>
      <w:r w:rsidRPr="00000849">
        <w:t>Meta-regression analysis showing trend in estimated prevalence of hypertension in Africa by publication year</w:t>
      </w:r>
      <w:bookmarkEnd w:id="43"/>
      <w:r w:rsidRPr="00000849">
        <w:t xml:space="preserve"> </w:t>
      </w:r>
    </w:p>
    <w:p w14:paraId="7527F3B1" w14:textId="4555DD9A" w:rsidR="00A17DE7" w:rsidRPr="00000849" w:rsidRDefault="00A17DE7" w:rsidP="00EF06A2">
      <w:pPr>
        <w:spacing w:line="480" w:lineRule="auto"/>
        <w:ind w:firstLine="720"/>
        <w:jc w:val="both"/>
        <w:rPr>
          <w:rFonts w:cstheme="minorHAnsi"/>
          <w:sz w:val="24"/>
          <w:szCs w:val="24"/>
        </w:rPr>
      </w:pPr>
      <w:r w:rsidRPr="00000849">
        <w:rPr>
          <w:rFonts w:cstheme="minorHAnsi"/>
          <w:noProof/>
          <w:sz w:val="24"/>
          <w:szCs w:val="24"/>
        </w:rPr>
        <w:drawing>
          <wp:inline distT="0" distB="0" distL="0" distR="0" wp14:anchorId="3080DA18" wp14:editId="73E578BD">
            <wp:extent cx="5111750" cy="37528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11750" cy="3752850"/>
                    </a:xfrm>
                    <a:prstGeom prst="rect">
                      <a:avLst/>
                    </a:prstGeom>
                    <a:noFill/>
                    <a:ln>
                      <a:noFill/>
                    </a:ln>
                  </pic:spPr>
                </pic:pic>
              </a:graphicData>
            </a:graphic>
          </wp:inline>
        </w:drawing>
      </w:r>
    </w:p>
    <w:p w14:paraId="1FAB5C28" w14:textId="77777777" w:rsidR="00C7396B" w:rsidRPr="00000849" w:rsidRDefault="00C7396B" w:rsidP="00C7396B">
      <w:pPr>
        <w:spacing w:line="480" w:lineRule="auto"/>
        <w:jc w:val="both"/>
        <w:rPr>
          <w:rFonts w:ascii="Arial" w:hAnsi="Arial" w:cs="Arial"/>
        </w:rPr>
      </w:pPr>
    </w:p>
    <w:p w14:paraId="0BFB328A" w14:textId="307ABCAA" w:rsidR="00C7396B" w:rsidRPr="00000849" w:rsidRDefault="00C7396B" w:rsidP="004E2350">
      <w:pPr>
        <w:pStyle w:val="Heading3"/>
      </w:pPr>
      <w:bookmarkStart w:id="45" w:name="_Toc51472093"/>
      <w:r w:rsidRPr="00000849">
        <w:lastRenderedPageBreak/>
        <w:t>2.1.</w:t>
      </w:r>
      <w:r w:rsidR="003550BC" w:rsidRPr="00000849">
        <w:t>10</w:t>
      </w:r>
      <w:r w:rsidRPr="00000849">
        <w:tab/>
        <w:t>Reporting bias</w:t>
      </w:r>
      <w:bookmarkEnd w:id="45"/>
    </w:p>
    <w:p w14:paraId="3ECEA0F7" w14:textId="62674E30" w:rsidR="00C7396B" w:rsidRPr="00000849" w:rsidRDefault="00C7396B" w:rsidP="007A2AD0">
      <w:pPr>
        <w:keepNext/>
        <w:keepLines/>
        <w:spacing w:line="480" w:lineRule="auto"/>
        <w:jc w:val="both"/>
        <w:rPr>
          <w:rFonts w:cstheme="minorHAnsi"/>
          <w:sz w:val="24"/>
          <w:szCs w:val="24"/>
        </w:rPr>
      </w:pPr>
    </w:p>
    <w:p w14:paraId="302F68FF" w14:textId="1F22D230" w:rsidR="00C7396B" w:rsidRPr="00000849" w:rsidRDefault="00C7396B" w:rsidP="007A2AD0">
      <w:pPr>
        <w:keepNext/>
        <w:keepLines/>
        <w:spacing w:line="480" w:lineRule="auto"/>
        <w:jc w:val="both"/>
        <w:rPr>
          <w:rFonts w:cstheme="minorHAnsi"/>
          <w:sz w:val="24"/>
          <w:szCs w:val="24"/>
        </w:rPr>
      </w:pPr>
      <w:r w:rsidRPr="00000849">
        <w:rPr>
          <w:rFonts w:cstheme="minorHAnsi"/>
          <w:sz w:val="24"/>
          <w:szCs w:val="24"/>
        </w:rPr>
        <w:t>The funnel plot of the studies on the prevalence of hypertension show</w:t>
      </w:r>
      <w:r w:rsidR="00C3451C" w:rsidRPr="00000849">
        <w:rPr>
          <w:rFonts w:cstheme="minorHAnsi"/>
          <w:sz w:val="24"/>
          <w:szCs w:val="24"/>
        </w:rPr>
        <w:t>ed</w:t>
      </w:r>
      <w:r w:rsidRPr="00000849">
        <w:rPr>
          <w:rFonts w:cstheme="minorHAnsi"/>
          <w:sz w:val="24"/>
          <w:szCs w:val="24"/>
        </w:rPr>
        <w:t xml:space="preserve"> asymmetry around the </w:t>
      </w:r>
      <w:r w:rsidR="00466C66" w:rsidRPr="00000849">
        <w:rPr>
          <w:rFonts w:cstheme="minorHAnsi"/>
          <w:sz w:val="24"/>
          <w:szCs w:val="24"/>
        </w:rPr>
        <w:t xml:space="preserve">pooled prevalence indicating the absence of evidence of publication bias (Figure </w:t>
      </w:r>
      <w:r w:rsidR="00702C75" w:rsidRPr="00000849">
        <w:rPr>
          <w:rFonts w:cstheme="minorHAnsi"/>
          <w:sz w:val="24"/>
          <w:szCs w:val="24"/>
        </w:rPr>
        <w:t>6</w:t>
      </w:r>
      <w:r w:rsidR="00466C66" w:rsidRPr="00000849">
        <w:rPr>
          <w:rFonts w:cstheme="minorHAnsi"/>
          <w:sz w:val="24"/>
          <w:szCs w:val="24"/>
        </w:rPr>
        <w:t>).  This was confirmed by the Egger’s test which was not statistically significant (p=0.711).</w:t>
      </w:r>
    </w:p>
    <w:p w14:paraId="4F3E1A85" w14:textId="77777777" w:rsidR="00C7396B" w:rsidRPr="00000849" w:rsidRDefault="00C7396B" w:rsidP="00C7396B">
      <w:pPr>
        <w:spacing w:line="480" w:lineRule="auto"/>
        <w:jc w:val="both"/>
        <w:rPr>
          <w:rFonts w:cstheme="minorHAnsi"/>
          <w:sz w:val="24"/>
          <w:szCs w:val="24"/>
        </w:rPr>
      </w:pPr>
    </w:p>
    <w:p w14:paraId="1801EC7D" w14:textId="1647A9DB" w:rsidR="00C7396B" w:rsidRPr="00000849" w:rsidRDefault="00C7396B" w:rsidP="00C7396B">
      <w:pPr>
        <w:pStyle w:val="TableSAGE1"/>
        <w:keepNext/>
        <w:ind w:left="1276" w:hanging="992"/>
        <w:rPr>
          <w:rFonts w:ascii="Arial" w:hAnsi="Arial" w:cs="Arial"/>
        </w:rPr>
      </w:pPr>
      <w:bookmarkStart w:id="46" w:name="_Toc71153645"/>
      <w:r w:rsidRPr="00000849">
        <w:rPr>
          <w:szCs w:val="24"/>
        </w:rPr>
        <w:t xml:space="preserve">Figure </w:t>
      </w:r>
      <w:r w:rsidR="001D354F" w:rsidRPr="00000849">
        <w:rPr>
          <w:szCs w:val="24"/>
        </w:rPr>
        <w:fldChar w:fldCharType="begin"/>
      </w:r>
      <w:r w:rsidR="001D354F" w:rsidRPr="00000849">
        <w:rPr>
          <w:szCs w:val="24"/>
        </w:rPr>
        <w:instrText xml:space="preserve"> SEQ Figure \* ARABIC </w:instrText>
      </w:r>
      <w:r w:rsidR="001D354F" w:rsidRPr="00000849">
        <w:rPr>
          <w:szCs w:val="24"/>
        </w:rPr>
        <w:fldChar w:fldCharType="separate"/>
      </w:r>
      <w:r w:rsidR="00C0100F">
        <w:rPr>
          <w:noProof/>
          <w:szCs w:val="24"/>
        </w:rPr>
        <w:t>6</w:t>
      </w:r>
      <w:r w:rsidR="001D354F" w:rsidRPr="00000849">
        <w:rPr>
          <w:szCs w:val="24"/>
        </w:rPr>
        <w:fldChar w:fldCharType="end"/>
      </w:r>
      <w:r w:rsidRPr="00000849">
        <w:rPr>
          <w:szCs w:val="24"/>
        </w:rPr>
        <w:t xml:space="preserve">: </w:t>
      </w:r>
      <w:r w:rsidRPr="00000849">
        <w:t>Funnel plot of studies reporting prevalence of hypertension in Africa</w:t>
      </w:r>
      <w:bookmarkEnd w:id="46"/>
      <w:r w:rsidRPr="00000849">
        <w:t xml:space="preserve"> </w:t>
      </w:r>
    </w:p>
    <w:p w14:paraId="1CDA3933" w14:textId="77777777" w:rsidR="00C7396B" w:rsidRPr="00000849" w:rsidRDefault="00C7396B" w:rsidP="00C7396B">
      <w:pPr>
        <w:spacing w:line="480" w:lineRule="auto"/>
        <w:jc w:val="both"/>
        <w:rPr>
          <w:rFonts w:ascii="Arial" w:hAnsi="Arial" w:cs="Arial"/>
        </w:rPr>
      </w:pPr>
      <w:r w:rsidRPr="00000849">
        <w:rPr>
          <w:rFonts w:ascii="Arial" w:hAnsi="Arial" w:cs="Arial"/>
          <w:noProof/>
        </w:rPr>
        <w:drawing>
          <wp:inline distT="0" distB="0" distL="0" distR="0" wp14:anchorId="7AD11F6F" wp14:editId="43AFD139">
            <wp:extent cx="5111750" cy="37528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1750" cy="3752850"/>
                    </a:xfrm>
                    <a:prstGeom prst="rect">
                      <a:avLst/>
                    </a:prstGeom>
                    <a:noFill/>
                    <a:ln>
                      <a:noFill/>
                    </a:ln>
                  </pic:spPr>
                </pic:pic>
              </a:graphicData>
            </a:graphic>
          </wp:inline>
        </w:drawing>
      </w:r>
    </w:p>
    <w:p w14:paraId="414B591A" w14:textId="77777777" w:rsidR="00A17DE7" w:rsidRPr="00000849" w:rsidRDefault="00A17DE7" w:rsidP="00EF06A2">
      <w:pPr>
        <w:spacing w:line="480" w:lineRule="auto"/>
        <w:ind w:firstLine="720"/>
        <w:jc w:val="both"/>
        <w:rPr>
          <w:rFonts w:cstheme="minorHAnsi"/>
          <w:sz w:val="24"/>
          <w:szCs w:val="24"/>
        </w:rPr>
      </w:pPr>
    </w:p>
    <w:p w14:paraId="1F30803D" w14:textId="324BDF19" w:rsidR="00F6201C" w:rsidRPr="00000849" w:rsidRDefault="00D92056" w:rsidP="00E513EA">
      <w:pPr>
        <w:pStyle w:val="Heading3"/>
      </w:pPr>
      <w:bookmarkStart w:id="47" w:name="_Toc51472094"/>
      <w:r w:rsidRPr="00000849">
        <w:lastRenderedPageBreak/>
        <w:t>2.1</w:t>
      </w:r>
      <w:r w:rsidR="0072755E" w:rsidRPr="00000849">
        <w:t>.</w:t>
      </w:r>
      <w:r w:rsidR="003550BC" w:rsidRPr="00000849">
        <w:t>11</w:t>
      </w:r>
      <w:r w:rsidR="0072755E" w:rsidRPr="00000849">
        <w:tab/>
      </w:r>
      <w:r w:rsidR="00F6201C" w:rsidRPr="00000849">
        <w:t>Strengths and limitations of the systematic review</w:t>
      </w:r>
      <w:bookmarkEnd w:id="47"/>
    </w:p>
    <w:p w14:paraId="05A27CA2" w14:textId="459401AF" w:rsidR="00F6201C" w:rsidRPr="00000849" w:rsidRDefault="00F6201C" w:rsidP="00000849">
      <w:pPr>
        <w:keepNext/>
        <w:keepLines/>
        <w:spacing w:line="480" w:lineRule="auto"/>
        <w:jc w:val="both"/>
        <w:rPr>
          <w:rFonts w:ascii="Arial" w:hAnsi="Arial" w:cs="Arial"/>
        </w:rPr>
      </w:pPr>
    </w:p>
    <w:p w14:paraId="44CA4583" w14:textId="38AED142" w:rsidR="006375DF" w:rsidRPr="00000849" w:rsidRDefault="00540043" w:rsidP="00000849">
      <w:pPr>
        <w:keepNext/>
        <w:keepLines/>
        <w:spacing w:line="480" w:lineRule="auto"/>
        <w:jc w:val="both"/>
        <w:rPr>
          <w:rFonts w:cstheme="minorHAnsi"/>
          <w:sz w:val="24"/>
          <w:szCs w:val="24"/>
        </w:rPr>
      </w:pPr>
      <w:r w:rsidRPr="00000849">
        <w:rPr>
          <w:rFonts w:cstheme="minorHAnsi"/>
          <w:sz w:val="24"/>
          <w:szCs w:val="24"/>
        </w:rPr>
        <w:t xml:space="preserve">This systematic review has several strengths.  It is the first to be undertaken exclusively among older adults aged </w:t>
      </w:r>
      <w:r w:rsidR="00D35AF6" w:rsidRPr="00000849">
        <w:rPr>
          <w:rFonts w:cstheme="minorHAnsi"/>
          <w:sz w:val="24"/>
          <w:szCs w:val="24"/>
        </w:rPr>
        <w:t>≥</w:t>
      </w:r>
      <w:r w:rsidRPr="00000849">
        <w:rPr>
          <w:rFonts w:cstheme="minorHAnsi"/>
          <w:sz w:val="24"/>
          <w:szCs w:val="24"/>
        </w:rPr>
        <w:t>50 years in Africa</w:t>
      </w:r>
      <w:r w:rsidR="00D35AF6" w:rsidRPr="00000849">
        <w:rPr>
          <w:rFonts w:cstheme="minorHAnsi"/>
          <w:sz w:val="24"/>
          <w:szCs w:val="24"/>
        </w:rPr>
        <w:t xml:space="preserve">.  The search strategy was comprehensive </w:t>
      </w:r>
      <w:r w:rsidR="00976817" w:rsidRPr="00000849">
        <w:rPr>
          <w:rFonts w:cstheme="minorHAnsi"/>
          <w:sz w:val="24"/>
          <w:szCs w:val="24"/>
        </w:rPr>
        <w:t>enough to</w:t>
      </w:r>
      <w:r w:rsidR="00D35AF6" w:rsidRPr="00000849">
        <w:rPr>
          <w:rFonts w:cstheme="minorHAnsi"/>
          <w:sz w:val="24"/>
          <w:szCs w:val="24"/>
        </w:rPr>
        <w:t xml:space="preserve"> capture studies for which hypertension was not the sole or principal objective, studies in multiple languages and multiple study designs.  In line with best practice, the evaluation of studies for inclusion in the analysis and the for the risk of bias was done by two independent reviewers.  </w:t>
      </w:r>
      <w:r w:rsidR="00090820" w:rsidRPr="00000849">
        <w:rPr>
          <w:rFonts w:cstheme="minorHAnsi"/>
          <w:sz w:val="24"/>
          <w:szCs w:val="24"/>
        </w:rPr>
        <w:t>The review used internationally recognized definitions of measures such as hypertension and BMI</w:t>
      </w:r>
      <w:r w:rsidR="00267E20" w:rsidRPr="00000849">
        <w:rPr>
          <w:rFonts w:cstheme="minorHAnsi"/>
          <w:sz w:val="24"/>
          <w:szCs w:val="24"/>
        </w:rPr>
        <w:t xml:space="preserve"> and reporting conformed to international standards </w:t>
      </w:r>
      <w:r w:rsidR="00267E20" w:rsidRPr="00000849">
        <w:rPr>
          <w:rFonts w:cstheme="minorHAnsi"/>
          <w:sz w:val="24"/>
          <w:szCs w:val="24"/>
        </w:rPr>
        <w:fldChar w:fldCharType="begin"/>
      </w:r>
      <w:r w:rsidR="00267E20" w:rsidRPr="00000849">
        <w:rPr>
          <w:rFonts w:cstheme="minorHAnsi"/>
          <w:sz w:val="24"/>
          <w:szCs w:val="24"/>
        </w:rPr>
        <w:instrText xml:space="preserve"> ADDIN EN.CITE &lt;EndNote&gt;&lt;Cite&gt;&lt;Author&gt;Shamseer&lt;/Author&gt;&lt;Year&gt;2015&lt;/Year&gt;&lt;RecNum&gt;455&lt;/RecNum&gt;&lt;DisplayText&gt;(Shamseer et al., 2015)&lt;/DisplayText&gt;&lt;record&gt;&lt;rec-number&gt;455&lt;/rec-number&gt;&lt;foreign-keys&gt;&lt;key app="EN" db-id="9tzf2rda8re2a9es5tuxart3swzx2zws2s02" timestamp="1491787441"&gt;455&lt;/key&gt;&lt;/foreign-keys&gt;&lt;ref-type name="Journal Article"&gt;17&lt;/ref-type&gt;&lt;contributors&gt;&lt;authors&gt;&lt;author&gt;Shamseer, Larissa&lt;/author&gt;&lt;author&gt;Moher, David&lt;/author&gt;&lt;author&gt;Clarke, Mike&lt;/author&gt;&lt;author&gt;Ghersi, Davina&lt;/author&gt;&lt;author&gt;Liberati, Alessandro&lt;/author&gt;&lt;author&gt;Petticrew, Mark&lt;/author&gt;&lt;author&gt;Shekelle, Paul&lt;/author&gt;&lt;author&gt;Stewart, Lesley A&lt;/author&gt;&lt;/authors&gt;&lt;/contributors&gt;&lt;titles&gt;&lt;title&gt;Preferred reporting items for systematic review and meta-analysis protocols (PRISMA-P) 2015: elaboration and explanation&lt;/title&gt;&lt;secondary-title&gt;BMJ&lt;/secondary-title&gt;&lt;/titles&gt;&lt;periodical&gt;&lt;full-title&gt;BMJ&lt;/full-title&gt;&lt;/periodical&gt;&lt;pages&gt;g7647&lt;/pages&gt;&lt;volume&gt;349&lt;/volume&gt;&lt;dates&gt;&lt;year&gt;2015&lt;/year&gt;&lt;/dates&gt;&lt;isbn&gt;1756-1833&lt;/isbn&gt;&lt;urls&gt;&lt;/urls&gt;&lt;/record&gt;&lt;/Cite&gt;&lt;/EndNote&gt;</w:instrText>
      </w:r>
      <w:r w:rsidR="00267E20" w:rsidRPr="00000849">
        <w:rPr>
          <w:rFonts w:cstheme="minorHAnsi"/>
          <w:sz w:val="24"/>
          <w:szCs w:val="24"/>
        </w:rPr>
        <w:fldChar w:fldCharType="separate"/>
      </w:r>
      <w:r w:rsidR="00267E20" w:rsidRPr="00000849">
        <w:rPr>
          <w:rFonts w:cstheme="minorHAnsi"/>
          <w:noProof/>
          <w:sz w:val="24"/>
          <w:szCs w:val="24"/>
        </w:rPr>
        <w:t>(Shamseer et al., 2015)</w:t>
      </w:r>
      <w:r w:rsidR="00267E20" w:rsidRPr="00000849">
        <w:rPr>
          <w:rFonts w:cstheme="minorHAnsi"/>
          <w:sz w:val="24"/>
          <w:szCs w:val="24"/>
        </w:rPr>
        <w:fldChar w:fldCharType="end"/>
      </w:r>
      <w:r w:rsidR="00090820" w:rsidRPr="00000849">
        <w:rPr>
          <w:rFonts w:cstheme="minorHAnsi"/>
          <w:sz w:val="24"/>
          <w:szCs w:val="24"/>
        </w:rPr>
        <w:t xml:space="preserve">.  The data analysis included search for the sources of heterogeneity through sub-group analyses and meta-regression.  </w:t>
      </w:r>
      <w:r w:rsidR="006375DF" w:rsidRPr="00000849">
        <w:rPr>
          <w:rFonts w:cstheme="minorHAnsi"/>
          <w:sz w:val="24"/>
          <w:szCs w:val="24"/>
        </w:rPr>
        <w:t xml:space="preserve">The estimates of the pooled estimate </w:t>
      </w:r>
      <w:r w:rsidR="006942E5" w:rsidRPr="00000849">
        <w:rPr>
          <w:rFonts w:cstheme="minorHAnsi"/>
          <w:sz w:val="24"/>
          <w:szCs w:val="24"/>
        </w:rPr>
        <w:t xml:space="preserve">are </w:t>
      </w:r>
      <w:r w:rsidR="00C3451C" w:rsidRPr="00000849">
        <w:rPr>
          <w:rFonts w:cstheme="minorHAnsi"/>
          <w:sz w:val="24"/>
          <w:szCs w:val="24"/>
        </w:rPr>
        <w:t>robust</w:t>
      </w:r>
      <w:r w:rsidR="006375DF" w:rsidRPr="00000849">
        <w:rPr>
          <w:rFonts w:cstheme="minorHAnsi"/>
          <w:sz w:val="24"/>
          <w:szCs w:val="24"/>
        </w:rPr>
        <w:t xml:space="preserve"> as shown by the sensitivity analysis.  There was no evidence of publication bias and reporting complied with the recommended </w:t>
      </w:r>
      <w:r w:rsidR="005F15F6" w:rsidRPr="00000849">
        <w:rPr>
          <w:rFonts w:cstheme="minorHAnsi"/>
          <w:sz w:val="24"/>
          <w:szCs w:val="24"/>
        </w:rPr>
        <w:t>Preferred Reporting Items for Systematic Reviews and Meta-Analysis (</w:t>
      </w:r>
      <w:r w:rsidR="006375DF" w:rsidRPr="00000849">
        <w:rPr>
          <w:rFonts w:cstheme="minorHAnsi"/>
          <w:sz w:val="24"/>
          <w:szCs w:val="24"/>
        </w:rPr>
        <w:t>PRISMA</w:t>
      </w:r>
      <w:r w:rsidR="005F15F6" w:rsidRPr="00000849">
        <w:rPr>
          <w:rFonts w:cstheme="minorHAnsi"/>
          <w:sz w:val="24"/>
          <w:szCs w:val="24"/>
        </w:rPr>
        <w:t>)</w:t>
      </w:r>
      <w:r w:rsidR="006375DF" w:rsidRPr="00000849">
        <w:rPr>
          <w:rFonts w:cstheme="minorHAnsi"/>
          <w:sz w:val="24"/>
          <w:szCs w:val="24"/>
        </w:rPr>
        <w:t xml:space="preserve"> standards</w:t>
      </w:r>
      <w:r w:rsidR="001D1AED" w:rsidRPr="00000849">
        <w:rPr>
          <w:rFonts w:cstheme="minorHAnsi"/>
          <w:sz w:val="24"/>
          <w:szCs w:val="24"/>
        </w:rPr>
        <w:t>.</w:t>
      </w:r>
      <w:r w:rsidR="006375DF" w:rsidRPr="00000849">
        <w:rPr>
          <w:rFonts w:cstheme="minorHAnsi"/>
          <w:sz w:val="24"/>
          <w:szCs w:val="24"/>
        </w:rPr>
        <w:t xml:space="preserve"> </w:t>
      </w:r>
    </w:p>
    <w:p w14:paraId="51F4581B" w14:textId="27DF8C6E" w:rsidR="00540043" w:rsidRPr="00000849" w:rsidRDefault="00090820" w:rsidP="007A2AD0">
      <w:pPr>
        <w:spacing w:line="480" w:lineRule="auto"/>
        <w:ind w:firstLine="720"/>
        <w:jc w:val="both"/>
        <w:rPr>
          <w:rFonts w:cstheme="minorHAnsi"/>
          <w:sz w:val="24"/>
          <w:szCs w:val="24"/>
        </w:rPr>
      </w:pPr>
      <w:r w:rsidRPr="00000849">
        <w:rPr>
          <w:rFonts w:cstheme="minorHAnsi"/>
          <w:sz w:val="24"/>
          <w:szCs w:val="24"/>
        </w:rPr>
        <w:t xml:space="preserve">The findings were largely consistent with those of </w:t>
      </w:r>
      <w:r w:rsidRPr="00000849">
        <w:rPr>
          <w:rFonts w:cstheme="minorHAnsi"/>
          <w:sz w:val="24"/>
          <w:szCs w:val="24"/>
        </w:rPr>
        <w:fldChar w:fldCharType="begin"/>
      </w:r>
      <w:r w:rsidR="003E660C" w:rsidRPr="00000849">
        <w:rPr>
          <w:rFonts w:cstheme="minorHAnsi"/>
          <w:sz w:val="24"/>
          <w:szCs w:val="24"/>
        </w:rPr>
        <w:instrText xml:space="preserve"> ADDIN EN.CITE &lt;EndNote&gt;&lt;Cite AuthorYear="1"&gt;&lt;Author&gt;Kaze&lt;/Author&gt;&lt;Year&gt;2017&lt;/Year&gt;&lt;RecNum&gt;971&lt;/RecNum&gt;&lt;DisplayText&gt;Kaze et al. (2017)&lt;/DisplayText&gt;&lt;record&gt;&lt;rec-number&gt;971&lt;/rec-number&gt;&lt;foreign-keys&gt;&lt;key app="EN" db-id="9tzf2rda8re2a9es5tuxart3swzx2zws2s02" timestamp="1575383663"&gt;971&lt;/key&gt;&lt;/foreign-keys&gt;&lt;ref-type name="Journal Article"&gt;17&lt;/ref-type&gt;&lt;contributors&gt;&lt;authors&gt;&lt;author&gt;Kaze, A. D.&lt;/author&gt;&lt;author&gt;Schutte, A. E.&lt;/author&gt;&lt;author&gt;Erqou, S.&lt;/author&gt;&lt;author&gt;Kengne, A. P.&lt;/author&gt;&lt;author&gt;Echouffo-Tcheugui, J. B.&lt;/author&gt;&lt;/authors&gt;&lt;/contributors&gt;&lt;auth-address&gt;aHarvard T.H. Chan School of Public Health, Boston, Massachusetts, USA bMRC Research Unit for Hypertension and Cardiovascular Disease, Hypertension in Africa Research Team (HART), North-West University, Potchefstroom, South Africa cDepartment of Medicine, University of Pittsburgh, Pittsburgh, Pennsylvania, USA dNon-Communicable Diseases Research Unit, South African Medical Research Council, University of Cape Town, Cape Town, South Africa eBrigham and Women&amp;apos;s Hospital, Harvard Medical School, Boston, Massachusetts, USA.&lt;/auth-address&gt;&lt;titles&gt;&lt;title&gt;Prevalence of hypertension in older people in Africa: a systematic review and meta-analysis&lt;/title&gt;&lt;secondary-title&gt;Journal of Hypertension&lt;/secondary-title&gt;&lt;alt-title&gt;Journal of hypertension&lt;/alt-title&gt;&lt;/titles&gt;&lt;pages&gt;1345-1352&lt;/pages&gt;&lt;volume&gt;35&lt;/volume&gt;&lt;number&gt;7&lt;/number&gt;&lt;edition&gt;2017/03/08&lt;/edition&gt;&lt;dates&gt;&lt;year&gt;2017&lt;/year&gt;&lt;pub-dates&gt;&lt;date&gt;Mar 06&lt;/date&gt;&lt;/pub-dates&gt;&lt;/dates&gt;&lt;isbn&gt;0263-6352&lt;/isbn&gt;&lt;accession-num&gt;28267038&lt;/accession-num&gt;&lt;urls&gt;&lt;/urls&gt;&lt;electronic-resource-num&gt;10.1097/HJH.0000000000001345&lt;/electronic-resource-num&gt;&lt;remote-database-provider&gt;NLM&lt;/remote-database-provider&gt;&lt;language&gt;eng&lt;/language&gt;&lt;/record&gt;&lt;/Cite&gt;&lt;/EndNote&gt;</w:instrText>
      </w:r>
      <w:r w:rsidRPr="00000849">
        <w:rPr>
          <w:rFonts w:cstheme="minorHAnsi"/>
          <w:sz w:val="24"/>
          <w:szCs w:val="24"/>
        </w:rPr>
        <w:fldChar w:fldCharType="separate"/>
      </w:r>
      <w:r w:rsidR="00645915" w:rsidRPr="00000849">
        <w:rPr>
          <w:rFonts w:cstheme="minorHAnsi"/>
          <w:noProof/>
          <w:sz w:val="24"/>
          <w:szCs w:val="24"/>
        </w:rPr>
        <w:t>Kaze et al. (2017)</w:t>
      </w:r>
      <w:r w:rsidRPr="00000849">
        <w:rPr>
          <w:rFonts w:cstheme="minorHAnsi"/>
          <w:sz w:val="24"/>
          <w:szCs w:val="24"/>
        </w:rPr>
        <w:fldChar w:fldCharType="end"/>
      </w:r>
      <w:r w:rsidRPr="00000849">
        <w:rPr>
          <w:rFonts w:cstheme="minorHAnsi"/>
          <w:sz w:val="24"/>
          <w:szCs w:val="24"/>
        </w:rPr>
        <w:t xml:space="preserve"> </w:t>
      </w:r>
      <w:r w:rsidR="00CD4FE1" w:rsidRPr="00000849">
        <w:rPr>
          <w:rFonts w:cstheme="minorHAnsi"/>
          <w:sz w:val="24"/>
          <w:szCs w:val="24"/>
        </w:rPr>
        <w:t>who also found a high prevalence of hypertension among older adults in Africa</w:t>
      </w:r>
      <w:r w:rsidR="00E805DA" w:rsidRPr="00000849">
        <w:rPr>
          <w:rFonts w:cstheme="minorHAnsi"/>
          <w:sz w:val="24"/>
          <w:szCs w:val="24"/>
        </w:rPr>
        <w:t xml:space="preserve"> which did not differ significantly by sex</w:t>
      </w:r>
      <w:r w:rsidR="00CD4FE1" w:rsidRPr="00000849">
        <w:rPr>
          <w:rFonts w:cstheme="minorHAnsi"/>
          <w:sz w:val="24"/>
          <w:szCs w:val="24"/>
        </w:rPr>
        <w:t xml:space="preserve">. </w:t>
      </w:r>
      <w:r w:rsidRPr="00000849">
        <w:rPr>
          <w:rFonts w:cstheme="minorHAnsi"/>
          <w:sz w:val="24"/>
          <w:szCs w:val="24"/>
        </w:rPr>
        <w:t xml:space="preserve"> </w:t>
      </w:r>
      <w:r w:rsidR="001045FB" w:rsidRPr="00000849">
        <w:rPr>
          <w:rFonts w:cstheme="minorHAnsi"/>
          <w:sz w:val="24"/>
          <w:szCs w:val="24"/>
        </w:rPr>
        <w:t>U</w:t>
      </w:r>
      <w:r w:rsidR="00E805DA" w:rsidRPr="00000849">
        <w:rPr>
          <w:rFonts w:cstheme="minorHAnsi"/>
          <w:sz w:val="24"/>
          <w:szCs w:val="24"/>
        </w:rPr>
        <w:t>nlike them, the currently analysis showed an increasing trend of hypertension</w:t>
      </w:r>
      <w:r w:rsidR="00C11170" w:rsidRPr="00000849">
        <w:rPr>
          <w:rFonts w:cstheme="minorHAnsi"/>
          <w:sz w:val="24"/>
          <w:szCs w:val="24"/>
        </w:rPr>
        <w:t xml:space="preserve"> which calls for urgent regional attention to the cardiovascular health of older persons</w:t>
      </w:r>
      <w:r w:rsidR="00E805DA" w:rsidRPr="00000849">
        <w:rPr>
          <w:rFonts w:cstheme="minorHAnsi"/>
          <w:sz w:val="24"/>
          <w:szCs w:val="24"/>
        </w:rPr>
        <w:t xml:space="preserve">. </w:t>
      </w:r>
      <w:r w:rsidR="00C11170" w:rsidRPr="00000849">
        <w:rPr>
          <w:rFonts w:cstheme="minorHAnsi"/>
          <w:sz w:val="24"/>
          <w:szCs w:val="24"/>
        </w:rPr>
        <w:t xml:space="preserve"> </w:t>
      </w:r>
    </w:p>
    <w:p w14:paraId="7BF8F349" w14:textId="63D71995" w:rsidR="007A6CF3" w:rsidRPr="00000849" w:rsidRDefault="007A6CF3" w:rsidP="005C6B8F">
      <w:pPr>
        <w:spacing w:line="480" w:lineRule="auto"/>
        <w:ind w:firstLine="720"/>
        <w:jc w:val="both"/>
        <w:rPr>
          <w:rFonts w:cstheme="minorHAnsi"/>
          <w:sz w:val="24"/>
          <w:szCs w:val="24"/>
        </w:rPr>
      </w:pPr>
      <w:r w:rsidRPr="00000849">
        <w:rPr>
          <w:rFonts w:cstheme="minorHAnsi"/>
          <w:sz w:val="24"/>
          <w:szCs w:val="24"/>
        </w:rPr>
        <w:t xml:space="preserve">The main limitation of the </w:t>
      </w:r>
      <w:r w:rsidR="005C6B8F" w:rsidRPr="00000849">
        <w:rPr>
          <w:rFonts w:cstheme="minorHAnsi"/>
          <w:sz w:val="24"/>
          <w:szCs w:val="24"/>
        </w:rPr>
        <w:t>current review</w:t>
      </w:r>
      <w:r w:rsidRPr="00000849">
        <w:rPr>
          <w:rFonts w:cstheme="minorHAnsi"/>
          <w:sz w:val="24"/>
          <w:szCs w:val="24"/>
        </w:rPr>
        <w:t xml:space="preserve"> is the </w:t>
      </w:r>
      <w:bookmarkStart w:id="48" w:name="_Hlk164978"/>
      <w:r w:rsidRPr="00000849">
        <w:rPr>
          <w:rFonts w:cstheme="minorHAnsi"/>
          <w:sz w:val="24"/>
          <w:szCs w:val="24"/>
        </w:rPr>
        <w:t xml:space="preserve">substantial heterogeneity which raises </w:t>
      </w:r>
      <w:r w:rsidR="005C6B8F" w:rsidRPr="00000849">
        <w:rPr>
          <w:rFonts w:cstheme="minorHAnsi"/>
          <w:sz w:val="24"/>
          <w:szCs w:val="24"/>
        </w:rPr>
        <w:t>the meaningfulness of the meta-analysis</w:t>
      </w:r>
      <w:r w:rsidR="00267E20" w:rsidRPr="00000849">
        <w:rPr>
          <w:rFonts w:cstheme="minorHAnsi"/>
          <w:sz w:val="24"/>
          <w:szCs w:val="24"/>
        </w:rPr>
        <w:t xml:space="preserve"> into question</w:t>
      </w:r>
      <w:r w:rsidR="005C6B8F" w:rsidRPr="00000849">
        <w:rPr>
          <w:rFonts w:cstheme="minorHAnsi"/>
          <w:sz w:val="24"/>
          <w:szCs w:val="24"/>
        </w:rPr>
        <w:t xml:space="preserve">.  </w:t>
      </w:r>
      <w:r w:rsidR="00267E20" w:rsidRPr="00000849">
        <w:rPr>
          <w:rFonts w:cstheme="minorHAnsi"/>
          <w:sz w:val="24"/>
          <w:szCs w:val="24"/>
        </w:rPr>
        <w:t>T</w:t>
      </w:r>
      <w:r w:rsidR="005C6B8F" w:rsidRPr="00000849">
        <w:rPr>
          <w:rFonts w:cstheme="minorHAnsi"/>
          <w:sz w:val="24"/>
          <w:szCs w:val="24"/>
        </w:rPr>
        <w:t>he findings should</w:t>
      </w:r>
      <w:r w:rsidR="00267E20" w:rsidRPr="00000849">
        <w:rPr>
          <w:rFonts w:cstheme="minorHAnsi"/>
          <w:sz w:val="24"/>
          <w:szCs w:val="24"/>
        </w:rPr>
        <w:t>, therefore,</w:t>
      </w:r>
      <w:r w:rsidR="005C6B8F" w:rsidRPr="00000849">
        <w:rPr>
          <w:rFonts w:cstheme="minorHAnsi"/>
          <w:sz w:val="24"/>
          <w:szCs w:val="24"/>
        </w:rPr>
        <w:t xml:space="preserve"> be interpreted with caution.  The standard tools </w:t>
      </w:r>
      <w:r w:rsidR="005C6B8F" w:rsidRPr="00000849">
        <w:rPr>
          <w:rFonts w:cstheme="minorHAnsi"/>
          <w:sz w:val="24"/>
          <w:szCs w:val="24"/>
        </w:rPr>
        <w:fldChar w:fldCharType="begin"/>
      </w:r>
      <w:r w:rsidR="00431DA0" w:rsidRPr="00000849">
        <w:rPr>
          <w:rFonts w:cstheme="minorHAnsi"/>
          <w:sz w:val="24"/>
          <w:szCs w:val="24"/>
        </w:rPr>
        <w:instrText xml:space="preserve"> ADDIN EN.CITE &lt;EndNote&gt;&lt;Cite&gt;&lt;Author&gt;Schroll&lt;/Author&gt;&lt;Year&gt;2011&lt;/Year&gt;&lt;RecNum&gt;482&lt;/RecNum&gt;&lt;DisplayText&gt;(Schroll et al., 2011)&lt;/DisplayText&gt;&lt;record&gt;&lt;rec-number&gt;482&lt;/rec-number&gt;&lt;foreign-keys&gt;&lt;key app="EN" db-id="pzfw02x58peadyevdp8vswt40etp25t5ddp0" timestamp="1566046900"&gt;482&lt;/key&gt;&lt;/foreign-keys&gt;&lt;ref-type name="Journal Article"&gt;17&lt;/ref-type&gt;&lt;contributors&gt;&lt;authors&gt;&lt;author&gt;Schroll, Jeppe B.&lt;/author&gt;&lt;author&gt;Moustgaard, Rasmus&lt;/author&gt;&lt;author&gt;Gøtzsche, Peter C.&lt;/author&gt;&lt;/authors&gt;&lt;/contributors&gt;&lt;titles&gt;&lt;title&gt;Dealing with substantial heterogeneity in Cochrane reviews. Cross-sectional study&lt;/title&gt;&lt;secondary-title&gt;BMC medical research methodology&lt;/secondary-title&gt;&lt;alt-title&gt;BMC Med Res Methodol&lt;/alt-title&gt;&lt;/titles&gt;&lt;periodical&gt;&lt;full-title&gt;BMC medical research methodology&lt;/full-title&gt;&lt;abbr-1&gt;BMC Med Res Methodol&lt;/abbr-1&gt;&lt;/periodical&gt;&lt;alt-periodical&gt;&lt;full-title&gt;BMC medical research methodology&lt;/full-title&gt;&lt;abbr-1&gt;BMC Med Res Methodol&lt;/abbr-1&gt;&lt;/alt-periodical&gt;&lt;pages&gt;22-22&lt;/pages&gt;&lt;volume&gt;11&lt;/volume&gt;&lt;keywords&gt;&lt;keyword&gt;*Cross-Sectional Studies&lt;/keyword&gt;&lt;keyword&gt;Data Interpretation, Statistical&lt;/keyword&gt;&lt;keyword&gt;Databases, Factual&lt;/keyword&gt;&lt;keyword&gt;Humans&lt;/keyword&gt;&lt;keyword&gt;*Meta-Analysis as Topic&lt;/keyword&gt;&lt;keyword&gt;Models, Statistical&lt;/keyword&gt;&lt;keyword&gt;Research Design&lt;/keyword&gt;&lt;/keywords&gt;&lt;dates&gt;&lt;year&gt;2011&lt;/year&gt;&lt;/dates&gt;&lt;publisher&gt;BioMed Central&lt;/publisher&gt;&lt;isbn&gt;1471-2288&lt;/isbn&gt;&lt;accession-num&gt;21349195&lt;/accession-num&gt;&lt;urls&gt;&lt;related-urls&gt;&lt;url&gt;https://www.ncbi.nlm.nih.gov/pubmed/21349195&lt;/url&gt;&lt;url&gt;https://www.ncbi.nlm.nih.gov/pmc/articles/PMC3056846/&lt;/url&gt;&lt;/related-urls&gt;&lt;/urls&gt;&lt;electronic-resource-num&gt;10.1186/1471-2288-11-22&lt;/electronic-resource-num&gt;&lt;remote-database-name&gt;PubMed&lt;/remote-database-name&gt;&lt;language&gt;eng&lt;/language&gt;&lt;/record&gt;&lt;/Cite&gt;&lt;/EndNote&gt;</w:instrText>
      </w:r>
      <w:r w:rsidR="005C6B8F" w:rsidRPr="00000849">
        <w:rPr>
          <w:rFonts w:cstheme="minorHAnsi"/>
          <w:sz w:val="24"/>
          <w:szCs w:val="24"/>
        </w:rPr>
        <w:fldChar w:fldCharType="separate"/>
      </w:r>
      <w:r w:rsidR="00431DA0" w:rsidRPr="00000849">
        <w:rPr>
          <w:rFonts w:cstheme="minorHAnsi"/>
          <w:noProof/>
          <w:sz w:val="24"/>
          <w:szCs w:val="24"/>
        </w:rPr>
        <w:t xml:space="preserve">(Schroll et al., </w:t>
      </w:r>
      <w:r w:rsidR="00431DA0" w:rsidRPr="00000849">
        <w:rPr>
          <w:rFonts w:cstheme="minorHAnsi"/>
          <w:noProof/>
          <w:sz w:val="24"/>
          <w:szCs w:val="24"/>
        </w:rPr>
        <w:lastRenderedPageBreak/>
        <w:t>2011)</w:t>
      </w:r>
      <w:r w:rsidR="005C6B8F" w:rsidRPr="00000849">
        <w:rPr>
          <w:rFonts w:cstheme="minorHAnsi"/>
          <w:sz w:val="24"/>
          <w:szCs w:val="24"/>
        </w:rPr>
        <w:fldChar w:fldCharType="end"/>
      </w:r>
      <w:r w:rsidR="005C6B8F" w:rsidRPr="00000849">
        <w:rPr>
          <w:rFonts w:cstheme="minorHAnsi"/>
          <w:sz w:val="24"/>
          <w:szCs w:val="24"/>
        </w:rPr>
        <w:t xml:space="preserve"> to deal with heterogeneity were partially successful in identifying some of the variables contributing to it.  Several other meta-analyses of studies on hypertension report similar</w:t>
      </w:r>
      <w:r w:rsidR="009A652B" w:rsidRPr="00000849">
        <w:rPr>
          <w:rFonts w:cstheme="minorHAnsi"/>
          <w:sz w:val="24"/>
          <w:szCs w:val="24"/>
        </w:rPr>
        <w:t xml:space="preserve"> or higher</w:t>
      </w:r>
      <w:r w:rsidR="005C6B8F" w:rsidRPr="00000849">
        <w:rPr>
          <w:rFonts w:cstheme="minorHAnsi"/>
          <w:sz w:val="24"/>
          <w:szCs w:val="24"/>
        </w:rPr>
        <w:t xml:space="preserve"> I</w:t>
      </w:r>
      <w:r w:rsidR="005C6B8F" w:rsidRPr="00000849">
        <w:rPr>
          <w:rFonts w:cstheme="minorHAnsi"/>
          <w:sz w:val="24"/>
          <w:szCs w:val="24"/>
          <w:vertAlign w:val="superscript"/>
        </w:rPr>
        <w:t>2</w:t>
      </w:r>
      <w:r w:rsidR="005C6B8F" w:rsidRPr="00000849">
        <w:rPr>
          <w:rFonts w:cstheme="minorHAnsi"/>
          <w:sz w:val="24"/>
          <w:szCs w:val="24"/>
        </w:rPr>
        <w:t xml:space="preserve"> statistic ≥96%</w:t>
      </w:r>
      <w:r w:rsidR="00E273ED" w:rsidRPr="00000849">
        <w:rPr>
          <w:rFonts w:cstheme="minorHAnsi"/>
          <w:sz w:val="24"/>
          <w:szCs w:val="24"/>
        </w:rPr>
        <w:t>-100%</w:t>
      </w:r>
      <w:r w:rsidR="005C6B8F" w:rsidRPr="00000849">
        <w:rPr>
          <w:rFonts w:cstheme="minorHAnsi"/>
          <w:sz w:val="24"/>
          <w:szCs w:val="24"/>
        </w:rPr>
        <w:t xml:space="preserve"> which reflects differences in the study population, settings, measurement methods and study design </w:t>
      </w:r>
      <w:r w:rsidR="005C6B8F" w:rsidRPr="00000849">
        <w:rPr>
          <w:rFonts w:cstheme="minorHAnsi"/>
          <w:sz w:val="24"/>
          <w:szCs w:val="24"/>
        </w:rPr>
        <w:fldChar w:fldCharType="begin">
          <w:fldData xml:space="preserve">PEVuZE5vdGU+PENpdGU+PEF1dGhvcj5BdGFrbHRlPC9BdXRob3I+PFllYXI+MjAxNTwvWWVhcj48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</w:fldData>
        </w:fldChar>
      </w:r>
      <w:r w:rsidR="00000849" w:rsidRPr="00000849">
        <w:rPr>
          <w:rFonts w:cstheme="minorHAnsi"/>
          <w:sz w:val="24"/>
          <w:szCs w:val="24"/>
        </w:rPr>
        <w:instrText xml:space="preserve"> ADDIN EN.CITE </w:instrText>
      </w:r>
      <w:r w:rsidR="00000849" w:rsidRPr="00000849">
        <w:rPr>
          <w:rFonts w:cstheme="minorHAnsi"/>
          <w:sz w:val="24"/>
          <w:szCs w:val="24"/>
        </w:rPr>
        <w:fldChar w:fldCharType="begin">
          <w:fldData xml:space="preserve">PEVuZE5vdGU+PENpdGU+PEF1dGhvcj5BdGFrbHRlPC9BdXRob3I+PFllYXI+MjAxNTwvWWVhcj48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</w:fldData>
        </w:fldChar>
      </w:r>
      <w:r w:rsidR="00000849" w:rsidRPr="00000849">
        <w:rPr>
          <w:rFonts w:cstheme="minorHAnsi"/>
          <w:sz w:val="24"/>
          <w:szCs w:val="24"/>
        </w:rPr>
        <w:instrText xml:space="preserve"> ADDIN EN.CITE.DATA </w:instrText>
      </w:r>
      <w:r w:rsidR="00000849" w:rsidRPr="00000849">
        <w:rPr>
          <w:rFonts w:cstheme="minorHAnsi"/>
          <w:sz w:val="24"/>
          <w:szCs w:val="24"/>
        </w:rPr>
      </w:r>
      <w:r w:rsidR="00000849" w:rsidRPr="00000849">
        <w:rPr>
          <w:rFonts w:cstheme="minorHAnsi"/>
          <w:sz w:val="24"/>
          <w:szCs w:val="24"/>
        </w:rPr>
        <w:fldChar w:fldCharType="end"/>
      </w:r>
      <w:r w:rsidR="005C6B8F" w:rsidRPr="00000849">
        <w:rPr>
          <w:rFonts w:cstheme="minorHAnsi"/>
          <w:sz w:val="24"/>
          <w:szCs w:val="24"/>
        </w:rPr>
      </w:r>
      <w:r w:rsidR="005C6B8F" w:rsidRPr="00000849">
        <w:rPr>
          <w:rFonts w:cstheme="minorHAnsi"/>
          <w:sz w:val="24"/>
          <w:szCs w:val="24"/>
        </w:rPr>
        <w:fldChar w:fldCharType="separate"/>
      </w:r>
      <w:r w:rsidR="00000849" w:rsidRPr="00000849">
        <w:rPr>
          <w:rFonts w:cstheme="minorHAnsi"/>
          <w:noProof/>
          <w:sz w:val="24"/>
          <w:szCs w:val="24"/>
        </w:rPr>
        <w:t>(Ataklte et al., 2015; Callender et al., 2014; Dakum et al., 2019; Ezejimofor et al., 2018; Kaze et al., 2017)</w:t>
      </w:r>
      <w:r w:rsidR="005C6B8F" w:rsidRPr="00000849">
        <w:rPr>
          <w:rFonts w:cstheme="minorHAnsi"/>
          <w:sz w:val="24"/>
          <w:szCs w:val="24"/>
        </w:rPr>
        <w:fldChar w:fldCharType="end"/>
      </w:r>
      <w:r w:rsidR="005C6B8F" w:rsidRPr="00000849">
        <w:rPr>
          <w:rFonts w:cstheme="minorHAnsi"/>
          <w:sz w:val="24"/>
          <w:szCs w:val="24"/>
        </w:rPr>
        <w:t xml:space="preserve">.  </w:t>
      </w:r>
    </w:p>
    <w:p w14:paraId="57EE285D" w14:textId="15526146" w:rsidR="00FF1188" w:rsidRPr="00000849" w:rsidRDefault="00C3451C" w:rsidP="00C11170">
      <w:pPr>
        <w:spacing w:line="480" w:lineRule="auto"/>
        <w:ind w:firstLine="720"/>
        <w:jc w:val="both"/>
        <w:rPr>
          <w:rFonts w:cstheme="minorHAnsi"/>
          <w:sz w:val="24"/>
          <w:szCs w:val="24"/>
        </w:rPr>
      </w:pPr>
      <w:r w:rsidRPr="00000849">
        <w:rPr>
          <w:rFonts w:cstheme="minorHAnsi"/>
          <w:sz w:val="24"/>
          <w:szCs w:val="24"/>
        </w:rPr>
        <w:t>Som</w:t>
      </w:r>
      <w:r w:rsidR="00FF1188" w:rsidRPr="00000849">
        <w:rPr>
          <w:rFonts w:cstheme="minorHAnsi"/>
          <w:sz w:val="24"/>
          <w:szCs w:val="24"/>
        </w:rPr>
        <w:t>e included studies were considered to have a high risk of bias but sub-group meta-analysis showed that the</w:t>
      </w:r>
      <w:r w:rsidR="00712E5C" w:rsidRPr="00000849">
        <w:rPr>
          <w:rFonts w:cstheme="minorHAnsi"/>
          <w:sz w:val="24"/>
          <w:szCs w:val="24"/>
        </w:rPr>
        <w:t>ir</w:t>
      </w:r>
      <w:r w:rsidR="00FF1188" w:rsidRPr="00000849">
        <w:rPr>
          <w:rFonts w:cstheme="minorHAnsi"/>
          <w:sz w:val="24"/>
          <w:szCs w:val="24"/>
        </w:rPr>
        <w:t xml:space="preserve"> exclusion had little effect on the pooled estimate of hypertension.  </w:t>
      </w:r>
      <w:r w:rsidR="00C11170" w:rsidRPr="00000849">
        <w:rPr>
          <w:rFonts w:cstheme="minorHAnsi"/>
          <w:sz w:val="24"/>
          <w:szCs w:val="24"/>
        </w:rPr>
        <w:t xml:space="preserve">Sensitivity analysis using leave-one-study-approach identified three studies with statistically significant influence on the pooled estimate but the magnitude of the effect of up to 2.5% </w:t>
      </w:r>
      <w:r w:rsidR="00267E20" w:rsidRPr="00000849">
        <w:rPr>
          <w:rFonts w:cstheme="minorHAnsi"/>
          <w:sz w:val="24"/>
          <w:szCs w:val="24"/>
        </w:rPr>
        <w:t xml:space="preserve">is </w:t>
      </w:r>
      <w:r w:rsidR="00C11170" w:rsidRPr="00000849">
        <w:rPr>
          <w:rFonts w:cstheme="minorHAnsi"/>
          <w:sz w:val="24"/>
          <w:szCs w:val="24"/>
        </w:rPr>
        <w:t xml:space="preserve">probably </w:t>
      </w:r>
      <w:r w:rsidR="00267E20" w:rsidRPr="00000849">
        <w:rPr>
          <w:rFonts w:cstheme="minorHAnsi"/>
          <w:sz w:val="24"/>
          <w:szCs w:val="24"/>
        </w:rPr>
        <w:t xml:space="preserve">of </w:t>
      </w:r>
      <w:r w:rsidR="00C11170" w:rsidRPr="00000849">
        <w:rPr>
          <w:rFonts w:cstheme="minorHAnsi"/>
          <w:sz w:val="24"/>
          <w:szCs w:val="24"/>
        </w:rPr>
        <w:t>little clinical value in a population in whom 57.0% were estimated to have hypertension.</w:t>
      </w:r>
    </w:p>
    <w:p w14:paraId="57B13544" w14:textId="307961B1" w:rsidR="007A6CF3" w:rsidRPr="00000849" w:rsidRDefault="005E39BC" w:rsidP="00E40209">
      <w:pPr>
        <w:spacing w:line="480" w:lineRule="auto"/>
        <w:ind w:firstLine="720"/>
        <w:jc w:val="both"/>
        <w:rPr>
          <w:rFonts w:cstheme="minorHAnsi"/>
          <w:sz w:val="24"/>
          <w:szCs w:val="24"/>
        </w:rPr>
      </w:pPr>
      <w:r w:rsidRPr="00000849">
        <w:rPr>
          <w:rFonts w:cstheme="minorHAnsi"/>
          <w:sz w:val="24"/>
          <w:szCs w:val="24"/>
        </w:rPr>
        <w:t xml:space="preserve">The review enabled </w:t>
      </w:r>
      <w:r w:rsidR="001045FB" w:rsidRPr="00000849">
        <w:rPr>
          <w:rFonts w:cstheme="minorHAnsi"/>
          <w:sz w:val="24"/>
          <w:szCs w:val="24"/>
        </w:rPr>
        <w:t>some</w:t>
      </w:r>
      <w:r w:rsidRPr="00000849">
        <w:rPr>
          <w:rFonts w:cstheme="minorHAnsi"/>
          <w:sz w:val="24"/>
          <w:szCs w:val="24"/>
        </w:rPr>
        <w:t xml:space="preserve"> knowledge gaps to be identified.  </w:t>
      </w:r>
      <w:r w:rsidR="00C11170" w:rsidRPr="00000849">
        <w:rPr>
          <w:rFonts w:cstheme="minorHAnsi"/>
          <w:sz w:val="24"/>
          <w:szCs w:val="24"/>
        </w:rPr>
        <w:t xml:space="preserve">Information on several variables were missing from the different studies included in the review.  </w:t>
      </w:r>
      <w:r w:rsidR="001045FB" w:rsidRPr="00000849">
        <w:rPr>
          <w:rFonts w:cstheme="minorHAnsi"/>
          <w:sz w:val="24"/>
          <w:szCs w:val="24"/>
        </w:rPr>
        <w:t>Future</w:t>
      </w:r>
      <w:r w:rsidR="00FF1188" w:rsidRPr="00000849">
        <w:rPr>
          <w:rFonts w:cstheme="minorHAnsi"/>
          <w:sz w:val="24"/>
          <w:szCs w:val="24"/>
        </w:rPr>
        <w:t xml:space="preserve"> longitudinal studies in older adults may </w:t>
      </w:r>
      <w:r w:rsidR="00C11170" w:rsidRPr="00000849">
        <w:rPr>
          <w:rFonts w:cstheme="minorHAnsi"/>
          <w:sz w:val="24"/>
          <w:szCs w:val="24"/>
        </w:rPr>
        <w:t xml:space="preserve">allow more complete information to be collected, </w:t>
      </w:r>
      <w:r w:rsidR="00FF1188" w:rsidRPr="00000849">
        <w:rPr>
          <w:rFonts w:cstheme="minorHAnsi"/>
          <w:sz w:val="24"/>
          <w:szCs w:val="24"/>
        </w:rPr>
        <w:t xml:space="preserve">reduce some of biases </w:t>
      </w:r>
      <w:r w:rsidR="00E40209" w:rsidRPr="00000849">
        <w:rPr>
          <w:rFonts w:cstheme="minorHAnsi"/>
          <w:sz w:val="24"/>
          <w:szCs w:val="24"/>
        </w:rPr>
        <w:t>identified and allow better assessment of t</w:t>
      </w:r>
      <w:r w:rsidR="00FF1188" w:rsidRPr="00000849">
        <w:rPr>
          <w:rFonts w:cstheme="minorHAnsi"/>
          <w:sz w:val="24"/>
          <w:szCs w:val="24"/>
        </w:rPr>
        <w:t>he trends in the prevalence of hypertension</w:t>
      </w:r>
      <w:r w:rsidR="00E40209" w:rsidRPr="00000849">
        <w:rPr>
          <w:rFonts w:cstheme="minorHAnsi"/>
          <w:sz w:val="24"/>
          <w:szCs w:val="24"/>
        </w:rPr>
        <w:t>.</w:t>
      </w:r>
    </w:p>
    <w:p w14:paraId="4FF53AAA" w14:textId="71BDAF4E" w:rsidR="007A6CF3" w:rsidRPr="00000849" w:rsidRDefault="00350803" w:rsidP="00587BFC">
      <w:pPr>
        <w:tabs>
          <w:tab w:val="left" w:pos="1985"/>
        </w:tabs>
        <w:spacing w:line="480" w:lineRule="auto"/>
        <w:ind w:firstLine="720"/>
        <w:jc w:val="both"/>
        <w:rPr>
          <w:rFonts w:cstheme="minorHAnsi"/>
          <w:sz w:val="24"/>
          <w:szCs w:val="24"/>
        </w:rPr>
      </w:pPr>
      <w:r w:rsidRPr="00000849">
        <w:rPr>
          <w:rFonts w:cstheme="minorHAnsi"/>
          <w:sz w:val="24"/>
          <w:szCs w:val="24"/>
        </w:rPr>
        <w:t xml:space="preserve">Except for one study, all the </w:t>
      </w:r>
      <w:bookmarkEnd w:id="48"/>
      <w:r w:rsidR="007A6CF3" w:rsidRPr="00000849">
        <w:rPr>
          <w:rFonts w:cstheme="minorHAnsi"/>
          <w:sz w:val="24"/>
          <w:szCs w:val="24"/>
        </w:rPr>
        <w:t xml:space="preserve">studies </w:t>
      </w:r>
      <w:r w:rsidRPr="00000849">
        <w:rPr>
          <w:rFonts w:cstheme="minorHAnsi"/>
          <w:sz w:val="24"/>
          <w:szCs w:val="24"/>
        </w:rPr>
        <w:t xml:space="preserve">analysed in this review measured blood pressure at a </w:t>
      </w:r>
      <w:r w:rsidR="007A6CF3" w:rsidRPr="00000849">
        <w:rPr>
          <w:rFonts w:cstheme="minorHAnsi"/>
          <w:sz w:val="24"/>
          <w:szCs w:val="24"/>
        </w:rPr>
        <w:t>single visit blood pressure, an</w:t>
      </w:r>
      <w:r w:rsidRPr="00000849">
        <w:rPr>
          <w:rFonts w:cstheme="minorHAnsi"/>
          <w:sz w:val="24"/>
          <w:szCs w:val="24"/>
        </w:rPr>
        <w:t xml:space="preserve"> approach that tends to</w:t>
      </w:r>
      <w:r w:rsidR="007A6CF3" w:rsidRPr="00000849">
        <w:rPr>
          <w:rFonts w:cstheme="minorHAnsi"/>
          <w:sz w:val="24"/>
          <w:szCs w:val="24"/>
        </w:rPr>
        <w:t xml:space="preserve"> overestimate the true prevalence of hypertension</w:t>
      </w:r>
      <w:r w:rsidRPr="00000849">
        <w:rPr>
          <w:rFonts w:cstheme="minorHAnsi"/>
          <w:sz w:val="24"/>
          <w:szCs w:val="24"/>
        </w:rPr>
        <w:t xml:space="preserve"> </w:t>
      </w:r>
      <w:r w:rsidRPr="00000849">
        <w:rPr>
          <w:rFonts w:cstheme="minorHAnsi"/>
          <w:sz w:val="24"/>
          <w:szCs w:val="24"/>
        </w:rPr>
        <w:fldChar w:fldCharType="begin"/>
      </w:r>
      <w:r w:rsidR="001740AB" w:rsidRPr="00000849">
        <w:rPr>
          <w:rFonts w:cstheme="minorHAnsi"/>
          <w:sz w:val="24"/>
          <w:szCs w:val="24"/>
        </w:rPr>
        <w:instrText xml:space="preserve"> ADDIN EN.CITE &lt;EndNote&gt;&lt;Cite&gt;&lt;Author&gt;Bovet&lt;/Author&gt;&lt;Year&gt;2003&lt;/Year&gt;&lt;RecNum&gt;339&lt;/RecNum&gt;&lt;DisplayText&gt;(Bovet et al., 2003)&lt;/DisplayText&gt;&lt;record&gt;&lt;rec-number&gt;339&lt;/rec-number&gt;&lt;foreign-keys&gt;&lt;key app="EN" db-id="9tzf2rda8re2a9es5tuxart3swzx2zws2s02" timestamp="1486294788"&gt;339&lt;/key&gt;&lt;/foreign-keys&gt;&lt;ref-type name="Journal Article"&gt;17&lt;/ref-type&gt;&lt;contributors&gt;&lt;authors&gt;&lt;author&gt;Bovet, P.&lt;/author&gt;&lt;author&gt;Gervasoni, J. P.&lt;/author&gt;&lt;author&gt;Ross, A. G.&lt;/author&gt;&lt;author&gt;Mkamba, M.&lt;/author&gt;&lt;author&gt;Mtasiwa, D. M.&lt;/author&gt;&lt;author&gt;Lengeler, C.&lt;/author&gt;&lt;author&gt;Burnier, M.&lt;/author&gt;&lt;author&gt;Paccaud, F.&lt;/author&gt;&lt;/authors&gt;&lt;/contributors&gt;&lt;titles&gt;&lt;title&gt;Assessing the prevalence of hypertension in populations: are we doing it right?&lt;/title&gt;&lt;secondary-title&gt;J Hypertens&lt;/secondary-title&gt;&lt;/titles&gt;&lt;periodical&gt;&lt;full-title&gt;Journal of Hypertension&lt;/full-title&gt;&lt;abbr-1&gt;J Hypertens&lt;/abbr-1&gt;&lt;/periodical&gt;&lt;volume&gt;21&lt;/volume&gt;&lt;dates&gt;&lt;year&gt;2003&lt;/year&gt;&lt;/dates&gt;&lt;label&gt;Bovet2003&lt;/label&gt;&lt;urls&gt;&lt;related-urls&gt;&lt;url&gt;http://dx.doi.org/10.1097/00004872-200303000-00016&lt;/url&gt;&lt;/related-urls&gt;&lt;/urls&gt;&lt;electronic-resource-num&gt;10.1097/00004872-200303000-00016&lt;/electronic-resource-num&gt;&lt;/record&gt;&lt;/Cite&gt;&lt;/EndNote&gt;</w:instrText>
      </w:r>
      <w:r w:rsidRPr="00000849">
        <w:rPr>
          <w:rFonts w:cstheme="minorHAnsi"/>
          <w:sz w:val="24"/>
          <w:szCs w:val="24"/>
        </w:rPr>
        <w:fldChar w:fldCharType="separate"/>
      </w:r>
      <w:r w:rsidR="001740AB" w:rsidRPr="00000849">
        <w:rPr>
          <w:rFonts w:cstheme="minorHAnsi"/>
          <w:noProof/>
          <w:sz w:val="24"/>
          <w:szCs w:val="24"/>
        </w:rPr>
        <w:t>(Bovet et al., 2003)</w:t>
      </w:r>
      <w:r w:rsidRPr="00000849">
        <w:rPr>
          <w:rFonts w:cstheme="minorHAnsi"/>
          <w:sz w:val="24"/>
          <w:szCs w:val="24"/>
        </w:rPr>
        <w:fldChar w:fldCharType="end"/>
      </w:r>
      <w:r w:rsidR="007A6CF3" w:rsidRPr="00000849">
        <w:rPr>
          <w:rFonts w:cstheme="minorHAnsi"/>
          <w:sz w:val="24"/>
          <w:szCs w:val="24"/>
        </w:rPr>
        <w:t xml:space="preserve">.  </w:t>
      </w:r>
    </w:p>
    <w:p w14:paraId="6AD1E14C" w14:textId="77777777" w:rsidR="003851D7" w:rsidRPr="00000849" w:rsidRDefault="003851D7" w:rsidP="00883650">
      <w:pPr>
        <w:pStyle w:val="NormalWeb"/>
        <w:shd w:val="clear" w:color="auto" w:fill="FFFFFF"/>
        <w:spacing w:before="0" w:beforeAutospacing="0" w:after="165" w:afterAutospacing="0" w:line="480" w:lineRule="auto"/>
        <w:rPr>
          <w:rFonts w:asciiTheme="minorHAnsi" w:hAnsiTheme="minorHAnsi" w:cstheme="minorHAnsi"/>
          <w:color w:val="383838"/>
        </w:rPr>
      </w:pPr>
    </w:p>
    <w:p w14:paraId="6C0C3CE0" w14:textId="0F6DA933" w:rsidR="00883650" w:rsidRPr="00000849" w:rsidRDefault="00D92056" w:rsidP="00A61BAB">
      <w:pPr>
        <w:pStyle w:val="Heading2"/>
      </w:pPr>
      <w:bookmarkStart w:id="49" w:name="_Toc51472095"/>
      <w:r w:rsidRPr="00000849">
        <w:lastRenderedPageBreak/>
        <w:t>2.2</w:t>
      </w:r>
      <w:r w:rsidR="00883650" w:rsidRPr="00000849">
        <w:tab/>
        <w:t>Determinants of hypertension in older adults in Africa</w:t>
      </w:r>
      <w:r w:rsidR="00B140DD" w:rsidRPr="00000849">
        <w:t>: a systematic review</w:t>
      </w:r>
      <w:bookmarkEnd w:id="49"/>
    </w:p>
    <w:p w14:paraId="2F3966A8" w14:textId="6040A3D6" w:rsidR="000B685E" w:rsidRPr="00000849" w:rsidRDefault="00D92056" w:rsidP="004E2350">
      <w:pPr>
        <w:pStyle w:val="Heading3"/>
      </w:pPr>
      <w:bookmarkStart w:id="50" w:name="_Toc51472096"/>
      <w:r w:rsidRPr="00000849">
        <w:t>2.2</w:t>
      </w:r>
      <w:r w:rsidR="000B685E" w:rsidRPr="00000849">
        <w:t>.1</w:t>
      </w:r>
      <w:r w:rsidR="000B685E" w:rsidRPr="00000849">
        <w:tab/>
      </w:r>
      <w:r w:rsidR="005867EA" w:rsidRPr="00000849">
        <w:t>Selection of studies</w:t>
      </w:r>
      <w:bookmarkEnd w:id="50"/>
    </w:p>
    <w:p w14:paraId="617DB945" w14:textId="77777777" w:rsidR="000B685E" w:rsidRPr="00000849" w:rsidRDefault="000B685E" w:rsidP="00F26AB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183A6A0B" w14:textId="13F68D57" w:rsidR="00FF063D" w:rsidRPr="00000849" w:rsidRDefault="00A32CEA" w:rsidP="00F26AB8">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As previously mentioned, the methods for th</w:t>
      </w:r>
      <w:r w:rsidR="007661A7" w:rsidRPr="00000849">
        <w:rPr>
          <w:rFonts w:asciiTheme="minorHAnsi" w:hAnsiTheme="minorHAnsi" w:cstheme="minorHAnsi"/>
          <w:color w:val="383838"/>
        </w:rPr>
        <w:t>e systematic</w:t>
      </w:r>
      <w:r w:rsidRPr="00000849">
        <w:rPr>
          <w:rFonts w:asciiTheme="minorHAnsi" w:hAnsiTheme="minorHAnsi" w:cstheme="minorHAnsi"/>
          <w:color w:val="383838"/>
        </w:rPr>
        <w:t xml:space="preserve"> review </w:t>
      </w:r>
      <w:r w:rsidR="007661A7" w:rsidRPr="00000849">
        <w:rPr>
          <w:rFonts w:asciiTheme="minorHAnsi" w:hAnsiTheme="minorHAnsi" w:cstheme="minorHAnsi"/>
          <w:color w:val="383838"/>
        </w:rPr>
        <w:t xml:space="preserve">determinants of hypertension in older adults in Africa </w:t>
      </w:r>
      <w:r w:rsidR="00C3451C" w:rsidRPr="00000849">
        <w:rPr>
          <w:rFonts w:asciiTheme="minorHAnsi" w:hAnsiTheme="minorHAnsi" w:cstheme="minorHAnsi"/>
          <w:color w:val="383838"/>
        </w:rPr>
        <w:t xml:space="preserve">were </w:t>
      </w:r>
      <w:r w:rsidRPr="00000849">
        <w:rPr>
          <w:rFonts w:asciiTheme="minorHAnsi" w:hAnsiTheme="minorHAnsi" w:cstheme="minorHAnsi"/>
          <w:color w:val="383838"/>
        </w:rPr>
        <w:t xml:space="preserve">essentially similar to that used in the review </w:t>
      </w:r>
      <w:r w:rsidR="007661A7" w:rsidRPr="00000849">
        <w:rPr>
          <w:rFonts w:asciiTheme="minorHAnsi" w:hAnsiTheme="minorHAnsi" w:cstheme="minorHAnsi"/>
          <w:color w:val="383838"/>
        </w:rPr>
        <w:t>of</w:t>
      </w:r>
      <w:r w:rsidRPr="00000849">
        <w:rPr>
          <w:rFonts w:asciiTheme="minorHAnsi" w:hAnsiTheme="minorHAnsi" w:cstheme="minorHAnsi"/>
          <w:color w:val="383838"/>
        </w:rPr>
        <w:t xml:space="preserve"> the prevalence and so only the differences are highlighted in this section  </w:t>
      </w:r>
      <w:r w:rsidR="00F26AB8"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F26AB8" w:rsidRPr="00000849">
        <w:rPr>
          <w:rFonts w:asciiTheme="minorHAnsi" w:hAnsiTheme="minorHAnsi" w:cstheme="minorHAnsi"/>
          <w:color w:val="383838"/>
        </w:rPr>
      </w:r>
      <w:r w:rsidR="00F26AB8"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(Bosu et al., 2019a)</w:t>
      </w:r>
      <w:r w:rsidR="00F26AB8" w:rsidRPr="00000849">
        <w:rPr>
          <w:rFonts w:asciiTheme="minorHAnsi" w:hAnsiTheme="minorHAnsi" w:cstheme="minorHAnsi"/>
          <w:color w:val="383838"/>
        </w:rPr>
        <w:fldChar w:fldCharType="end"/>
      </w:r>
      <w:r w:rsidR="002E384F" w:rsidRPr="00000849">
        <w:rPr>
          <w:rFonts w:asciiTheme="minorHAnsi" w:hAnsiTheme="minorHAnsi" w:cstheme="minorHAnsi"/>
          <w:color w:val="383838"/>
        </w:rPr>
        <w:t xml:space="preserve"> (</w:t>
      </w:r>
      <w:r w:rsidR="00007E47" w:rsidRPr="00000849">
        <w:rPr>
          <w:rFonts w:asciiTheme="minorHAnsi" w:hAnsiTheme="minorHAnsi" w:cstheme="minorHAnsi"/>
          <w:color w:val="383838"/>
        </w:rPr>
        <w:t>Appendix 3</w:t>
      </w:r>
      <w:r w:rsidR="00980D73" w:rsidRPr="00000849">
        <w:rPr>
          <w:rFonts w:asciiTheme="minorHAnsi" w:hAnsiTheme="minorHAnsi" w:cstheme="minorHAnsi"/>
          <w:color w:val="383838"/>
        </w:rPr>
        <w:t xml:space="preserve"> Figure 1</w:t>
      </w:r>
      <w:r w:rsidR="002E384F" w:rsidRPr="00000849">
        <w:rPr>
          <w:rFonts w:asciiTheme="minorHAnsi" w:hAnsiTheme="minorHAnsi" w:cstheme="minorHAnsi"/>
          <w:color w:val="383838"/>
        </w:rPr>
        <w:t>)</w:t>
      </w:r>
      <w:r w:rsidR="00F26AB8" w:rsidRPr="00000849">
        <w:rPr>
          <w:rFonts w:asciiTheme="minorHAnsi" w:hAnsiTheme="minorHAnsi" w:cstheme="minorHAnsi"/>
          <w:color w:val="383838"/>
        </w:rPr>
        <w:t>.</w:t>
      </w:r>
    </w:p>
    <w:p w14:paraId="18F7C391" w14:textId="5BC4C72D" w:rsidR="00990328" w:rsidRPr="00000849" w:rsidRDefault="00C05207" w:rsidP="00C05207">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The inclusion criteria were as before but included studies had to report</w:t>
      </w:r>
      <w:r w:rsidR="00D571F6" w:rsidRPr="00000849">
        <w:rPr>
          <w:rFonts w:asciiTheme="minorHAnsi" w:hAnsiTheme="minorHAnsi" w:cstheme="minorHAnsi"/>
          <w:color w:val="383838"/>
        </w:rPr>
        <w:t xml:space="preserve"> </w:t>
      </w:r>
      <w:r w:rsidRPr="00000849">
        <w:rPr>
          <w:rFonts w:asciiTheme="minorHAnsi" w:hAnsiTheme="minorHAnsi" w:cstheme="minorHAnsi"/>
          <w:color w:val="383838"/>
        </w:rPr>
        <w:t>risk factors associated with hypertension.  Thus, studies that reported only the prevalence of hypertension without any further analysis.</w:t>
      </w:r>
    </w:p>
    <w:p w14:paraId="14EFB592" w14:textId="2A4A2F0F" w:rsidR="00210478" w:rsidRPr="00000849" w:rsidRDefault="00C05207" w:rsidP="000B685E">
      <w:pPr>
        <w:pStyle w:val="NormalWeb"/>
        <w:shd w:val="clear" w:color="auto" w:fill="FFFFFF"/>
        <w:spacing w:before="0" w:beforeAutospacing="0" w:after="165" w:afterAutospacing="0" w:line="480" w:lineRule="auto"/>
        <w:ind w:firstLine="360"/>
        <w:jc w:val="both"/>
        <w:rPr>
          <w:rFonts w:asciiTheme="minorHAnsi" w:hAnsiTheme="minorHAnsi" w:cstheme="minorHAnsi"/>
          <w:color w:val="383838"/>
        </w:rPr>
      </w:pPr>
      <w:r w:rsidRPr="00000849">
        <w:rPr>
          <w:rFonts w:asciiTheme="minorHAnsi" w:hAnsiTheme="minorHAnsi" w:cstheme="minorHAnsi"/>
          <w:color w:val="383838"/>
        </w:rPr>
        <w:t>Unlike the prevalence review, multiple publications o</w:t>
      </w:r>
      <w:r w:rsidR="00AA5E4E" w:rsidRPr="00000849">
        <w:rPr>
          <w:rFonts w:asciiTheme="minorHAnsi" w:hAnsiTheme="minorHAnsi" w:cstheme="minorHAnsi"/>
          <w:color w:val="383838"/>
        </w:rPr>
        <w:t>f</w:t>
      </w:r>
      <w:r w:rsidRPr="00000849">
        <w:rPr>
          <w:rFonts w:asciiTheme="minorHAnsi" w:hAnsiTheme="minorHAnsi" w:cstheme="minorHAnsi"/>
          <w:color w:val="383838"/>
        </w:rPr>
        <w:t xml:space="preserve"> the same study which reported on a different set of risk factors </w:t>
      </w:r>
      <w:r w:rsidR="003D1844" w:rsidRPr="00000849">
        <w:rPr>
          <w:rFonts w:asciiTheme="minorHAnsi" w:hAnsiTheme="minorHAnsi" w:cstheme="minorHAnsi"/>
          <w:color w:val="383838"/>
        </w:rPr>
        <w:t xml:space="preserve">using </w:t>
      </w:r>
      <w:r w:rsidR="004A4A38" w:rsidRPr="00000849">
        <w:rPr>
          <w:rFonts w:asciiTheme="minorHAnsi" w:hAnsiTheme="minorHAnsi" w:cstheme="minorHAnsi"/>
          <w:color w:val="383838"/>
        </w:rPr>
        <w:t>univariable</w:t>
      </w:r>
      <w:r w:rsidR="003D1844" w:rsidRPr="00000849">
        <w:rPr>
          <w:rFonts w:asciiTheme="minorHAnsi" w:hAnsiTheme="minorHAnsi" w:cstheme="minorHAnsi"/>
          <w:color w:val="383838"/>
        </w:rPr>
        <w:t xml:space="preserve"> or multivariable analysis were included in the analysis</w:t>
      </w:r>
      <w:r w:rsidR="002E384F" w:rsidRPr="00000849">
        <w:rPr>
          <w:rFonts w:asciiTheme="minorHAnsi" w:hAnsiTheme="minorHAnsi" w:cstheme="minorHAnsi"/>
          <w:color w:val="383838"/>
        </w:rPr>
        <w:t>.</w:t>
      </w:r>
      <w:r w:rsidR="003D1844" w:rsidRPr="00000849">
        <w:rPr>
          <w:rFonts w:asciiTheme="minorHAnsi" w:hAnsiTheme="minorHAnsi" w:cstheme="minorHAnsi"/>
          <w:color w:val="383838"/>
        </w:rPr>
        <w:t xml:space="preserve">  Multiple publications</w:t>
      </w:r>
      <w:r w:rsidR="00223437" w:rsidRPr="00000849">
        <w:rPr>
          <w:rFonts w:asciiTheme="minorHAnsi" w:hAnsiTheme="minorHAnsi" w:cstheme="minorHAnsi"/>
          <w:color w:val="383838"/>
        </w:rPr>
        <w:t>, which</w:t>
      </w:r>
      <w:r w:rsidR="003D1844" w:rsidRPr="00000849">
        <w:rPr>
          <w:rFonts w:asciiTheme="minorHAnsi" w:hAnsiTheme="minorHAnsi" w:cstheme="minorHAnsi"/>
          <w:color w:val="383838"/>
        </w:rPr>
        <w:t xml:space="preserve"> could also be single- or multi-country studies with report on risk factors for hypertension</w:t>
      </w:r>
      <w:r w:rsidR="00F50BD2" w:rsidRPr="00000849">
        <w:rPr>
          <w:rFonts w:asciiTheme="minorHAnsi" w:hAnsiTheme="minorHAnsi" w:cstheme="minorHAnsi"/>
          <w:color w:val="383838"/>
        </w:rPr>
        <w:t>,</w:t>
      </w:r>
      <w:r w:rsidR="003D1844" w:rsidRPr="00000849">
        <w:rPr>
          <w:rFonts w:asciiTheme="minorHAnsi" w:hAnsiTheme="minorHAnsi" w:cstheme="minorHAnsi"/>
          <w:color w:val="383838"/>
        </w:rPr>
        <w:t xml:space="preserve"> were analysed even if the primary studies had been captured.</w:t>
      </w:r>
      <w:r w:rsidR="00210478" w:rsidRPr="00000849">
        <w:rPr>
          <w:rFonts w:asciiTheme="minorHAnsi" w:hAnsiTheme="minorHAnsi" w:cstheme="minorHAnsi"/>
          <w:color w:val="383838"/>
        </w:rPr>
        <w:t xml:space="preserve">  </w:t>
      </w:r>
    </w:p>
    <w:p w14:paraId="68512B8A" w14:textId="77777777" w:rsidR="00210478" w:rsidRPr="00000849" w:rsidRDefault="00210478" w:rsidP="000B685E">
      <w:pPr>
        <w:pStyle w:val="NormalWeb"/>
        <w:shd w:val="clear" w:color="auto" w:fill="FFFFFF"/>
        <w:spacing w:before="0" w:beforeAutospacing="0" w:after="165" w:afterAutospacing="0" w:line="480" w:lineRule="auto"/>
        <w:ind w:firstLine="360"/>
        <w:jc w:val="both"/>
        <w:rPr>
          <w:rFonts w:asciiTheme="minorHAnsi" w:hAnsiTheme="minorHAnsi" w:cstheme="minorHAnsi"/>
          <w:color w:val="383838"/>
        </w:rPr>
      </w:pPr>
      <w:r w:rsidRPr="00000849">
        <w:rPr>
          <w:rFonts w:asciiTheme="minorHAnsi" w:hAnsiTheme="minorHAnsi" w:cstheme="minorHAnsi"/>
          <w:color w:val="383838"/>
        </w:rPr>
        <w:t xml:space="preserve">The studies were </w:t>
      </w:r>
      <w:r w:rsidR="003D1844" w:rsidRPr="00000849">
        <w:rPr>
          <w:rFonts w:asciiTheme="minorHAnsi" w:hAnsiTheme="minorHAnsi" w:cstheme="minorHAnsi"/>
          <w:color w:val="383838"/>
        </w:rPr>
        <w:t xml:space="preserve">classified into three groups: </w:t>
      </w:r>
    </w:p>
    <w:p w14:paraId="6DAC3122" w14:textId="08CCBB4F" w:rsidR="00210478" w:rsidRPr="00000849" w:rsidRDefault="000B685E" w:rsidP="00210478">
      <w:pPr>
        <w:pStyle w:val="NormalWeb"/>
        <w:numPr>
          <w:ilvl w:val="0"/>
          <w:numId w:val="7"/>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primary</w:t>
      </w:r>
      <w:r w:rsidR="003D1844" w:rsidRPr="00000849">
        <w:rPr>
          <w:rFonts w:asciiTheme="minorHAnsi" w:hAnsiTheme="minorHAnsi" w:cstheme="minorHAnsi"/>
          <w:color w:val="383838"/>
        </w:rPr>
        <w:t xml:space="preserve"> publications reporting the prevalence </w:t>
      </w:r>
      <w:r w:rsidR="00210478" w:rsidRPr="00000849">
        <w:rPr>
          <w:rFonts w:asciiTheme="minorHAnsi" w:hAnsiTheme="minorHAnsi" w:cstheme="minorHAnsi"/>
          <w:color w:val="383838"/>
        </w:rPr>
        <w:t xml:space="preserve">of hypertension </w:t>
      </w:r>
      <w:r w:rsidR="003D1844" w:rsidRPr="00000849">
        <w:rPr>
          <w:rFonts w:asciiTheme="minorHAnsi" w:hAnsiTheme="minorHAnsi" w:cstheme="minorHAnsi"/>
          <w:color w:val="383838"/>
        </w:rPr>
        <w:t xml:space="preserve">and </w:t>
      </w:r>
      <w:r w:rsidRPr="00000849">
        <w:rPr>
          <w:rFonts w:asciiTheme="minorHAnsi" w:hAnsiTheme="minorHAnsi" w:cstheme="minorHAnsi"/>
          <w:color w:val="383838"/>
        </w:rPr>
        <w:t xml:space="preserve">its </w:t>
      </w:r>
      <w:r w:rsidR="003D1844" w:rsidRPr="00000849">
        <w:rPr>
          <w:rFonts w:asciiTheme="minorHAnsi" w:hAnsiTheme="minorHAnsi" w:cstheme="minorHAnsi"/>
          <w:color w:val="383838"/>
        </w:rPr>
        <w:t xml:space="preserve">associated risk factors </w:t>
      </w:r>
      <w:r w:rsidRPr="00000849">
        <w:rPr>
          <w:rFonts w:asciiTheme="minorHAnsi" w:hAnsiTheme="minorHAnsi" w:cstheme="minorHAnsi"/>
          <w:color w:val="383838"/>
        </w:rPr>
        <w:t xml:space="preserve">from </w:t>
      </w:r>
      <w:r w:rsidR="004A4A38" w:rsidRPr="00000849">
        <w:rPr>
          <w:rFonts w:asciiTheme="minorHAnsi" w:hAnsiTheme="minorHAnsi" w:cstheme="minorHAnsi"/>
          <w:color w:val="383838"/>
        </w:rPr>
        <w:t>univariable</w:t>
      </w:r>
      <w:r w:rsidRPr="00000849">
        <w:rPr>
          <w:rFonts w:asciiTheme="minorHAnsi" w:hAnsiTheme="minorHAnsi" w:cstheme="minorHAnsi"/>
          <w:color w:val="383838"/>
        </w:rPr>
        <w:t xml:space="preserve"> analysis</w:t>
      </w:r>
      <w:r w:rsidR="003D1844" w:rsidRPr="00000849">
        <w:rPr>
          <w:rFonts w:asciiTheme="minorHAnsi" w:hAnsiTheme="minorHAnsi" w:cstheme="minorHAnsi"/>
          <w:color w:val="383838"/>
        </w:rPr>
        <w:t xml:space="preserve">; </w:t>
      </w:r>
    </w:p>
    <w:p w14:paraId="7D483C7A" w14:textId="0CFF728F" w:rsidR="000B685E" w:rsidRPr="00000849" w:rsidRDefault="000B685E" w:rsidP="00210478">
      <w:pPr>
        <w:pStyle w:val="NormalWeb"/>
        <w:numPr>
          <w:ilvl w:val="0"/>
          <w:numId w:val="7"/>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primary </w:t>
      </w:r>
      <w:r w:rsidR="003D1844" w:rsidRPr="00000849">
        <w:rPr>
          <w:rFonts w:asciiTheme="minorHAnsi" w:hAnsiTheme="minorHAnsi" w:cstheme="minorHAnsi"/>
          <w:color w:val="383838"/>
        </w:rPr>
        <w:t>publications reporting prevalence</w:t>
      </w:r>
      <w:r w:rsidRPr="00000849">
        <w:rPr>
          <w:rFonts w:asciiTheme="minorHAnsi" w:hAnsiTheme="minorHAnsi" w:cstheme="minorHAnsi"/>
          <w:color w:val="383838"/>
        </w:rPr>
        <w:t xml:space="preserve"> of hypertension</w:t>
      </w:r>
      <w:r w:rsidR="003D1844" w:rsidRPr="00000849">
        <w:rPr>
          <w:rFonts w:asciiTheme="minorHAnsi" w:hAnsiTheme="minorHAnsi" w:cstheme="minorHAnsi"/>
          <w:color w:val="383838"/>
        </w:rPr>
        <w:t xml:space="preserve"> and </w:t>
      </w:r>
      <w:r w:rsidRPr="00000849">
        <w:rPr>
          <w:rFonts w:asciiTheme="minorHAnsi" w:hAnsiTheme="minorHAnsi" w:cstheme="minorHAnsi"/>
          <w:color w:val="383838"/>
        </w:rPr>
        <w:t>its</w:t>
      </w:r>
      <w:r w:rsidR="003D1844" w:rsidRPr="00000849">
        <w:rPr>
          <w:rFonts w:asciiTheme="minorHAnsi" w:hAnsiTheme="minorHAnsi" w:cstheme="minorHAnsi"/>
          <w:color w:val="383838"/>
        </w:rPr>
        <w:t xml:space="preserve"> determinants from multivaria</w:t>
      </w:r>
      <w:r w:rsidRPr="00000849">
        <w:rPr>
          <w:rFonts w:asciiTheme="minorHAnsi" w:hAnsiTheme="minorHAnsi" w:cstheme="minorHAnsi"/>
          <w:color w:val="383838"/>
        </w:rPr>
        <w:t>ble</w:t>
      </w:r>
      <w:r w:rsidR="003D1844" w:rsidRPr="00000849">
        <w:rPr>
          <w:rFonts w:asciiTheme="minorHAnsi" w:hAnsiTheme="minorHAnsi" w:cstheme="minorHAnsi"/>
          <w:color w:val="383838"/>
        </w:rPr>
        <w:t xml:space="preserve"> analysis; and </w:t>
      </w:r>
    </w:p>
    <w:p w14:paraId="3E7D47B6" w14:textId="0B3E5B5F" w:rsidR="003D1844" w:rsidRPr="00000849" w:rsidRDefault="003D1844" w:rsidP="00210478">
      <w:pPr>
        <w:pStyle w:val="NormalWeb"/>
        <w:numPr>
          <w:ilvl w:val="0"/>
          <w:numId w:val="7"/>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lastRenderedPageBreak/>
        <w:t xml:space="preserve">multiple publications </w:t>
      </w:r>
      <w:r w:rsidR="000B685E" w:rsidRPr="00000849">
        <w:rPr>
          <w:rFonts w:asciiTheme="minorHAnsi" w:hAnsiTheme="minorHAnsi" w:cstheme="minorHAnsi"/>
          <w:color w:val="383838"/>
        </w:rPr>
        <w:t xml:space="preserve">on the same subjects </w:t>
      </w:r>
      <w:r w:rsidRPr="00000849">
        <w:rPr>
          <w:rFonts w:asciiTheme="minorHAnsi" w:hAnsiTheme="minorHAnsi" w:cstheme="minorHAnsi"/>
          <w:color w:val="383838"/>
        </w:rPr>
        <w:t xml:space="preserve">reporting determinants </w:t>
      </w:r>
      <w:r w:rsidR="000B685E" w:rsidRPr="00000849">
        <w:rPr>
          <w:rFonts w:asciiTheme="minorHAnsi" w:hAnsiTheme="minorHAnsi" w:cstheme="minorHAnsi"/>
          <w:color w:val="383838"/>
        </w:rPr>
        <w:t xml:space="preserve">of hypertension </w:t>
      </w:r>
      <w:r w:rsidRPr="00000849">
        <w:rPr>
          <w:rFonts w:asciiTheme="minorHAnsi" w:hAnsiTheme="minorHAnsi" w:cstheme="minorHAnsi"/>
          <w:color w:val="383838"/>
        </w:rPr>
        <w:t>from multivaria</w:t>
      </w:r>
      <w:r w:rsidR="000B685E" w:rsidRPr="00000849">
        <w:rPr>
          <w:rFonts w:asciiTheme="minorHAnsi" w:hAnsiTheme="minorHAnsi" w:cstheme="minorHAnsi"/>
          <w:color w:val="383838"/>
        </w:rPr>
        <w:t>ble</w:t>
      </w:r>
      <w:r w:rsidRPr="00000849">
        <w:rPr>
          <w:rFonts w:asciiTheme="minorHAnsi" w:hAnsiTheme="minorHAnsi" w:cstheme="minorHAnsi"/>
          <w:color w:val="383838"/>
        </w:rPr>
        <w:t xml:space="preserve"> analysis</w:t>
      </w:r>
    </w:p>
    <w:p w14:paraId="74A504FC" w14:textId="57E7EEAA" w:rsidR="003D1844" w:rsidRPr="00000849" w:rsidRDefault="003D1844" w:rsidP="00F26AB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7BBD7E8" w14:textId="098828FF" w:rsidR="000F47D9" w:rsidRPr="00000849" w:rsidRDefault="000F47D9" w:rsidP="00F26AB8">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As with the prevalence review, the </w:t>
      </w:r>
      <w:r w:rsidR="00A05B9D" w:rsidRPr="00000849">
        <w:rPr>
          <w:rFonts w:asciiTheme="minorHAnsi" w:hAnsiTheme="minorHAnsi" w:cstheme="minorHAnsi"/>
          <w:color w:val="383838"/>
        </w:rPr>
        <w:t xml:space="preserve">study </w:t>
      </w:r>
      <w:r w:rsidRPr="00000849">
        <w:rPr>
          <w:rFonts w:asciiTheme="minorHAnsi" w:hAnsiTheme="minorHAnsi" w:cstheme="minorHAnsi"/>
          <w:color w:val="383838"/>
        </w:rPr>
        <w:t xml:space="preserve">selection was managed with the Covidence software </w:t>
      </w:r>
      <w:r w:rsidRPr="00000849">
        <w:rPr>
          <w:rFonts w:asciiTheme="minorHAnsi" w:hAnsiTheme="minorHAnsi" w:cstheme="minorHAnsi"/>
          <w:color w:val="383838"/>
        </w:rPr>
        <w:fldChar w:fldCharType="begin"/>
      </w:r>
      <w:r w:rsidR="00AC2BE6">
        <w:rPr>
          <w:rFonts w:asciiTheme="minorHAnsi" w:hAnsiTheme="minorHAnsi" w:cstheme="minorHAnsi"/>
          <w:color w:val="383838"/>
        </w:rPr>
        <w:instrText xml:space="preserve"> ADDIN EN.CITE &lt;EndNote&gt;&lt;Cite&gt;&lt;Author&gt;Veritas Health Innovation&lt;/Author&gt;&lt;Year&gt;2018&lt;/Year&gt;&lt;RecNum&gt;92&lt;/RecNum&gt;&lt;DisplayText&gt;(Veritas Health Innovation, 2018)&lt;/DisplayText&gt;&lt;record&gt;&lt;rec-number&gt;92&lt;/rec-number&gt;&lt;foreign-keys&gt;&lt;key app="EN" db-id="29t2ptva8t9xtgex0z2vepsadpwpfxd9a2zv" timestamp="1585501206"&gt;92&lt;/key&gt;&lt;/foreign-keys&gt;&lt;ref-type name="Web Page"&gt;12&lt;/ref-type&gt;&lt;contributors&gt;&lt;authors&gt;&lt;author&gt;Veritas Health Innovation,&lt;/author&gt;&lt;/authors&gt;&lt;/contributors&gt;&lt;titles&gt;&lt;title&gt;Covidence systematic review software.&lt;/title&gt;&lt;/titles&gt;&lt;volume&gt;2018&lt;/volume&gt;&lt;dates&gt;&lt;year&gt;2018&lt;/year&gt;&lt;/dates&gt;&lt;pub-location&gt;Melbourne, Australia&lt;/pub-location&gt;&lt;urls&gt;&lt;related-urls&gt;&lt;url&gt;www.covidence.org&lt;/url&gt;&lt;/related-urls&gt;&lt;/urls&gt;&lt;custom1&gt;2018&lt;/custom1&gt;&lt;/record&gt;&lt;/Cite&gt;&lt;/EndNote&gt;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(Veritas Health Innovation, 2018)</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p>
    <w:p w14:paraId="28CBCC32" w14:textId="77777777" w:rsidR="000F47D9" w:rsidRPr="00000849" w:rsidRDefault="000F47D9" w:rsidP="00F26AB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40E8620" w14:textId="21933333" w:rsidR="00F150DB" w:rsidRPr="00000849" w:rsidRDefault="00D92056" w:rsidP="004E2350">
      <w:pPr>
        <w:pStyle w:val="Heading3"/>
      </w:pPr>
      <w:bookmarkStart w:id="51" w:name="_Toc51472097"/>
      <w:r w:rsidRPr="00000849">
        <w:t>2.2</w:t>
      </w:r>
      <w:r w:rsidR="00F150DB" w:rsidRPr="00000849">
        <w:t>.2</w:t>
      </w:r>
      <w:r w:rsidR="00F150DB" w:rsidRPr="00000849">
        <w:tab/>
        <w:t>Narrative synthesis</w:t>
      </w:r>
      <w:bookmarkEnd w:id="51"/>
    </w:p>
    <w:p w14:paraId="7935E7E7" w14:textId="77777777" w:rsidR="00F150DB" w:rsidRPr="00000849" w:rsidRDefault="00F150DB" w:rsidP="00F26AB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891DA14" w14:textId="5588261D" w:rsidR="00F150DB" w:rsidRPr="00000849" w:rsidRDefault="00AA5E4E" w:rsidP="00F150DB">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w:t>
      </w:r>
      <w:r w:rsidR="003D1844" w:rsidRPr="00000849">
        <w:rPr>
          <w:rFonts w:asciiTheme="minorHAnsi" w:hAnsiTheme="minorHAnsi" w:cstheme="minorHAnsi"/>
          <w:color w:val="383838"/>
        </w:rPr>
        <w:t xml:space="preserve">he determinants were categorized </w:t>
      </w:r>
      <w:r w:rsidR="00F150DB" w:rsidRPr="00000849">
        <w:rPr>
          <w:rFonts w:asciiTheme="minorHAnsi" w:hAnsiTheme="minorHAnsi" w:cstheme="minorHAnsi"/>
          <w:color w:val="383838"/>
        </w:rPr>
        <w:t xml:space="preserve">into demographic, socioeconomic, lifestyle and co-morbidity groups and </w:t>
      </w:r>
      <w:r w:rsidR="0046502B" w:rsidRPr="00000849">
        <w:rPr>
          <w:rFonts w:asciiTheme="minorHAnsi" w:hAnsiTheme="minorHAnsi" w:cstheme="minorHAnsi"/>
          <w:color w:val="383838"/>
        </w:rPr>
        <w:t>analysed</w:t>
      </w:r>
      <w:r w:rsidR="00F150DB" w:rsidRPr="00000849">
        <w:rPr>
          <w:rFonts w:asciiTheme="minorHAnsi" w:hAnsiTheme="minorHAnsi" w:cstheme="minorHAnsi"/>
          <w:color w:val="383838"/>
        </w:rPr>
        <w:t xml:space="preserve">.  The demographic variables included age, sex, </w:t>
      </w:r>
      <w:r w:rsidR="00ED7403" w:rsidRPr="00000849">
        <w:rPr>
          <w:rFonts w:asciiTheme="minorHAnsi" w:hAnsiTheme="minorHAnsi" w:cstheme="minorHAnsi"/>
          <w:color w:val="383838"/>
        </w:rPr>
        <w:t xml:space="preserve">urban-rural or administrative </w:t>
      </w:r>
      <w:r w:rsidR="00810212" w:rsidRPr="00000849">
        <w:rPr>
          <w:rFonts w:asciiTheme="minorHAnsi" w:hAnsiTheme="minorHAnsi" w:cstheme="minorHAnsi"/>
          <w:color w:val="383838"/>
        </w:rPr>
        <w:t>residence</w:t>
      </w:r>
      <w:r w:rsidR="00ED7403" w:rsidRPr="00000849">
        <w:rPr>
          <w:rFonts w:asciiTheme="minorHAnsi" w:hAnsiTheme="minorHAnsi" w:cstheme="minorHAnsi"/>
          <w:color w:val="383838"/>
        </w:rPr>
        <w:t>,</w:t>
      </w:r>
      <w:r w:rsidR="00810212" w:rsidRPr="00000849">
        <w:rPr>
          <w:rFonts w:asciiTheme="minorHAnsi" w:hAnsiTheme="minorHAnsi" w:cstheme="minorHAnsi"/>
          <w:color w:val="383838"/>
        </w:rPr>
        <w:t xml:space="preserve"> </w:t>
      </w:r>
      <w:r w:rsidR="00F150DB" w:rsidRPr="00000849">
        <w:rPr>
          <w:rFonts w:asciiTheme="minorHAnsi" w:hAnsiTheme="minorHAnsi" w:cstheme="minorHAnsi"/>
          <w:color w:val="383838"/>
        </w:rPr>
        <w:t xml:space="preserve">marital status, </w:t>
      </w:r>
      <w:r w:rsidR="00ED7403" w:rsidRPr="00000849">
        <w:rPr>
          <w:rFonts w:asciiTheme="minorHAnsi" w:hAnsiTheme="minorHAnsi" w:cstheme="minorHAnsi"/>
          <w:color w:val="383838"/>
        </w:rPr>
        <w:t xml:space="preserve">ethnicity, </w:t>
      </w:r>
      <w:r w:rsidR="00F150DB" w:rsidRPr="00000849">
        <w:rPr>
          <w:rFonts w:asciiTheme="minorHAnsi" w:hAnsiTheme="minorHAnsi" w:cstheme="minorHAnsi"/>
          <w:color w:val="383838"/>
        </w:rPr>
        <w:t xml:space="preserve">and religion. The socioeconomic variables included educational level, </w:t>
      </w:r>
      <w:r w:rsidR="00ED7403" w:rsidRPr="00000849">
        <w:rPr>
          <w:rFonts w:asciiTheme="minorHAnsi" w:hAnsiTheme="minorHAnsi" w:cstheme="minorHAnsi"/>
          <w:color w:val="383838"/>
        </w:rPr>
        <w:t xml:space="preserve">wealth quintile, </w:t>
      </w:r>
      <w:r w:rsidR="00F150DB" w:rsidRPr="00000849">
        <w:rPr>
          <w:rFonts w:asciiTheme="minorHAnsi" w:hAnsiTheme="minorHAnsi" w:cstheme="minorHAnsi"/>
          <w:color w:val="383838"/>
        </w:rPr>
        <w:t xml:space="preserve">occupation, </w:t>
      </w:r>
      <w:r w:rsidR="00ED7403" w:rsidRPr="00000849">
        <w:rPr>
          <w:rFonts w:asciiTheme="minorHAnsi" w:hAnsiTheme="minorHAnsi" w:cstheme="minorHAnsi"/>
          <w:color w:val="383838"/>
        </w:rPr>
        <w:t xml:space="preserve">socioeconomic class, </w:t>
      </w:r>
      <w:r w:rsidR="00F150DB" w:rsidRPr="00000849">
        <w:rPr>
          <w:rFonts w:asciiTheme="minorHAnsi" w:hAnsiTheme="minorHAnsi" w:cstheme="minorHAnsi"/>
          <w:color w:val="383838"/>
        </w:rPr>
        <w:t xml:space="preserve">and </w:t>
      </w:r>
      <w:r w:rsidR="00ED7403" w:rsidRPr="00000849">
        <w:rPr>
          <w:rFonts w:asciiTheme="minorHAnsi" w:hAnsiTheme="minorHAnsi" w:cstheme="minorHAnsi"/>
          <w:color w:val="383838"/>
        </w:rPr>
        <w:t xml:space="preserve">having </w:t>
      </w:r>
      <w:r w:rsidR="00F150DB" w:rsidRPr="00000849">
        <w:rPr>
          <w:rFonts w:asciiTheme="minorHAnsi" w:hAnsiTheme="minorHAnsi" w:cstheme="minorHAnsi"/>
          <w:color w:val="383838"/>
        </w:rPr>
        <w:t xml:space="preserve">a health insurance.  </w:t>
      </w:r>
      <w:r w:rsidR="00ED7403" w:rsidRPr="00000849">
        <w:rPr>
          <w:rFonts w:asciiTheme="minorHAnsi" w:hAnsiTheme="minorHAnsi" w:cstheme="minorHAnsi"/>
          <w:color w:val="383838"/>
        </w:rPr>
        <w:t>The l</w:t>
      </w:r>
      <w:r w:rsidR="00F150DB" w:rsidRPr="00000849">
        <w:rPr>
          <w:rFonts w:asciiTheme="minorHAnsi" w:hAnsiTheme="minorHAnsi" w:cstheme="minorHAnsi"/>
          <w:color w:val="383838"/>
        </w:rPr>
        <w:t>ifestyle</w:t>
      </w:r>
      <w:r w:rsidR="00ED7403" w:rsidRPr="00000849">
        <w:rPr>
          <w:rFonts w:asciiTheme="minorHAnsi" w:hAnsiTheme="minorHAnsi" w:cstheme="minorHAnsi"/>
          <w:color w:val="383838"/>
        </w:rPr>
        <w:t xml:space="preserve"> group </w:t>
      </w:r>
      <w:r w:rsidR="00F150DB" w:rsidRPr="00000849">
        <w:rPr>
          <w:rFonts w:asciiTheme="minorHAnsi" w:hAnsiTheme="minorHAnsi" w:cstheme="minorHAnsi"/>
          <w:color w:val="383838"/>
        </w:rPr>
        <w:t xml:space="preserve">variables included </w:t>
      </w:r>
      <w:r w:rsidR="00ED7403" w:rsidRPr="00000849">
        <w:rPr>
          <w:rFonts w:asciiTheme="minorHAnsi" w:hAnsiTheme="minorHAnsi" w:cstheme="minorHAnsi"/>
          <w:color w:val="383838"/>
        </w:rPr>
        <w:t xml:space="preserve">tobacco use, </w:t>
      </w:r>
      <w:r w:rsidR="00F150DB" w:rsidRPr="00000849">
        <w:rPr>
          <w:rFonts w:asciiTheme="minorHAnsi" w:hAnsiTheme="minorHAnsi" w:cstheme="minorHAnsi"/>
          <w:color w:val="383838"/>
        </w:rPr>
        <w:t xml:space="preserve">alcohol </w:t>
      </w:r>
      <w:r w:rsidR="00ED7403" w:rsidRPr="00000849">
        <w:rPr>
          <w:rFonts w:asciiTheme="minorHAnsi" w:hAnsiTheme="minorHAnsi" w:cstheme="minorHAnsi"/>
          <w:color w:val="383838"/>
        </w:rPr>
        <w:t>consumption</w:t>
      </w:r>
      <w:r w:rsidR="00F150DB" w:rsidRPr="00000849">
        <w:rPr>
          <w:rFonts w:asciiTheme="minorHAnsi" w:hAnsiTheme="minorHAnsi" w:cstheme="minorHAnsi"/>
          <w:color w:val="383838"/>
        </w:rPr>
        <w:t xml:space="preserve">, smoking, </w:t>
      </w:r>
      <w:r w:rsidR="00ED7403" w:rsidRPr="00000849">
        <w:rPr>
          <w:rFonts w:asciiTheme="minorHAnsi" w:hAnsiTheme="minorHAnsi" w:cstheme="minorHAnsi"/>
          <w:color w:val="383838"/>
        </w:rPr>
        <w:t xml:space="preserve">physical activity, </w:t>
      </w:r>
      <w:r w:rsidR="00F150DB" w:rsidRPr="00000849">
        <w:rPr>
          <w:rFonts w:asciiTheme="minorHAnsi" w:hAnsiTheme="minorHAnsi" w:cstheme="minorHAnsi"/>
          <w:color w:val="383838"/>
        </w:rPr>
        <w:t xml:space="preserve">fruit or vegetable intake, </w:t>
      </w:r>
      <w:r w:rsidR="00ED7403" w:rsidRPr="00000849">
        <w:rPr>
          <w:rFonts w:asciiTheme="minorHAnsi" w:hAnsiTheme="minorHAnsi" w:cstheme="minorHAnsi"/>
          <w:color w:val="383838"/>
        </w:rPr>
        <w:t>BMI and waist-to-hip ratio (WHR)</w:t>
      </w:r>
      <w:r w:rsidR="00F150DB" w:rsidRPr="00000849">
        <w:rPr>
          <w:rFonts w:asciiTheme="minorHAnsi" w:hAnsiTheme="minorHAnsi" w:cstheme="minorHAnsi"/>
          <w:color w:val="383838"/>
        </w:rPr>
        <w:t>.  The comorbidit</w:t>
      </w:r>
      <w:r w:rsidR="00ED7403" w:rsidRPr="00000849">
        <w:rPr>
          <w:rFonts w:asciiTheme="minorHAnsi" w:hAnsiTheme="minorHAnsi" w:cstheme="minorHAnsi"/>
          <w:color w:val="383838"/>
        </w:rPr>
        <w:t xml:space="preserve">y group </w:t>
      </w:r>
      <w:r w:rsidR="00F150DB" w:rsidRPr="00000849">
        <w:rPr>
          <w:rFonts w:asciiTheme="minorHAnsi" w:hAnsiTheme="minorHAnsi" w:cstheme="minorHAnsi"/>
          <w:color w:val="383838"/>
        </w:rPr>
        <w:t>includ</w:t>
      </w:r>
      <w:r w:rsidR="00ED7403" w:rsidRPr="00000849">
        <w:rPr>
          <w:rFonts w:asciiTheme="minorHAnsi" w:hAnsiTheme="minorHAnsi" w:cstheme="minorHAnsi"/>
          <w:color w:val="383838"/>
        </w:rPr>
        <w:t>ed</w:t>
      </w:r>
      <w:r w:rsidR="00F150DB" w:rsidRPr="00000849">
        <w:rPr>
          <w:rFonts w:asciiTheme="minorHAnsi" w:hAnsiTheme="minorHAnsi" w:cstheme="minorHAnsi"/>
          <w:color w:val="383838"/>
        </w:rPr>
        <w:t xml:space="preserve"> history of diabetes or stroke, self-reported chronic illness, </w:t>
      </w:r>
      <w:r w:rsidR="00605DB0" w:rsidRPr="00000849">
        <w:rPr>
          <w:rFonts w:asciiTheme="minorHAnsi" w:hAnsiTheme="minorHAnsi" w:cstheme="minorHAnsi"/>
          <w:color w:val="383838"/>
        </w:rPr>
        <w:t xml:space="preserve">laboratory-confirmed diabetes, </w:t>
      </w:r>
      <w:r w:rsidR="00ED7403" w:rsidRPr="00000849">
        <w:rPr>
          <w:rFonts w:asciiTheme="minorHAnsi" w:hAnsiTheme="minorHAnsi" w:cstheme="minorHAnsi"/>
          <w:color w:val="383838"/>
        </w:rPr>
        <w:t xml:space="preserve">presence of </w:t>
      </w:r>
      <w:r w:rsidR="00F150DB" w:rsidRPr="00000849">
        <w:rPr>
          <w:rFonts w:asciiTheme="minorHAnsi" w:hAnsiTheme="minorHAnsi" w:cstheme="minorHAnsi"/>
          <w:color w:val="383838"/>
        </w:rPr>
        <w:t>disability or depression.</w:t>
      </w:r>
    </w:p>
    <w:p w14:paraId="6C7A3D62" w14:textId="6ED5D7AE" w:rsidR="00F150DB" w:rsidRPr="00000849" w:rsidRDefault="00605DB0" w:rsidP="00B25534">
      <w:pPr>
        <w:spacing w:line="480" w:lineRule="auto"/>
        <w:ind w:firstLine="567"/>
        <w:jc w:val="both"/>
        <w:rPr>
          <w:rFonts w:cstheme="minorHAnsi"/>
          <w:color w:val="383838"/>
          <w:sz w:val="24"/>
          <w:szCs w:val="24"/>
        </w:rPr>
      </w:pPr>
      <w:r w:rsidRPr="00000849">
        <w:rPr>
          <w:rFonts w:cstheme="minorHAnsi"/>
          <w:color w:val="383838"/>
          <w:sz w:val="24"/>
          <w:szCs w:val="24"/>
        </w:rPr>
        <w:t xml:space="preserve">Under each </w:t>
      </w:r>
      <w:r w:rsidRPr="00000849">
        <w:rPr>
          <w:sz w:val="24"/>
          <w:szCs w:val="24"/>
        </w:rPr>
        <w:t>category</w:t>
      </w:r>
      <w:r w:rsidRPr="00000849">
        <w:rPr>
          <w:rFonts w:cstheme="minorHAnsi"/>
          <w:color w:val="383838"/>
          <w:sz w:val="24"/>
          <w:szCs w:val="24"/>
        </w:rPr>
        <w:t xml:space="preserve">, the effect sizes </w:t>
      </w:r>
      <w:r w:rsidR="00A05B9D" w:rsidRPr="00000849">
        <w:rPr>
          <w:rFonts w:cstheme="minorHAnsi"/>
          <w:color w:val="383838"/>
          <w:sz w:val="24"/>
          <w:szCs w:val="24"/>
        </w:rPr>
        <w:t xml:space="preserve">(odds ratios, prevalence ratios or relative risks) </w:t>
      </w:r>
      <w:r w:rsidRPr="00000849">
        <w:rPr>
          <w:rFonts w:cstheme="minorHAnsi"/>
          <w:color w:val="383838"/>
          <w:sz w:val="24"/>
          <w:szCs w:val="24"/>
        </w:rPr>
        <w:t>were extracted from the included studies along with the interval estimates.  With the significance level set a 5%, statistically significant and non-significant determinants were identified separately from both crude (</w:t>
      </w:r>
      <w:r w:rsidR="004A4A38" w:rsidRPr="00000849">
        <w:rPr>
          <w:rFonts w:cstheme="minorHAnsi"/>
          <w:color w:val="383838"/>
          <w:sz w:val="24"/>
          <w:szCs w:val="24"/>
        </w:rPr>
        <w:t>univariable</w:t>
      </w:r>
      <w:r w:rsidRPr="00000849">
        <w:rPr>
          <w:rFonts w:cstheme="minorHAnsi"/>
          <w:color w:val="383838"/>
          <w:sz w:val="24"/>
          <w:szCs w:val="24"/>
        </w:rPr>
        <w:t xml:space="preserve">) and </w:t>
      </w:r>
      <w:r w:rsidR="004A4A38" w:rsidRPr="00000849">
        <w:rPr>
          <w:rFonts w:cstheme="minorHAnsi"/>
          <w:color w:val="383838"/>
          <w:sz w:val="24"/>
          <w:szCs w:val="24"/>
        </w:rPr>
        <w:t>multivariable</w:t>
      </w:r>
      <w:r w:rsidRPr="00000849">
        <w:rPr>
          <w:rFonts w:cstheme="minorHAnsi"/>
          <w:color w:val="383838"/>
          <w:sz w:val="24"/>
          <w:szCs w:val="24"/>
        </w:rPr>
        <w:t xml:space="preserve"> analyses.  The analyses examined the</w:t>
      </w:r>
      <w:r w:rsidR="00E2099C" w:rsidRPr="00000849">
        <w:rPr>
          <w:rFonts w:cstheme="minorHAnsi"/>
          <w:color w:val="383838"/>
          <w:sz w:val="24"/>
          <w:szCs w:val="24"/>
        </w:rPr>
        <w:t xml:space="preserve"> consistency of the</w:t>
      </w:r>
      <w:r w:rsidRPr="00000849">
        <w:rPr>
          <w:rFonts w:cstheme="minorHAnsi"/>
          <w:color w:val="383838"/>
          <w:sz w:val="24"/>
          <w:szCs w:val="24"/>
        </w:rPr>
        <w:t xml:space="preserve"> direction and </w:t>
      </w:r>
      <w:r w:rsidRPr="00000849">
        <w:rPr>
          <w:rFonts w:cstheme="minorHAnsi"/>
          <w:color w:val="383838"/>
          <w:sz w:val="24"/>
          <w:szCs w:val="24"/>
        </w:rPr>
        <w:lastRenderedPageBreak/>
        <w:t xml:space="preserve">magnitude of the effect sizes in </w:t>
      </w:r>
      <w:r w:rsidR="00E2099C" w:rsidRPr="00000849">
        <w:rPr>
          <w:rFonts w:cstheme="minorHAnsi"/>
          <w:color w:val="383838"/>
          <w:sz w:val="24"/>
          <w:szCs w:val="24"/>
        </w:rPr>
        <w:t xml:space="preserve">terms of </w:t>
      </w:r>
      <w:r w:rsidRPr="00000849">
        <w:rPr>
          <w:rFonts w:cstheme="minorHAnsi"/>
          <w:color w:val="383838"/>
          <w:sz w:val="24"/>
          <w:szCs w:val="24"/>
        </w:rPr>
        <w:t xml:space="preserve">the association with hypertension </w:t>
      </w:r>
      <w:r w:rsidR="00E2099C" w:rsidRPr="00000849">
        <w:rPr>
          <w:rFonts w:cstheme="minorHAnsi"/>
          <w:color w:val="383838"/>
          <w:sz w:val="24"/>
          <w:szCs w:val="24"/>
        </w:rPr>
        <w:t xml:space="preserve">across the </w:t>
      </w:r>
      <w:r w:rsidR="00A05B9D" w:rsidRPr="00000849">
        <w:rPr>
          <w:rFonts w:cstheme="minorHAnsi"/>
          <w:color w:val="383838"/>
          <w:sz w:val="24"/>
          <w:szCs w:val="24"/>
        </w:rPr>
        <w:t xml:space="preserve">included </w:t>
      </w:r>
      <w:r w:rsidR="00E2099C" w:rsidRPr="00000849">
        <w:rPr>
          <w:rFonts w:cstheme="minorHAnsi"/>
          <w:color w:val="383838"/>
          <w:sz w:val="24"/>
          <w:szCs w:val="24"/>
        </w:rPr>
        <w:t xml:space="preserve">studies. </w:t>
      </w:r>
    </w:p>
    <w:p w14:paraId="4332739B" w14:textId="0189CCD7" w:rsidR="00EB2D87" w:rsidRPr="00000849" w:rsidRDefault="00EB2D87" w:rsidP="00F26AB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E7427A7" w14:textId="271FF209" w:rsidR="00EB2D87" w:rsidRPr="00000849" w:rsidRDefault="00D92056" w:rsidP="004E2350">
      <w:pPr>
        <w:pStyle w:val="Heading3"/>
      </w:pPr>
      <w:bookmarkStart w:id="52" w:name="_Toc51472098"/>
      <w:r w:rsidRPr="00000849">
        <w:t>2.2</w:t>
      </w:r>
      <w:r w:rsidR="00EB2D87" w:rsidRPr="00000849">
        <w:t>.</w:t>
      </w:r>
      <w:r w:rsidR="00F150DB" w:rsidRPr="00000849">
        <w:t>3</w:t>
      </w:r>
      <w:r w:rsidR="00EB2D87" w:rsidRPr="00000849">
        <w:tab/>
      </w:r>
      <w:r w:rsidR="000F47D9" w:rsidRPr="00000849">
        <w:t>Description</w:t>
      </w:r>
      <w:r w:rsidR="00EB2D87" w:rsidRPr="00000849">
        <w:t xml:space="preserve"> of included studies</w:t>
      </w:r>
      <w:bookmarkEnd w:id="52"/>
    </w:p>
    <w:p w14:paraId="1E840B2E" w14:textId="4AADAA98" w:rsidR="00EB2D87" w:rsidRPr="00000849" w:rsidRDefault="00EB2D87" w:rsidP="00F26AB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15E5D7B" w14:textId="3935FAB6" w:rsidR="000F47D9" w:rsidRPr="00000849" w:rsidRDefault="00545AFD" w:rsidP="00545AFD">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As </w:t>
      </w:r>
      <w:r w:rsidR="00A05B9D" w:rsidRPr="00000849">
        <w:rPr>
          <w:rFonts w:asciiTheme="minorHAnsi" w:hAnsiTheme="minorHAnsi" w:cstheme="minorHAnsi"/>
          <w:color w:val="383838"/>
        </w:rPr>
        <w:t>before</w:t>
      </w:r>
      <w:r w:rsidRPr="00000849">
        <w:rPr>
          <w:rFonts w:asciiTheme="minorHAnsi" w:hAnsiTheme="minorHAnsi" w:cstheme="minorHAnsi"/>
          <w:color w:val="383838"/>
        </w:rPr>
        <w:t>, a total of 10,719 citations were identified out of which 8,775 were retained for screening after removing 1,944 duplicates</w:t>
      </w:r>
      <w:r w:rsidR="006759FF" w:rsidRPr="00000849">
        <w:rPr>
          <w:rFonts w:asciiTheme="minorHAnsi" w:hAnsiTheme="minorHAnsi" w:cstheme="minorHAnsi"/>
          <w:color w:val="383838"/>
        </w:rPr>
        <w:t xml:space="preserve"> (</w:t>
      </w:r>
      <w:r w:rsidR="00AA5E4E" w:rsidRPr="00000849">
        <w:rPr>
          <w:rFonts w:asciiTheme="minorHAnsi" w:hAnsiTheme="minorHAnsi" w:cstheme="minorHAnsi"/>
          <w:color w:val="383838"/>
        </w:rPr>
        <w:t xml:space="preserve">Appendix 3 </w:t>
      </w:r>
      <w:r w:rsidR="006759FF" w:rsidRPr="00000849">
        <w:rPr>
          <w:rFonts w:asciiTheme="minorHAnsi" w:hAnsiTheme="minorHAnsi" w:cstheme="minorHAnsi"/>
          <w:color w:val="383838"/>
        </w:rPr>
        <w:t xml:space="preserve">Figure </w:t>
      </w:r>
      <w:r w:rsidR="00AA5E4E" w:rsidRPr="00000849">
        <w:rPr>
          <w:rFonts w:asciiTheme="minorHAnsi" w:hAnsiTheme="minorHAnsi" w:cstheme="minorHAnsi"/>
          <w:color w:val="383838"/>
        </w:rPr>
        <w:t>1</w:t>
      </w:r>
      <w:r w:rsidR="006759FF" w:rsidRPr="00000849">
        <w:rPr>
          <w:rFonts w:asciiTheme="minorHAnsi" w:hAnsiTheme="minorHAnsi" w:cstheme="minorHAnsi"/>
          <w:color w:val="383838"/>
        </w:rPr>
        <w:t>)</w:t>
      </w:r>
      <w:r w:rsidRPr="00000849">
        <w:rPr>
          <w:rFonts w:asciiTheme="minorHAnsi" w:hAnsiTheme="minorHAnsi" w:cstheme="minorHAnsi"/>
          <w:color w:val="383838"/>
        </w:rPr>
        <w:t>.  After the screening the title and abstracts, 1</w:t>
      </w:r>
      <w:r w:rsidR="000F47D9" w:rsidRPr="00000849">
        <w:rPr>
          <w:rFonts w:asciiTheme="minorHAnsi" w:hAnsiTheme="minorHAnsi" w:cstheme="minorHAnsi"/>
          <w:color w:val="383838"/>
        </w:rPr>
        <w:t xml:space="preserve">03 full-text </w:t>
      </w:r>
      <w:r w:rsidRPr="00000849">
        <w:rPr>
          <w:rFonts w:asciiTheme="minorHAnsi" w:hAnsiTheme="minorHAnsi" w:cstheme="minorHAnsi"/>
          <w:color w:val="383838"/>
        </w:rPr>
        <w:t>papers were evaluate</w:t>
      </w:r>
      <w:r w:rsidR="00A05B9D" w:rsidRPr="00000849">
        <w:rPr>
          <w:rFonts w:asciiTheme="minorHAnsi" w:hAnsiTheme="minorHAnsi" w:cstheme="minorHAnsi"/>
          <w:color w:val="383838"/>
        </w:rPr>
        <w:t>d for</w:t>
      </w:r>
      <w:r w:rsidR="000F47D9" w:rsidRPr="00000849">
        <w:rPr>
          <w:rFonts w:asciiTheme="minorHAnsi" w:hAnsiTheme="minorHAnsi" w:cstheme="minorHAnsi"/>
          <w:color w:val="383838"/>
        </w:rPr>
        <w:t xml:space="preserve"> their </w:t>
      </w:r>
      <w:r w:rsidR="00A05B9D" w:rsidRPr="00000849">
        <w:rPr>
          <w:rFonts w:asciiTheme="minorHAnsi" w:hAnsiTheme="minorHAnsi" w:cstheme="minorHAnsi"/>
          <w:color w:val="383838"/>
        </w:rPr>
        <w:t xml:space="preserve">inclusion </w:t>
      </w:r>
      <w:r w:rsidR="000F47D9" w:rsidRPr="00000849">
        <w:rPr>
          <w:rFonts w:asciiTheme="minorHAnsi" w:hAnsiTheme="minorHAnsi" w:cstheme="minorHAnsi"/>
          <w:color w:val="383838"/>
        </w:rPr>
        <w:t xml:space="preserve">eligibility.  </w:t>
      </w:r>
      <w:r w:rsidR="00A05B9D" w:rsidRPr="00000849">
        <w:rPr>
          <w:rFonts w:asciiTheme="minorHAnsi" w:hAnsiTheme="minorHAnsi" w:cstheme="minorHAnsi"/>
          <w:color w:val="383838"/>
        </w:rPr>
        <w:t>Of these</w:t>
      </w:r>
      <w:r w:rsidRPr="00000849">
        <w:rPr>
          <w:rFonts w:asciiTheme="minorHAnsi" w:hAnsiTheme="minorHAnsi" w:cstheme="minorHAnsi"/>
          <w:color w:val="383838"/>
        </w:rPr>
        <w:t xml:space="preserve"> 63 studies </w:t>
      </w:r>
      <w:r w:rsidR="00A05B9D" w:rsidRPr="00000849">
        <w:rPr>
          <w:rFonts w:asciiTheme="minorHAnsi" w:hAnsiTheme="minorHAnsi" w:cstheme="minorHAnsi"/>
          <w:color w:val="383838"/>
        </w:rPr>
        <w:t>were eligible but</w:t>
      </w:r>
      <w:r w:rsidRPr="00000849">
        <w:rPr>
          <w:rFonts w:asciiTheme="minorHAnsi" w:hAnsiTheme="minorHAnsi" w:cstheme="minorHAnsi"/>
          <w:color w:val="383838"/>
        </w:rPr>
        <w:t xml:space="preserve"> </w:t>
      </w:r>
      <w:r w:rsidR="000F47D9" w:rsidRPr="00000849">
        <w:rPr>
          <w:rFonts w:asciiTheme="minorHAnsi" w:hAnsiTheme="minorHAnsi" w:cstheme="minorHAnsi"/>
          <w:color w:val="383838"/>
        </w:rPr>
        <w:t>40 reported information on only the prevalence of hypertension</w:t>
      </w:r>
      <w:r w:rsidR="00B54DC8" w:rsidRPr="00000849">
        <w:rPr>
          <w:rFonts w:asciiTheme="minorHAnsi" w:hAnsiTheme="minorHAnsi" w:cstheme="minorHAnsi"/>
          <w:color w:val="383838"/>
        </w:rPr>
        <w:t xml:space="preserve"> without analysis of associated risk factors</w:t>
      </w:r>
      <w:r w:rsidR="00A05B9D" w:rsidRPr="00000849">
        <w:rPr>
          <w:rFonts w:asciiTheme="minorHAnsi" w:hAnsiTheme="minorHAnsi" w:cstheme="minorHAnsi"/>
          <w:color w:val="383838"/>
        </w:rPr>
        <w:t xml:space="preserve"> and so </w:t>
      </w:r>
      <w:r w:rsidR="000F47D9" w:rsidRPr="00000849">
        <w:rPr>
          <w:rFonts w:asciiTheme="minorHAnsi" w:hAnsiTheme="minorHAnsi" w:cstheme="minorHAnsi"/>
          <w:color w:val="383838"/>
        </w:rPr>
        <w:t xml:space="preserve">were excluded from further analysis.  </w:t>
      </w:r>
      <w:r w:rsidR="00325293" w:rsidRPr="00000849">
        <w:rPr>
          <w:rFonts w:asciiTheme="minorHAnsi" w:hAnsiTheme="minorHAnsi" w:cstheme="minorHAnsi"/>
          <w:color w:val="383838"/>
        </w:rPr>
        <w:t>Thus</w:t>
      </w:r>
      <w:r w:rsidR="000102B0" w:rsidRPr="00000849">
        <w:rPr>
          <w:rFonts w:asciiTheme="minorHAnsi" w:hAnsiTheme="minorHAnsi" w:cstheme="minorHAnsi"/>
          <w:color w:val="383838"/>
        </w:rPr>
        <w:t>,</w:t>
      </w:r>
      <w:r w:rsidR="000F47D9" w:rsidRPr="00000849">
        <w:rPr>
          <w:rFonts w:asciiTheme="minorHAnsi" w:hAnsiTheme="minorHAnsi" w:cstheme="minorHAnsi"/>
          <w:color w:val="383838"/>
        </w:rPr>
        <w:t xml:space="preserve"> 23 studies</w:t>
      </w:r>
      <w:r w:rsidR="00325293" w:rsidRPr="00000849">
        <w:rPr>
          <w:rFonts w:asciiTheme="minorHAnsi" w:hAnsiTheme="minorHAnsi" w:cstheme="minorHAnsi"/>
          <w:color w:val="383838"/>
        </w:rPr>
        <w:t xml:space="preserve"> were finally included in the narrative synthesis.  They were made up </w:t>
      </w:r>
      <w:r w:rsidR="000F47D9" w:rsidRPr="00000849">
        <w:rPr>
          <w:rFonts w:asciiTheme="minorHAnsi" w:hAnsiTheme="minorHAnsi" w:cstheme="minorHAnsi"/>
          <w:color w:val="383838"/>
        </w:rPr>
        <w:t xml:space="preserve">seven </w:t>
      </w:r>
      <w:r w:rsidR="00325293" w:rsidRPr="00000849">
        <w:rPr>
          <w:rFonts w:asciiTheme="minorHAnsi" w:hAnsiTheme="minorHAnsi" w:cstheme="minorHAnsi"/>
          <w:color w:val="383838"/>
        </w:rPr>
        <w:t xml:space="preserve">primary publications that </w:t>
      </w:r>
      <w:r w:rsidR="000F47D9" w:rsidRPr="00000849">
        <w:rPr>
          <w:rFonts w:asciiTheme="minorHAnsi" w:hAnsiTheme="minorHAnsi" w:cstheme="minorHAnsi"/>
          <w:color w:val="383838"/>
        </w:rPr>
        <w:t>provided information on</w:t>
      </w:r>
      <w:r w:rsidR="00325293" w:rsidRPr="00000849">
        <w:rPr>
          <w:rFonts w:asciiTheme="minorHAnsi" w:hAnsiTheme="minorHAnsi" w:cstheme="minorHAnsi"/>
          <w:color w:val="383838"/>
        </w:rPr>
        <w:t xml:space="preserve"> </w:t>
      </w:r>
      <w:r w:rsidR="000F47D9" w:rsidRPr="00000849">
        <w:rPr>
          <w:rFonts w:asciiTheme="minorHAnsi" w:hAnsiTheme="minorHAnsi" w:cstheme="minorHAnsi"/>
          <w:color w:val="383838"/>
        </w:rPr>
        <w:t xml:space="preserve">risk factors associated with </w:t>
      </w:r>
      <w:r w:rsidR="00325293" w:rsidRPr="00000849">
        <w:rPr>
          <w:rFonts w:asciiTheme="minorHAnsi" w:hAnsiTheme="minorHAnsi" w:cstheme="minorHAnsi"/>
          <w:color w:val="383838"/>
        </w:rPr>
        <w:t xml:space="preserve">hypertension from </w:t>
      </w:r>
      <w:r w:rsidR="004A4A38" w:rsidRPr="00000849">
        <w:rPr>
          <w:rFonts w:asciiTheme="minorHAnsi" w:hAnsiTheme="minorHAnsi" w:cstheme="minorHAnsi"/>
          <w:color w:val="383838"/>
        </w:rPr>
        <w:t>univariable</w:t>
      </w:r>
      <w:r w:rsidR="00325293" w:rsidRPr="00000849">
        <w:rPr>
          <w:rFonts w:asciiTheme="minorHAnsi" w:hAnsiTheme="minorHAnsi" w:cstheme="minorHAnsi"/>
          <w:color w:val="383838"/>
        </w:rPr>
        <w:t xml:space="preserve"> analysis as well as </w:t>
      </w:r>
      <w:r w:rsidR="009C1E21" w:rsidRPr="00000849">
        <w:rPr>
          <w:rFonts w:asciiTheme="minorHAnsi" w:hAnsiTheme="minorHAnsi" w:cstheme="minorHAnsi"/>
          <w:color w:val="383838"/>
        </w:rPr>
        <w:t>16 publications (</w:t>
      </w:r>
      <w:r w:rsidR="00325293" w:rsidRPr="00000849">
        <w:rPr>
          <w:rFonts w:asciiTheme="minorHAnsi" w:hAnsiTheme="minorHAnsi" w:cstheme="minorHAnsi"/>
          <w:color w:val="383838"/>
        </w:rPr>
        <w:t>12 primary and four multiple</w:t>
      </w:r>
      <w:r w:rsidR="009C1E21" w:rsidRPr="00000849">
        <w:rPr>
          <w:rFonts w:asciiTheme="minorHAnsi" w:hAnsiTheme="minorHAnsi" w:cstheme="minorHAnsi"/>
          <w:color w:val="383838"/>
        </w:rPr>
        <w:t>)</w:t>
      </w:r>
      <w:r w:rsidR="00325293" w:rsidRPr="00000849">
        <w:rPr>
          <w:rFonts w:asciiTheme="minorHAnsi" w:hAnsiTheme="minorHAnsi" w:cstheme="minorHAnsi"/>
          <w:color w:val="383838"/>
        </w:rPr>
        <w:t xml:space="preserve"> which reported risk factors from multivariable analyses</w:t>
      </w:r>
      <w:r w:rsidR="000F47D9" w:rsidRPr="00000849">
        <w:rPr>
          <w:rFonts w:asciiTheme="minorHAnsi" w:hAnsiTheme="minorHAnsi" w:cstheme="minorHAnsi"/>
          <w:color w:val="383838"/>
        </w:rPr>
        <w:t xml:space="preserve">.  </w:t>
      </w:r>
    </w:p>
    <w:p w14:paraId="4B4974AD" w14:textId="10B947AD" w:rsidR="00371FCD" w:rsidRPr="00000849" w:rsidRDefault="00371FCD" w:rsidP="00000849">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The 19 primary studies provided 21 data points while the four multiple (non-primary) publications provided eight data points</w:t>
      </w:r>
      <w:r w:rsidR="00B45FC0"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 One primary publication contributed two data points in reporting the sex-specific prevalence of hypertension in Bangui and in Brazzaville, the capital cities two African countries </w:t>
      </w:r>
      <w:r w:rsidRPr="00000849">
        <w:rPr>
          <w:rFonts w:asciiTheme="minorHAnsi" w:hAnsiTheme="minorHAnsi" w:cstheme="minorHAnsi"/>
          <w:color w:val="383838"/>
        </w:rPr>
        <w:fldChar w:fldCharType="begin"/>
      </w:r>
      <w:r w:rsidR="00B45210" w:rsidRPr="00000849">
        <w:rPr>
          <w:rFonts w:asciiTheme="minorHAnsi" w:hAnsiTheme="minorHAnsi" w:cstheme="minorHAnsi"/>
          <w:color w:val="383838"/>
        </w:rPr>
        <w:instrText xml:space="preserve"> ADDIN EN.CITE &lt;EndNote&gt;&lt;Cite&gt;&lt;Author&gt;Guerchet&lt;/Author&gt;&lt;Year&gt;2012&lt;/Year&gt;&lt;RecNum&gt;365&lt;/RecNum&gt;&lt;DisplayText&gt;(Guerchet et al., 2012a)&lt;/DisplayText&gt;&lt;record&gt;&lt;rec-number&gt;365&lt;/rec-number&gt;&lt;foreign-keys&gt;&lt;key app="EN" db-id="pzfw02x58peadyevdp8vswt40etp25t5ddp0" timestamp="1545973794"&gt;365&lt;/key&gt;&lt;/foreign-keys&gt;&lt;ref-type name="Journal Article"&gt;17&lt;/ref-type&gt;&lt;contributors&gt;&lt;authors&gt;&lt;author&gt;Guerchet, Maëlenn&lt;/author&gt;&lt;author&gt;Aboyans, Victor&lt;/author&gt;&lt;author&gt;Mbelesso, Pascal&lt;/author&gt;&lt;author&gt;Mouanga, Alain Maxime&lt;/author&gt;&lt;author&gt;Salazar, J&lt;/author&gt;&lt;author&gt;Bandzouzi, B&lt;/author&gt;&lt;author&gt;Tabo, André&lt;/author&gt;&lt;author&gt;Clément, Jean-Pierre&lt;/author&gt;&lt;author&gt;Preux, Pierre-Marie&lt;/author&gt;&lt;author&gt;Lacroix, Philippe&lt;/author&gt;&lt;/authors&gt;&lt;/contributors&gt;&lt;titles&gt;&lt;title&gt;Epidemiology of peripheral artery disease in elder general population of two cities of Central Africa: Bangui and Brazzaville&lt;/title&gt;&lt;secondary-title&gt;European Journal of Vascular Endovascular Surgery&lt;/secondary-title&gt;&lt;/titles&gt;&lt;periodical&gt;&lt;full-title&gt;European Journal of Vascular Endovascular Surgery&lt;/full-title&gt;&lt;abbr-1&gt;Eur J Vasc Endovasc Surg&lt;/abbr-1&gt;&lt;/periodical&gt;&lt;pages&gt;164-169&lt;/pages&gt;&lt;volume&gt;44&lt;/volume&gt;&lt;dates&gt;&lt;year&gt;2012&lt;/year&gt;&lt;/dates&gt;&lt;isbn&gt;1078-5884&lt;/isbn&gt;&lt;urls&gt;&lt;/urls&gt;&lt;/record&gt;&lt;/Cite&gt;&lt;/EndNote&gt;</w:instrText>
      </w:r>
      <w:r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(Guerchet et al., 2012a)</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Three of the four multiple publications reported first wave SAGE findings in Ghana and South Africa, and so collectively contributed six data points </w:t>
      </w:r>
      <w:r w:rsidRPr="00000849">
        <w:rPr>
          <w:rFonts w:asciiTheme="minorHAnsi" w:hAnsiTheme="minorHAnsi" w:cstheme="minorHAnsi"/>
          <w:color w:val="383838"/>
        </w:rPr>
        <w:fldChar w:fldCharType="begin">
          <w:fldData xml:space="preserve">PEVuZE5vdGU+PENpdGU+PEF1dGhvcj5MbG95ZC1TaGVybG9jazwvQXV0aG9yPjxZZWFyPjIwMTQ8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PEVuZE5vdGU+PENpdGU+PEF1dGhvcj5MbG95ZC1TaGVybG9jazwvQXV0aG9yPjxZZWFyPjIwMTQ8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Pr="00000849">
        <w:rPr>
          <w:rFonts w:asciiTheme="minorHAnsi" w:hAnsiTheme="minorHAnsi" w:cstheme="minorHAnsi"/>
          <w:color w:val="383838"/>
        </w:rPr>
      </w:r>
      <w:r w:rsidRPr="00000849">
        <w:rPr>
          <w:rFonts w:asciiTheme="minorHAnsi" w:hAnsiTheme="minorHAnsi" w:cstheme="minorHAnsi"/>
          <w:color w:val="383838"/>
        </w:rPr>
        <w:fldChar w:fldCharType="separate"/>
      </w:r>
      <w:r w:rsidR="00CD7B29">
        <w:rPr>
          <w:rFonts w:asciiTheme="minorHAnsi" w:hAnsiTheme="minorHAnsi" w:cstheme="minorHAnsi"/>
          <w:noProof/>
          <w:color w:val="383838"/>
        </w:rPr>
        <w:t>(Lloyd-Sherlock et al., 2014; Lloyd-Sherlock et al., 2017; Tyrovolas et al., 2015)</w:t>
      </w:r>
      <w:r w:rsidRPr="00000849">
        <w:rPr>
          <w:rFonts w:asciiTheme="minorHAnsi" w:hAnsiTheme="minorHAnsi" w:cstheme="minorHAnsi"/>
          <w:color w:val="383838"/>
        </w:rPr>
        <w:fldChar w:fldCharType="end"/>
      </w:r>
      <w:r w:rsidRPr="00000849">
        <w:rPr>
          <w:rFonts w:asciiTheme="minorHAnsi" w:hAnsiTheme="minorHAnsi" w:cstheme="minorHAnsi"/>
          <w:color w:val="383838"/>
        </w:rPr>
        <w:t>.  The fourth multiple</w:t>
      </w:r>
      <w:r w:rsidR="00AA5E4E" w:rsidRPr="00000849">
        <w:rPr>
          <w:rFonts w:asciiTheme="minorHAnsi" w:hAnsiTheme="minorHAnsi" w:cstheme="minorHAnsi"/>
          <w:color w:val="383838"/>
        </w:rPr>
        <w:t xml:space="preserve"> </w:t>
      </w:r>
      <w:r w:rsidR="00AA5E4E" w:rsidRPr="00000849">
        <w:rPr>
          <w:rFonts w:asciiTheme="minorHAnsi" w:hAnsiTheme="minorHAnsi" w:cstheme="minorHAnsi"/>
          <w:color w:val="383838"/>
        </w:rPr>
        <w:lastRenderedPageBreak/>
        <w:t>publication</w:t>
      </w:r>
      <w:r w:rsidRPr="00000849">
        <w:rPr>
          <w:rFonts w:asciiTheme="minorHAnsi" w:hAnsiTheme="minorHAnsi" w:cstheme="minorHAnsi"/>
          <w:color w:val="383838"/>
        </w:rPr>
        <w:t xml:space="preserve"> paper was a SAGE publication on Ghana which reported risk factors separately for systolic hypertension (SHTN) and diastolic hypertension (DHTN) </w:t>
      </w:r>
      <w:r w:rsidRPr="00000849">
        <w:rPr>
          <w:rFonts w:asciiTheme="minorHAnsi" w:hAnsiTheme="minorHAnsi" w:cstheme="minorHAnsi"/>
          <w:color w:val="383838"/>
        </w:rPr>
        <w:fldChar w:fldCharType="begin">
          <w:fldData xml:space="preserve">PEVuZE5vdGU+PENpdGU+PEF1dGhvcj5Cb2F0ZW5nPC9BdXRob3I+PFllYXI+MjAxNzwvWWVhcj48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PEVuZE5vdGU+PENpdGU+PEF1dGhvcj5Cb2F0ZW5nPC9BdXRob3I+PFllYXI+MjAxNzwvWWVhcj48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Pr="00000849">
        <w:rPr>
          <w:rFonts w:asciiTheme="minorHAnsi" w:hAnsiTheme="minorHAnsi" w:cstheme="minorHAnsi"/>
          <w:color w:val="383838"/>
        </w:rPr>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(Boateng et al., 2017)</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p>
    <w:p w14:paraId="67C11AE8" w14:textId="3CA6FE8C" w:rsidR="007C1DD6" w:rsidRPr="00000849" w:rsidRDefault="007C1DD6" w:rsidP="007C1DD6">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The 19 primary publications covered 30,230 participants who had their blood pressure measured in studies from 12 African countries - four from Ghana; three from Nigeria; two each from C</w:t>
      </w:r>
      <w:r w:rsidR="00640B09" w:rsidRPr="00000849">
        <w:rPr>
          <w:rFonts w:asciiTheme="minorHAnsi" w:hAnsiTheme="minorHAnsi" w:cstheme="minorHAnsi"/>
          <w:color w:val="383838"/>
        </w:rPr>
        <w:t>AR</w:t>
      </w:r>
      <w:r w:rsidRPr="00000849">
        <w:rPr>
          <w:rFonts w:asciiTheme="minorHAnsi" w:hAnsiTheme="minorHAnsi" w:cstheme="minorHAnsi"/>
          <w:color w:val="383838"/>
        </w:rPr>
        <w:t>/Congo, South Africa and Uganda; and one each from Burkina Faso, Cameroon, Kenya, Senegal, Tanzania and Tunisia (Appendix 3 Table 1).  The crude prevalence of hypertension from the 21 data points was 55.9%.</w:t>
      </w:r>
    </w:p>
    <w:p w14:paraId="3BADC235" w14:textId="2AA1716C" w:rsidR="00EB2D87" w:rsidRPr="00000849" w:rsidRDefault="00EB2D87" w:rsidP="00F26AB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38A590AA" w14:textId="0F951A31" w:rsidR="002F7929" w:rsidRPr="00000849" w:rsidRDefault="00D92056" w:rsidP="004E2350">
      <w:pPr>
        <w:pStyle w:val="Heading3"/>
      </w:pPr>
      <w:bookmarkStart w:id="53" w:name="_Toc51472099"/>
      <w:r w:rsidRPr="00000849">
        <w:t>2.2</w:t>
      </w:r>
      <w:r w:rsidR="002F7929" w:rsidRPr="00000849">
        <w:t>.4</w:t>
      </w:r>
      <w:r w:rsidR="002F7929" w:rsidRPr="00000849">
        <w:tab/>
        <w:t>Risk of bias in the included studies</w:t>
      </w:r>
      <w:bookmarkEnd w:id="53"/>
    </w:p>
    <w:p w14:paraId="42ABAEB0" w14:textId="77777777" w:rsidR="002F7929" w:rsidRPr="00000849" w:rsidRDefault="002F7929" w:rsidP="002F792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4F59631D" w14:textId="126B68B4" w:rsidR="002F7929" w:rsidRPr="00000849" w:rsidRDefault="002F7929" w:rsidP="002F7929">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Using the </w:t>
      </w:r>
      <w:r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 AuthorYear="1"&gt;&lt;Author&gt;Hoy&lt;/Author&gt;&lt;Year&gt;2012&lt;/Year&gt;&lt;RecNum&gt;172&lt;/RecNum&gt;&lt;DisplayText&gt;Hoy et al. (2012)&lt;/DisplayText&gt;&lt;record&gt;&lt;rec-number&gt;172&lt;/rec-number&gt;&lt;foreign-keys&gt;&lt;key app="EN" db-id="9tzf2rda8re2a9es5tuxart3swzx2zws2s02" timestamp="1485607619"&gt;172&lt;/key&gt;&lt;/foreign-keys&gt;&lt;ref-type name="Journal Article"&gt;17&lt;/ref-type&gt;&lt;contributors&gt;&lt;authors&gt;&lt;author&gt;Hoy, Damian&lt;/author&gt;&lt;author&gt;Brooks, Peter&lt;/author&gt;&lt;author&gt;Woolf, Anthony&lt;/author&gt;&lt;author&gt;Blyth, Fiona&lt;/author&gt;&lt;author&gt;March, Lyn&lt;/author&gt;&lt;author&gt;Bain, Chris&lt;/author&gt;&lt;author&gt;Baker, Peter&lt;/author&gt;&lt;author&gt;Smith, Emma&lt;/author&gt;&lt;author&gt;Buchbinder, Rachelle&lt;/author&gt;&lt;/authors&gt;&lt;/contributors&gt;&lt;titles&gt;&lt;title&gt;Assessing risk of bias in prevalence studies: modification of an existing tool and evidence of interrater agreement&lt;/title&gt;&lt;secondary-title&gt;Journal of Clinical Epidemiology&lt;/secondary-title&gt;&lt;/titles&gt;&lt;periodical&gt;&lt;full-title&gt;Journal of Clinical Epidemiology&lt;/full-title&gt;&lt;abbr-1&gt;J Clin Epidemiol&lt;/abbr-1&gt;&lt;/periodical&gt;&lt;pages&gt;934-939&lt;/pages&gt;&lt;volume&gt;65&lt;/volume&gt;&lt;number&gt;9&lt;/number&gt;&lt;dates&gt;&lt;year&gt;2012&lt;/year&gt;&lt;/dates&gt;&lt;isbn&gt;0895-4356&lt;/isbn&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Hoy et al. (2012)</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tool, it was determined that 16 (84.2%) of the primary studies had either a low (63.2%) or moderate risk (21.0%) of bias </w:t>
      </w:r>
      <w:bookmarkStart w:id="54" w:name="_Hlk12691020"/>
      <w:r w:rsidRPr="00000849">
        <w:rPr>
          <w:rFonts w:asciiTheme="minorHAnsi" w:hAnsiTheme="minorHAnsi" w:cstheme="minorHAnsi"/>
          <w:color w:val="383838"/>
        </w:rPr>
        <w:t>while three (15.8%) studies had a high risk of bias</w:t>
      </w:r>
      <w:bookmarkEnd w:id="54"/>
      <w:r w:rsidRPr="00000849">
        <w:rPr>
          <w:rFonts w:asciiTheme="minorHAnsi" w:hAnsiTheme="minorHAnsi" w:cstheme="minorHAnsi"/>
          <w:color w:val="383838"/>
        </w:rPr>
        <w:t xml:space="preserve">.  In view of the favourable sensitivity analyses in the meta-analysis (Section </w:t>
      </w:r>
      <w:r w:rsidR="00AA5E4E" w:rsidRPr="00000849">
        <w:rPr>
          <w:rFonts w:asciiTheme="minorHAnsi" w:hAnsiTheme="minorHAnsi" w:cstheme="minorHAnsi"/>
          <w:color w:val="383838"/>
        </w:rPr>
        <w:t>2</w:t>
      </w:r>
      <w:r w:rsidRPr="00000849">
        <w:rPr>
          <w:rFonts w:asciiTheme="minorHAnsi" w:hAnsiTheme="minorHAnsi" w:cstheme="minorHAnsi"/>
          <w:color w:val="383838"/>
        </w:rPr>
        <w:t>.</w:t>
      </w:r>
      <w:r w:rsidR="00AA5E4E" w:rsidRPr="00000849">
        <w:rPr>
          <w:rFonts w:asciiTheme="minorHAnsi" w:hAnsiTheme="minorHAnsi" w:cstheme="minorHAnsi"/>
          <w:color w:val="383838"/>
        </w:rPr>
        <w:t>1.8</w:t>
      </w:r>
      <w:r w:rsidRPr="00000849">
        <w:rPr>
          <w:rFonts w:asciiTheme="minorHAnsi" w:hAnsiTheme="minorHAnsi" w:cstheme="minorHAnsi"/>
          <w:color w:val="383838"/>
        </w:rPr>
        <w:t xml:space="preserve">), the high risk studies were retained in the narrative synthesis </w:t>
      </w:r>
      <w:r w:rsidRPr="00000849">
        <w:rPr>
          <w:rFonts w:asciiTheme="minorHAnsi" w:hAnsiTheme="minorHAnsi" w:cstheme="minorHAnsi"/>
          <w:color w:val="383838"/>
        </w:rPr>
        <w:fldChar w:fldCharType="begin"/>
      </w:r>
      <w:r w:rsidR="00AC2BE6">
        <w:rPr>
          <w:rFonts w:asciiTheme="minorHAnsi" w:hAnsiTheme="minorHAnsi" w:cstheme="minorHAnsi"/>
          <w:color w:val="383838"/>
        </w:rPr>
        <w:instrText xml:space="preserve"> ADDIN EN.CITE &lt;EndNote&gt;&lt;Cite&gt;&lt;Author&gt;Bosu&lt;/Author&gt;&lt;Year&gt;2019&lt;/Year&gt;&lt;RecNum&gt;8&lt;/RecNum&gt;&lt;DisplayText&gt;(Bosu et al., 2019b)&lt;/DisplayText&gt;&lt;record&gt;&lt;rec-number&gt;8&lt;/rec-number&gt;&lt;foreign-keys&gt;&lt;key app="EN" db-id="29t2ptva8t9xtgex0z2vepsadpwpfxd9a2zv" timestamp="1584928524"&gt;8&lt;/key&gt;&lt;/foreign-keys&gt;&lt;ref-type name="Journal Article"&gt;17&lt;/ref-type&gt;&lt;contributors&gt;&lt;authors&gt;&lt;author&gt;Bosu, William K.&lt;/author&gt;&lt;author&gt;Reilly, Siobhan T.&lt;/author&gt;&lt;author&gt;Aheto, Justice M. K.&lt;/author&gt;&lt;author&gt;Zucchelli, Eugenio&lt;/author&gt;&lt;/authors&gt;&lt;/contributors&gt;&lt;auth-address&gt;Department of Public Health and Research, West African Health Organisation, Bobo-Dioulasso, Burkina Faso.&amp;#xD;Division of Health Research, Faculty of Health &amp;amp; Medicine, Lancaster University, Lancaster, United Kingdom.&amp;#xD;Department of Biostatistics, School of Public Health, University of Ghana, Legon, Accra, Ghana.&lt;/auth-address&gt;&lt;titles&gt;&lt;title&gt;Hypertension in older adults in Africa: A systematic review and meta-analysis&lt;/title&gt;&lt;secondary-title&gt;PLoS One&lt;/secondary-title&gt;&lt;/titles&gt;&lt;periodical&gt;&lt;full-title&gt;PLoS One&lt;/full-title&gt;&lt;abbr-1&gt;PLoS One&lt;/abbr-1&gt;&lt;/periodical&gt;&lt;pages&gt;e0214934&lt;/pages&gt;&lt;volume&gt;14&lt;/volume&gt;&lt;number&gt;4&lt;/number&gt;&lt;edition&gt;2019/04/06&lt;/edition&gt;&lt;dates&gt;&lt;year&gt;2019&lt;/year&gt;&lt;/dates&gt;&lt;isbn&gt;1932-6203 (Electronic)&amp;#xD;1932-6203 (Linking)&lt;/isbn&gt;&lt;accession-num&gt;30951534&lt;/accession-num&gt;&lt;urls&gt;&lt;related-urls&gt;&lt;url&gt;https://www.ncbi.nlm.nih.gov/pubmed/30951534&lt;/url&gt;&lt;/related-urls&gt;&lt;/urls&gt;&lt;custom2&gt;PMC6450645&lt;/custom2&gt;&lt;electronic-resource-num&gt;10.1371/journal.pone.0214934&lt;/electronic-resource-num&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(Bosu et al., 2019b)</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p>
    <w:p w14:paraId="155BF4B9" w14:textId="77777777" w:rsidR="00B87AC8" w:rsidRPr="00000849" w:rsidRDefault="00B87AC8" w:rsidP="000102B0">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482405A9" w14:textId="661A71E3" w:rsidR="000B685E" w:rsidRPr="00000849" w:rsidRDefault="00D92056" w:rsidP="00000849">
      <w:pPr>
        <w:pStyle w:val="Heading3"/>
        <w:keepNext w:val="0"/>
        <w:keepLines w:val="0"/>
      </w:pPr>
      <w:bookmarkStart w:id="55" w:name="_Toc51472100"/>
      <w:r w:rsidRPr="00000849">
        <w:t>2.2</w:t>
      </w:r>
      <w:r w:rsidR="000B685E" w:rsidRPr="00000849">
        <w:t>.</w:t>
      </w:r>
      <w:r w:rsidR="00DB1D71" w:rsidRPr="00000849">
        <w:t>5</w:t>
      </w:r>
      <w:r w:rsidR="000B685E" w:rsidRPr="00000849">
        <w:tab/>
      </w:r>
      <w:r w:rsidR="00EB2D87" w:rsidRPr="00000849">
        <w:t>Determinants of hypertension in older adults</w:t>
      </w:r>
      <w:bookmarkEnd w:id="55"/>
    </w:p>
    <w:p w14:paraId="375AC6C4" w14:textId="1F8FF220" w:rsidR="00674E83" w:rsidRPr="00000849" w:rsidRDefault="00D92056" w:rsidP="0075255B">
      <w:pPr>
        <w:pStyle w:val="Heading4"/>
      </w:pPr>
      <w:r w:rsidRPr="00000849">
        <w:t>2.2</w:t>
      </w:r>
      <w:r w:rsidR="00674E83" w:rsidRPr="00000849">
        <w:t>.5.1</w:t>
      </w:r>
      <w:r w:rsidR="00674E83" w:rsidRPr="00000849">
        <w:tab/>
        <w:t>Demographic factors</w:t>
      </w:r>
    </w:p>
    <w:p w14:paraId="22723C69" w14:textId="77777777" w:rsidR="00674E83" w:rsidRPr="00000849" w:rsidRDefault="00674E83" w:rsidP="00B25534">
      <w:pPr>
        <w:spacing w:line="480" w:lineRule="auto"/>
        <w:jc w:val="both"/>
        <w:rPr>
          <w:sz w:val="24"/>
        </w:rPr>
      </w:pPr>
    </w:p>
    <w:p w14:paraId="50EB5C7F" w14:textId="11AE2EF9" w:rsidR="00CD71E7" w:rsidRPr="00000849" w:rsidRDefault="00B710D5" w:rsidP="00674E83">
      <w:pPr>
        <w:spacing w:line="480" w:lineRule="auto"/>
        <w:jc w:val="both"/>
        <w:rPr>
          <w:sz w:val="24"/>
        </w:rPr>
      </w:pPr>
      <w:r w:rsidRPr="00000849">
        <w:rPr>
          <w:sz w:val="24"/>
        </w:rPr>
        <w:t xml:space="preserve">In the individual studies, the age-specific prevalence of hypertension was higher in older ages that in younger ages (Appendix 3 Table 2).  </w:t>
      </w:r>
      <w:r w:rsidR="00E31B6F" w:rsidRPr="00000849">
        <w:rPr>
          <w:sz w:val="24"/>
        </w:rPr>
        <w:t xml:space="preserve">In </w:t>
      </w:r>
      <w:r w:rsidR="004A4A38" w:rsidRPr="00000849">
        <w:rPr>
          <w:sz w:val="24"/>
        </w:rPr>
        <w:t>multivariable</w:t>
      </w:r>
      <w:r w:rsidR="00E31B6F" w:rsidRPr="00000849">
        <w:rPr>
          <w:sz w:val="24"/>
        </w:rPr>
        <w:t xml:space="preserve"> analyses, </w:t>
      </w:r>
      <w:r w:rsidR="00B82FBA" w:rsidRPr="00000849">
        <w:rPr>
          <w:sz w:val="24"/>
        </w:rPr>
        <w:t xml:space="preserve">the </w:t>
      </w:r>
      <w:r w:rsidR="00B82FBA" w:rsidRPr="00000849">
        <w:rPr>
          <w:sz w:val="24"/>
        </w:rPr>
        <w:lastRenderedPageBreak/>
        <w:t xml:space="preserve">demographic variables that were independently associated with hypertension </w:t>
      </w:r>
      <w:r w:rsidR="00BD22B7" w:rsidRPr="00000849">
        <w:rPr>
          <w:sz w:val="24"/>
        </w:rPr>
        <w:t xml:space="preserve">frequently </w:t>
      </w:r>
      <w:r w:rsidR="00B82FBA" w:rsidRPr="00000849">
        <w:rPr>
          <w:sz w:val="24"/>
        </w:rPr>
        <w:t xml:space="preserve">were </w:t>
      </w:r>
      <w:r w:rsidR="00187456" w:rsidRPr="00000849">
        <w:rPr>
          <w:sz w:val="24"/>
        </w:rPr>
        <w:t>older age, female sex and urban residence</w:t>
      </w:r>
      <w:r w:rsidR="00856411" w:rsidRPr="00000849">
        <w:rPr>
          <w:sz w:val="24"/>
        </w:rPr>
        <w:t xml:space="preserve"> (</w:t>
      </w:r>
      <w:r w:rsidR="00007E47" w:rsidRPr="00000849">
        <w:rPr>
          <w:sz w:val="24"/>
        </w:rPr>
        <w:t>Appendix 3</w:t>
      </w:r>
      <w:r w:rsidR="00856411" w:rsidRPr="00000849">
        <w:rPr>
          <w:sz w:val="24"/>
        </w:rPr>
        <w:t xml:space="preserve"> </w:t>
      </w:r>
      <w:r w:rsidR="00E31B6F" w:rsidRPr="00000849">
        <w:rPr>
          <w:sz w:val="24"/>
        </w:rPr>
        <w:t>Table</w:t>
      </w:r>
      <w:r w:rsidR="00153EFF" w:rsidRPr="00000849">
        <w:rPr>
          <w:sz w:val="24"/>
        </w:rPr>
        <w:t>s</w:t>
      </w:r>
      <w:r w:rsidR="00E31B6F" w:rsidRPr="00000849">
        <w:rPr>
          <w:sz w:val="24"/>
        </w:rPr>
        <w:t xml:space="preserve"> </w:t>
      </w:r>
      <w:r w:rsidRPr="00000849">
        <w:rPr>
          <w:sz w:val="24"/>
        </w:rPr>
        <w:t>3</w:t>
      </w:r>
      <w:r w:rsidR="00153EFF" w:rsidRPr="00000849">
        <w:rPr>
          <w:sz w:val="24"/>
        </w:rPr>
        <w:t xml:space="preserve"> &amp; </w:t>
      </w:r>
      <w:r w:rsidRPr="00000849">
        <w:rPr>
          <w:sz w:val="24"/>
        </w:rPr>
        <w:t>4</w:t>
      </w:r>
      <w:r w:rsidR="00E31B6F" w:rsidRPr="00000849">
        <w:rPr>
          <w:sz w:val="24"/>
        </w:rPr>
        <w:t xml:space="preserve">).  </w:t>
      </w:r>
      <w:r w:rsidR="00856411" w:rsidRPr="00000849">
        <w:rPr>
          <w:sz w:val="24"/>
        </w:rPr>
        <w:t>Out of</w:t>
      </w:r>
      <w:r w:rsidR="00E31B6F" w:rsidRPr="00000849">
        <w:rPr>
          <w:sz w:val="24"/>
        </w:rPr>
        <w:t xml:space="preserve"> 11 studies </w:t>
      </w:r>
      <w:r w:rsidR="00856411" w:rsidRPr="00000849">
        <w:rPr>
          <w:sz w:val="24"/>
        </w:rPr>
        <w:t xml:space="preserve">providing </w:t>
      </w:r>
      <w:r w:rsidR="00E31B6F" w:rsidRPr="00000849">
        <w:rPr>
          <w:sz w:val="24"/>
        </w:rPr>
        <w:t xml:space="preserve">13 data contributions, older age group </w:t>
      </w:r>
      <w:r w:rsidR="00856411" w:rsidRPr="00000849">
        <w:rPr>
          <w:sz w:val="24"/>
        </w:rPr>
        <w:t>was independently associated with</w:t>
      </w:r>
      <w:r w:rsidR="00E31B6F" w:rsidRPr="00000849">
        <w:rPr>
          <w:sz w:val="24"/>
        </w:rPr>
        <w:t xml:space="preserve"> hypertension in </w:t>
      </w:r>
      <w:r w:rsidR="00856411" w:rsidRPr="00000849">
        <w:rPr>
          <w:sz w:val="24"/>
        </w:rPr>
        <w:t>seven studies providing</w:t>
      </w:r>
      <w:r w:rsidR="00E31B6F" w:rsidRPr="00000849">
        <w:rPr>
          <w:sz w:val="24"/>
        </w:rPr>
        <w:t xml:space="preserve"> nine </w:t>
      </w:r>
      <w:r w:rsidR="00640B09" w:rsidRPr="00000849">
        <w:rPr>
          <w:sz w:val="24"/>
        </w:rPr>
        <w:t>data contributions</w:t>
      </w:r>
      <w:r w:rsidR="00856411" w:rsidRPr="00000849">
        <w:rPr>
          <w:sz w:val="24"/>
        </w:rPr>
        <w:t xml:space="preserve">.  The relationship between older age and hypertension was, however, </w:t>
      </w:r>
      <w:r w:rsidR="00E31B6F" w:rsidRPr="00000849">
        <w:rPr>
          <w:sz w:val="24"/>
        </w:rPr>
        <w:t xml:space="preserve">not statistically significant in four studies (four data contributions) </w:t>
      </w:r>
      <w:r w:rsidR="00E31B6F" w:rsidRPr="00000849">
        <w:rPr>
          <w:sz w:val="24"/>
        </w:rPr>
        <w:fldChar w:fldCharType="begin">
          <w:fldData xml:space="preserve">PEVuZE5vdGU+PENpdGU+PEF1dGhvcj5IYW1tYW1pPC9BdXRob3I+PFllYXI+MjAxMTwvWWVhcj48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</w:fldData>
        </w:fldChar>
      </w:r>
      <w:r w:rsidR="00AC2BE6">
        <w:rPr>
          <w:sz w:val="24"/>
        </w:rPr>
        <w:instrText xml:space="preserve"> ADDIN EN.CITE </w:instrText>
      </w:r>
      <w:r w:rsidR="00AC2BE6">
        <w:rPr>
          <w:sz w:val="24"/>
        </w:rPr>
        <w:fldChar w:fldCharType="begin">
          <w:fldData xml:space="preserve">PEVuZE5vdGU+PENpdGU+PEF1dGhvcj5IYW1tYW1pPC9BdXRob3I+PFllYXI+MjAxMTwvWWVhcj48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</w:fldData>
        </w:fldChar>
      </w:r>
      <w:r w:rsidR="00AC2BE6">
        <w:rPr>
          <w:sz w:val="24"/>
        </w:rPr>
        <w:instrText xml:space="preserve"> ADDIN EN.CITE.DATA </w:instrText>
      </w:r>
      <w:r w:rsidR="00AC2BE6">
        <w:rPr>
          <w:sz w:val="24"/>
        </w:rPr>
      </w:r>
      <w:r w:rsidR="00AC2BE6">
        <w:rPr>
          <w:sz w:val="24"/>
        </w:rPr>
        <w:fldChar w:fldCharType="end"/>
      </w:r>
      <w:r w:rsidR="00E31B6F" w:rsidRPr="00000849">
        <w:rPr>
          <w:sz w:val="24"/>
        </w:rPr>
      </w:r>
      <w:r w:rsidR="00E31B6F" w:rsidRPr="00000849">
        <w:rPr>
          <w:sz w:val="24"/>
        </w:rPr>
        <w:fldChar w:fldCharType="separate"/>
      </w:r>
      <w:r w:rsidR="00D363A0">
        <w:rPr>
          <w:noProof/>
          <w:sz w:val="24"/>
        </w:rPr>
        <w:t>(Hammami et al., 2011; Peltzer &amp; Phaswana-Mafuya, 2013a; Raji et al., 2017; Tianyi et al., 2018)</w:t>
      </w:r>
      <w:r w:rsidR="00E31B6F" w:rsidRPr="00000849">
        <w:rPr>
          <w:sz w:val="24"/>
        </w:rPr>
        <w:fldChar w:fldCharType="end"/>
      </w:r>
      <w:r w:rsidR="00E31B6F" w:rsidRPr="00000849">
        <w:rPr>
          <w:sz w:val="24"/>
        </w:rPr>
        <w:t xml:space="preserve">. </w:t>
      </w:r>
      <w:r w:rsidR="00747688" w:rsidRPr="00000849">
        <w:rPr>
          <w:sz w:val="24"/>
        </w:rPr>
        <w:t xml:space="preserve"> </w:t>
      </w:r>
      <w:r w:rsidR="00F2358F" w:rsidRPr="00000849">
        <w:rPr>
          <w:sz w:val="24"/>
          <w:szCs w:val="24"/>
        </w:rPr>
        <w:t>The</w:t>
      </w:r>
      <w:r w:rsidR="00CD71E7" w:rsidRPr="00000849">
        <w:rPr>
          <w:sz w:val="24"/>
          <w:szCs w:val="24"/>
        </w:rPr>
        <w:t xml:space="preserve"> statistically significant relationship between older age and hypertension </w:t>
      </w:r>
      <w:r w:rsidR="00747688" w:rsidRPr="00000849">
        <w:rPr>
          <w:sz w:val="24"/>
          <w:szCs w:val="24"/>
        </w:rPr>
        <w:t xml:space="preserve">in Tunisia and South Africa in </w:t>
      </w:r>
      <w:r w:rsidR="004A4A38" w:rsidRPr="00000849">
        <w:rPr>
          <w:sz w:val="24"/>
          <w:szCs w:val="24"/>
        </w:rPr>
        <w:t>univariable</w:t>
      </w:r>
      <w:r w:rsidR="00747688" w:rsidRPr="00000849">
        <w:rPr>
          <w:sz w:val="24"/>
          <w:szCs w:val="24"/>
        </w:rPr>
        <w:t xml:space="preserve"> analysis </w:t>
      </w:r>
      <w:r w:rsidR="00CD71E7" w:rsidRPr="00000849">
        <w:rPr>
          <w:sz w:val="24"/>
          <w:szCs w:val="24"/>
        </w:rPr>
        <w:t xml:space="preserve">disappeared in the </w:t>
      </w:r>
      <w:r w:rsidR="004A4A38" w:rsidRPr="00000849">
        <w:rPr>
          <w:sz w:val="24"/>
          <w:szCs w:val="24"/>
        </w:rPr>
        <w:t>multivariable</w:t>
      </w:r>
      <w:r w:rsidR="00CD71E7" w:rsidRPr="00000849">
        <w:rPr>
          <w:sz w:val="24"/>
          <w:szCs w:val="24"/>
        </w:rPr>
        <w:t xml:space="preserve"> analyses </w:t>
      </w:r>
      <w:r w:rsidR="00CD71E7" w:rsidRPr="00000849">
        <w:rPr>
          <w:sz w:val="24"/>
          <w:szCs w:val="24"/>
        </w:rPr>
        <w:fldChar w:fldCharType="begin">
          <w:fldData xml:space="preserve">PEVuZE5vdGU+PENpdGU+PEF1dGhvcj5IYW1tYW1pPC9BdXRob3I+PFllYXI+MjAxMTwvWWVhcj48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</w:fldData>
        </w:fldChar>
      </w:r>
      <w:r w:rsidR="00AC2BE6">
        <w:rPr>
          <w:sz w:val="24"/>
          <w:szCs w:val="24"/>
        </w:rPr>
        <w:instrText xml:space="preserve"> ADDIN EN.CITE </w:instrText>
      </w:r>
      <w:r w:rsidR="00AC2BE6">
        <w:rPr>
          <w:sz w:val="24"/>
          <w:szCs w:val="24"/>
        </w:rPr>
        <w:fldChar w:fldCharType="begin">
          <w:fldData xml:space="preserve">PEVuZE5vdGU+PENpdGU+PEF1dGhvcj5IYW1tYW1pPC9BdXRob3I+PFllYXI+MjAxMTwvWWVhcj48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</w:fldData>
        </w:fldChar>
      </w:r>
      <w:r w:rsidR="00AC2BE6">
        <w:rPr>
          <w:sz w:val="24"/>
          <w:szCs w:val="24"/>
        </w:rPr>
        <w:instrText xml:space="preserve"> ADDIN EN.CITE.DATA </w:instrText>
      </w:r>
      <w:r w:rsidR="00AC2BE6">
        <w:rPr>
          <w:sz w:val="24"/>
          <w:szCs w:val="24"/>
        </w:rPr>
      </w:r>
      <w:r w:rsidR="00AC2BE6">
        <w:rPr>
          <w:sz w:val="24"/>
          <w:szCs w:val="24"/>
        </w:rPr>
        <w:fldChar w:fldCharType="end"/>
      </w:r>
      <w:r w:rsidR="00CD71E7" w:rsidRPr="00000849">
        <w:rPr>
          <w:sz w:val="24"/>
          <w:szCs w:val="24"/>
        </w:rPr>
      </w:r>
      <w:r w:rsidR="00CD71E7" w:rsidRPr="00000849">
        <w:rPr>
          <w:sz w:val="24"/>
          <w:szCs w:val="24"/>
        </w:rPr>
        <w:fldChar w:fldCharType="separate"/>
      </w:r>
      <w:r w:rsidR="00D363A0">
        <w:rPr>
          <w:noProof/>
          <w:sz w:val="24"/>
          <w:szCs w:val="24"/>
        </w:rPr>
        <w:t>(Hammami et al., 2011; Peltzer &amp; Phaswana-Mafuya, 2013a)</w:t>
      </w:r>
      <w:r w:rsidR="00CD71E7" w:rsidRPr="00000849">
        <w:rPr>
          <w:sz w:val="24"/>
          <w:szCs w:val="24"/>
        </w:rPr>
        <w:fldChar w:fldCharType="end"/>
      </w:r>
      <w:r w:rsidR="00CD71E7" w:rsidRPr="00000849">
        <w:rPr>
          <w:sz w:val="24"/>
          <w:szCs w:val="24"/>
        </w:rPr>
        <w:t>.</w:t>
      </w:r>
    </w:p>
    <w:p w14:paraId="4F8E8656" w14:textId="204EDE37" w:rsidR="00E31B6F" w:rsidRPr="00000849" w:rsidRDefault="00856411" w:rsidP="0099006A">
      <w:pPr>
        <w:spacing w:line="480" w:lineRule="auto"/>
        <w:ind w:firstLine="720"/>
        <w:jc w:val="both"/>
        <w:rPr>
          <w:sz w:val="24"/>
        </w:rPr>
      </w:pPr>
      <w:r w:rsidRPr="00000849">
        <w:rPr>
          <w:sz w:val="24"/>
        </w:rPr>
        <w:t>A dose response relationship between older age and hypertension was observed in some studies but not in others.  For instance, i</w:t>
      </w:r>
      <w:r w:rsidR="00E31B6F" w:rsidRPr="00000849">
        <w:rPr>
          <w:sz w:val="24"/>
        </w:rPr>
        <w:t>n Senegal</w:t>
      </w:r>
      <w:r w:rsidRPr="00000849">
        <w:rPr>
          <w:sz w:val="24"/>
        </w:rPr>
        <w:t xml:space="preserve">, </w:t>
      </w:r>
      <w:r w:rsidR="00E31B6F" w:rsidRPr="00000849">
        <w:rPr>
          <w:sz w:val="24"/>
        </w:rPr>
        <w:t xml:space="preserve">subjects aged 60-69 years and </w:t>
      </w:r>
      <w:r w:rsidR="00E31B6F" w:rsidRPr="00000849">
        <w:rPr>
          <w:rFonts w:cstheme="minorHAnsi"/>
          <w:sz w:val="24"/>
        </w:rPr>
        <w:t>≥</w:t>
      </w:r>
      <w:r w:rsidR="00E31B6F" w:rsidRPr="00000849">
        <w:rPr>
          <w:sz w:val="24"/>
        </w:rPr>
        <w:t xml:space="preserve">70 years respectively </w:t>
      </w:r>
      <w:r w:rsidRPr="00000849">
        <w:rPr>
          <w:sz w:val="24"/>
        </w:rPr>
        <w:t xml:space="preserve">had </w:t>
      </w:r>
      <w:r w:rsidR="00E31B6F" w:rsidRPr="00000849">
        <w:rPr>
          <w:sz w:val="24"/>
        </w:rPr>
        <w:t xml:space="preserve">1.9 and 2.5 times </w:t>
      </w:r>
      <w:r w:rsidRPr="00000849">
        <w:rPr>
          <w:sz w:val="24"/>
        </w:rPr>
        <w:t xml:space="preserve">the odds of </w:t>
      </w:r>
      <w:r w:rsidR="00F2358F" w:rsidRPr="00000849">
        <w:rPr>
          <w:sz w:val="24"/>
        </w:rPr>
        <w:t>having</w:t>
      </w:r>
      <w:r w:rsidRPr="00000849">
        <w:rPr>
          <w:sz w:val="24"/>
        </w:rPr>
        <w:t xml:space="preserve"> hypertensi</w:t>
      </w:r>
      <w:r w:rsidR="00F2358F" w:rsidRPr="00000849">
        <w:rPr>
          <w:sz w:val="24"/>
        </w:rPr>
        <w:t>on</w:t>
      </w:r>
      <w:r w:rsidRPr="00000849">
        <w:rPr>
          <w:sz w:val="24"/>
        </w:rPr>
        <w:t xml:space="preserve"> as</w:t>
      </w:r>
      <w:r w:rsidR="00E31B6F" w:rsidRPr="00000849">
        <w:rPr>
          <w:sz w:val="24"/>
        </w:rPr>
        <w:t xml:space="preserve"> those aged 50-59 years </w:t>
      </w:r>
      <w:r w:rsidR="00E31B6F" w:rsidRPr="00000849">
        <w:rPr>
          <w:sz w:val="24"/>
        </w:rPr>
        <w:fldChar w:fldCharType="begin"/>
      </w:r>
      <w:r w:rsidR="001740AB" w:rsidRPr="00000849">
        <w:rPr>
          <w:sz w:val="24"/>
        </w:rPr>
        <w:instrText xml:space="preserve"> ADDIN EN.CITE &lt;EndNote&gt;&lt;Cite&gt;&lt;Author&gt;Macia&lt;/Author&gt;&lt;Year&gt;2012&lt;/Year&gt;&lt;RecNum&gt;54&lt;/RecNum&gt;&lt;DisplayText&gt;(Macia et al., 2012)&lt;/DisplayText&gt;&lt;record&gt;&lt;rec-number&gt;54&lt;/rec-number&gt;&lt;foreign-keys&gt;&lt;key app="EN" db-id="pzfw02x58peadyevdp8vswt40etp25t5ddp0" timestamp="1533819995"&gt;54&lt;/key&gt;&lt;/foreign-keys&gt;&lt;ref-type name="Journal Article"&gt;17&lt;/ref-type&gt;&lt;contributors&gt;&lt;authors&gt;&lt;author&gt;Macia, E.&lt;/author&gt;&lt;author&gt;Duboz, P.&lt;/author&gt;&lt;author&gt;Gueye, L.&lt;/author&gt;&lt;/authors&gt;&lt;/contributors&gt;&lt;titles&gt;&lt;title&gt;Prevalence, awareness, treatment and control of hypertension among adults 50 years and older in Dakar, Senegal&lt;/title&gt;&lt;secondary-title&gt;Cardiovascular journal of Africa&lt;/secondary-title&gt;&lt;/titles&gt;&lt;periodical&gt;&lt;full-title&gt;Cardiovascular Journal of Africa&lt;/full-title&gt;&lt;abbr-1&gt;Cardiovasc J Afr&lt;/abbr-1&gt;&lt;/periodical&gt;&lt;pages&gt;265-9&lt;/pages&gt;&lt;volume&gt;23&lt;/volume&gt;&lt;number&gt;5&lt;/number&gt;&lt;section&gt;Macia, E. UMI 3189 Environnement, sante, societes, Universite Cheikh Anta Diop/CNRS/Universite de Bamako/CNRST, Burkina-Faso, Senegal. enguerranmacia@gmail.com&lt;/section&gt;&lt;keywords&gt;&lt;keyword&gt;Aged&lt;/keyword&gt;&lt;keyword&gt;Aged, 80 and over&lt;/keyword&gt;&lt;keyword&gt;Antihypertensive Agents/tu [Therapeutic Use]&lt;/keyword&gt;&lt;keyword&gt;Blood Pressure&lt;/keyword&gt;&lt;keyword&gt;Female&lt;/keyword&gt;&lt;keyword&gt;*Health Knowledge, Attitudes, Practice&lt;/keyword&gt;&lt;keyword&gt;Humans&lt;/keyword&gt;&lt;keyword&gt;Hypertension/dt [Drug Therapy]&lt;/keyword&gt;&lt;keyword&gt;*Hypertension/ep [Epidemiology]&lt;/keyword&gt;&lt;keyword&gt;Male&lt;/keyword&gt;&lt;keyword&gt;Middle Aged&lt;/keyword&gt;&lt;keyword&gt;Prevalence&lt;/keyword&gt;&lt;keyword&gt;Risk Factors&lt;/keyword&gt;&lt;keyword&gt;Senegal/ep [Epidemiology]&lt;/keyword&gt;&lt;/keywords&gt;&lt;dates&gt;&lt;year&gt;2012&lt;/year&gt;&lt;/dates&gt;&lt;pub-location&gt;South Africa&lt;/pub-location&gt;&lt;isbn&gt;1680-0745&amp;#xD;1015-9657&lt;/isbn&gt;&lt;urls&gt;&lt;related-urls&gt;&lt;url&gt;http://ovidsp.ovid.com/ovidweb.cgi?T=JS&amp;amp;PAGE=reference&amp;amp;D=med7&amp;amp;NEWS=N&amp;amp;AN=22002461&lt;/url&gt;&lt;/related-urls&gt;&lt;/urls&gt;&lt;electronic-resource-num&gt;https://dx.doi.org/10.5830/CVJA-2011-039&lt;/electronic-resource-num&gt;&lt;/record&gt;&lt;/Cite&gt;&lt;/EndNote&gt;</w:instrText>
      </w:r>
      <w:r w:rsidR="00E31B6F" w:rsidRPr="00000849">
        <w:rPr>
          <w:sz w:val="24"/>
        </w:rPr>
        <w:fldChar w:fldCharType="separate"/>
      </w:r>
      <w:r w:rsidR="001740AB" w:rsidRPr="00000849">
        <w:rPr>
          <w:noProof/>
          <w:sz w:val="24"/>
        </w:rPr>
        <w:t>(Macia et al., 2012)</w:t>
      </w:r>
      <w:r w:rsidR="00E31B6F" w:rsidRPr="00000849">
        <w:rPr>
          <w:sz w:val="24"/>
        </w:rPr>
        <w:fldChar w:fldCharType="end"/>
      </w:r>
      <w:r w:rsidR="00E31B6F" w:rsidRPr="00000849">
        <w:rPr>
          <w:sz w:val="24"/>
        </w:rPr>
        <w:t xml:space="preserve">.  </w:t>
      </w:r>
      <w:r w:rsidRPr="00000849">
        <w:rPr>
          <w:sz w:val="24"/>
        </w:rPr>
        <w:t>H</w:t>
      </w:r>
      <w:r w:rsidR="00E31B6F" w:rsidRPr="00000849">
        <w:rPr>
          <w:sz w:val="24"/>
        </w:rPr>
        <w:t xml:space="preserve">owever, in Ghana, </w:t>
      </w:r>
      <w:r w:rsidRPr="00000849">
        <w:rPr>
          <w:sz w:val="24"/>
        </w:rPr>
        <w:t xml:space="preserve">subjects aged 65-69 years </w:t>
      </w:r>
      <w:r w:rsidR="0099006A" w:rsidRPr="00000849">
        <w:rPr>
          <w:sz w:val="24"/>
        </w:rPr>
        <w:t>had higher odds of having</w:t>
      </w:r>
      <w:r w:rsidR="00E31B6F" w:rsidRPr="00000849">
        <w:rPr>
          <w:sz w:val="24"/>
        </w:rPr>
        <w:t xml:space="preserve"> hypertension </w:t>
      </w:r>
      <w:r w:rsidR="0099006A" w:rsidRPr="00000849">
        <w:rPr>
          <w:sz w:val="24"/>
        </w:rPr>
        <w:t xml:space="preserve">than those aged 70-74 or </w:t>
      </w:r>
      <w:r w:rsidR="0099006A" w:rsidRPr="00000849">
        <w:rPr>
          <w:rFonts w:cstheme="minorHAnsi"/>
          <w:sz w:val="24"/>
        </w:rPr>
        <w:t>≥</w:t>
      </w:r>
      <w:r w:rsidR="0099006A" w:rsidRPr="00000849">
        <w:rPr>
          <w:sz w:val="24"/>
        </w:rPr>
        <w:t xml:space="preserve">75-years </w:t>
      </w:r>
      <w:r w:rsidR="00E31B6F" w:rsidRPr="00000849">
        <w:rPr>
          <w:sz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sz w:val="24"/>
        </w:rPr>
        <w:instrText xml:space="preserve"> ADDIN EN.CITE </w:instrText>
      </w:r>
      <w:r w:rsidR="00AC2BE6">
        <w:rPr>
          <w:sz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sz w:val="24"/>
        </w:rPr>
        <w:instrText xml:space="preserve"> ADDIN EN.CITE.DATA </w:instrText>
      </w:r>
      <w:r w:rsidR="00AC2BE6">
        <w:rPr>
          <w:sz w:val="24"/>
        </w:rPr>
      </w:r>
      <w:r w:rsidR="00AC2BE6">
        <w:rPr>
          <w:sz w:val="24"/>
        </w:rPr>
        <w:fldChar w:fldCharType="end"/>
      </w:r>
      <w:r w:rsidR="00E31B6F" w:rsidRPr="00000849">
        <w:rPr>
          <w:sz w:val="24"/>
        </w:rPr>
      </w:r>
      <w:r w:rsidR="00E31B6F" w:rsidRPr="00000849">
        <w:rPr>
          <w:sz w:val="24"/>
        </w:rPr>
        <w:fldChar w:fldCharType="separate"/>
      </w:r>
      <w:r w:rsidR="00CD7B29">
        <w:rPr>
          <w:noProof/>
          <w:sz w:val="24"/>
        </w:rPr>
        <w:t>(Lloyd-Sherlock et al., 2014)</w:t>
      </w:r>
      <w:r w:rsidR="00E31B6F" w:rsidRPr="00000849">
        <w:rPr>
          <w:sz w:val="24"/>
        </w:rPr>
        <w:fldChar w:fldCharType="end"/>
      </w:r>
      <w:r w:rsidR="00E31B6F" w:rsidRPr="00000849">
        <w:rPr>
          <w:sz w:val="24"/>
        </w:rPr>
        <w:t xml:space="preserve">.  </w:t>
      </w:r>
      <w:r w:rsidR="0099006A" w:rsidRPr="00000849">
        <w:rPr>
          <w:sz w:val="24"/>
        </w:rPr>
        <w:t>Those aged 50-54 years had the lowest odds of having hypertension.</w:t>
      </w:r>
    </w:p>
    <w:p w14:paraId="00B798B1" w14:textId="0ED80CE7" w:rsidR="0099006A" w:rsidRPr="00000849" w:rsidRDefault="0099006A" w:rsidP="00087479">
      <w:pPr>
        <w:spacing w:line="480" w:lineRule="auto"/>
        <w:ind w:firstLine="720"/>
        <w:jc w:val="both"/>
        <w:rPr>
          <w:sz w:val="24"/>
          <w:szCs w:val="24"/>
        </w:rPr>
      </w:pPr>
      <w:r w:rsidRPr="00000849">
        <w:rPr>
          <w:sz w:val="24"/>
          <w:szCs w:val="24"/>
        </w:rPr>
        <w:t xml:space="preserve">In eight studies (nine data contributions) in which the age-specific prevalence of hypertension was provided, the prevalence in the oldest age group was generally higher than that of the youngest age group </w:t>
      </w:r>
      <w:r w:rsidR="00753CD2" w:rsidRPr="00000849">
        <w:rPr>
          <w:sz w:val="24"/>
          <w:szCs w:val="24"/>
        </w:rPr>
        <w:t>(Appendix 3 Table 2)</w:t>
      </w:r>
      <w:r w:rsidR="008E533E" w:rsidRPr="00000849">
        <w:rPr>
          <w:sz w:val="24"/>
          <w:szCs w:val="24"/>
        </w:rPr>
        <w:t xml:space="preserve">.  </w:t>
      </w:r>
      <w:r w:rsidR="00087479" w:rsidRPr="00000849">
        <w:rPr>
          <w:sz w:val="24"/>
          <w:szCs w:val="24"/>
        </w:rPr>
        <w:t>H</w:t>
      </w:r>
      <w:r w:rsidR="008E533E" w:rsidRPr="00000849">
        <w:rPr>
          <w:sz w:val="24"/>
          <w:szCs w:val="24"/>
        </w:rPr>
        <w:t>o</w:t>
      </w:r>
      <w:r w:rsidR="00087479" w:rsidRPr="00000849">
        <w:rPr>
          <w:sz w:val="24"/>
          <w:szCs w:val="24"/>
        </w:rPr>
        <w:t>wever</w:t>
      </w:r>
      <w:r w:rsidRPr="00000849">
        <w:rPr>
          <w:sz w:val="24"/>
          <w:szCs w:val="24"/>
        </w:rPr>
        <w:t>, th</w:t>
      </w:r>
      <w:r w:rsidR="00087479" w:rsidRPr="00000849">
        <w:rPr>
          <w:sz w:val="24"/>
          <w:szCs w:val="24"/>
        </w:rPr>
        <w:t>is was not the case in</w:t>
      </w:r>
      <w:r w:rsidRPr="00000849">
        <w:rPr>
          <w:sz w:val="24"/>
          <w:szCs w:val="24"/>
        </w:rPr>
        <w:t xml:space="preserve"> studies in Cameroon, Ghana and Tunisia.  </w:t>
      </w:r>
      <w:r w:rsidR="00087479" w:rsidRPr="00000849">
        <w:rPr>
          <w:sz w:val="24"/>
          <w:szCs w:val="24"/>
        </w:rPr>
        <w:t xml:space="preserve">As in the </w:t>
      </w:r>
      <w:r w:rsidR="004A4A38" w:rsidRPr="00000849">
        <w:rPr>
          <w:sz w:val="24"/>
          <w:szCs w:val="24"/>
        </w:rPr>
        <w:t>multivariable</w:t>
      </w:r>
      <w:r w:rsidR="00087479" w:rsidRPr="00000849">
        <w:rPr>
          <w:sz w:val="24"/>
          <w:szCs w:val="24"/>
        </w:rPr>
        <w:t xml:space="preserve"> analysis, there was rarely a monotonic increase in the prevalence of hypertension with increasing age group i</w:t>
      </w:r>
      <w:r w:rsidRPr="00000849">
        <w:rPr>
          <w:sz w:val="24"/>
          <w:szCs w:val="24"/>
        </w:rPr>
        <w:t xml:space="preserve">n the studies in which the prevalence was reported in three or </w:t>
      </w:r>
      <w:r w:rsidRPr="00000849">
        <w:rPr>
          <w:sz w:val="24"/>
          <w:szCs w:val="24"/>
        </w:rPr>
        <w:lastRenderedPageBreak/>
        <w:t xml:space="preserve">more age groups.  </w:t>
      </w:r>
      <w:r w:rsidR="00087479" w:rsidRPr="00000849">
        <w:rPr>
          <w:sz w:val="24"/>
          <w:szCs w:val="24"/>
        </w:rPr>
        <w:t>A</w:t>
      </w:r>
      <w:r w:rsidRPr="00000849">
        <w:rPr>
          <w:sz w:val="24"/>
          <w:szCs w:val="24"/>
        </w:rPr>
        <w:t xml:space="preserve"> steady increase in the prevalence with age</w:t>
      </w:r>
      <w:r w:rsidR="00087479" w:rsidRPr="00000849">
        <w:rPr>
          <w:sz w:val="24"/>
          <w:szCs w:val="24"/>
        </w:rPr>
        <w:t xml:space="preserve"> was reported</w:t>
      </w:r>
      <w:r w:rsidRPr="00000849">
        <w:rPr>
          <w:sz w:val="24"/>
          <w:szCs w:val="24"/>
        </w:rPr>
        <w:t xml:space="preserve"> in Ghana </w:t>
      </w:r>
      <w:r w:rsidRPr="00000849">
        <w:rPr>
          <w:sz w:val="24"/>
          <w:szCs w:val="24"/>
        </w:rPr>
        <w:fldChar w:fldCharType="begin"/>
      </w:r>
      <w:r w:rsidR="003E660C" w:rsidRPr="00000849">
        <w:rPr>
          <w:sz w:val="24"/>
          <w:szCs w:val="24"/>
        </w:rPr>
        <w:instrText xml:space="preserve"> ADDIN EN.CITE &lt;EndNote&gt;&lt;Cite&gt;&lt;Author&gt;Osman&lt;/Author&gt;&lt;Year&gt;2017&lt;/Year&gt;&lt;RecNum&gt;1133&lt;/RecNum&gt;&lt;DisplayText&gt;(Osman, 2017)&lt;/DisplayText&gt;&lt;record&gt;&lt;rec-number&gt;1133&lt;/rec-number&gt;&lt;foreign-keys&gt;&lt;key app="EN" db-id="9tzf2rda8re2a9es5tuxart3swzx2zws2s02" timestamp="1580375462"&gt;1133&lt;/key&gt;&lt;/foreign-keys&gt;&lt;ref-type name="Thesis"&gt;32&lt;/ref-type&gt;&lt;contributors&gt;&lt;authors&gt;&lt;author&gt;Osman, Amatu-Quddus&lt;/author&gt;&lt;/authors&gt;&lt;/contributors&gt;&lt;titles&gt;&lt;title&gt;Nutrition &amp;amp; Health Status, Quality of Life, and Associated Factors among Non-Institutionalized Older Ghanaians&lt;/title&gt;&lt;secondary-title&gt;Department of Biochemistry and Biotechnology&lt;/secondary-title&gt;&lt;/titles&gt;&lt;volume&gt;MPhil&lt;/volume&gt;&lt;dates&gt;&lt;year&gt;2017&lt;/year&gt;&lt;/dates&gt;&lt;pub-location&gt;Kumasi&lt;/pub-location&gt;&lt;publisher&gt;Kwame Nkrumah University of Science and Technology&lt;/publisher&gt;&lt;work-type&gt;MPhil in Human Nutrition and Dietetics&lt;/work-type&gt;&lt;urls&gt;&lt;/urls&gt;&lt;/record&gt;&lt;/Cite&gt;&lt;/EndNote&gt;</w:instrText>
      </w:r>
      <w:r w:rsidRPr="00000849">
        <w:rPr>
          <w:sz w:val="24"/>
          <w:szCs w:val="24"/>
        </w:rPr>
        <w:fldChar w:fldCharType="separate"/>
      </w:r>
      <w:r w:rsidRPr="00000849">
        <w:rPr>
          <w:noProof/>
          <w:sz w:val="24"/>
          <w:szCs w:val="24"/>
        </w:rPr>
        <w:t>(Osman, 2017)</w:t>
      </w:r>
      <w:r w:rsidRPr="00000849">
        <w:rPr>
          <w:sz w:val="24"/>
          <w:szCs w:val="24"/>
        </w:rPr>
        <w:fldChar w:fldCharType="end"/>
      </w:r>
      <w:r w:rsidRPr="00000849">
        <w:rPr>
          <w:sz w:val="24"/>
          <w:szCs w:val="24"/>
        </w:rPr>
        <w:t xml:space="preserve"> and in Kenya </w:t>
      </w:r>
      <w:r w:rsidRPr="00000849">
        <w:rPr>
          <w:sz w:val="24"/>
          <w:szCs w:val="24"/>
        </w:rPr>
        <w:fldChar w:fldCharType="begin"/>
      </w:r>
      <w:r w:rsidR="00431DA0" w:rsidRPr="00000849">
        <w:rPr>
          <w:sz w:val="24"/>
          <w:szCs w:val="24"/>
        </w:rPr>
        <w:instrText xml:space="preserve"> ADDIN EN.CITE &lt;EndNote&gt;&lt;Cite&gt;&lt;Author&gt;Mathenge&lt;/Author&gt;&lt;Year&gt;2010&lt;/Year&gt;&lt;RecNum&gt;45&lt;/RecNum&gt;&lt;DisplayText&gt;(Mathenge et al., 2010)&lt;/DisplayText&gt;&lt;record&gt;&lt;rec-number&gt;45&lt;/rec-number&gt;&lt;foreign-keys&gt;&lt;key app="EN" db-id="pzfw02x58peadyevdp8vswt40etp25t5ddp0" timestamp="1533782268"&gt;45&lt;/key&gt;&lt;/foreign-keys&gt;&lt;ref-type name="Journal Article"&gt;17&lt;/ref-type&gt;&lt;contributors&gt;&lt;authors&gt;&lt;author&gt;Mathenge, Wanjiku&lt;/author&gt;&lt;author&gt;Foster, Allen&lt;/author&gt;&lt;author&gt;Kuper, Hannah&lt;/author&gt;&lt;/authors&gt;&lt;/contributors&gt;&lt;titles&gt;&lt;title&gt;Urbanization, ethnicity and cardiovascular risk in a population in transition in Nakuru, Kenya: a population-based survey&lt;/title&gt;&lt;secondary-title&gt;BMC Public Health&lt;/secondary-title&gt;&lt;/titles&gt;&lt;periodical&gt;&lt;full-title&gt;BMC Public Health&lt;/full-title&gt;&lt;abbr-1&gt;BMC Public Health&lt;/abbr-1&gt;&lt;/periodical&gt;&lt;pages&gt;569-580&lt;/pages&gt;&lt;volume&gt;10&lt;/volume&gt;&lt;number&gt;1&lt;/number&gt;&lt;keywords&gt;&lt;keyword&gt;CARBOHYDRATE intolerance&lt;/keyword&gt;&lt;keyword&gt;NUTRITION&lt;/keyword&gt;&lt;keyword&gt;SURVEYS&lt;/keyword&gt;&lt;keyword&gt;HEART diseases&lt;/keyword&gt;&lt;keyword&gt;AFRICA&lt;/keyword&gt;&lt;/keywords&gt;&lt;dates&gt;&lt;year&gt;2010&lt;/year&gt;&lt;/dates&gt;&lt;publisher&gt;BioMed Central&lt;/publisher&gt;&lt;isbn&gt;14712458&lt;/isbn&gt;&lt;accession-num&gt;55091977&lt;/accession-num&gt;&lt;work-type&gt;Article&lt;/work-type&gt;&lt;urls&gt;&lt;related-urls&gt;&lt;url&gt;http://search.ebscohost.com/login.aspx?direct=true&amp;amp;db=asn&amp;amp;AN=55091977&amp;amp;site=ehost-live&amp;amp;authtype=ip,shib&amp;amp;user=s1523151&lt;/url&gt;&lt;/related-urls&gt;&lt;/urls&gt;&lt;electronic-resource-num&gt;10.1186/1471-2458-10-569&lt;/electronic-resource-num&gt;&lt;remote-database-name&gt;asn&lt;/remote-database-name&gt;&lt;remote-database-provider&gt;EBSCOhost&lt;/remote-database-provider&gt;&lt;/record&gt;&lt;/Cite&gt;&lt;/EndNote&gt;</w:instrText>
      </w:r>
      <w:r w:rsidRPr="00000849">
        <w:rPr>
          <w:sz w:val="24"/>
          <w:szCs w:val="24"/>
        </w:rPr>
        <w:fldChar w:fldCharType="separate"/>
      </w:r>
      <w:r w:rsidR="00431DA0" w:rsidRPr="00000849">
        <w:rPr>
          <w:noProof/>
          <w:sz w:val="24"/>
          <w:szCs w:val="24"/>
        </w:rPr>
        <w:t>(Mathenge et al., 2010)</w:t>
      </w:r>
      <w:r w:rsidRPr="00000849">
        <w:rPr>
          <w:sz w:val="24"/>
          <w:szCs w:val="24"/>
        </w:rPr>
        <w:fldChar w:fldCharType="end"/>
      </w:r>
      <w:r w:rsidRPr="00000849">
        <w:rPr>
          <w:sz w:val="24"/>
          <w:szCs w:val="24"/>
        </w:rPr>
        <w:t>.</w:t>
      </w:r>
    </w:p>
    <w:p w14:paraId="43503238" w14:textId="064C886A" w:rsidR="00E31B6F" w:rsidRPr="00000849" w:rsidRDefault="001E6B34" w:rsidP="00786FDC">
      <w:pPr>
        <w:spacing w:line="480" w:lineRule="auto"/>
        <w:ind w:firstLine="567"/>
        <w:jc w:val="both"/>
        <w:rPr>
          <w:sz w:val="24"/>
          <w:szCs w:val="24"/>
        </w:rPr>
      </w:pPr>
      <w:r w:rsidRPr="00000849">
        <w:rPr>
          <w:sz w:val="24"/>
          <w:szCs w:val="24"/>
        </w:rPr>
        <w:t xml:space="preserve">Except for one study in Nigeria </w:t>
      </w:r>
      <w:r w:rsidRPr="00000849">
        <w:rPr>
          <w:sz w:val="24"/>
          <w:szCs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szCs w:val="24"/>
        </w:rPr>
        <w:instrText xml:space="preserve"> ADDIN EN.CITE </w:instrText>
      </w:r>
      <w:r w:rsidR="00AC2BE6">
        <w:rPr>
          <w:sz w:val="24"/>
          <w:szCs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szCs w:val="24"/>
        </w:rPr>
        <w:instrText xml:space="preserve"> ADDIN EN.CITE.DATA </w:instrText>
      </w:r>
      <w:r w:rsidR="00AC2BE6">
        <w:rPr>
          <w:sz w:val="24"/>
          <w:szCs w:val="24"/>
        </w:rPr>
      </w:r>
      <w:r w:rsidR="00AC2BE6">
        <w:rPr>
          <w:sz w:val="24"/>
          <w:szCs w:val="24"/>
        </w:rPr>
        <w:fldChar w:fldCharType="end"/>
      </w:r>
      <w:r w:rsidRPr="00000849">
        <w:rPr>
          <w:sz w:val="24"/>
          <w:szCs w:val="24"/>
        </w:rPr>
      </w:r>
      <w:r w:rsidRPr="00000849">
        <w:rPr>
          <w:sz w:val="24"/>
          <w:szCs w:val="24"/>
        </w:rPr>
        <w:fldChar w:fldCharType="separate"/>
      </w:r>
      <w:r w:rsidRPr="00000849">
        <w:rPr>
          <w:noProof/>
          <w:sz w:val="24"/>
          <w:szCs w:val="24"/>
        </w:rPr>
        <w:t>(Raji et al., 2017)</w:t>
      </w:r>
      <w:r w:rsidRPr="00000849">
        <w:rPr>
          <w:sz w:val="24"/>
          <w:szCs w:val="24"/>
        </w:rPr>
        <w:fldChar w:fldCharType="end"/>
      </w:r>
      <w:r w:rsidRPr="00000849">
        <w:rPr>
          <w:sz w:val="24"/>
          <w:szCs w:val="24"/>
        </w:rPr>
        <w:t>, f</w:t>
      </w:r>
      <w:r w:rsidR="00E31B6F" w:rsidRPr="00000849">
        <w:rPr>
          <w:sz w:val="24"/>
          <w:szCs w:val="24"/>
        </w:rPr>
        <w:t>emale</w:t>
      </w:r>
      <w:r w:rsidR="00786FDC" w:rsidRPr="00000849">
        <w:rPr>
          <w:sz w:val="24"/>
          <w:szCs w:val="24"/>
        </w:rPr>
        <w:t xml:space="preserve"> older adults </w:t>
      </w:r>
      <w:r w:rsidRPr="00000849">
        <w:rPr>
          <w:sz w:val="24"/>
          <w:szCs w:val="24"/>
        </w:rPr>
        <w:t xml:space="preserve">more frequently </w:t>
      </w:r>
      <w:r w:rsidR="00786FDC" w:rsidRPr="00000849">
        <w:rPr>
          <w:sz w:val="24"/>
          <w:szCs w:val="24"/>
        </w:rPr>
        <w:t xml:space="preserve">had higher </w:t>
      </w:r>
      <w:r w:rsidRPr="00000849">
        <w:rPr>
          <w:sz w:val="24"/>
          <w:szCs w:val="24"/>
        </w:rPr>
        <w:t xml:space="preserve">adjusted </w:t>
      </w:r>
      <w:r w:rsidR="00786FDC" w:rsidRPr="00000849">
        <w:rPr>
          <w:sz w:val="24"/>
          <w:szCs w:val="24"/>
        </w:rPr>
        <w:t xml:space="preserve">odds </w:t>
      </w:r>
      <w:r w:rsidR="00E31B6F" w:rsidRPr="00000849">
        <w:rPr>
          <w:sz w:val="24"/>
          <w:szCs w:val="24"/>
        </w:rPr>
        <w:t xml:space="preserve">of hypertension </w:t>
      </w:r>
      <w:r w:rsidR="00786FDC" w:rsidRPr="00000849">
        <w:rPr>
          <w:sz w:val="24"/>
          <w:szCs w:val="24"/>
        </w:rPr>
        <w:t xml:space="preserve">than males </w:t>
      </w:r>
      <w:r w:rsidR="00E31B6F" w:rsidRPr="00000849">
        <w:rPr>
          <w:sz w:val="24"/>
          <w:szCs w:val="24"/>
        </w:rPr>
        <w:t xml:space="preserve">in </w:t>
      </w:r>
      <w:r w:rsidR="004A4A38" w:rsidRPr="00000849">
        <w:rPr>
          <w:sz w:val="24"/>
          <w:szCs w:val="24"/>
        </w:rPr>
        <w:t>multivariable</w:t>
      </w:r>
      <w:r w:rsidR="00E31B6F" w:rsidRPr="00000849">
        <w:rPr>
          <w:sz w:val="24"/>
          <w:szCs w:val="24"/>
        </w:rPr>
        <w:t xml:space="preserve"> analyses</w:t>
      </w:r>
      <w:r w:rsidR="00753CD2" w:rsidRPr="00000849">
        <w:rPr>
          <w:sz w:val="24"/>
          <w:szCs w:val="24"/>
        </w:rPr>
        <w:t xml:space="preserve"> </w:t>
      </w:r>
      <w:r w:rsidR="00CD64BE" w:rsidRPr="00000849">
        <w:rPr>
          <w:sz w:val="24"/>
          <w:szCs w:val="24"/>
        </w:rPr>
        <w:t xml:space="preserve">in Ghana, Nigeria, South Africa and Tanzania </w:t>
      </w:r>
      <w:r w:rsidR="00753CD2" w:rsidRPr="00000849">
        <w:rPr>
          <w:sz w:val="24"/>
          <w:szCs w:val="24"/>
        </w:rPr>
        <w:t xml:space="preserve">(Appendix 3 Table 4) </w:t>
      </w:r>
      <w:r w:rsidRPr="00000849">
        <w:rPr>
          <w:sz w:val="24"/>
          <w:szCs w:val="24"/>
        </w:rPr>
        <w:t>However</w:t>
      </w:r>
      <w:r w:rsidR="00CD71E7" w:rsidRPr="00000849">
        <w:rPr>
          <w:sz w:val="24"/>
          <w:szCs w:val="24"/>
        </w:rPr>
        <w:t xml:space="preserve">, sex </w:t>
      </w:r>
      <w:r w:rsidR="00E31B6F" w:rsidRPr="00000849">
        <w:rPr>
          <w:sz w:val="24"/>
          <w:szCs w:val="24"/>
        </w:rPr>
        <w:t xml:space="preserve">was not </w:t>
      </w:r>
      <w:r w:rsidR="00CD71E7" w:rsidRPr="00000849">
        <w:rPr>
          <w:sz w:val="24"/>
          <w:szCs w:val="24"/>
        </w:rPr>
        <w:t>significantly</w:t>
      </w:r>
      <w:r w:rsidR="00E31B6F" w:rsidRPr="00000849">
        <w:rPr>
          <w:sz w:val="24"/>
          <w:szCs w:val="24"/>
        </w:rPr>
        <w:t xml:space="preserve"> associated with hypertension in </w:t>
      </w:r>
      <w:r w:rsidR="00CD64BE" w:rsidRPr="00000849">
        <w:rPr>
          <w:sz w:val="24"/>
          <w:szCs w:val="24"/>
        </w:rPr>
        <w:t>several countries</w:t>
      </w:r>
      <w:r w:rsidR="00CD71E7" w:rsidRPr="00000849">
        <w:rPr>
          <w:sz w:val="24"/>
          <w:szCs w:val="24"/>
        </w:rPr>
        <w:t xml:space="preserve">.  </w:t>
      </w:r>
    </w:p>
    <w:p w14:paraId="286AF79F" w14:textId="11F7D732" w:rsidR="00753127" w:rsidRPr="00000849" w:rsidRDefault="002042C2" w:rsidP="008F7D4D">
      <w:pPr>
        <w:spacing w:line="480" w:lineRule="auto"/>
        <w:ind w:firstLine="567"/>
        <w:jc w:val="both"/>
        <w:rPr>
          <w:sz w:val="24"/>
          <w:szCs w:val="24"/>
        </w:rPr>
      </w:pPr>
      <w:r w:rsidRPr="00000849">
        <w:rPr>
          <w:sz w:val="24"/>
        </w:rPr>
        <w:t xml:space="preserve">The prevalence of hypertension increased along a gradient from rural, semi-urban to urban areas in Nigeria </w:t>
      </w:r>
      <w:r w:rsidRPr="00000849">
        <w:rPr>
          <w:sz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rPr>
        <w:instrText xml:space="preserve"> ADDIN EN.CITE </w:instrText>
      </w:r>
      <w:r w:rsidR="00AC2BE6">
        <w:rPr>
          <w:sz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rPr>
        <w:instrText xml:space="preserve"> ADDIN EN.CITE.DATA </w:instrText>
      </w:r>
      <w:r w:rsidR="00AC2BE6">
        <w:rPr>
          <w:sz w:val="24"/>
        </w:rPr>
      </w:r>
      <w:r w:rsidR="00AC2BE6">
        <w:rPr>
          <w:sz w:val="24"/>
        </w:rPr>
        <w:fldChar w:fldCharType="end"/>
      </w:r>
      <w:r w:rsidRPr="00000849">
        <w:rPr>
          <w:sz w:val="24"/>
        </w:rPr>
      </w:r>
      <w:r w:rsidRPr="00000849">
        <w:rPr>
          <w:sz w:val="24"/>
        </w:rPr>
        <w:fldChar w:fldCharType="separate"/>
      </w:r>
      <w:r w:rsidRPr="00000849">
        <w:rPr>
          <w:noProof/>
          <w:sz w:val="24"/>
        </w:rPr>
        <w:t>(Raji et al., 2017)</w:t>
      </w:r>
      <w:r w:rsidRPr="00000849">
        <w:rPr>
          <w:sz w:val="24"/>
        </w:rPr>
        <w:fldChar w:fldCharType="end"/>
      </w:r>
      <w:r w:rsidRPr="00000849">
        <w:rPr>
          <w:sz w:val="24"/>
        </w:rPr>
        <w:t xml:space="preserve">.  </w:t>
      </w:r>
      <w:r w:rsidR="00502C60" w:rsidRPr="00000849">
        <w:rPr>
          <w:sz w:val="24"/>
          <w:szCs w:val="24"/>
        </w:rPr>
        <w:t xml:space="preserve">In </w:t>
      </w:r>
      <w:r w:rsidR="004A4A38" w:rsidRPr="00000849">
        <w:rPr>
          <w:sz w:val="24"/>
          <w:szCs w:val="24"/>
        </w:rPr>
        <w:t>multivariable</w:t>
      </w:r>
      <w:r w:rsidR="00502C60" w:rsidRPr="00000849">
        <w:rPr>
          <w:sz w:val="24"/>
          <w:szCs w:val="24"/>
        </w:rPr>
        <w:t xml:space="preserve"> analysis, urban residence was</w:t>
      </w:r>
      <w:r w:rsidR="000D39BE" w:rsidRPr="00000849">
        <w:rPr>
          <w:sz w:val="24"/>
          <w:szCs w:val="24"/>
        </w:rPr>
        <w:t>, more often than not,</w:t>
      </w:r>
      <w:r w:rsidR="00502C60" w:rsidRPr="00000849">
        <w:rPr>
          <w:sz w:val="24"/>
          <w:szCs w:val="24"/>
        </w:rPr>
        <w:t xml:space="preserve"> </w:t>
      </w:r>
      <w:r w:rsidR="002354FE" w:rsidRPr="00000849">
        <w:rPr>
          <w:sz w:val="24"/>
          <w:szCs w:val="24"/>
        </w:rPr>
        <w:t xml:space="preserve">significantly </w:t>
      </w:r>
      <w:r w:rsidR="00502C60" w:rsidRPr="00000849">
        <w:rPr>
          <w:sz w:val="24"/>
          <w:szCs w:val="24"/>
        </w:rPr>
        <w:t xml:space="preserve">associated with higher odds of hypertension </w:t>
      </w:r>
      <w:r w:rsidR="000D39BE" w:rsidRPr="00000849">
        <w:rPr>
          <w:sz w:val="24"/>
          <w:szCs w:val="24"/>
        </w:rPr>
        <w:t xml:space="preserve">(23%-47%) </w:t>
      </w:r>
      <w:r w:rsidR="003371D9" w:rsidRPr="00000849">
        <w:rPr>
          <w:sz w:val="24"/>
        </w:rPr>
        <w:t>(Appendix 3 Table 4)</w:t>
      </w:r>
      <w:r w:rsidR="00B10703" w:rsidRPr="00000849">
        <w:rPr>
          <w:sz w:val="24"/>
          <w:szCs w:val="24"/>
        </w:rPr>
        <w:t xml:space="preserve">.  In the multi-country SAGE study, </w:t>
      </w:r>
      <w:r w:rsidR="004E3727" w:rsidRPr="00000849">
        <w:rPr>
          <w:sz w:val="24"/>
          <w:szCs w:val="24"/>
        </w:rPr>
        <w:t xml:space="preserve">there was a contrasting relationship between </w:t>
      </w:r>
      <w:r w:rsidR="00B10703" w:rsidRPr="00000849">
        <w:rPr>
          <w:sz w:val="24"/>
          <w:szCs w:val="24"/>
        </w:rPr>
        <w:t xml:space="preserve">urban residence </w:t>
      </w:r>
      <w:r w:rsidR="004E3727" w:rsidRPr="00000849">
        <w:rPr>
          <w:sz w:val="24"/>
          <w:szCs w:val="24"/>
        </w:rPr>
        <w:t xml:space="preserve">and hypertension </w:t>
      </w:r>
      <w:r w:rsidR="00B10703" w:rsidRPr="00000849">
        <w:rPr>
          <w:sz w:val="24"/>
          <w:szCs w:val="24"/>
        </w:rPr>
        <w:t xml:space="preserve">in Ghana </w:t>
      </w:r>
      <w:r w:rsidR="004E3727" w:rsidRPr="00000849">
        <w:rPr>
          <w:sz w:val="24"/>
          <w:szCs w:val="24"/>
        </w:rPr>
        <w:t xml:space="preserve">where it was positive and in </w:t>
      </w:r>
      <w:r w:rsidR="00B10703" w:rsidRPr="00000849">
        <w:rPr>
          <w:sz w:val="24"/>
          <w:szCs w:val="24"/>
        </w:rPr>
        <w:t>South Africa</w:t>
      </w:r>
      <w:r w:rsidR="004E3727" w:rsidRPr="00000849">
        <w:rPr>
          <w:sz w:val="24"/>
          <w:szCs w:val="24"/>
        </w:rPr>
        <w:t xml:space="preserve"> where it was not statistically significant</w:t>
      </w:r>
      <w:r w:rsidR="00B10703" w:rsidRPr="00000849">
        <w:rPr>
          <w:sz w:val="24"/>
          <w:szCs w:val="24"/>
        </w:rPr>
        <w:t xml:space="preserve"> </w:t>
      </w:r>
      <w:r w:rsidR="00B10703" w:rsidRPr="00000849">
        <w:rPr>
          <w:sz w:val="24"/>
          <w:szCs w:val="24"/>
        </w:rPr>
        <w:fldChar w:fldCharType="begin">
          <w:fldData xml:space="preserve">PEVuZE5vdGU+PENpdGU+PEF1dGhvcj5MbG95ZC1TaGVybG9jazwvQXV0aG9yPjxZZWFyPjIwMTQ8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</w:fldData>
        </w:fldChar>
      </w:r>
      <w:r w:rsidR="00AC2BE6">
        <w:rPr>
          <w:sz w:val="24"/>
          <w:szCs w:val="24"/>
        </w:rPr>
        <w:instrText xml:space="preserve"> ADDIN EN.CITE </w:instrText>
      </w:r>
      <w:r w:rsidR="00AC2BE6">
        <w:rPr>
          <w:sz w:val="24"/>
          <w:szCs w:val="24"/>
        </w:rPr>
        <w:fldChar w:fldCharType="begin">
          <w:fldData xml:space="preserve">PEVuZE5vdGU+PENpdGU+PEF1dGhvcj5MbG95ZC1TaGVybG9jazwvQXV0aG9yPjxZZWFyPjIwMTQ8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</w:fldData>
        </w:fldChar>
      </w:r>
      <w:r w:rsidR="00AC2BE6">
        <w:rPr>
          <w:sz w:val="24"/>
          <w:szCs w:val="24"/>
        </w:rPr>
        <w:instrText xml:space="preserve"> ADDIN EN.CITE.DATA </w:instrText>
      </w:r>
      <w:r w:rsidR="00AC2BE6">
        <w:rPr>
          <w:sz w:val="24"/>
          <w:szCs w:val="24"/>
        </w:rPr>
      </w:r>
      <w:r w:rsidR="00AC2BE6">
        <w:rPr>
          <w:sz w:val="24"/>
          <w:szCs w:val="24"/>
        </w:rPr>
        <w:fldChar w:fldCharType="end"/>
      </w:r>
      <w:r w:rsidR="00B10703" w:rsidRPr="00000849">
        <w:rPr>
          <w:sz w:val="24"/>
          <w:szCs w:val="24"/>
        </w:rPr>
      </w:r>
      <w:r w:rsidR="00B10703" w:rsidRPr="00000849">
        <w:rPr>
          <w:sz w:val="24"/>
          <w:szCs w:val="24"/>
        </w:rPr>
        <w:fldChar w:fldCharType="separate"/>
      </w:r>
      <w:r w:rsidR="00CD7B29">
        <w:rPr>
          <w:noProof/>
          <w:sz w:val="24"/>
          <w:szCs w:val="24"/>
        </w:rPr>
        <w:t>(Lloyd-Sherlock et al., 2014; Lloyd-Sherlock et al., 2017)</w:t>
      </w:r>
      <w:r w:rsidR="00B10703" w:rsidRPr="00000849">
        <w:rPr>
          <w:sz w:val="24"/>
          <w:szCs w:val="24"/>
        </w:rPr>
        <w:fldChar w:fldCharType="end"/>
      </w:r>
      <w:r w:rsidR="00B10703" w:rsidRPr="00000849">
        <w:rPr>
          <w:sz w:val="24"/>
          <w:szCs w:val="24"/>
        </w:rPr>
        <w:t xml:space="preserve">.  </w:t>
      </w:r>
      <w:r w:rsidR="008F7D4D" w:rsidRPr="00000849">
        <w:rPr>
          <w:sz w:val="24"/>
          <w:szCs w:val="24"/>
        </w:rPr>
        <w:t xml:space="preserve">In a multi-country survey in Central Africa, </w:t>
      </w:r>
      <w:r w:rsidR="00753127" w:rsidRPr="00000849">
        <w:rPr>
          <w:sz w:val="24"/>
          <w:szCs w:val="24"/>
        </w:rPr>
        <w:t xml:space="preserve">elderly subjects </w:t>
      </w:r>
      <w:r w:rsidR="008F7D4D" w:rsidRPr="00000849">
        <w:rPr>
          <w:sz w:val="24"/>
          <w:szCs w:val="24"/>
        </w:rPr>
        <w:t>residing</w:t>
      </w:r>
      <w:r w:rsidR="00753127" w:rsidRPr="00000849">
        <w:rPr>
          <w:sz w:val="24"/>
          <w:szCs w:val="24"/>
        </w:rPr>
        <w:t xml:space="preserve"> in Congo </w:t>
      </w:r>
      <w:r w:rsidR="008F7D4D" w:rsidRPr="00000849">
        <w:rPr>
          <w:sz w:val="24"/>
          <w:szCs w:val="24"/>
        </w:rPr>
        <w:t xml:space="preserve">had </w:t>
      </w:r>
      <w:r w:rsidR="00753127" w:rsidRPr="00000849">
        <w:rPr>
          <w:sz w:val="24"/>
          <w:szCs w:val="24"/>
        </w:rPr>
        <w:t xml:space="preserve">68% higher </w:t>
      </w:r>
      <w:r w:rsidR="008F7D4D" w:rsidRPr="00000849">
        <w:rPr>
          <w:sz w:val="24"/>
          <w:szCs w:val="24"/>
        </w:rPr>
        <w:t xml:space="preserve">adjusted odds of hypertension </w:t>
      </w:r>
      <w:r w:rsidR="00753127" w:rsidRPr="00000849">
        <w:rPr>
          <w:sz w:val="24"/>
          <w:szCs w:val="24"/>
        </w:rPr>
        <w:t>than th</w:t>
      </w:r>
      <w:r w:rsidR="008F7D4D" w:rsidRPr="00000849">
        <w:rPr>
          <w:sz w:val="24"/>
          <w:szCs w:val="24"/>
        </w:rPr>
        <w:t xml:space="preserve">ose residing </w:t>
      </w:r>
      <w:r w:rsidR="00753127" w:rsidRPr="00000849">
        <w:rPr>
          <w:sz w:val="24"/>
          <w:szCs w:val="24"/>
        </w:rPr>
        <w:t xml:space="preserve">in the CAR </w:t>
      </w:r>
      <w:r w:rsidR="00753127" w:rsidRPr="00000849">
        <w:rPr>
          <w:sz w:val="24"/>
          <w:szCs w:val="2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1740AB" w:rsidRPr="00000849">
        <w:rPr>
          <w:sz w:val="24"/>
          <w:szCs w:val="24"/>
        </w:rPr>
        <w:instrText xml:space="preserve"> ADDIN EN.CITE </w:instrText>
      </w:r>
      <w:r w:rsidR="001740AB" w:rsidRPr="00000849">
        <w:rPr>
          <w:sz w:val="24"/>
          <w:szCs w:val="2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1740AB" w:rsidRPr="00000849">
        <w:rPr>
          <w:sz w:val="24"/>
          <w:szCs w:val="24"/>
        </w:rPr>
        <w:instrText xml:space="preserve"> ADDIN EN.CITE.DATA </w:instrText>
      </w:r>
      <w:r w:rsidR="001740AB" w:rsidRPr="00000849">
        <w:rPr>
          <w:sz w:val="24"/>
          <w:szCs w:val="24"/>
        </w:rPr>
      </w:r>
      <w:r w:rsidR="001740AB" w:rsidRPr="00000849">
        <w:rPr>
          <w:sz w:val="24"/>
          <w:szCs w:val="24"/>
        </w:rPr>
        <w:fldChar w:fldCharType="end"/>
      </w:r>
      <w:r w:rsidR="00753127" w:rsidRPr="00000849">
        <w:rPr>
          <w:sz w:val="24"/>
          <w:szCs w:val="24"/>
        </w:rPr>
      </w:r>
      <w:r w:rsidR="00753127" w:rsidRPr="00000849">
        <w:rPr>
          <w:sz w:val="24"/>
          <w:szCs w:val="24"/>
        </w:rPr>
        <w:fldChar w:fldCharType="separate"/>
      </w:r>
      <w:r w:rsidR="001740AB" w:rsidRPr="00000849">
        <w:rPr>
          <w:noProof/>
          <w:sz w:val="24"/>
          <w:szCs w:val="24"/>
        </w:rPr>
        <w:t>(Pilleron et al., 2017)</w:t>
      </w:r>
      <w:r w:rsidR="00753127" w:rsidRPr="00000849">
        <w:rPr>
          <w:sz w:val="24"/>
          <w:szCs w:val="24"/>
        </w:rPr>
        <w:fldChar w:fldCharType="end"/>
      </w:r>
      <w:r w:rsidR="00753127" w:rsidRPr="00000849">
        <w:rPr>
          <w:sz w:val="24"/>
          <w:szCs w:val="24"/>
        </w:rPr>
        <w:t xml:space="preserve">.  </w:t>
      </w:r>
    </w:p>
    <w:p w14:paraId="748B2178" w14:textId="17B5CFF5" w:rsidR="00D0013A" w:rsidRPr="00000849" w:rsidRDefault="00AA11C8" w:rsidP="00D0013A">
      <w:pPr>
        <w:spacing w:line="480" w:lineRule="auto"/>
        <w:ind w:firstLine="567"/>
        <w:jc w:val="both"/>
        <w:rPr>
          <w:sz w:val="24"/>
          <w:szCs w:val="24"/>
        </w:rPr>
      </w:pPr>
      <w:r w:rsidRPr="00000849">
        <w:rPr>
          <w:sz w:val="24"/>
          <w:szCs w:val="24"/>
        </w:rPr>
        <w:t>E</w:t>
      </w:r>
      <w:r w:rsidR="00753127" w:rsidRPr="00000849">
        <w:rPr>
          <w:sz w:val="24"/>
          <w:szCs w:val="24"/>
        </w:rPr>
        <w:t xml:space="preserve">xcept for one study in which </w:t>
      </w:r>
      <w:r w:rsidRPr="00000849">
        <w:rPr>
          <w:sz w:val="24"/>
          <w:szCs w:val="24"/>
        </w:rPr>
        <w:t xml:space="preserve">it was </w:t>
      </w:r>
      <w:r w:rsidR="00753127" w:rsidRPr="00000849">
        <w:rPr>
          <w:sz w:val="24"/>
          <w:szCs w:val="24"/>
        </w:rPr>
        <w:t>protective</w:t>
      </w:r>
      <w:r w:rsidRPr="00000849">
        <w:rPr>
          <w:sz w:val="24"/>
          <w:szCs w:val="24"/>
        </w:rPr>
        <w:t xml:space="preserve"> </w:t>
      </w:r>
      <w:r w:rsidR="00D0013A" w:rsidRPr="00000849">
        <w:rPr>
          <w:sz w:val="24"/>
          <w:szCs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szCs w:val="24"/>
        </w:rPr>
        <w:instrText xml:space="preserve"> ADDIN EN.CITE </w:instrText>
      </w:r>
      <w:r w:rsidR="00AC2BE6">
        <w:rPr>
          <w:sz w:val="24"/>
          <w:szCs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szCs w:val="24"/>
        </w:rPr>
        <w:instrText xml:space="preserve"> ADDIN EN.CITE.DATA </w:instrText>
      </w:r>
      <w:r w:rsidR="00AC2BE6">
        <w:rPr>
          <w:sz w:val="24"/>
          <w:szCs w:val="24"/>
        </w:rPr>
      </w:r>
      <w:r w:rsidR="00AC2BE6">
        <w:rPr>
          <w:sz w:val="24"/>
          <w:szCs w:val="24"/>
        </w:rPr>
        <w:fldChar w:fldCharType="end"/>
      </w:r>
      <w:r w:rsidR="00D0013A" w:rsidRPr="00000849">
        <w:rPr>
          <w:sz w:val="24"/>
          <w:szCs w:val="24"/>
        </w:rPr>
      </w:r>
      <w:r w:rsidR="00D0013A" w:rsidRPr="00000849">
        <w:rPr>
          <w:sz w:val="24"/>
          <w:szCs w:val="24"/>
        </w:rPr>
        <w:fldChar w:fldCharType="separate"/>
      </w:r>
      <w:r w:rsidR="001740AB" w:rsidRPr="00000849">
        <w:rPr>
          <w:noProof/>
          <w:sz w:val="24"/>
          <w:szCs w:val="24"/>
        </w:rPr>
        <w:t>(Raji et al., 2017)</w:t>
      </w:r>
      <w:r w:rsidR="00D0013A" w:rsidRPr="00000849">
        <w:rPr>
          <w:sz w:val="24"/>
          <w:szCs w:val="24"/>
        </w:rPr>
        <w:fldChar w:fldCharType="end"/>
      </w:r>
      <w:r w:rsidRPr="00000849">
        <w:rPr>
          <w:sz w:val="24"/>
          <w:szCs w:val="24"/>
        </w:rPr>
        <w:t xml:space="preserve">, being unmarried was not independently associated with hypertension in older adults in Africa </w:t>
      </w:r>
      <w:r w:rsidR="00753127" w:rsidRPr="00000849">
        <w:rPr>
          <w:sz w:val="24"/>
          <w:szCs w:val="24"/>
        </w:rPr>
        <w:t>(</w:t>
      </w:r>
      <w:r w:rsidR="00007E47" w:rsidRPr="00000849">
        <w:rPr>
          <w:sz w:val="24"/>
          <w:szCs w:val="24"/>
        </w:rPr>
        <w:t>Appendix 3</w:t>
      </w:r>
      <w:r w:rsidR="00753127" w:rsidRPr="00000849">
        <w:rPr>
          <w:sz w:val="24"/>
          <w:szCs w:val="24"/>
        </w:rPr>
        <w:t xml:space="preserve"> Table 4).  In contrast, ethnic</w:t>
      </w:r>
      <w:r w:rsidR="00D0013A" w:rsidRPr="00000849">
        <w:rPr>
          <w:sz w:val="24"/>
          <w:szCs w:val="24"/>
        </w:rPr>
        <w:t xml:space="preserve">ity was independently associated with hypertension in studies in Kenya </w:t>
      </w:r>
      <w:r w:rsidR="00D0013A" w:rsidRPr="00000849">
        <w:rPr>
          <w:sz w:val="24"/>
          <w:szCs w:val="24"/>
        </w:rPr>
        <w:fldChar w:fldCharType="begin"/>
      </w:r>
      <w:r w:rsidR="001740AB" w:rsidRPr="00000849">
        <w:rPr>
          <w:sz w:val="24"/>
          <w:szCs w:val="24"/>
        </w:rPr>
        <w:instrText xml:space="preserve"> ADDIN EN.CITE &lt;EndNote&gt;&lt;Cite&gt;&lt;Author&gt;Mathenge&lt;/Author&gt;&lt;Year&gt;2010&lt;/Year&gt;&lt;RecNum&gt;45&lt;/RecNum&gt;&lt;DisplayText&gt;(Mathenge et al., 2010)&lt;/DisplayText&gt;&lt;record&gt;&lt;rec-number&gt;45&lt;/rec-number&gt;&lt;foreign-keys&gt;&lt;key app="EN" db-id="pzfw02x58peadyevdp8vswt40etp25t5ddp0" timestamp="1533782268"&gt;45&lt;/key&gt;&lt;/foreign-keys&gt;&lt;ref-type name="Journal Article"&gt;17&lt;/ref-type&gt;&lt;contributors&gt;&lt;authors&gt;&lt;author&gt;Mathenge, Wanjiku&lt;/author&gt;&lt;author&gt;Foster, Allen&lt;/author&gt;&lt;author&gt;Kuper, Hannah&lt;/author&gt;&lt;/authors&gt;&lt;/contributors&gt;&lt;titles&gt;&lt;title&gt;Urbanization, ethnicity and cardiovascular risk in a population in transition in Nakuru, Kenya: a population-based survey&lt;/title&gt;&lt;secondary-title&gt;BMC Public Health&lt;/secondary-title&gt;&lt;/titles&gt;&lt;periodical&gt;&lt;full-title&gt;BMC Public Health&lt;/full-title&gt;&lt;abbr-1&gt;BMC Public Health&lt;/abbr-1&gt;&lt;/periodical&gt;&lt;pages&gt;569-580&lt;/pages&gt;&lt;volume&gt;10&lt;/volume&gt;&lt;number&gt;1&lt;/number&gt;&lt;keywords&gt;&lt;keyword&gt;CARBOHYDRATE intolerance&lt;/keyword&gt;&lt;keyword&gt;NUTRITION&lt;/keyword&gt;&lt;keyword&gt;SURVEYS&lt;/keyword&gt;&lt;keyword&gt;HEART diseases&lt;/keyword&gt;&lt;keyword&gt;AFRICA&lt;/keyword&gt;&lt;/keywords&gt;&lt;dates&gt;&lt;year&gt;2010&lt;/year&gt;&lt;/dates&gt;&lt;publisher&gt;BioMed Central&lt;/publisher&gt;&lt;isbn&gt;14712458&lt;/isbn&gt;&lt;accession-num&gt;55091977&lt;/accession-num&gt;&lt;work-type&gt;Article&lt;/work-type&gt;&lt;urls&gt;&lt;related-urls&gt;&lt;url&gt;http://search.ebscohost.com/login.aspx?direct=true&amp;amp;db=asn&amp;amp;AN=55091977&amp;amp;site=ehost-live&amp;amp;authtype=ip,shib&amp;amp;user=s1523151&lt;/url&gt;&lt;/related-urls&gt;&lt;/urls&gt;&lt;electronic-resource-num&gt;10.1186/1471-2458-10-569&lt;/electronic-resource-num&gt;&lt;remote-database-name&gt;asn&lt;/remote-database-name&gt;&lt;remote-database-provider&gt;EBSCOhost&lt;/remote-database-provider&gt;&lt;/record&gt;&lt;/Cite&gt;&lt;/EndNote&gt;</w:instrText>
      </w:r>
      <w:r w:rsidR="00D0013A" w:rsidRPr="00000849">
        <w:rPr>
          <w:sz w:val="24"/>
          <w:szCs w:val="24"/>
        </w:rPr>
        <w:fldChar w:fldCharType="separate"/>
      </w:r>
      <w:r w:rsidR="001740AB" w:rsidRPr="00000849">
        <w:rPr>
          <w:noProof/>
          <w:sz w:val="24"/>
          <w:szCs w:val="24"/>
        </w:rPr>
        <w:t>(Mathenge et al., 2010)</w:t>
      </w:r>
      <w:r w:rsidR="00D0013A" w:rsidRPr="00000849">
        <w:rPr>
          <w:sz w:val="24"/>
          <w:szCs w:val="24"/>
        </w:rPr>
        <w:fldChar w:fldCharType="end"/>
      </w:r>
      <w:r w:rsidR="00D0013A" w:rsidRPr="00000849">
        <w:rPr>
          <w:sz w:val="24"/>
          <w:szCs w:val="24"/>
        </w:rPr>
        <w:t xml:space="preserve"> and Tanzania  </w:t>
      </w:r>
      <w:r w:rsidR="00D0013A" w:rsidRPr="00000849">
        <w:rPr>
          <w:sz w:val="24"/>
          <w:szCs w:val="24"/>
        </w:rPr>
        <w:fldChar w:fldCharType="begin"/>
      </w:r>
      <w:r w:rsidR="001740AB" w:rsidRPr="00000849">
        <w:rPr>
          <w:sz w:val="24"/>
          <w:szCs w:val="24"/>
        </w:rPr>
        <w:instrText xml:space="preserve"> ADDIN EN.CITE &lt;EndNote&gt;&lt;Cite&gt;&lt;Author&gt;Dewhurst&lt;/Author&gt;&lt;Year&gt;2013&lt;/Year&gt;&lt;RecNum&gt;56&lt;/RecNum&gt;&lt;DisplayText&gt;(Dewhurst et al., 2013)&lt;/DisplayText&gt;&lt;record&gt;&lt;rec-number&gt;56&lt;/rec-number&gt;&lt;foreign-keys&gt;&lt;key app="EN" db-id="pzfw02x58peadyevdp8vswt40etp25t5ddp0" timestamp="1533820182"&gt;56&lt;/key&gt;&lt;/foreign-keys&gt;&lt;ref-type name="Journal Article"&gt;17&lt;/ref-type&gt;&lt;contributors&gt;&lt;authors&gt;&lt;author&gt;Dewhurst, M. J.&lt;/author&gt;&lt;author&gt;Dewhurst, F.&lt;/author&gt;&lt;author&gt;Gray, W. K.&lt;/author&gt;&lt;author&gt;Chaote, P.&lt;/author&gt;&lt;author&gt;Orega, G. P.&lt;/author&gt;&lt;author&gt;Walker, R. W.&lt;/author&gt;&lt;/authors&gt;&lt;/contributors&gt;&lt;titles&gt;&lt;title&gt;The high prevalence of hypertension in rural-dwelling Tanzanian older adults and the disparity between detection, treatment and control: a rule of sixths?&lt;/title&gt;&lt;secondary-title&gt;Journal of Human Hypertension&lt;/secondary-title&gt;&lt;/titles&gt;&lt;periodical&gt;&lt;full-title&gt;Journal of Human Hypertension&lt;/full-title&gt;&lt;abbr-1&gt;J Hum Hypertens&lt;/abbr-1&gt;&lt;/periodical&gt;&lt;pages&gt;374-380&lt;/pages&gt;&lt;volume&gt;27&lt;/volume&gt;&lt;number&gt;6&lt;/number&gt;&lt;keywords&gt;&lt;keyword&gt;HYPERTENSION&lt;/keyword&gt;&lt;keyword&gt;DISEASE prevalence&lt;/keyword&gt;&lt;keyword&gt;DISEASES in older people&lt;/keyword&gt;&lt;keyword&gt;RURAL geography&lt;/keyword&gt;&lt;keyword&gt;TREATMENT of blood circulation disorders&lt;/keyword&gt;&lt;keyword&gt;BLOOD circulation disorders&lt;/keyword&gt;&lt;keyword&gt;DIAGNOSIS&lt;/keyword&gt;&lt;keyword&gt;TANZANIA&lt;/keyword&gt;&lt;/keywords&gt;&lt;dates&gt;&lt;year&gt;2013&lt;/year&gt;&lt;/dates&gt;&lt;publisher&gt;Nature Publishing Group&lt;/publisher&gt;&lt;isbn&gt;09509240&lt;/isbn&gt;&lt;accession-num&gt;87484904&lt;/accession-num&gt;&lt;work-type&gt;Article&lt;/work-type&gt;&lt;urls&gt;&lt;related-urls&gt;&lt;url&gt;http://search.ebscohost.com/login.aspx?direct=true&amp;amp;db=asn&amp;amp;AN=87484904&amp;amp;site=ehost-live&amp;amp;authtype=ip,shib&amp;amp;user=s1523151&lt;/url&gt;&lt;/related-urls&gt;&lt;/urls&gt;&lt;electronic-resource-num&gt;10.1038/jhh.2012.59&lt;/electronic-resource-num&gt;&lt;remote-database-name&gt;asn&lt;/remote-database-name&gt;&lt;remote-database-provider&gt;EBSCOhost&lt;/remote-database-provider&gt;&lt;/record&gt;&lt;/Cite&gt;&lt;/EndNote&gt;</w:instrText>
      </w:r>
      <w:r w:rsidR="00D0013A" w:rsidRPr="00000849">
        <w:rPr>
          <w:sz w:val="24"/>
          <w:szCs w:val="24"/>
        </w:rPr>
        <w:fldChar w:fldCharType="separate"/>
      </w:r>
      <w:r w:rsidR="001740AB" w:rsidRPr="00000849">
        <w:rPr>
          <w:noProof/>
          <w:sz w:val="24"/>
          <w:szCs w:val="24"/>
        </w:rPr>
        <w:t>(Dewhurst et al., 2013)</w:t>
      </w:r>
      <w:r w:rsidR="00D0013A" w:rsidRPr="00000849">
        <w:rPr>
          <w:sz w:val="24"/>
          <w:szCs w:val="24"/>
        </w:rPr>
        <w:fldChar w:fldCharType="end"/>
      </w:r>
      <w:r w:rsidR="00D0013A" w:rsidRPr="00000849">
        <w:rPr>
          <w:sz w:val="24"/>
          <w:szCs w:val="24"/>
        </w:rPr>
        <w:t xml:space="preserve">.  </w:t>
      </w:r>
      <w:r w:rsidRPr="00000849">
        <w:rPr>
          <w:sz w:val="24"/>
          <w:szCs w:val="24"/>
        </w:rPr>
        <w:t>C</w:t>
      </w:r>
      <w:r w:rsidR="00D0013A" w:rsidRPr="00000849">
        <w:rPr>
          <w:sz w:val="24"/>
          <w:szCs w:val="24"/>
        </w:rPr>
        <w:t xml:space="preserve">oloured South African older adults </w:t>
      </w:r>
      <w:r w:rsidRPr="00000849">
        <w:rPr>
          <w:sz w:val="24"/>
          <w:szCs w:val="24"/>
        </w:rPr>
        <w:t>had</w:t>
      </w:r>
      <w:r w:rsidR="00D0013A" w:rsidRPr="00000849">
        <w:rPr>
          <w:sz w:val="24"/>
          <w:szCs w:val="24"/>
        </w:rPr>
        <w:t xml:space="preserve"> 89% greater </w:t>
      </w:r>
      <w:r w:rsidRPr="00000849">
        <w:rPr>
          <w:sz w:val="24"/>
          <w:szCs w:val="24"/>
        </w:rPr>
        <w:t xml:space="preserve">odds of having hypertension </w:t>
      </w:r>
      <w:r w:rsidR="00D0013A" w:rsidRPr="00000849">
        <w:rPr>
          <w:sz w:val="24"/>
          <w:szCs w:val="24"/>
        </w:rPr>
        <w:t xml:space="preserve">than black Africans </w:t>
      </w:r>
      <w:r w:rsidR="00D0013A" w:rsidRPr="00000849">
        <w:rPr>
          <w:sz w:val="24"/>
          <w:szCs w:val="24"/>
        </w:rPr>
        <w:fldChar w:fldCharType="begin"/>
      </w:r>
      <w:r w:rsidR="00AC2BE6">
        <w:rPr>
          <w:sz w:val="24"/>
          <w:szCs w:val="24"/>
        </w:rPr>
        <w:instrText xml:space="preserve"> ADDIN EN.CITE &lt;EndNote&gt;&lt;Cite&gt;&lt;Author&gt;Peltzer&lt;/Author&gt;&lt;Year&gt;2013&lt;/Year&gt;&lt;RecNum&gt;869&lt;/RecNum&gt;&lt;DisplayText&gt;(Peltzer &amp;amp; Phaswana-Mafuya, 2013a)&lt;/DisplayText&gt;&lt;record&gt;&lt;rec-number&gt;869&lt;/rec-number&gt;&lt;foreign-keys&gt;&lt;key app="EN" db-id="29t2ptva8t9xtgex0z2vepsadpwpfxd9a2zv" timestamp="1615774562"&gt;869&lt;/key&gt;&lt;/foreign-keys&gt;&lt;ref-type name="Journal Article"&gt;17&lt;/ref-type&gt;&lt;contributors&gt;&lt;authors&gt;&lt;author&gt;Peltzer, K.&lt;/author&gt;&lt;author&gt;Phaswana-Mafuya, N.&lt;/author&gt;&lt;/authors&gt;&lt;/contributors&gt;&lt;auth-address&gt;HIV/AIDS/SIT and TB (HAST), Human Sciences Research Council, Pretoria, South Africa&lt;/auth-address&gt;&lt;titles&gt;&lt;title&gt;Hypertension and associated factors in older adults in South Africa&lt;/title&gt;&lt;secondary-title&gt;Cardiovascular Journal of Africa&lt;/secondary-title&gt;&lt;/titles&gt;&lt;periodical&gt;&lt;full-title&gt;Cardiovascular Journal of Africa&lt;/full-title&gt;&lt;abbr-1&gt;Cardiovasc J Afr&lt;/abbr-1&gt;&lt;/periodical&gt;&lt;pages&gt;66-71&lt;/pages&gt;&lt;volume&gt;24&lt;/volume&gt;&lt;number&gt;3&lt;/number&gt;&lt;keywords&gt;&lt;keyword&gt;adult&lt;/keyword&gt;&lt;keyword&gt;aged&lt;/keyword&gt;&lt;keyword&gt;anthropometry&lt;/keyword&gt;&lt;keyword&gt;article&lt;/keyword&gt;&lt;keyword&gt;blood pressure measurement&lt;/keyword&gt;&lt;keyword&gt;female&lt;/keyword&gt;&lt;keyword&gt;human&lt;/keyword&gt;&lt;keyword&gt;*hypertension/ep [Epidemiology]&lt;/keyword&gt;&lt;keyword&gt;major clinical study&lt;/keyword&gt;&lt;keyword&gt;male&lt;/keyword&gt;&lt;keyword&gt;outpatient care&lt;/keyword&gt;&lt;keyword&gt;prevalence&lt;/keyword&gt;&lt;keyword&gt;questionnaire&lt;/keyword&gt;&lt;keyword&gt;*senescence&lt;/keyword&gt;&lt;keyword&gt;*South Africa&lt;/keyword&gt;&lt;/keywords&gt;&lt;dates&gt;&lt;year&gt;2013&lt;/year&gt;&lt;/dates&gt;&lt;pub-location&gt;South Africa&lt;/pub-location&gt;&lt;publisher&gt;Clinics Cardive Publishing (PTY)Ltd (PO Box 1013, Durbanville 7551, South Africa)&lt;/publisher&gt;&lt;isbn&gt;1995-1892&lt;/isbn&gt;&lt;urls&gt;&lt;related-urls&gt;&lt;url&gt;http://search.sabinet.co.za/WebZ/images/ejour/cardio1/cardio1_v24_n3_a5.pdf?sessionid=01-35585-666414646&amp;amp;format=F&lt;/url&gt;&lt;url&gt;http://ovidsp.ovid.com/ovidweb.cgi?T=JS&amp;amp;PAGE=reference&amp;amp;D=emed15&amp;amp;NEWS=N&amp;amp;AN=368996853&lt;/url&gt;&lt;/related-urls&gt;&lt;/urls&gt;&lt;electronic-resource-num&gt;10.5830/cvja-2013-002&lt;/electronic-resource-num&gt;&lt;/record&gt;&lt;/Cite&gt;&lt;/EndNote&gt;</w:instrText>
      </w:r>
      <w:r w:rsidR="00D0013A" w:rsidRPr="00000849">
        <w:rPr>
          <w:sz w:val="24"/>
          <w:szCs w:val="24"/>
        </w:rPr>
        <w:fldChar w:fldCharType="separate"/>
      </w:r>
      <w:r w:rsidR="00D363A0">
        <w:rPr>
          <w:noProof/>
          <w:sz w:val="24"/>
          <w:szCs w:val="24"/>
        </w:rPr>
        <w:t>(Peltzer &amp; Phaswana-Mafuya, 2013a)</w:t>
      </w:r>
      <w:r w:rsidR="00D0013A" w:rsidRPr="00000849">
        <w:rPr>
          <w:sz w:val="24"/>
          <w:szCs w:val="24"/>
        </w:rPr>
        <w:fldChar w:fldCharType="end"/>
      </w:r>
      <w:r w:rsidR="00D0013A" w:rsidRPr="00000849">
        <w:rPr>
          <w:sz w:val="24"/>
          <w:szCs w:val="24"/>
        </w:rPr>
        <w:t xml:space="preserve">.  </w:t>
      </w:r>
    </w:p>
    <w:p w14:paraId="188FDE80" w14:textId="2F1A9E28" w:rsidR="00D0013A" w:rsidRPr="00000849" w:rsidRDefault="00D0013A" w:rsidP="00D0013A">
      <w:pPr>
        <w:spacing w:line="480" w:lineRule="auto"/>
        <w:ind w:firstLine="567"/>
        <w:jc w:val="both"/>
        <w:rPr>
          <w:sz w:val="24"/>
          <w:szCs w:val="24"/>
        </w:rPr>
      </w:pPr>
    </w:p>
    <w:p w14:paraId="01217D6D" w14:textId="7048753D" w:rsidR="00674E83" w:rsidRPr="00000849" w:rsidRDefault="00D92056" w:rsidP="0075255B">
      <w:pPr>
        <w:pStyle w:val="Heading4"/>
      </w:pPr>
      <w:r w:rsidRPr="00000849">
        <w:lastRenderedPageBreak/>
        <w:t>2.2</w:t>
      </w:r>
      <w:r w:rsidR="00674E83" w:rsidRPr="00000849">
        <w:t>.5.2</w:t>
      </w:r>
      <w:r w:rsidR="00674E83" w:rsidRPr="00000849">
        <w:tab/>
        <w:t>Socioeconomic factors</w:t>
      </w:r>
    </w:p>
    <w:p w14:paraId="2B3223D9" w14:textId="3D9601F7" w:rsidR="00674E83" w:rsidRPr="00000849" w:rsidRDefault="00674E83" w:rsidP="00E35AF1">
      <w:pPr>
        <w:spacing w:line="480" w:lineRule="auto"/>
        <w:jc w:val="both"/>
        <w:rPr>
          <w:sz w:val="24"/>
          <w:szCs w:val="24"/>
        </w:rPr>
      </w:pPr>
    </w:p>
    <w:p w14:paraId="221E9469" w14:textId="08DF65D6" w:rsidR="00696423" w:rsidRPr="00000849" w:rsidRDefault="00EA5F36" w:rsidP="00696423">
      <w:pPr>
        <w:spacing w:line="480" w:lineRule="auto"/>
        <w:jc w:val="both"/>
        <w:rPr>
          <w:sz w:val="24"/>
        </w:rPr>
      </w:pPr>
      <w:r w:rsidRPr="00000849">
        <w:rPr>
          <w:sz w:val="24"/>
          <w:szCs w:val="24"/>
        </w:rPr>
        <w:t>Unlike the demographic factors</w:t>
      </w:r>
      <w:r w:rsidR="00696423" w:rsidRPr="00000849">
        <w:rPr>
          <w:sz w:val="24"/>
          <w:szCs w:val="24"/>
        </w:rPr>
        <w:t xml:space="preserve">, socioeconomic factors such as </w:t>
      </w:r>
      <w:r w:rsidRPr="00000849">
        <w:rPr>
          <w:sz w:val="24"/>
          <w:szCs w:val="24"/>
        </w:rPr>
        <w:t xml:space="preserve">occupation, </w:t>
      </w:r>
      <w:r w:rsidR="00696423" w:rsidRPr="00000849">
        <w:rPr>
          <w:sz w:val="24"/>
          <w:szCs w:val="24"/>
        </w:rPr>
        <w:t>educational level</w:t>
      </w:r>
      <w:r w:rsidRPr="00000849">
        <w:rPr>
          <w:sz w:val="24"/>
          <w:szCs w:val="24"/>
        </w:rPr>
        <w:t xml:space="preserve"> and </w:t>
      </w:r>
      <w:r w:rsidR="00696423" w:rsidRPr="00000849">
        <w:rPr>
          <w:sz w:val="24"/>
          <w:szCs w:val="24"/>
        </w:rPr>
        <w:t xml:space="preserve">wealth were </w:t>
      </w:r>
      <w:r w:rsidRPr="00000849">
        <w:rPr>
          <w:sz w:val="24"/>
          <w:szCs w:val="24"/>
        </w:rPr>
        <w:t xml:space="preserve">generally </w:t>
      </w:r>
      <w:r w:rsidR="00696423" w:rsidRPr="00000849">
        <w:rPr>
          <w:sz w:val="24"/>
          <w:szCs w:val="24"/>
        </w:rPr>
        <w:t>not significantly associated with</w:t>
      </w:r>
      <w:r w:rsidR="00167625" w:rsidRPr="00000849">
        <w:rPr>
          <w:sz w:val="24"/>
          <w:szCs w:val="24"/>
        </w:rPr>
        <w:t xml:space="preserve"> hypertension</w:t>
      </w:r>
      <w:r w:rsidR="00696423" w:rsidRPr="00000849">
        <w:rPr>
          <w:sz w:val="24"/>
          <w:szCs w:val="24"/>
        </w:rPr>
        <w:t xml:space="preserve"> </w:t>
      </w:r>
      <w:r w:rsidR="00696423" w:rsidRPr="00000849">
        <w:rPr>
          <w:sz w:val="24"/>
          <w:szCs w:val="24"/>
        </w:rPr>
        <w:fldChar w:fldCharType="begin">
          <w:fldData xml:space="preserve">PEVuZE5vdGU+PENpdGU+PEF1dGhvcj5QZWx0emVyPC9BdXRob3I+PFllYXI+MjAxMzwvWWVhcj48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</w:fldData>
        </w:fldChar>
      </w:r>
      <w:r w:rsidR="00AC2BE6">
        <w:rPr>
          <w:sz w:val="24"/>
          <w:szCs w:val="24"/>
        </w:rPr>
        <w:instrText xml:space="preserve"> ADDIN EN.CITE </w:instrText>
      </w:r>
      <w:r w:rsidR="00AC2BE6">
        <w:rPr>
          <w:sz w:val="24"/>
          <w:szCs w:val="24"/>
        </w:rPr>
        <w:fldChar w:fldCharType="begin">
          <w:fldData xml:space="preserve">PEVuZE5vdGU+PENpdGU+PEF1dGhvcj5QZWx0emVyPC9BdXRob3I+PFllYXI+MjAxMzwvWWVhcj48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</w:fldData>
        </w:fldChar>
      </w:r>
      <w:r w:rsidR="00AC2BE6">
        <w:rPr>
          <w:sz w:val="24"/>
          <w:szCs w:val="24"/>
        </w:rPr>
        <w:instrText xml:space="preserve"> ADDIN EN.CITE.DATA </w:instrText>
      </w:r>
      <w:r w:rsidR="00AC2BE6">
        <w:rPr>
          <w:sz w:val="24"/>
          <w:szCs w:val="24"/>
        </w:rPr>
      </w:r>
      <w:r w:rsidR="00AC2BE6">
        <w:rPr>
          <w:sz w:val="24"/>
          <w:szCs w:val="24"/>
        </w:rPr>
        <w:fldChar w:fldCharType="end"/>
      </w:r>
      <w:r w:rsidR="00696423" w:rsidRPr="00000849">
        <w:rPr>
          <w:sz w:val="24"/>
          <w:szCs w:val="24"/>
        </w:rPr>
      </w:r>
      <w:r w:rsidR="00696423" w:rsidRPr="00000849">
        <w:rPr>
          <w:sz w:val="24"/>
          <w:szCs w:val="24"/>
        </w:rPr>
        <w:fldChar w:fldCharType="separate"/>
      </w:r>
      <w:r w:rsidR="00D363A0">
        <w:rPr>
          <w:noProof/>
          <w:sz w:val="24"/>
          <w:szCs w:val="24"/>
        </w:rPr>
        <w:t>(Peltzer &amp; Phaswana-Mafuya, 2013a; Pilleron et al., 2017; Tianyi et al., 2018)</w:t>
      </w:r>
      <w:r w:rsidR="00696423" w:rsidRPr="00000849">
        <w:rPr>
          <w:sz w:val="24"/>
          <w:szCs w:val="24"/>
        </w:rPr>
        <w:fldChar w:fldCharType="end"/>
      </w:r>
      <w:r w:rsidR="00F962CF" w:rsidRPr="00000849">
        <w:rPr>
          <w:sz w:val="24"/>
          <w:szCs w:val="24"/>
        </w:rPr>
        <w:t xml:space="preserve"> (Appendix 3 Table 3)</w:t>
      </w:r>
      <w:r w:rsidR="00696423" w:rsidRPr="00000849">
        <w:rPr>
          <w:sz w:val="24"/>
          <w:szCs w:val="24"/>
        </w:rPr>
        <w:t xml:space="preserve">.  </w:t>
      </w:r>
      <w:r w:rsidRPr="00000849">
        <w:rPr>
          <w:sz w:val="24"/>
          <w:szCs w:val="24"/>
        </w:rPr>
        <w:t>Unskilled labour was associated with a higher prevalence of hypertension in Cameroon</w:t>
      </w:r>
      <w:r w:rsidR="000B009D" w:rsidRPr="00000849">
        <w:rPr>
          <w:sz w:val="24"/>
          <w:szCs w:val="24"/>
        </w:rPr>
        <w:t xml:space="preserve"> in </w:t>
      </w:r>
      <w:r w:rsidR="004A4A38" w:rsidRPr="00000849">
        <w:rPr>
          <w:sz w:val="24"/>
          <w:szCs w:val="24"/>
        </w:rPr>
        <w:t>univariable</w:t>
      </w:r>
      <w:r w:rsidR="000B009D" w:rsidRPr="00000849">
        <w:rPr>
          <w:sz w:val="24"/>
          <w:szCs w:val="24"/>
        </w:rPr>
        <w:t xml:space="preserve"> analysis but not in </w:t>
      </w:r>
      <w:r w:rsidR="004A4A38" w:rsidRPr="00000849">
        <w:rPr>
          <w:sz w:val="24"/>
          <w:szCs w:val="24"/>
        </w:rPr>
        <w:t>multivariable</w:t>
      </w:r>
      <w:r w:rsidR="000B009D" w:rsidRPr="00000849">
        <w:rPr>
          <w:sz w:val="24"/>
          <w:szCs w:val="24"/>
        </w:rPr>
        <w:t xml:space="preserve"> analysis</w:t>
      </w:r>
      <w:r w:rsidR="00E35AF1" w:rsidRPr="00000849">
        <w:rPr>
          <w:sz w:val="24"/>
          <w:szCs w:val="24"/>
        </w:rPr>
        <w:t xml:space="preserve"> </w:t>
      </w:r>
      <w:r w:rsidRPr="00000849">
        <w:rPr>
          <w:sz w:val="24"/>
          <w:szCs w:val="24"/>
        </w:rPr>
        <w:fldChar w:fldCharType="begin"/>
      </w:r>
      <w:r w:rsidR="001740AB" w:rsidRPr="00000849">
        <w:rPr>
          <w:sz w:val="24"/>
          <w:szCs w:val="24"/>
        </w:rPr>
        <w:instrText xml:space="preserve"> ADDIN EN.CITE &lt;EndNote&gt;&lt;Cite&gt;&lt;Author&gt;Tianyi&lt;/Author&gt;&lt;Year&gt;2018&lt;/Year&gt;&lt;RecNum&gt;47&lt;/RecNum&gt;&lt;DisplayText&gt;(Tianyi et al., 2018)&lt;/DisplayText&gt;&lt;record&gt;&lt;rec-number&gt;47&lt;/rec-number&gt;&lt;foreign-keys&gt;&lt;key app="EN" db-id="pzfw02x58peadyevdp8vswt40etp25t5ddp0" timestamp="1533786270"&gt;47&lt;/key&gt;&lt;/foreign-keys&gt;&lt;ref-type name="Journal Article"&gt;17&lt;/ref-type&gt;&lt;contributors&gt;&lt;authors&gt;&lt;author&gt;Tianyi, Frank L&lt;/author&gt;&lt;author&gt;Agbor, Valirie N&lt;/author&gt;&lt;author&gt;Njamnshi, Alfred K %J Health Science Reports&lt;/author&gt;&lt;/authors&gt;&lt;/contributors&gt;&lt;titles&gt;&lt;title&gt;Prevalence, awareness, treatment, and control of hypertension in Cameroonians aged 50 years and older: A community‐based study&lt;/title&gt;&lt;secondary-title&gt;Health Science Reports&lt;/secondary-title&gt;&lt;/titles&gt;&lt;periodical&gt;&lt;full-title&gt;Health Science Reports&lt;/full-title&gt;&lt;abbr-1&gt;Health Sci Rep&lt;/abbr-1&gt;&lt;/periodical&gt;&lt;pages&gt;e44&lt;/pages&gt;&lt;volume&gt;1&lt;/volume&gt;&lt;number&gt;5&lt;/number&gt;&lt;dates&gt;&lt;year&gt;2018&lt;/year&gt;&lt;/dates&gt;&lt;isbn&gt;2398-8835&lt;/isbn&gt;&lt;urls&gt;&lt;/urls&gt;&lt;/record&gt;&lt;/Cite&gt;&lt;/EndNote&gt;</w:instrText>
      </w:r>
      <w:r w:rsidRPr="00000849">
        <w:rPr>
          <w:sz w:val="24"/>
          <w:szCs w:val="24"/>
        </w:rPr>
        <w:fldChar w:fldCharType="separate"/>
      </w:r>
      <w:r w:rsidR="001740AB" w:rsidRPr="00000849">
        <w:rPr>
          <w:noProof/>
          <w:sz w:val="24"/>
          <w:szCs w:val="24"/>
        </w:rPr>
        <w:t>(Tianyi et al., 2018)</w:t>
      </w:r>
      <w:r w:rsidRPr="00000849">
        <w:rPr>
          <w:sz w:val="24"/>
          <w:szCs w:val="24"/>
        </w:rPr>
        <w:fldChar w:fldCharType="end"/>
      </w:r>
      <w:r w:rsidRPr="00000849">
        <w:rPr>
          <w:sz w:val="24"/>
          <w:szCs w:val="24"/>
        </w:rPr>
        <w:t xml:space="preserve">. </w:t>
      </w:r>
      <w:r w:rsidR="000B009D" w:rsidRPr="00000849">
        <w:rPr>
          <w:sz w:val="24"/>
          <w:szCs w:val="24"/>
        </w:rPr>
        <w:t xml:space="preserve"> </w:t>
      </w:r>
      <w:r w:rsidR="00167625" w:rsidRPr="00000849">
        <w:rPr>
          <w:sz w:val="24"/>
          <w:szCs w:val="24"/>
        </w:rPr>
        <w:t>Similarly</w:t>
      </w:r>
      <w:r w:rsidR="000B009D" w:rsidRPr="00000849">
        <w:rPr>
          <w:sz w:val="24"/>
          <w:szCs w:val="24"/>
        </w:rPr>
        <w:t xml:space="preserve">, in </w:t>
      </w:r>
      <w:r w:rsidR="000B009D" w:rsidRPr="00000849">
        <w:rPr>
          <w:sz w:val="24"/>
        </w:rPr>
        <w:t xml:space="preserve">the CAR and Congo, being jobless or having previously been employed as </w:t>
      </w:r>
      <w:r w:rsidR="006C0595" w:rsidRPr="00000849">
        <w:rPr>
          <w:sz w:val="24"/>
        </w:rPr>
        <w:t xml:space="preserve">a craftsman, storekeeper, farmer, breeder, fisherman </w:t>
      </w:r>
      <w:r w:rsidR="000B009D" w:rsidRPr="00000849">
        <w:rPr>
          <w:sz w:val="24"/>
        </w:rPr>
        <w:t>was associated with higher odds of</w:t>
      </w:r>
      <w:r w:rsidR="006C0595" w:rsidRPr="00000849">
        <w:rPr>
          <w:sz w:val="24"/>
        </w:rPr>
        <w:t xml:space="preserve"> hypertension</w:t>
      </w:r>
      <w:r w:rsidR="000B009D" w:rsidRPr="00000849">
        <w:rPr>
          <w:sz w:val="24"/>
        </w:rPr>
        <w:t xml:space="preserve"> </w:t>
      </w:r>
      <w:r w:rsidR="00167625" w:rsidRPr="00000849">
        <w:rPr>
          <w:sz w:val="24"/>
        </w:rPr>
        <w:t xml:space="preserve">than having been a government employee </w:t>
      </w:r>
      <w:r w:rsidR="000B009D" w:rsidRPr="00000849">
        <w:rPr>
          <w:sz w:val="24"/>
        </w:rPr>
        <w:t xml:space="preserve"> </w:t>
      </w:r>
      <w:r w:rsidR="006C0595" w:rsidRPr="00000849">
        <w:rPr>
          <w:sz w:val="2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1740AB" w:rsidRPr="00000849">
        <w:rPr>
          <w:sz w:val="24"/>
        </w:rPr>
        <w:instrText xml:space="preserve"> ADDIN EN.CITE </w:instrText>
      </w:r>
      <w:r w:rsidR="001740AB" w:rsidRPr="00000849">
        <w:rPr>
          <w:sz w:val="2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1740AB" w:rsidRPr="00000849">
        <w:rPr>
          <w:sz w:val="24"/>
        </w:rPr>
        <w:instrText xml:space="preserve"> ADDIN EN.CITE.DATA </w:instrText>
      </w:r>
      <w:r w:rsidR="001740AB" w:rsidRPr="00000849">
        <w:rPr>
          <w:sz w:val="24"/>
        </w:rPr>
      </w:r>
      <w:r w:rsidR="001740AB" w:rsidRPr="00000849">
        <w:rPr>
          <w:sz w:val="24"/>
        </w:rPr>
        <w:fldChar w:fldCharType="end"/>
      </w:r>
      <w:r w:rsidR="006C0595" w:rsidRPr="00000849">
        <w:rPr>
          <w:sz w:val="24"/>
        </w:rPr>
      </w:r>
      <w:r w:rsidR="006C0595" w:rsidRPr="00000849">
        <w:rPr>
          <w:sz w:val="24"/>
        </w:rPr>
        <w:fldChar w:fldCharType="separate"/>
      </w:r>
      <w:r w:rsidR="001740AB" w:rsidRPr="00000849">
        <w:rPr>
          <w:noProof/>
          <w:sz w:val="24"/>
        </w:rPr>
        <w:t>(Pilleron et al., 2017)</w:t>
      </w:r>
      <w:r w:rsidR="006C0595" w:rsidRPr="00000849">
        <w:rPr>
          <w:sz w:val="24"/>
        </w:rPr>
        <w:fldChar w:fldCharType="end"/>
      </w:r>
      <w:r w:rsidR="000B009D" w:rsidRPr="00000849">
        <w:rPr>
          <w:sz w:val="24"/>
        </w:rPr>
        <w:t>.</w:t>
      </w:r>
    </w:p>
    <w:p w14:paraId="61B7A36E" w14:textId="7D353F5F" w:rsidR="00696423" w:rsidRPr="00000849" w:rsidRDefault="00B66540" w:rsidP="00B25534">
      <w:pPr>
        <w:spacing w:line="480" w:lineRule="auto"/>
        <w:ind w:firstLine="567"/>
        <w:jc w:val="both"/>
        <w:rPr>
          <w:sz w:val="24"/>
        </w:rPr>
      </w:pPr>
      <w:r w:rsidRPr="00000849">
        <w:rPr>
          <w:sz w:val="24"/>
        </w:rPr>
        <w:t xml:space="preserve">In </w:t>
      </w:r>
      <w:r w:rsidR="004A4A38" w:rsidRPr="00000849">
        <w:rPr>
          <w:sz w:val="24"/>
        </w:rPr>
        <w:t>multivariable</w:t>
      </w:r>
      <w:r w:rsidRPr="00000849">
        <w:rPr>
          <w:sz w:val="24"/>
        </w:rPr>
        <w:t xml:space="preserve"> analyses, educational level was not significantly associated with </w:t>
      </w:r>
      <w:r w:rsidR="00696423" w:rsidRPr="00000849">
        <w:rPr>
          <w:sz w:val="24"/>
        </w:rPr>
        <w:t xml:space="preserve">hypertension in </w:t>
      </w:r>
      <w:r w:rsidRPr="00000849">
        <w:rPr>
          <w:sz w:val="24"/>
        </w:rPr>
        <w:t>most studies</w:t>
      </w:r>
      <w:r w:rsidR="00696423" w:rsidRPr="00000849">
        <w:rPr>
          <w:sz w:val="24"/>
        </w:rPr>
        <w:t xml:space="preserve"> </w:t>
      </w:r>
      <w:r w:rsidR="00696423" w:rsidRPr="00000849">
        <w:rPr>
          <w:sz w:val="24"/>
        </w:rPr>
        <w:fldChar w:fldCharType="begin">
          <w:fldData xml:space="preserve">PEVuZE5vdGU+PENpdGU+PEF1dGhvcj5NYWNpYTwvQXV0aG9yPjxZZWFyPjIwMTI8L1llYXI+PFJl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ZWxlY3Ryb25pYy1yZXNvdXJjZS1udW0+PC9yZWNvcmQ+PC9DaXRlPjxDaXRlPjxBdXRob3I+UmFq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</w:fldData>
        </w:fldChar>
      </w:r>
      <w:r w:rsidR="00AC2BE6">
        <w:rPr>
          <w:sz w:val="24"/>
        </w:rPr>
        <w:instrText xml:space="preserve"> ADDIN EN.CITE </w:instrText>
      </w:r>
      <w:r w:rsidR="00AC2BE6">
        <w:rPr>
          <w:sz w:val="24"/>
        </w:rPr>
        <w:fldChar w:fldCharType="begin">
          <w:fldData xml:space="preserve">PEVuZE5vdGU+PENpdGU+PEF1dGhvcj5NYWNpYTwvQXV0aG9yPjxZZWFyPjIwMTI8L1llYXI+PFJl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ZWxlY3Ryb25pYy1yZXNvdXJjZS1udW0+PC9yZWNvcmQ+PC9DaXRlPjxDaXRlPjxBdXRob3I+UmFq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</w:fldData>
        </w:fldChar>
      </w:r>
      <w:r w:rsidR="00AC2BE6">
        <w:rPr>
          <w:sz w:val="24"/>
        </w:rPr>
        <w:instrText xml:space="preserve"> ADDIN EN.CITE.DATA </w:instrText>
      </w:r>
      <w:r w:rsidR="00AC2BE6">
        <w:rPr>
          <w:sz w:val="24"/>
        </w:rPr>
      </w:r>
      <w:r w:rsidR="00AC2BE6">
        <w:rPr>
          <w:sz w:val="24"/>
        </w:rPr>
        <w:fldChar w:fldCharType="end"/>
      </w:r>
      <w:r w:rsidR="00696423" w:rsidRPr="00000849">
        <w:rPr>
          <w:sz w:val="24"/>
        </w:rPr>
      </w:r>
      <w:r w:rsidR="00696423" w:rsidRPr="00000849">
        <w:rPr>
          <w:sz w:val="24"/>
        </w:rPr>
        <w:fldChar w:fldCharType="separate"/>
      </w:r>
      <w:r w:rsidR="00ED7F82" w:rsidRPr="00000849">
        <w:rPr>
          <w:noProof/>
          <w:sz w:val="24"/>
        </w:rPr>
        <w:t>(Macia et al., 2012; Minicuci et al., 2014; Pilleron et al., 2017; Raji et al., 2017; Scholten et al., 2011)</w:t>
      </w:r>
      <w:r w:rsidR="00696423" w:rsidRPr="00000849">
        <w:rPr>
          <w:sz w:val="24"/>
        </w:rPr>
        <w:fldChar w:fldCharType="end"/>
      </w:r>
      <w:r w:rsidR="00696423" w:rsidRPr="00000849">
        <w:rPr>
          <w:sz w:val="24"/>
        </w:rPr>
        <w:t xml:space="preserve">.  </w:t>
      </w:r>
      <w:r w:rsidRPr="00000849">
        <w:rPr>
          <w:sz w:val="24"/>
        </w:rPr>
        <w:t xml:space="preserve">As with urban-rural residence, there was a discordant relationship between educational level and hypertension in </w:t>
      </w:r>
      <w:r w:rsidR="004A4A38" w:rsidRPr="00000849">
        <w:rPr>
          <w:sz w:val="24"/>
        </w:rPr>
        <w:t>multivariable</w:t>
      </w:r>
      <w:r w:rsidRPr="00000849">
        <w:rPr>
          <w:sz w:val="24"/>
        </w:rPr>
        <w:t xml:space="preserve"> analyses in the multi-country SAGE studies involving Ghana and South Africa.  Higher level education was independently associated with lower prevalence of hypertension in South Africa but higher prevalence in </w:t>
      </w:r>
      <w:r w:rsidR="00696423" w:rsidRPr="00000849">
        <w:rPr>
          <w:sz w:val="24"/>
        </w:rPr>
        <w:t xml:space="preserve">Ghana </w:t>
      </w:r>
      <w:r w:rsidR="00696423" w:rsidRPr="00000849">
        <w:rPr>
          <w:sz w:val="24"/>
        </w:rPr>
        <w:fldChar w:fldCharType="begin">
          <w:fldData xml:space="preserve">PEVuZE5vdGU+PENpdGU+PEF1dGhvcj5MbG95ZC1TaGVybG9jazwvQXV0aG9yPjxZZWFyPjIwMTQ8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</w:fldData>
        </w:fldChar>
      </w:r>
      <w:r w:rsidR="00AC2BE6">
        <w:rPr>
          <w:sz w:val="24"/>
        </w:rPr>
        <w:instrText xml:space="preserve"> ADDIN EN.CITE </w:instrText>
      </w:r>
      <w:r w:rsidR="00AC2BE6">
        <w:rPr>
          <w:sz w:val="24"/>
        </w:rPr>
        <w:fldChar w:fldCharType="begin">
          <w:fldData xml:space="preserve">PEVuZE5vdGU+PENpdGU+PEF1dGhvcj5MbG95ZC1TaGVybG9jazwvQXV0aG9yPjxZZWFyPjIwMTQ8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</w:fldData>
        </w:fldChar>
      </w:r>
      <w:r w:rsidR="00AC2BE6">
        <w:rPr>
          <w:sz w:val="24"/>
        </w:rPr>
        <w:instrText xml:space="preserve"> ADDIN EN.CITE.DATA </w:instrText>
      </w:r>
      <w:r w:rsidR="00AC2BE6">
        <w:rPr>
          <w:sz w:val="24"/>
        </w:rPr>
      </w:r>
      <w:r w:rsidR="00AC2BE6">
        <w:rPr>
          <w:sz w:val="24"/>
        </w:rPr>
        <w:fldChar w:fldCharType="end"/>
      </w:r>
      <w:r w:rsidR="00696423" w:rsidRPr="00000849">
        <w:rPr>
          <w:sz w:val="24"/>
        </w:rPr>
      </w:r>
      <w:r w:rsidR="00696423" w:rsidRPr="00000849">
        <w:rPr>
          <w:sz w:val="24"/>
        </w:rPr>
        <w:fldChar w:fldCharType="separate"/>
      </w:r>
      <w:r w:rsidR="00CD7B29">
        <w:rPr>
          <w:noProof/>
          <w:sz w:val="24"/>
        </w:rPr>
        <w:t>(Lloyd-Sherlock et al., 2014; Lloyd-Sherlock et al., 2017)</w:t>
      </w:r>
      <w:r w:rsidR="00696423" w:rsidRPr="00000849">
        <w:rPr>
          <w:sz w:val="24"/>
        </w:rPr>
        <w:fldChar w:fldCharType="end"/>
      </w:r>
      <w:r w:rsidR="00696423" w:rsidRPr="00000849">
        <w:rPr>
          <w:sz w:val="24"/>
        </w:rPr>
        <w:t xml:space="preserve">.  </w:t>
      </w:r>
      <w:r w:rsidR="00E20EB4" w:rsidRPr="00000849">
        <w:rPr>
          <w:sz w:val="24"/>
        </w:rPr>
        <w:t xml:space="preserve">In a separate analysis of the SAGE </w:t>
      </w:r>
      <w:r w:rsidR="00167F83" w:rsidRPr="00000849">
        <w:rPr>
          <w:sz w:val="24"/>
        </w:rPr>
        <w:t xml:space="preserve">studies, </w:t>
      </w:r>
      <w:r w:rsidR="00167F83" w:rsidRPr="00000849">
        <w:rPr>
          <w:sz w:val="24"/>
        </w:rPr>
        <w:fldChar w:fldCharType="begin"/>
      </w:r>
      <w:r w:rsidR="00AC2BE6">
        <w:rPr>
          <w:sz w:val="24"/>
        </w:rPr>
        <w:instrText xml:space="preserve"> ADDIN EN.CITE &lt;EndNote&gt;&lt;Cite AuthorYear="1"&gt;&lt;Author&gt;Tyrovolas&lt;/Author&gt;&lt;Year&gt;2015&lt;/Year&gt;&lt;RecNum&gt;814&lt;/RecNum&gt;&lt;DisplayText&gt;Tyrovolas et al. (2015)&lt;/DisplayText&gt;&lt;record&gt;&lt;rec-number&gt;814&lt;/rec-number&gt;&lt;foreign-keys&gt;&lt;key app="EN" db-id="29t2ptva8t9xtgex0z2vepsadpwpfxd9a2zv" timestamp="1613841980"&gt;814&lt;/key&gt;&lt;/foreign-keys&gt;&lt;ref-type name="Journal Article"&gt;17&lt;/ref-type&gt;&lt;contributors&gt;&lt;authors&gt;&lt;author&gt;Tyrovolas, Stefanos&lt;/author&gt;&lt;author&gt;Koyanagi, Ai&lt;/author&gt;&lt;author&gt;Garin, Noe&lt;/author&gt;&lt;author&gt;Olaya, Beatriz&lt;/author&gt;&lt;author&gt;Ayuso-Mateos, Jose Luis&lt;/author&gt;&lt;author&gt;Miret, Marta&lt;/author&gt;&lt;author&gt;Chatterji, Somnath&lt;/author&gt;&lt;author&gt;Tobiasz-Adamczyk, Beata&lt;/author&gt;&lt;author&gt;Koskinen, Seppo&lt;/author&gt;&lt;author&gt;Leonardi, Matilde&lt;/author&gt;&lt;author&gt;Haro, Josep Maria&lt;/author&gt;&lt;/authors&gt;&lt;/contributors&gt;&lt;titles&gt;&lt;title&gt;Determinants of the components of arterial pressure among older adults – The role of anthropometric and clinical factors: A multi-continent study&lt;/title&gt;&lt;secondary-title&gt;Atherosclerosis&lt;/secondary-title&gt;&lt;/titles&gt;&lt;periodical&gt;&lt;full-title&gt;Atherosclerosis&lt;/full-title&gt;&lt;/periodical&gt;&lt;pages&gt;240-249&lt;/pages&gt;&lt;volume&gt;238&lt;/volume&gt;&lt;number&gt;2&lt;/number&gt;&lt;keywords&gt;&lt;keyword&gt;Hypertension&lt;/keyword&gt;&lt;keyword&gt;Mean Arterial Pressure&lt;/keyword&gt;&lt;keyword&gt;Pulse Pressure&lt;/keyword&gt;&lt;keyword&gt;Obesity&lt;/keyword&gt;&lt;keyword&gt;Developing Countries&lt;/keyword&gt;&lt;/keywords&gt;&lt;dates&gt;&lt;year&gt;2015&lt;/year&gt;&lt;/dates&gt;&lt;isbn&gt;0021-9150&lt;/isbn&gt;&lt;urls&gt;&lt;/urls&gt;&lt;electronic-resource-num&gt;10.1016/j.atherosclerosis.2014.11.029&lt;/electronic-resource-num&gt;&lt;/record&gt;&lt;/Cite&gt;&lt;/EndNote&gt;</w:instrText>
      </w:r>
      <w:r w:rsidR="00167F83" w:rsidRPr="00000849">
        <w:rPr>
          <w:sz w:val="24"/>
        </w:rPr>
        <w:fldChar w:fldCharType="separate"/>
      </w:r>
      <w:r w:rsidR="001740AB" w:rsidRPr="00000849">
        <w:rPr>
          <w:noProof/>
          <w:sz w:val="24"/>
        </w:rPr>
        <w:t>Tyrovolas et al. (2015)</w:t>
      </w:r>
      <w:r w:rsidR="00167F83" w:rsidRPr="00000849">
        <w:rPr>
          <w:sz w:val="24"/>
        </w:rPr>
        <w:fldChar w:fldCharType="end"/>
      </w:r>
      <w:r w:rsidR="00167F83" w:rsidRPr="00000849">
        <w:rPr>
          <w:sz w:val="24"/>
        </w:rPr>
        <w:t xml:space="preserve"> </w:t>
      </w:r>
      <w:r w:rsidR="005419DB" w:rsidRPr="00000849">
        <w:rPr>
          <w:sz w:val="24"/>
        </w:rPr>
        <w:t xml:space="preserve">observed that secondary education level was independently associated with a lower prevalence of hypertension </w:t>
      </w:r>
      <w:r w:rsidR="00696423" w:rsidRPr="00000849">
        <w:rPr>
          <w:sz w:val="24"/>
        </w:rPr>
        <w:t>compared to primary or lower level education</w:t>
      </w:r>
      <w:r w:rsidR="005419DB" w:rsidRPr="00000849">
        <w:rPr>
          <w:sz w:val="24"/>
        </w:rPr>
        <w:t xml:space="preserve"> in South Africa.  In contrast, education was not</w:t>
      </w:r>
      <w:r w:rsidR="00696423" w:rsidRPr="00000849">
        <w:rPr>
          <w:sz w:val="24"/>
        </w:rPr>
        <w:t xml:space="preserve"> significantly associated with hypertension in Ghana.  </w:t>
      </w:r>
    </w:p>
    <w:p w14:paraId="4BCBB7AD" w14:textId="5D335844" w:rsidR="00696423" w:rsidRPr="00000849" w:rsidRDefault="00ED5DE9" w:rsidP="00B25534">
      <w:pPr>
        <w:spacing w:line="480" w:lineRule="auto"/>
        <w:ind w:firstLine="567"/>
        <w:jc w:val="both"/>
        <w:rPr>
          <w:sz w:val="24"/>
        </w:rPr>
      </w:pPr>
      <w:r w:rsidRPr="00000849">
        <w:rPr>
          <w:sz w:val="24"/>
          <w:szCs w:val="24"/>
        </w:rPr>
        <w:lastRenderedPageBreak/>
        <w:t>Unlike</w:t>
      </w:r>
      <w:r w:rsidR="005419DB" w:rsidRPr="00000849">
        <w:rPr>
          <w:sz w:val="24"/>
          <w:szCs w:val="24"/>
        </w:rPr>
        <w:t xml:space="preserve"> residence and education, </w:t>
      </w:r>
      <w:r w:rsidR="00696423" w:rsidRPr="00000849">
        <w:rPr>
          <w:sz w:val="24"/>
          <w:szCs w:val="24"/>
        </w:rPr>
        <w:t>the</w:t>
      </w:r>
      <w:r w:rsidR="00C0540E" w:rsidRPr="00000849">
        <w:rPr>
          <w:sz w:val="24"/>
          <w:szCs w:val="24"/>
        </w:rPr>
        <w:t xml:space="preserve"> </w:t>
      </w:r>
      <w:r w:rsidR="00696423" w:rsidRPr="00000849">
        <w:rPr>
          <w:sz w:val="24"/>
          <w:szCs w:val="24"/>
        </w:rPr>
        <w:t>relationship between wealth quintile and the prevalence of hypertension in Ghana and South Africa</w:t>
      </w:r>
      <w:r w:rsidR="00C0540E" w:rsidRPr="00000849">
        <w:rPr>
          <w:sz w:val="24"/>
          <w:szCs w:val="24"/>
        </w:rPr>
        <w:t xml:space="preserve"> was </w:t>
      </w:r>
      <w:r w:rsidRPr="00000849">
        <w:rPr>
          <w:sz w:val="24"/>
          <w:szCs w:val="24"/>
        </w:rPr>
        <w:t>similar</w:t>
      </w:r>
      <w:r w:rsidR="00696423" w:rsidRPr="00000849">
        <w:rPr>
          <w:sz w:val="24"/>
          <w:szCs w:val="24"/>
        </w:rPr>
        <w:t xml:space="preserve">.  </w:t>
      </w:r>
      <w:r w:rsidR="00336ED1" w:rsidRPr="00000849">
        <w:rPr>
          <w:sz w:val="24"/>
          <w:szCs w:val="24"/>
        </w:rPr>
        <w:t>In both Ghana and South Africa, there was a positive gradient with increasing wealth quintile</w:t>
      </w:r>
      <w:r w:rsidR="0050699D" w:rsidRPr="00000849">
        <w:rPr>
          <w:sz w:val="24"/>
          <w:szCs w:val="24"/>
        </w:rPr>
        <w:t xml:space="preserve"> associated with greater adjusted odds of hypertension, with the poorest quintile (Q1) as the reference value ) </w:t>
      </w:r>
      <w:r w:rsidR="0050699D" w:rsidRPr="00000849">
        <w:rPr>
          <w:sz w:val="24"/>
          <w:szCs w:val="24"/>
        </w:rPr>
        <w:fldChar w:fldCharType="begin"/>
      </w:r>
      <w:r w:rsidR="0050699D" w:rsidRPr="00000849">
        <w:rPr>
          <w:sz w:val="24"/>
          <w:szCs w:val="24"/>
        </w:rPr>
        <w:instrText xml:space="preserve"> ADDIN EN.CITE &lt;EndNote&gt;&lt;Cite&gt;&lt;Author&gt;Lloyd-Sherlock&lt;/Author&gt;&lt;Year&gt;2017&lt;/Year&gt;&lt;RecNum&gt;1663&lt;/RecNum&gt;&lt;DisplayText&gt;(Lloyd-Sherlock et al., 2017)&lt;/DisplayText&gt;&lt;record&gt;&lt;rec-number&gt;1663&lt;/rec-number&gt;&lt;foreign-keys&gt;&lt;key app="EN" db-id="9tzf2rda8re2a9es5tuxart3swzx2zws2s02" timestamp="1597566646"&gt;1663&lt;/key&gt;&lt;/foreign-keys&gt;&lt;ref-type name="Journal Article"&gt;17&lt;/ref-type&gt;&lt;contributors&gt;&lt;authors&gt;&lt;author&gt;Lloyd-Sherlock, Peter&lt;/author&gt;&lt;author&gt;Minicuci, Nadia&lt;/author&gt;&lt;author&gt;Corso, Barbara&lt;/author&gt;&lt;author&gt;Beard, John&lt;/author&gt;&lt;author&gt;Chatterji, Somnath&lt;/author&gt;&lt;author&gt;Ebrahim, Shah&lt;/author&gt;&lt;/authors&gt;&lt;/contributors&gt;&lt;titles&gt;&lt;title&gt;Diseases of the Rich? The Social Patterning of Hypertension in Six Low- and Middle-Income Countries&lt;/title&gt;&lt;secondary-title&gt;European Journal of Development Research&lt;/secondary-title&gt;&lt;/titles&gt;&lt;periodical&gt;&lt;full-title&gt;European Journal of Development Research&lt;/full-title&gt;&lt;/periodical&gt;&lt;pages&gt;827-842&lt;/pages&gt;&lt;volume&gt;29&lt;/volume&gt;&lt;number&gt;4&lt;/number&gt;&lt;keywords&gt;&lt;keyword&gt;HYPERTENSION&lt;/keyword&gt;&lt;keyword&gt;MIDDLE-income countries&lt;/keyword&gt;&lt;keyword&gt;PERCEPTION&lt;/keyword&gt;&lt;keyword&gt;NON-communicable diseases&lt;/keyword&gt;&lt;keyword&gt;PUBLIC health&lt;/keyword&gt;&lt;keyword&gt;equity&lt;/keyword&gt;&lt;keyword&gt;health&lt;/keyword&gt;&lt;keyword&gt;older people&lt;/keyword&gt;&lt;keyword&gt;policy&lt;/keyword&gt;&lt;/keywords&gt;&lt;dates&gt;&lt;year&gt;2017&lt;/year&gt;&lt;/dates&gt;&lt;isbn&gt;09578811&lt;/isbn&gt;&lt;accession-num&gt;124414655&lt;/accession-num&gt;&lt;work-type&gt;Article&lt;/work-type&gt;&lt;urls&gt;&lt;related-urls&gt;&lt;url&gt;http://search.ebscohost.com/login.aspx?direct=true&amp;amp;db=asn&amp;amp;AN=124414655&amp;amp;site=ehost-live&amp;amp;authtype=ip,shib&amp;amp;user=s1523151&lt;/url&gt;&lt;/related-urls&gt;&lt;/urls&gt;&lt;electronic-resource-num&gt;10.1057/s41287-016-0063-2&lt;/electronic-resource-num&gt;&lt;remote-database-name&gt;asn&lt;/remote-database-name&gt;&lt;remote-database-provider&gt;EBSCOhost&lt;/remote-database-provider&gt;&lt;/record&gt;&lt;/Cite&gt;&lt;/EndNote&gt;</w:instrText>
      </w:r>
      <w:r w:rsidR="0050699D" w:rsidRPr="00000849">
        <w:rPr>
          <w:sz w:val="24"/>
          <w:szCs w:val="24"/>
        </w:rPr>
        <w:fldChar w:fldCharType="separate"/>
      </w:r>
      <w:r w:rsidR="0050699D" w:rsidRPr="00000849">
        <w:rPr>
          <w:noProof/>
          <w:sz w:val="24"/>
          <w:szCs w:val="24"/>
        </w:rPr>
        <w:t>(Lloyd-Sherlock et al., 2017)</w:t>
      </w:r>
      <w:r w:rsidR="0050699D" w:rsidRPr="00000849">
        <w:rPr>
          <w:sz w:val="24"/>
          <w:szCs w:val="24"/>
        </w:rPr>
        <w:fldChar w:fldCharType="end"/>
      </w:r>
      <w:r w:rsidR="0050699D" w:rsidRPr="00000849">
        <w:rPr>
          <w:sz w:val="24"/>
          <w:szCs w:val="24"/>
        </w:rPr>
        <w:t xml:space="preserve">.  However, in Ghana, the odds ratios for the richest three quintiles (Q3-Q5) compared with only the richest quintile (Q5) in South Africa were statistically significant. </w:t>
      </w:r>
      <w:r w:rsidR="00696423" w:rsidRPr="00000849">
        <w:rPr>
          <w:sz w:val="24"/>
        </w:rPr>
        <w:t xml:space="preserve">In </w:t>
      </w:r>
      <w:r w:rsidR="005419DB" w:rsidRPr="00000849">
        <w:rPr>
          <w:sz w:val="24"/>
        </w:rPr>
        <w:t xml:space="preserve">separate </w:t>
      </w:r>
      <w:r w:rsidR="005419DB" w:rsidRPr="00000849">
        <w:rPr>
          <w:sz w:val="24"/>
          <w:szCs w:val="24"/>
        </w:rPr>
        <w:t>models</w:t>
      </w:r>
      <w:r w:rsidR="005419DB" w:rsidRPr="00000849">
        <w:rPr>
          <w:sz w:val="24"/>
        </w:rPr>
        <w:t xml:space="preserve"> including additional variables </w:t>
      </w:r>
      <w:r w:rsidR="00696423" w:rsidRPr="00000849">
        <w:rPr>
          <w:sz w:val="24"/>
        </w:rPr>
        <w:t>o</w:t>
      </w:r>
      <w:r w:rsidR="005419DB" w:rsidRPr="00000849">
        <w:rPr>
          <w:sz w:val="24"/>
        </w:rPr>
        <w:t>n</w:t>
      </w:r>
      <w:r w:rsidR="00696423" w:rsidRPr="00000849">
        <w:rPr>
          <w:sz w:val="24"/>
        </w:rPr>
        <w:t xml:space="preserve"> the same SAGE data</w:t>
      </w:r>
      <w:r w:rsidR="005419DB" w:rsidRPr="00000849">
        <w:rPr>
          <w:sz w:val="24"/>
        </w:rPr>
        <w:t>set</w:t>
      </w:r>
      <w:r w:rsidR="00696423" w:rsidRPr="00000849">
        <w:rPr>
          <w:sz w:val="24"/>
        </w:rPr>
        <w:t xml:space="preserve">, wealth quintiles were not associated with hypertension </w:t>
      </w:r>
      <w:r w:rsidR="005419DB" w:rsidRPr="00000849">
        <w:rPr>
          <w:sz w:val="24"/>
        </w:rPr>
        <w:t xml:space="preserve">in Ghana or South Africa </w:t>
      </w:r>
      <w:r w:rsidR="00696423" w:rsidRPr="00000849">
        <w:rPr>
          <w:sz w:val="24"/>
        </w:rPr>
        <w:fldChar w:fldCharType="begin">
          <w:fldData xml:space="preserve">PEVuZE5vdGU+PENpdGU+PEF1dGhvcj5MbG95ZC1TaGVybG9jazwvQXV0aG9yPjxZZWFyPjIwMTQ8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</w:fldData>
        </w:fldChar>
      </w:r>
      <w:r w:rsidR="00AC2BE6">
        <w:rPr>
          <w:sz w:val="24"/>
        </w:rPr>
        <w:instrText xml:space="preserve"> ADDIN EN.CITE </w:instrText>
      </w:r>
      <w:r w:rsidR="00AC2BE6">
        <w:rPr>
          <w:sz w:val="24"/>
        </w:rPr>
        <w:fldChar w:fldCharType="begin">
          <w:fldData xml:space="preserve">PEVuZE5vdGU+PENpdGU+PEF1dGhvcj5MbG95ZC1TaGVybG9jazwvQXV0aG9yPjxZZWFyPjIwMTQ8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</w:fldData>
        </w:fldChar>
      </w:r>
      <w:r w:rsidR="00AC2BE6">
        <w:rPr>
          <w:sz w:val="24"/>
        </w:rPr>
        <w:instrText xml:space="preserve"> ADDIN EN.CITE.DATA </w:instrText>
      </w:r>
      <w:r w:rsidR="00AC2BE6">
        <w:rPr>
          <w:sz w:val="24"/>
        </w:rPr>
      </w:r>
      <w:r w:rsidR="00AC2BE6">
        <w:rPr>
          <w:sz w:val="24"/>
        </w:rPr>
        <w:fldChar w:fldCharType="end"/>
      </w:r>
      <w:r w:rsidR="00696423" w:rsidRPr="00000849">
        <w:rPr>
          <w:sz w:val="24"/>
        </w:rPr>
      </w:r>
      <w:r w:rsidR="00696423" w:rsidRPr="00000849">
        <w:rPr>
          <w:sz w:val="24"/>
        </w:rPr>
        <w:fldChar w:fldCharType="separate"/>
      </w:r>
      <w:r w:rsidR="00CD7B29">
        <w:rPr>
          <w:noProof/>
          <w:sz w:val="24"/>
        </w:rPr>
        <w:t>(Lloyd-Sherlock et al., 2014; Tyrovolas et al., 2015)</w:t>
      </w:r>
      <w:r w:rsidR="00696423" w:rsidRPr="00000849">
        <w:rPr>
          <w:sz w:val="24"/>
        </w:rPr>
        <w:fldChar w:fldCharType="end"/>
      </w:r>
      <w:r w:rsidR="00696423" w:rsidRPr="00000849">
        <w:rPr>
          <w:sz w:val="24"/>
        </w:rPr>
        <w:t xml:space="preserve">.  </w:t>
      </w:r>
      <w:r w:rsidR="005419DB" w:rsidRPr="00000849">
        <w:rPr>
          <w:sz w:val="24"/>
        </w:rPr>
        <w:t xml:space="preserve">Similarly, </w:t>
      </w:r>
      <w:r w:rsidR="00696423" w:rsidRPr="00000849">
        <w:rPr>
          <w:sz w:val="24"/>
        </w:rPr>
        <w:t xml:space="preserve">they </w:t>
      </w:r>
      <w:r w:rsidR="005419DB" w:rsidRPr="00000849">
        <w:rPr>
          <w:sz w:val="24"/>
        </w:rPr>
        <w:t xml:space="preserve">were not </w:t>
      </w:r>
      <w:r w:rsidR="00696423" w:rsidRPr="00000849">
        <w:rPr>
          <w:sz w:val="24"/>
        </w:rPr>
        <w:t xml:space="preserve">associated with stage 1 or stage 2 SHTN or DHTN in Ghana </w:t>
      </w:r>
      <w:r w:rsidR="00696423" w:rsidRPr="00000849">
        <w:rPr>
          <w:sz w:val="24"/>
        </w:rPr>
        <w:fldChar w:fldCharType="begin">
          <w:fldData xml:space="preserve">PEVuZE5vdGU+PENpdGU+PEF1dGhvcj5Cb2F0ZW5nPC9BdXRob3I+PFllYXI+MjAxNzwvWWVhcj48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</w:fldData>
        </w:fldChar>
      </w:r>
      <w:r w:rsidR="003E660C" w:rsidRPr="00000849">
        <w:rPr>
          <w:sz w:val="24"/>
        </w:rPr>
        <w:instrText xml:space="preserve"> ADDIN EN.CITE </w:instrText>
      </w:r>
      <w:r w:rsidR="003E660C" w:rsidRPr="00000849">
        <w:rPr>
          <w:sz w:val="24"/>
        </w:rPr>
        <w:fldChar w:fldCharType="begin">
          <w:fldData xml:space="preserve">PEVuZE5vdGU+PENpdGU+PEF1dGhvcj5Cb2F0ZW5nPC9BdXRob3I+PFllYXI+MjAxNzwvWWVhcj48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</w:fldData>
        </w:fldChar>
      </w:r>
      <w:r w:rsidR="003E660C" w:rsidRPr="00000849">
        <w:rPr>
          <w:sz w:val="24"/>
        </w:rPr>
        <w:instrText xml:space="preserve"> ADDIN EN.CITE.DATA </w:instrText>
      </w:r>
      <w:r w:rsidR="003E660C" w:rsidRPr="00000849">
        <w:rPr>
          <w:sz w:val="24"/>
        </w:rPr>
      </w:r>
      <w:r w:rsidR="003E660C" w:rsidRPr="00000849">
        <w:rPr>
          <w:sz w:val="24"/>
        </w:rPr>
        <w:fldChar w:fldCharType="end"/>
      </w:r>
      <w:r w:rsidR="00696423" w:rsidRPr="00000849">
        <w:rPr>
          <w:sz w:val="24"/>
        </w:rPr>
      </w:r>
      <w:r w:rsidR="00696423" w:rsidRPr="00000849">
        <w:rPr>
          <w:sz w:val="24"/>
        </w:rPr>
        <w:fldChar w:fldCharType="separate"/>
      </w:r>
      <w:r w:rsidR="001740AB" w:rsidRPr="00000849">
        <w:rPr>
          <w:noProof/>
          <w:sz w:val="24"/>
        </w:rPr>
        <w:t>(Boateng et al., 2017)</w:t>
      </w:r>
      <w:r w:rsidR="00696423" w:rsidRPr="00000849">
        <w:rPr>
          <w:sz w:val="24"/>
        </w:rPr>
        <w:fldChar w:fldCharType="end"/>
      </w:r>
      <w:r w:rsidR="00696423" w:rsidRPr="00000849">
        <w:rPr>
          <w:sz w:val="24"/>
        </w:rPr>
        <w:t xml:space="preserve">.  </w:t>
      </w:r>
      <w:r w:rsidR="00B25534" w:rsidRPr="00000849">
        <w:rPr>
          <w:sz w:val="24"/>
        </w:rPr>
        <w:t xml:space="preserve">As in Ghana, </w:t>
      </w:r>
      <w:r w:rsidR="00B25534" w:rsidRPr="00000849">
        <w:rPr>
          <w:sz w:val="24"/>
        </w:rPr>
        <w:fldChar w:fldCharType="begin"/>
      </w:r>
      <w:r w:rsidR="003E660C" w:rsidRPr="00000849">
        <w:rPr>
          <w:sz w:val="24"/>
        </w:rPr>
        <w:instrText xml:space="preserve"> ADDIN EN.CITE &lt;EndNote&gt;&lt;Cite AuthorYear="1"&gt;&lt;Author&gt;Abegunde&lt;/Author&gt;&lt;Year&gt;2013&lt;/Year&gt;&lt;RecNum&gt;306&lt;/RecNum&gt;&lt;DisplayText&gt;Abegunde and Owoaje (2013)&lt;/DisplayText&gt;&lt;record&gt;&lt;rec-number&gt;306&lt;/rec-number&gt;&lt;foreign-keys&gt;&lt;key app="EN" db-id="9tzf2rda8re2a9es5tuxart3swzx2zws2s02" timestamp="1486072362"&gt;306&lt;/key&gt;&lt;/foreign-keys&gt;&lt;ref-type name="Journal Article"&gt;17&lt;/ref-type&gt;&lt;contributors&gt;&lt;authors&gt;&lt;author&gt;Abegunde, Kayode A.&lt;/author&gt;&lt;author&gt;Owoaje, Eme T.&lt;/author&gt;&lt;/authors&gt;&lt;/contributors&gt;&lt;titles&gt;&lt;title&gt;Health problems and associated risk factors in selected urban and rural elderly population groups of South-West Nigeria&lt;/title&gt;&lt;secondary-title&gt;Annals of African Medicine&lt;/secondary-title&gt;&lt;alt-title&gt;Ann Afr Med&lt;/alt-title&gt;&lt;/titles&gt;&lt;periodical&gt;&lt;full-title&gt;Annals of African Medicine&lt;/full-title&gt;&lt;abbr-1&gt;Ann Afr Med&lt;/abbr-1&gt;&lt;/periodical&gt;&lt;alt-periodical&gt;&lt;full-title&gt;Annals of African Medicine&lt;/full-title&gt;&lt;abbr-1&gt;Ann Afr Med&lt;/abbr-1&gt;&lt;/alt-periodical&gt;&lt;pages&gt;90-97&lt;/pages&gt;&lt;volume&gt;12&lt;/volume&gt;&lt;number&gt;2&lt;/number&gt;&lt;keywords&gt;&lt;keyword&gt;Health Status&lt;/keyword&gt;&lt;keyword&gt;Chronic Disease -- Epidemiology&lt;/keyword&gt;&lt;keyword&gt;Rural Population -- Statistics &amp;amp; Numerical Data&lt;/keyword&gt;&lt;keyword&gt;Urban Population -- Statistics &amp;amp; Numerical Data&lt;/keyword&gt;&lt;/keywords&gt;&lt;dates&gt;&lt;year&gt;2013&lt;/year&gt;&lt;/dates&gt;&lt;urls&gt;&lt;/urls&gt;&lt;electronic-resource-num&gt;10.4103/1596-3519.112398&lt;/electronic-resource-num&gt;&lt;/record&gt;&lt;/Cite&gt;&lt;/EndNote&gt;</w:instrText>
      </w:r>
      <w:r w:rsidR="00B25534" w:rsidRPr="00000849">
        <w:rPr>
          <w:sz w:val="24"/>
        </w:rPr>
        <w:fldChar w:fldCharType="separate"/>
      </w:r>
      <w:r w:rsidR="00D3358A" w:rsidRPr="00000849">
        <w:rPr>
          <w:noProof/>
          <w:sz w:val="24"/>
        </w:rPr>
        <w:t>Abegunde and Owoaje (2013)</w:t>
      </w:r>
      <w:r w:rsidR="00B25534" w:rsidRPr="00000849">
        <w:rPr>
          <w:sz w:val="24"/>
        </w:rPr>
        <w:fldChar w:fldCharType="end"/>
      </w:r>
      <w:r w:rsidR="00B25534" w:rsidRPr="00000849">
        <w:rPr>
          <w:sz w:val="24"/>
        </w:rPr>
        <w:t xml:space="preserve"> </w:t>
      </w:r>
      <w:r w:rsidR="001B1569" w:rsidRPr="00000849">
        <w:rPr>
          <w:sz w:val="24"/>
        </w:rPr>
        <w:t xml:space="preserve">also found that decreasing monthly </w:t>
      </w:r>
      <w:r w:rsidR="00696423" w:rsidRPr="00000849">
        <w:rPr>
          <w:sz w:val="24"/>
        </w:rPr>
        <w:t xml:space="preserve">income </w:t>
      </w:r>
      <w:r w:rsidR="001B1569" w:rsidRPr="00000849">
        <w:rPr>
          <w:sz w:val="24"/>
        </w:rPr>
        <w:t xml:space="preserve">was independently associated with lower odds of </w:t>
      </w:r>
      <w:r w:rsidR="00696423" w:rsidRPr="00000849">
        <w:rPr>
          <w:sz w:val="24"/>
        </w:rPr>
        <w:t>hypertension</w:t>
      </w:r>
      <w:r w:rsidR="001B1569" w:rsidRPr="00000849">
        <w:rPr>
          <w:sz w:val="24"/>
        </w:rPr>
        <w:t xml:space="preserve"> in older adults in Nigeria</w:t>
      </w:r>
      <w:r w:rsidR="00696423" w:rsidRPr="00000849">
        <w:rPr>
          <w:sz w:val="24"/>
        </w:rPr>
        <w:t>.</w:t>
      </w:r>
    </w:p>
    <w:p w14:paraId="5467A2A2" w14:textId="44CBDD06" w:rsidR="00674E83" w:rsidRPr="00000849" w:rsidRDefault="00743686" w:rsidP="00D0013A">
      <w:pPr>
        <w:spacing w:line="480" w:lineRule="auto"/>
        <w:ind w:firstLine="567"/>
        <w:jc w:val="both"/>
        <w:rPr>
          <w:sz w:val="24"/>
        </w:rPr>
      </w:pPr>
      <w:r w:rsidRPr="00000849">
        <w:rPr>
          <w:sz w:val="24"/>
        </w:rPr>
        <w:t>T</w:t>
      </w:r>
      <w:r w:rsidR="00687EA1" w:rsidRPr="00000849">
        <w:rPr>
          <w:sz w:val="24"/>
        </w:rPr>
        <w:t>he o</w:t>
      </w:r>
      <w:r w:rsidR="005419DB" w:rsidRPr="00000849">
        <w:rPr>
          <w:sz w:val="24"/>
        </w:rPr>
        <w:t>nly study</w:t>
      </w:r>
      <w:r w:rsidR="00687EA1" w:rsidRPr="00000849">
        <w:rPr>
          <w:sz w:val="24"/>
        </w:rPr>
        <w:t xml:space="preserve"> to examine the relationship </w:t>
      </w:r>
      <w:r w:rsidR="005419DB" w:rsidRPr="00000849">
        <w:rPr>
          <w:sz w:val="24"/>
        </w:rPr>
        <w:t>between having</w:t>
      </w:r>
      <w:r w:rsidR="00E54EDA">
        <w:rPr>
          <w:sz w:val="24"/>
        </w:rPr>
        <w:t xml:space="preserve"> a</w:t>
      </w:r>
      <w:r w:rsidR="005419DB" w:rsidRPr="00000849">
        <w:rPr>
          <w:sz w:val="24"/>
        </w:rPr>
        <w:t xml:space="preserve"> health</w:t>
      </w:r>
      <w:r w:rsidR="00E54EDA">
        <w:rPr>
          <w:sz w:val="24"/>
        </w:rPr>
        <w:t>-</w:t>
      </w:r>
      <w:r w:rsidR="005419DB" w:rsidRPr="00000849">
        <w:rPr>
          <w:sz w:val="24"/>
        </w:rPr>
        <w:t>insur</w:t>
      </w:r>
      <w:r w:rsidR="00E54EDA">
        <w:rPr>
          <w:sz w:val="24"/>
        </w:rPr>
        <w:t>ed household head</w:t>
      </w:r>
      <w:r w:rsidR="005419DB" w:rsidRPr="00000849">
        <w:rPr>
          <w:sz w:val="24"/>
        </w:rPr>
        <w:t xml:space="preserve"> and hypertensi</w:t>
      </w:r>
      <w:r w:rsidR="00687EA1" w:rsidRPr="00000849">
        <w:rPr>
          <w:sz w:val="24"/>
        </w:rPr>
        <w:t>on in older adults in Africa</w:t>
      </w:r>
      <w:r w:rsidRPr="00000849">
        <w:rPr>
          <w:sz w:val="24"/>
        </w:rPr>
        <w:t xml:space="preserve"> did not find a statistically significant </w:t>
      </w:r>
      <w:r w:rsidR="00687EA1" w:rsidRPr="00000849">
        <w:rPr>
          <w:sz w:val="24"/>
        </w:rPr>
        <w:t>association in Ghana or</w:t>
      </w:r>
      <w:r w:rsidR="00F962CF" w:rsidRPr="00000849">
        <w:rPr>
          <w:sz w:val="24"/>
        </w:rPr>
        <w:t xml:space="preserve"> in</w:t>
      </w:r>
      <w:r w:rsidR="00687EA1" w:rsidRPr="00000849">
        <w:rPr>
          <w:sz w:val="24"/>
        </w:rPr>
        <w:t xml:space="preserve"> South Africa </w:t>
      </w:r>
      <w:r w:rsidR="005419DB" w:rsidRPr="00000849">
        <w:rPr>
          <w:sz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sz w:val="24"/>
        </w:rPr>
        <w:instrText xml:space="preserve"> ADDIN EN.CITE </w:instrText>
      </w:r>
      <w:r w:rsidR="00AC2BE6">
        <w:rPr>
          <w:sz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sz w:val="24"/>
        </w:rPr>
        <w:instrText xml:space="preserve"> ADDIN EN.CITE.DATA </w:instrText>
      </w:r>
      <w:r w:rsidR="00AC2BE6">
        <w:rPr>
          <w:sz w:val="24"/>
        </w:rPr>
      </w:r>
      <w:r w:rsidR="00AC2BE6">
        <w:rPr>
          <w:sz w:val="24"/>
        </w:rPr>
        <w:fldChar w:fldCharType="end"/>
      </w:r>
      <w:r w:rsidR="005419DB" w:rsidRPr="00000849">
        <w:rPr>
          <w:sz w:val="24"/>
        </w:rPr>
      </w:r>
      <w:r w:rsidR="005419DB" w:rsidRPr="00000849">
        <w:rPr>
          <w:sz w:val="24"/>
        </w:rPr>
        <w:fldChar w:fldCharType="separate"/>
      </w:r>
      <w:r w:rsidR="00CD7B29">
        <w:rPr>
          <w:noProof/>
          <w:sz w:val="24"/>
        </w:rPr>
        <w:t>(Lloyd-Sherlock et al., 2014)</w:t>
      </w:r>
      <w:r w:rsidR="005419DB" w:rsidRPr="00000849">
        <w:rPr>
          <w:sz w:val="24"/>
        </w:rPr>
        <w:fldChar w:fldCharType="end"/>
      </w:r>
      <w:r w:rsidR="005419DB" w:rsidRPr="00000849">
        <w:rPr>
          <w:sz w:val="24"/>
        </w:rPr>
        <w:t xml:space="preserve">.  </w:t>
      </w:r>
    </w:p>
    <w:p w14:paraId="7DA85151" w14:textId="77777777" w:rsidR="00687EA1" w:rsidRPr="00000849" w:rsidRDefault="00687EA1" w:rsidP="00D0013A">
      <w:pPr>
        <w:spacing w:line="480" w:lineRule="auto"/>
        <w:ind w:firstLine="567"/>
        <w:jc w:val="both"/>
        <w:rPr>
          <w:sz w:val="28"/>
          <w:szCs w:val="24"/>
        </w:rPr>
      </w:pPr>
    </w:p>
    <w:p w14:paraId="01DA042C" w14:textId="26C6872B" w:rsidR="00674E83" w:rsidRPr="00000849" w:rsidRDefault="00D92056" w:rsidP="0075255B">
      <w:pPr>
        <w:pStyle w:val="Heading4"/>
      </w:pPr>
      <w:r w:rsidRPr="00000849">
        <w:t>2.2</w:t>
      </w:r>
      <w:r w:rsidR="00674E83" w:rsidRPr="00000849">
        <w:t>.5.3</w:t>
      </w:r>
      <w:r w:rsidR="00674E83" w:rsidRPr="00000849">
        <w:tab/>
        <w:t>Lifestyle factors</w:t>
      </w:r>
    </w:p>
    <w:p w14:paraId="211370C5" w14:textId="77777777" w:rsidR="00674E83" w:rsidRPr="00000849" w:rsidRDefault="00674E83" w:rsidP="00D0013A">
      <w:pPr>
        <w:spacing w:line="480" w:lineRule="auto"/>
        <w:ind w:firstLine="567"/>
        <w:jc w:val="both"/>
        <w:rPr>
          <w:sz w:val="24"/>
          <w:szCs w:val="24"/>
        </w:rPr>
      </w:pPr>
    </w:p>
    <w:p w14:paraId="344030B9" w14:textId="3387BAE8" w:rsidR="00D731DD" w:rsidRPr="00000849" w:rsidRDefault="00AA0577" w:rsidP="00583AA3">
      <w:pPr>
        <w:spacing w:line="480" w:lineRule="auto"/>
        <w:jc w:val="both"/>
        <w:rPr>
          <w:rFonts w:cstheme="minorHAnsi"/>
          <w:sz w:val="24"/>
          <w:szCs w:val="24"/>
        </w:rPr>
      </w:pPr>
      <w:r w:rsidRPr="00000849">
        <w:rPr>
          <w:sz w:val="24"/>
          <w:szCs w:val="24"/>
        </w:rPr>
        <w:t xml:space="preserve">In </w:t>
      </w:r>
      <w:r w:rsidR="00D4087B" w:rsidRPr="00000849">
        <w:rPr>
          <w:sz w:val="24"/>
          <w:szCs w:val="24"/>
        </w:rPr>
        <w:t xml:space="preserve">each of </w:t>
      </w:r>
      <w:r w:rsidRPr="00000849">
        <w:rPr>
          <w:sz w:val="24"/>
          <w:szCs w:val="24"/>
        </w:rPr>
        <w:t>the 13 studies providing 1</w:t>
      </w:r>
      <w:r w:rsidR="00D4087B" w:rsidRPr="00000849">
        <w:rPr>
          <w:sz w:val="24"/>
          <w:szCs w:val="24"/>
        </w:rPr>
        <w:t xml:space="preserve">6 data points in which it was examined, BMI was independently associated with hypertension in older adults, with </w:t>
      </w:r>
      <w:r w:rsidR="00583AA3" w:rsidRPr="00000849">
        <w:rPr>
          <w:sz w:val="24"/>
          <w:szCs w:val="24"/>
        </w:rPr>
        <w:t xml:space="preserve">adjusted </w:t>
      </w:r>
      <w:r w:rsidR="00466D06" w:rsidRPr="00000849">
        <w:rPr>
          <w:sz w:val="24"/>
          <w:szCs w:val="24"/>
        </w:rPr>
        <w:t>OR</w:t>
      </w:r>
      <w:r w:rsidR="00D4087B" w:rsidRPr="00000849">
        <w:rPr>
          <w:sz w:val="24"/>
          <w:szCs w:val="24"/>
        </w:rPr>
        <w:t>s reach</w:t>
      </w:r>
      <w:r w:rsidR="00583AA3" w:rsidRPr="00000849">
        <w:rPr>
          <w:sz w:val="24"/>
          <w:szCs w:val="24"/>
        </w:rPr>
        <w:t>ing</w:t>
      </w:r>
      <w:r w:rsidR="00D4087B" w:rsidRPr="00000849">
        <w:rPr>
          <w:sz w:val="24"/>
          <w:szCs w:val="24"/>
        </w:rPr>
        <w:t xml:space="preserve"> up to 3.72 when overweight/obese subjects </w:t>
      </w:r>
      <w:r w:rsidR="00583AA3" w:rsidRPr="00000849">
        <w:rPr>
          <w:sz w:val="24"/>
          <w:szCs w:val="24"/>
        </w:rPr>
        <w:t>we</w:t>
      </w:r>
      <w:r w:rsidR="00D4087B" w:rsidRPr="00000849">
        <w:rPr>
          <w:sz w:val="24"/>
          <w:szCs w:val="24"/>
        </w:rPr>
        <w:t xml:space="preserve">re compared with those </w:t>
      </w:r>
      <w:r w:rsidR="001609E9" w:rsidRPr="00000849">
        <w:rPr>
          <w:sz w:val="24"/>
          <w:szCs w:val="24"/>
        </w:rPr>
        <w:t xml:space="preserve">not overweight/obese </w:t>
      </w:r>
      <w:r w:rsidR="00583AA3" w:rsidRPr="00000849">
        <w:rPr>
          <w:sz w:val="24"/>
          <w:szCs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szCs w:val="24"/>
        </w:rPr>
        <w:instrText xml:space="preserve"> ADDIN EN.CITE </w:instrText>
      </w:r>
      <w:r w:rsidR="00AC2BE6">
        <w:rPr>
          <w:sz w:val="24"/>
          <w:szCs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szCs w:val="24"/>
        </w:rPr>
        <w:instrText xml:space="preserve"> ADDIN EN.CITE.DATA </w:instrText>
      </w:r>
      <w:r w:rsidR="00AC2BE6">
        <w:rPr>
          <w:sz w:val="24"/>
          <w:szCs w:val="24"/>
        </w:rPr>
      </w:r>
      <w:r w:rsidR="00AC2BE6">
        <w:rPr>
          <w:sz w:val="24"/>
          <w:szCs w:val="24"/>
        </w:rPr>
        <w:fldChar w:fldCharType="end"/>
      </w:r>
      <w:r w:rsidR="00583AA3" w:rsidRPr="00000849">
        <w:rPr>
          <w:sz w:val="24"/>
          <w:szCs w:val="24"/>
        </w:rPr>
      </w:r>
      <w:r w:rsidR="00583AA3" w:rsidRPr="00000849">
        <w:rPr>
          <w:sz w:val="24"/>
          <w:szCs w:val="24"/>
        </w:rPr>
        <w:fldChar w:fldCharType="separate"/>
      </w:r>
      <w:r w:rsidR="001740AB" w:rsidRPr="00000849">
        <w:rPr>
          <w:noProof/>
          <w:sz w:val="24"/>
          <w:szCs w:val="24"/>
        </w:rPr>
        <w:t>(Raji et al., 2017)</w:t>
      </w:r>
      <w:r w:rsidR="00583AA3" w:rsidRPr="00000849">
        <w:rPr>
          <w:sz w:val="24"/>
          <w:szCs w:val="24"/>
        </w:rPr>
        <w:fldChar w:fldCharType="end"/>
      </w:r>
      <w:r w:rsidR="00583AA3" w:rsidRPr="00000849">
        <w:rPr>
          <w:sz w:val="24"/>
          <w:szCs w:val="24"/>
        </w:rPr>
        <w:t xml:space="preserve"> (</w:t>
      </w:r>
      <w:r w:rsidR="00007E47" w:rsidRPr="00000849">
        <w:rPr>
          <w:sz w:val="24"/>
          <w:szCs w:val="24"/>
        </w:rPr>
        <w:t>Appendix 3</w:t>
      </w:r>
      <w:r w:rsidR="00583AA3" w:rsidRPr="00000849">
        <w:rPr>
          <w:sz w:val="24"/>
          <w:szCs w:val="24"/>
        </w:rPr>
        <w:t xml:space="preserve"> Table </w:t>
      </w:r>
      <w:r w:rsidR="00B710D5" w:rsidRPr="00000849">
        <w:rPr>
          <w:sz w:val="24"/>
          <w:szCs w:val="24"/>
        </w:rPr>
        <w:t>5</w:t>
      </w:r>
      <w:r w:rsidR="00583AA3" w:rsidRPr="00000849">
        <w:rPr>
          <w:sz w:val="24"/>
          <w:szCs w:val="24"/>
        </w:rPr>
        <w:t xml:space="preserve">).  A dose-response gradient </w:t>
      </w:r>
      <w:r w:rsidR="00583AA3" w:rsidRPr="00000849">
        <w:rPr>
          <w:sz w:val="24"/>
          <w:szCs w:val="24"/>
        </w:rPr>
        <w:lastRenderedPageBreak/>
        <w:t xml:space="preserve">was observed in several </w:t>
      </w:r>
      <w:r w:rsidR="006B5989" w:rsidRPr="00000849">
        <w:rPr>
          <w:sz w:val="24"/>
          <w:szCs w:val="24"/>
        </w:rPr>
        <w:t>multivariable analyses</w:t>
      </w:r>
      <w:r w:rsidR="006B5989" w:rsidRPr="00000849" w:rsidDel="006B5989">
        <w:rPr>
          <w:sz w:val="24"/>
          <w:szCs w:val="24"/>
        </w:rPr>
        <w:t xml:space="preserve"> </w:t>
      </w:r>
      <w:r w:rsidR="00583AA3" w:rsidRPr="00000849">
        <w:rPr>
          <w:sz w:val="24"/>
          <w:szCs w:val="24"/>
        </w:rPr>
        <w:t>in which BMI was treated as a continuous</w:t>
      </w:r>
      <w:r w:rsidR="006B5989" w:rsidRPr="00000849">
        <w:rPr>
          <w:sz w:val="24"/>
          <w:szCs w:val="24"/>
        </w:rPr>
        <w:t xml:space="preserve"> variable</w:t>
      </w:r>
      <w:r w:rsidR="00583AA3" w:rsidRPr="00000849">
        <w:rPr>
          <w:sz w:val="24"/>
          <w:szCs w:val="24"/>
        </w:rPr>
        <w:t xml:space="preserve"> </w:t>
      </w:r>
      <w:r w:rsidR="001609E9" w:rsidRPr="00000849">
        <w:rPr>
          <w:sz w:val="24"/>
          <w:szCs w:val="24"/>
        </w:rPr>
        <w:fldChar w:fldCharType="begin">
          <w:fldData xml:space="preserve">PEVuZE5vdGU+PENpdGU+PEF1dGhvcj5EZXdodXJzdDwvQXV0aG9yPjxZZWFyPjIwMTM8L1llYXI+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</w:fldData>
        </w:fldChar>
      </w:r>
      <w:r w:rsidR="00AC2BE6">
        <w:rPr>
          <w:sz w:val="24"/>
          <w:szCs w:val="24"/>
        </w:rPr>
        <w:instrText xml:space="preserve"> ADDIN EN.CITE </w:instrText>
      </w:r>
      <w:r w:rsidR="00AC2BE6">
        <w:rPr>
          <w:sz w:val="24"/>
          <w:szCs w:val="24"/>
        </w:rPr>
        <w:fldChar w:fldCharType="begin">
          <w:fldData xml:space="preserve">PEVuZE5vdGU+PENpdGU+PEF1dGhvcj5EZXdodXJzdDwvQXV0aG9yPjxZZWFyPjIwMTM8L1llYXI+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</w:fldData>
        </w:fldChar>
      </w:r>
      <w:r w:rsidR="00AC2BE6">
        <w:rPr>
          <w:sz w:val="24"/>
          <w:szCs w:val="24"/>
        </w:rPr>
        <w:instrText xml:space="preserve"> ADDIN EN.CITE.DATA </w:instrText>
      </w:r>
      <w:r w:rsidR="00AC2BE6">
        <w:rPr>
          <w:sz w:val="24"/>
          <w:szCs w:val="24"/>
        </w:rPr>
      </w:r>
      <w:r w:rsidR="00AC2BE6">
        <w:rPr>
          <w:sz w:val="24"/>
          <w:szCs w:val="24"/>
        </w:rPr>
        <w:fldChar w:fldCharType="end"/>
      </w:r>
      <w:r w:rsidR="001609E9" w:rsidRPr="00000849">
        <w:rPr>
          <w:sz w:val="24"/>
          <w:szCs w:val="24"/>
        </w:rPr>
      </w:r>
      <w:r w:rsidR="001609E9" w:rsidRPr="00000849">
        <w:rPr>
          <w:sz w:val="24"/>
          <w:szCs w:val="24"/>
        </w:rPr>
        <w:fldChar w:fldCharType="separate"/>
      </w:r>
      <w:r w:rsidR="00000849" w:rsidRPr="00000849">
        <w:rPr>
          <w:noProof/>
          <w:sz w:val="24"/>
          <w:szCs w:val="24"/>
        </w:rPr>
        <w:t>(Dewhurst et al., 2013; Hammami et al., 2011; Pilleron et al., 2017)</w:t>
      </w:r>
      <w:r w:rsidR="001609E9" w:rsidRPr="00000849">
        <w:rPr>
          <w:sz w:val="24"/>
          <w:szCs w:val="24"/>
        </w:rPr>
        <w:fldChar w:fldCharType="end"/>
      </w:r>
      <w:r w:rsidR="00583AA3" w:rsidRPr="00000849">
        <w:rPr>
          <w:sz w:val="24"/>
          <w:szCs w:val="24"/>
        </w:rPr>
        <w:t xml:space="preserve"> or categorical variable </w:t>
      </w:r>
      <w:r w:rsidR="001609E9" w:rsidRPr="00000849">
        <w:rPr>
          <w:sz w:val="24"/>
          <w:szCs w:val="24"/>
        </w:rPr>
        <w:fldChar w:fldCharType="begin">
          <w:fldData xml:space="preserve">PEVuZE5vdGU+PENpdGU+PEF1dGhvcj5Cb2F0ZW5nPC9BdXRob3I+PFllYXI+MjAxNzwvWWVhcj48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</w:fldData>
        </w:fldChar>
      </w:r>
      <w:r w:rsidR="00AC2BE6">
        <w:rPr>
          <w:sz w:val="24"/>
          <w:szCs w:val="24"/>
        </w:rPr>
        <w:instrText xml:space="preserve"> ADDIN EN.CITE </w:instrText>
      </w:r>
      <w:r w:rsidR="00AC2BE6">
        <w:rPr>
          <w:sz w:val="24"/>
          <w:szCs w:val="24"/>
        </w:rPr>
        <w:fldChar w:fldCharType="begin">
          <w:fldData xml:space="preserve">PEVuZE5vdGU+PENpdGU+PEF1dGhvcj5Cb2F0ZW5nPC9BdXRob3I+PFllYXI+MjAxNzwvWWVhcj48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</w:fldData>
        </w:fldChar>
      </w:r>
      <w:r w:rsidR="00AC2BE6">
        <w:rPr>
          <w:sz w:val="24"/>
          <w:szCs w:val="24"/>
        </w:rPr>
        <w:instrText xml:space="preserve"> ADDIN EN.CITE.DATA </w:instrText>
      </w:r>
      <w:r w:rsidR="00AC2BE6">
        <w:rPr>
          <w:sz w:val="24"/>
          <w:szCs w:val="24"/>
        </w:rPr>
      </w:r>
      <w:r w:rsidR="00AC2BE6">
        <w:rPr>
          <w:sz w:val="24"/>
          <w:szCs w:val="24"/>
        </w:rPr>
        <w:fldChar w:fldCharType="end"/>
      </w:r>
      <w:r w:rsidR="001609E9" w:rsidRPr="00000849">
        <w:rPr>
          <w:sz w:val="24"/>
          <w:szCs w:val="24"/>
        </w:rPr>
      </w:r>
      <w:r w:rsidR="001609E9" w:rsidRPr="00000849">
        <w:rPr>
          <w:sz w:val="24"/>
          <w:szCs w:val="24"/>
        </w:rPr>
        <w:fldChar w:fldCharType="separate"/>
      </w:r>
      <w:r w:rsidR="00CD7B29">
        <w:rPr>
          <w:noProof/>
          <w:sz w:val="24"/>
          <w:szCs w:val="24"/>
        </w:rPr>
        <w:t>(Boateng et al., 2017; Lloyd-Sherlock et al., 2014; Minicuci et al., 2014; Tyrovolas et al., 2015)</w:t>
      </w:r>
      <w:r w:rsidR="001609E9" w:rsidRPr="00000849">
        <w:rPr>
          <w:sz w:val="24"/>
          <w:szCs w:val="24"/>
        </w:rPr>
        <w:fldChar w:fldCharType="end"/>
      </w:r>
      <w:r w:rsidR="00583AA3" w:rsidRPr="00000849">
        <w:rPr>
          <w:sz w:val="24"/>
          <w:szCs w:val="24"/>
        </w:rPr>
        <w:t>.</w:t>
      </w:r>
    </w:p>
    <w:p w14:paraId="1718CBDF" w14:textId="17F429E2" w:rsidR="00414E0D" w:rsidRPr="00000849" w:rsidRDefault="00036995" w:rsidP="00F26AB8">
      <w:pPr>
        <w:widowControl w:val="0"/>
        <w:spacing w:line="480" w:lineRule="auto"/>
        <w:ind w:firstLine="567"/>
        <w:jc w:val="both"/>
        <w:rPr>
          <w:rFonts w:cstheme="minorHAnsi"/>
          <w:sz w:val="24"/>
          <w:szCs w:val="24"/>
        </w:rPr>
      </w:pPr>
      <w:r w:rsidRPr="00000849">
        <w:rPr>
          <w:rFonts w:cstheme="minorHAnsi"/>
          <w:sz w:val="24"/>
          <w:szCs w:val="24"/>
        </w:rPr>
        <w:t>In the multi-country SAGE study, overweight or obesity was more strongly associated with hypertension in older adults in Ghana than in South Africa</w:t>
      </w:r>
      <w:r w:rsidR="00602703" w:rsidRPr="00000849">
        <w:rPr>
          <w:rFonts w:cstheme="minorHAnsi"/>
          <w:sz w:val="24"/>
          <w:szCs w:val="24"/>
        </w:rPr>
        <w:t xml:space="preserve"> </w:t>
      </w:r>
      <w:r w:rsidR="00602703" w:rsidRPr="00000849">
        <w:rPr>
          <w:rFonts w:cstheme="minorHAnsi"/>
          <w:sz w:val="24"/>
          <w:szCs w:val="24"/>
        </w:rPr>
        <w:fldChar w:fldCharType="begin">
          <w:fldData xml:space="preserve">PEVuZE5vdGU+PENpdGU+PEF1dGhvcj5MbG95ZC1TaGVybG9jazwvQXV0aG9yPjxZZWFyPjIwMTQ8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</w:fldData>
        </w:fldChar>
      </w:r>
      <w:r w:rsidR="00AC2BE6">
        <w:rPr>
          <w:rFonts w:cstheme="minorHAnsi"/>
          <w:sz w:val="24"/>
          <w:szCs w:val="24"/>
        </w:rPr>
        <w:instrText xml:space="preserve"> ADDIN EN.CITE </w:instrText>
      </w:r>
      <w:r w:rsidR="00AC2BE6">
        <w:rPr>
          <w:rFonts w:cstheme="minorHAnsi"/>
          <w:sz w:val="24"/>
          <w:szCs w:val="24"/>
        </w:rPr>
        <w:fldChar w:fldCharType="begin">
          <w:fldData xml:space="preserve">PEVuZE5vdGU+PENpdGU+PEF1dGhvcj5MbG95ZC1TaGVybG9jazwvQXV0aG9yPjxZZWFyPjIwMTQ8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</w:fldData>
        </w:fldChar>
      </w:r>
      <w:r w:rsidR="00AC2BE6">
        <w:rPr>
          <w:rFonts w:cstheme="minorHAnsi"/>
          <w:sz w:val="24"/>
          <w:szCs w:val="24"/>
        </w:rPr>
        <w:instrText xml:space="preserve"> ADDIN EN.CITE.DATA </w:instrText>
      </w:r>
      <w:r w:rsidR="00AC2BE6">
        <w:rPr>
          <w:rFonts w:cstheme="minorHAnsi"/>
          <w:sz w:val="24"/>
          <w:szCs w:val="24"/>
        </w:rPr>
      </w:r>
      <w:r w:rsidR="00AC2BE6">
        <w:rPr>
          <w:rFonts w:cstheme="minorHAnsi"/>
          <w:sz w:val="24"/>
          <w:szCs w:val="24"/>
        </w:rPr>
        <w:fldChar w:fldCharType="end"/>
      </w:r>
      <w:r w:rsidR="00602703" w:rsidRPr="00000849">
        <w:rPr>
          <w:rFonts w:cstheme="minorHAnsi"/>
          <w:sz w:val="24"/>
          <w:szCs w:val="24"/>
        </w:rPr>
      </w:r>
      <w:r w:rsidR="00602703" w:rsidRPr="00000849">
        <w:rPr>
          <w:rFonts w:cstheme="minorHAnsi"/>
          <w:sz w:val="24"/>
          <w:szCs w:val="24"/>
        </w:rPr>
        <w:fldChar w:fldCharType="separate"/>
      </w:r>
      <w:r w:rsidR="00CD7B29">
        <w:rPr>
          <w:rFonts w:cstheme="minorHAnsi"/>
          <w:noProof/>
          <w:sz w:val="24"/>
          <w:szCs w:val="24"/>
        </w:rPr>
        <w:t>(Lloyd-Sherlock et al., 2014; Tyrovolas et al., 2015)</w:t>
      </w:r>
      <w:r w:rsidR="00602703" w:rsidRPr="00000849">
        <w:rPr>
          <w:rFonts w:cstheme="minorHAnsi"/>
          <w:sz w:val="24"/>
          <w:szCs w:val="24"/>
        </w:rPr>
        <w:fldChar w:fldCharType="end"/>
      </w:r>
      <w:r w:rsidRPr="00000849">
        <w:rPr>
          <w:rFonts w:cstheme="minorHAnsi"/>
          <w:sz w:val="24"/>
          <w:szCs w:val="24"/>
        </w:rPr>
        <w:t xml:space="preserve">.  For example, the </w:t>
      </w:r>
      <w:r w:rsidR="00466D06" w:rsidRPr="00000849">
        <w:rPr>
          <w:rFonts w:cstheme="minorHAnsi"/>
          <w:sz w:val="24"/>
          <w:szCs w:val="24"/>
        </w:rPr>
        <w:t>OR</w:t>
      </w:r>
      <w:r w:rsidRPr="00000849">
        <w:rPr>
          <w:rFonts w:cstheme="minorHAnsi"/>
          <w:sz w:val="24"/>
          <w:szCs w:val="24"/>
        </w:rPr>
        <w:t xml:space="preserve"> associated with hypertension in obese subjects compared with subjects with normal BMI was 2.30 in Ghana </w:t>
      </w:r>
      <w:r w:rsidR="00602703" w:rsidRPr="00000849">
        <w:rPr>
          <w:rFonts w:cstheme="minorHAnsi"/>
          <w:sz w:val="24"/>
          <w:szCs w:val="24"/>
        </w:rPr>
        <w:t xml:space="preserve">and 1.85 in South Africa.  </w:t>
      </w:r>
      <w:r w:rsidR="00ED5DE9" w:rsidRPr="00000849">
        <w:rPr>
          <w:rFonts w:cstheme="minorHAnsi"/>
          <w:sz w:val="24"/>
          <w:szCs w:val="24"/>
        </w:rPr>
        <w:t>In keeping with the</w:t>
      </w:r>
      <w:r w:rsidR="00B926EE" w:rsidRPr="00000849">
        <w:rPr>
          <w:rFonts w:cstheme="minorHAnsi"/>
          <w:sz w:val="24"/>
          <w:szCs w:val="24"/>
        </w:rPr>
        <w:t xml:space="preserve"> discordant relationships, being underweight was associated with a statistically significant lower adjusted odds of hypertension in Ghana but not in South Africa.  </w:t>
      </w:r>
    </w:p>
    <w:p w14:paraId="32FFDEDC" w14:textId="249E067F" w:rsidR="00E9503D" w:rsidRPr="00000849" w:rsidRDefault="00B926EE" w:rsidP="005A0844">
      <w:pPr>
        <w:spacing w:line="480" w:lineRule="auto"/>
        <w:ind w:firstLine="567"/>
        <w:jc w:val="both"/>
        <w:rPr>
          <w:sz w:val="24"/>
          <w:szCs w:val="24"/>
        </w:rPr>
      </w:pPr>
      <w:r w:rsidRPr="00000849">
        <w:rPr>
          <w:sz w:val="24"/>
          <w:szCs w:val="24"/>
        </w:rPr>
        <w:t xml:space="preserve">Unlike the BMI, the association between </w:t>
      </w:r>
      <w:r w:rsidR="00414E0D" w:rsidRPr="00000849">
        <w:rPr>
          <w:sz w:val="24"/>
          <w:szCs w:val="24"/>
        </w:rPr>
        <w:t xml:space="preserve">other lifestyle factors and hypertension </w:t>
      </w:r>
      <w:r w:rsidRPr="00000849">
        <w:rPr>
          <w:sz w:val="24"/>
          <w:szCs w:val="24"/>
        </w:rPr>
        <w:t xml:space="preserve">in older adults </w:t>
      </w:r>
      <w:r w:rsidR="00284280" w:rsidRPr="00000849">
        <w:rPr>
          <w:sz w:val="24"/>
          <w:szCs w:val="24"/>
        </w:rPr>
        <w:t>was</w:t>
      </w:r>
      <w:r w:rsidR="00414E0D" w:rsidRPr="00000849">
        <w:rPr>
          <w:sz w:val="24"/>
          <w:szCs w:val="24"/>
        </w:rPr>
        <w:t xml:space="preserve"> </w:t>
      </w:r>
      <w:r w:rsidRPr="00000849">
        <w:rPr>
          <w:sz w:val="24"/>
          <w:szCs w:val="24"/>
        </w:rPr>
        <w:t>less consistent</w:t>
      </w:r>
      <w:r w:rsidR="00284280" w:rsidRPr="00000849">
        <w:rPr>
          <w:sz w:val="24"/>
          <w:szCs w:val="24"/>
        </w:rPr>
        <w:t xml:space="preserve"> and sometimes erratic</w:t>
      </w:r>
      <w:r w:rsidR="00414E0D" w:rsidRPr="00000849">
        <w:rPr>
          <w:sz w:val="24"/>
          <w:szCs w:val="24"/>
        </w:rPr>
        <w:t xml:space="preserve">.  In </w:t>
      </w:r>
      <w:r w:rsidR="004A4A38" w:rsidRPr="00000849">
        <w:rPr>
          <w:sz w:val="24"/>
          <w:szCs w:val="24"/>
        </w:rPr>
        <w:t>multivariable</w:t>
      </w:r>
      <w:r w:rsidRPr="00000849">
        <w:rPr>
          <w:sz w:val="24"/>
          <w:szCs w:val="24"/>
        </w:rPr>
        <w:t xml:space="preserve"> analyses</w:t>
      </w:r>
      <w:r w:rsidR="00414E0D" w:rsidRPr="00000849">
        <w:rPr>
          <w:sz w:val="24"/>
          <w:szCs w:val="24"/>
        </w:rPr>
        <w:t xml:space="preserve">, alcohol </w:t>
      </w:r>
      <w:r w:rsidRPr="00000849">
        <w:rPr>
          <w:sz w:val="24"/>
          <w:szCs w:val="24"/>
        </w:rPr>
        <w:t>consumption</w:t>
      </w:r>
      <w:r w:rsidR="00414E0D" w:rsidRPr="00000849">
        <w:rPr>
          <w:sz w:val="24"/>
          <w:szCs w:val="24"/>
        </w:rPr>
        <w:t xml:space="preserve"> in the past one month in South Africa </w:t>
      </w:r>
      <w:r w:rsidR="00AD00E6" w:rsidRPr="00000849">
        <w:rPr>
          <w:sz w:val="24"/>
          <w:szCs w:val="24"/>
        </w:rPr>
        <w:fldChar w:fldCharType="begin"/>
      </w:r>
      <w:r w:rsidR="00AC2BE6">
        <w:rPr>
          <w:sz w:val="24"/>
          <w:szCs w:val="24"/>
        </w:rPr>
        <w:instrText xml:space="preserve"> ADDIN EN.CITE &lt;EndNote&gt;&lt;Cite&gt;&lt;Author&gt;Peltzer&lt;/Author&gt;&lt;Year&gt;2013&lt;/Year&gt;&lt;RecNum&gt;869&lt;/RecNum&gt;&lt;DisplayText&gt;(Peltzer &amp;amp; Phaswana-Mafuya, 2013a)&lt;/DisplayText&gt;&lt;record&gt;&lt;rec-number&gt;869&lt;/rec-number&gt;&lt;foreign-keys&gt;&lt;key app="EN" db-id="29t2ptva8t9xtgex0z2vepsadpwpfxd9a2zv" timestamp="1615774562"&gt;869&lt;/key&gt;&lt;/foreign-keys&gt;&lt;ref-type name="Journal Article"&gt;17&lt;/ref-type&gt;&lt;contributors&gt;&lt;authors&gt;&lt;author&gt;Peltzer, K.&lt;/author&gt;&lt;author&gt;Phaswana-Mafuya, N.&lt;/author&gt;&lt;/authors&gt;&lt;/contributors&gt;&lt;auth-address&gt;HIV/AIDS/SIT and TB (HAST), Human Sciences Research Council, Pretoria, South Africa&lt;/auth-address&gt;&lt;titles&gt;&lt;title&gt;Hypertension and associated factors in older adults in South Africa&lt;/title&gt;&lt;secondary-title&gt;Cardiovascular Journal of Africa&lt;/secondary-title&gt;&lt;/titles&gt;&lt;periodical&gt;&lt;full-title&gt;Cardiovascular Journal of Africa&lt;/full-title&gt;&lt;abbr-1&gt;Cardiovasc J Afr&lt;/abbr-1&gt;&lt;/periodical&gt;&lt;pages&gt;66-71&lt;/pages&gt;&lt;volume&gt;24&lt;/volume&gt;&lt;number&gt;3&lt;/number&gt;&lt;keywords&gt;&lt;keyword&gt;adult&lt;/keyword&gt;&lt;keyword&gt;aged&lt;/keyword&gt;&lt;keyword&gt;anthropometry&lt;/keyword&gt;&lt;keyword&gt;article&lt;/keyword&gt;&lt;keyword&gt;blood pressure measurement&lt;/keyword&gt;&lt;keyword&gt;female&lt;/keyword&gt;&lt;keyword&gt;human&lt;/keyword&gt;&lt;keyword&gt;*hypertension/ep [Epidemiology]&lt;/keyword&gt;&lt;keyword&gt;major clinical study&lt;/keyword&gt;&lt;keyword&gt;male&lt;/keyword&gt;&lt;keyword&gt;outpatient care&lt;/keyword&gt;&lt;keyword&gt;prevalence&lt;/keyword&gt;&lt;keyword&gt;questionnaire&lt;/keyword&gt;&lt;keyword&gt;*senescence&lt;/keyword&gt;&lt;keyword&gt;*South Africa&lt;/keyword&gt;&lt;/keywords&gt;&lt;dates&gt;&lt;year&gt;2013&lt;/year&gt;&lt;/dates&gt;&lt;pub-location&gt;South Africa&lt;/pub-location&gt;&lt;publisher&gt;Clinics Cardive Publishing (PTY)Ltd (PO Box 1013, Durbanville 7551, South Africa)&lt;/publisher&gt;&lt;isbn&gt;1995-1892&lt;/isbn&gt;&lt;urls&gt;&lt;related-urls&gt;&lt;url&gt;http://search.sabinet.co.za/WebZ/images/ejour/cardio1/cardio1_v24_n3_a5.pdf?sessionid=01-35585-666414646&amp;amp;format=F&lt;/url&gt;&lt;url&gt;http://ovidsp.ovid.com/ovidweb.cgi?T=JS&amp;amp;PAGE=reference&amp;amp;D=emed15&amp;amp;NEWS=N&amp;amp;AN=368996853&lt;/url&gt;&lt;/related-urls&gt;&lt;/urls&gt;&lt;electronic-resource-num&gt;10.5830/cvja-2013-002&lt;/electronic-resource-num&gt;&lt;/record&gt;&lt;/Cite&gt;&lt;/EndNote&gt;</w:instrText>
      </w:r>
      <w:r w:rsidR="00AD00E6" w:rsidRPr="00000849">
        <w:rPr>
          <w:sz w:val="24"/>
          <w:szCs w:val="24"/>
        </w:rPr>
        <w:fldChar w:fldCharType="separate"/>
      </w:r>
      <w:r w:rsidR="00D363A0">
        <w:rPr>
          <w:noProof/>
          <w:sz w:val="24"/>
          <w:szCs w:val="24"/>
        </w:rPr>
        <w:t>(Peltzer &amp; Phaswana-Mafuya, 2013a)</w:t>
      </w:r>
      <w:r w:rsidR="00AD00E6" w:rsidRPr="00000849">
        <w:rPr>
          <w:sz w:val="24"/>
          <w:szCs w:val="24"/>
        </w:rPr>
        <w:fldChar w:fldCharType="end"/>
      </w:r>
      <w:r w:rsidR="00A4444F" w:rsidRPr="00000849">
        <w:rPr>
          <w:sz w:val="24"/>
          <w:szCs w:val="24"/>
        </w:rPr>
        <w:t xml:space="preserve">, non-heavy consumption in Ghana or South Africa </w:t>
      </w:r>
      <w:r w:rsidR="00A4444F" w:rsidRPr="00000849">
        <w:rPr>
          <w:sz w:val="24"/>
          <w:szCs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sz w:val="24"/>
          <w:szCs w:val="24"/>
        </w:rPr>
        <w:instrText xml:space="preserve"> ADDIN EN.CITE </w:instrText>
      </w:r>
      <w:r w:rsidR="00AC2BE6">
        <w:rPr>
          <w:sz w:val="24"/>
          <w:szCs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sz w:val="24"/>
          <w:szCs w:val="24"/>
        </w:rPr>
        <w:instrText xml:space="preserve"> ADDIN EN.CITE.DATA </w:instrText>
      </w:r>
      <w:r w:rsidR="00AC2BE6">
        <w:rPr>
          <w:sz w:val="24"/>
          <w:szCs w:val="24"/>
        </w:rPr>
      </w:r>
      <w:r w:rsidR="00AC2BE6">
        <w:rPr>
          <w:sz w:val="24"/>
          <w:szCs w:val="24"/>
        </w:rPr>
        <w:fldChar w:fldCharType="end"/>
      </w:r>
      <w:r w:rsidR="00A4444F" w:rsidRPr="00000849">
        <w:rPr>
          <w:sz w:val="24"/>
          <w:szCs w:val="24"/>
        </w:rPr>
      </w:r>
      <w:r w:rsidR="00A4444F" w:rsidRPr="00000849">
        <w:rPr>
          <w:sz w:val="24"/>
          <w:szCs w:val="24"/>
        </w:rPr>
        <w:fldChar w:fldCharType="separate"/>
      </w:r>
      <w:r w:rsidR="00CD7B29">
        <w:rPr>
          <w:noProof/>
          <w:sz w:val="24"/>
          <w:szCs w:val="24"/>
        </w:rPr>
        <w:t>(Lloyd-Sherlock et al., 2014)</w:t>
      </w:r>
      <w:r w:rsidR="00A4444F" w:rsidRPr="00000849">
        <w:rPr>
          <w:sz w:val="24"/>
          <w:szCs w:val="24"/>
        </w:rPr>
        <w:fldChar w:fldCharType="end"/>
      </w:r>
      <w:r w:rsidR="00A4444F" w:rsidRPr="00000849">
        <w:rPr>
          <w:sz w:val="24"/>
          <w:szCs w:val="24"/>
        </w:rPr>
        <w:t xml:space="preserve"> and heavy consumption in South Africa </w:t>
      </w:r>
      <w:r w:rsidR="00A4444F" w:rsidRPr="00000849">
        <w:rPr>
          <w:sz w:val="24"/>
          <w:szCs w:val="24"/>
        </w:rPr>
        <w:fldChar w:fldCharType="begin"/>
      </w:r>
      <w:r w:rsidR="00AC2BE6">
        <w:rPr>
          <w:sz w:val="24"/>
          <w:szCs w:val="24"/>
        </w:rPr>
        <w:instrText xml:space="preserve"> ADDIN EN.CITE &lt;EndNote&gt;&lt;Cite&gt;&lt;Author&gt;Tyrovolas&lt;/Author&gt;&lt;Year&gt;2015&lt;/Year&gt;&lt;RecNum&gt;814&lt;/RecNum&gt;&lt;DisplayText&gt;(Tyrovolas et al., 2015)&lt;/DisplayText&gt;&lt;record&gt;&lt;rec-number&gt;814&lt;/rec-number&gt;&lt;foreign-keys&gt;&lt;key app="EN" db-id="29t2ptva8t9xtgex0z2vepsadpwpfxd9a2zv" timestamp="1613841980"&gt;814&lt;/key&gt;&lt;/foreign-keys&gt;&lt;ref-type name="Journal Article"&gt;17&lt;/ref-type&gt;&lt;contributors&gt;&lt;authors&gt;&lt;author&gt;Tyrovolas, Stefanos&lt;/author&gt;&lt;author&gt;Koyanagi, Ai&lt;/author&gt;&lt;author&gt;Garin, Noe&lt;/author&gt;&lt;author&gt;Olaya, Beatriz&lt;/author&gt;&lt;author&gt;Ayuso-Mateos, Jose Luis&lt;/author&gt;&lt;author&gt;Miret, Marta&lt;/author&gt;&lt;author&gt;Chatterji, Somnath&lt;/author&gt;&lt;author&gt;Tobiasz-Adamczyk, Beata&lt;/author&gt;&lt;author&gt;Koskinen, Seppo&lt;/author&gt;&lt;author&gt;Leonardi, Matilde&lt;/author&gt;&lt;author&gt;Haro, Josep Maria&lt;/author&gt;&lt;/authors&gt;&lt;/contributors&gt;&lt;titles&gt;&lt;title&gt;Determinants of the components of arterial pressure among older adults – The role of anthropometric and clinical factors: A multi-continent study&lt;/title&gt;&lt;secondary-title&gt;Atherosclerosis&lt;/secondary-title&gt;&lt;/titles&gt;&lt;periodical&gt;&lt;full-title&gt;Atherosclerosis&lt;/full-title&gt;&lt;/periodical&gt;&lt;pages&gt;240-249&lt;/pages&gt;&lt;volume&gt;238&lt;/volume&gt;&lt;number&gt;2&lt;/number&gt;&lt;keywords&gt;&lt;keyword&gt;Hypertension&lt;/keyword&gt;&lt;keyword&gt;Mean Arterial Pressure&lt;/keyword&gt;&lt;keyword&gt;Pulse Pressure&lt;/keyword&gt;&lt;keyword&gt;Obesity&lt;/keyword&gt;&lt;keyword&gt;Developing Countries&lt;/keyword&gt;&lt;/keywords&gt;&lt;dates&gt;&lt;year&gt;2015&lt;/year&gt;&lt;/dates&gt;&lt;isbn&gt;0021-9150&lt;/isbn&gt;&lt;urls&gt;&lt;/urls&gt;&lt;electronic-resource-num&gt;10.1016/j.atherosclerosis.2014.11.029&lt;/electronic-resource-num&gt;&lt;/record&gt;&lt;/Cite&gt;&lt;/EndNote&gt;</w:instrText>
      </w:r>
      <w:r w:rsidR="00A4444F" w:rsidRPr="00000849">
        <w:rPr>
          <w:sz w:val="24"/>
          <w:szCs w:val="24"/>
        </w:rPr>
        <w:fldChar w:fldCharType="separate"/>
      </w:r>
      <w:r w:rsidR="001740AB" w:rsidRPr="00000849">
        <w:rPr>
          <w:noProof/>
          <w:sz w:val="24"/>
          <w:szCs w:val="24"/>
        </w:rPr>
        <w:t>(Tyrovolas et al., 2015)</w:t>
      </w:r>
      <w:r w:rsidR="00A4444F" w:rsidRPr="00000849">
        <w:rPr>
          <w:sz w:val="24"/>
          <w:szCs w:val="24"/>
        </w:rPr>
        <w:fldChar w:fldCharType="end"/>
      </w:r>
      <w:r w:rsidR="00A4444F" w:rsidRPr="00000849">
        <w:rPr>
          <w:sz w:val="24"/>
          <w:szCs w:val="24"/>
        </w:rPr>
        <w:t xml:space="preserve"> were independently protective of hypertension.  </w:t>
      </w:r>
      <w:r w:rsidR="00993005" w:rsidRPr="00000849">
        <w:rPr>
          <w:sz w:val="24"/>
          <w:szCs w:val="24"/>
        </w:rPr>
        <w:t>C</w:t>
      </w:r>
      <w:r w:rsidR="001704FE" w:rsidRPr="00000849">
        <w:rPr>
          <w:sz w:val="24"/>
          <w:szCs w:val="24"/>
        </w:rPr>
        <w:t>ounterintuitive</w:t>
      </w:r>
      <w:r w:rsidR="00993005" w:rsidRPr="00000849">
        <w:rPr>
          <w:sz w:val="24"/>
          <w:szCs w:val="24"/>
        </w:rPr>
        <w:t>ly</w:t>
      </w:r>
      <w:r w:rsidR="001704FE" w:rsidRPr="00000849">
        <w:rPr>
          <w:sz w:val="24"/>
          <w:szCs w:val="24"/>
        </w:rPr>
        <w:t xml:space="preserve">, being a heavy drinker in South Africa was associated with 57% lower odds of having hypertension than being a lifetime abstainer </w:t>
      </w:r>
      <w:r w:rsidR="001704FE" w:rsidRPr="00000849">
        <w:rPr>
          <w:sz w:val="24"/>
          <w:szCs w:val="24"/>
        </w:rPr>
        <w:fldChar w:fldCharType="begin"/>
      </w:r>
      <w:r w:rsidR="00AC2BE6">
        <w:rPr>
          <w:sz w:val="24"/>
          <w:szCs w:val="24"/>
        </w:rPr>
        <w:instrText xml:space="preserve"> ADDIN EN.CITE &lt;EndNote&gt;&lt;Cite&gt;&lt;Author&gt;Tyrovolas&lt;/Author&gt;&lt;Year&gt;2015&lt;/Year&gt;&lt;RecNum&gt;814&lt;/RecNum&gt;&lt;DisplayText&gt;(Tyrovolas et al., 2015)&lt;/DisplayText&gt;&lt;record&gt;&lt;rec-number&gt;814&lt;/rec-number&gt;&lt;foreign-keys&gt;&lt;key app="EN" db-id="29t2ptva8t9xtgex0z2vepsadpwpfxd9a2zv" timestamp="1613841980"&gt;814&lt;/key&gt;&lt;/foreign-keys&gt;&lt;ref-type name="Journal Article"&gt;17&lt;/ref-type&gt;&lt;contributors&gt;&lt;authors&gt;&lt;author&gt;Tyrovolas, Stefanos&lt;/author&gt;&lt;author&gt;Koyanagi, Ai&lt;/author&gt;&lt;author&gt;Garin, Noe&lt;/author&gt;&lt;author&gt;Olaya, Beatriz&lt;/author&gt;&lt;author&gt;Ayuso-Mateos, Jose Luis&lt;/author&gt;&lt;author&gt;Miret, Marta&lt;/author&gt;&lt;author&gt;Chatterji, Somnath&lt;/author&gt;&lt;author&gt;Tobiasz-Adamczyk, Beata&lt;/author&gt;&lt;author&gt;Koskinen, Seppo&lt;/author&gt;&lt;author&gt;Leonardi, Matilde&lt;/author&gt;&lt;author&gt;Haro, Josep Maria&lt;/author&gt;&lt;/authors&gt;&lt;/contributors&gt;&lt;titles&gt;&lt;title&gt;Determinants of the components of arterial pressure among older adults – The role of anthropometric and clinical factors: A multi-continent study&lt;/title&gt;&lt;secondary-title&gt;Atherosclerosis&lt;/secondary-title&gt;&lt;/titles&gt;&lt;periodical&gt;&lt;full-title&gt;Atherosclerosis&lt;/full-title&gt;&lt;/periodical&gt;&lt;pages&gt;240-249&lt;/pages&gt;&lt;volume&gt;238&lt;/volume&gt;&lt;number&gt;2&lt;/number&gt;&lt;keywords&gt;&lt;keyword&gt;Hypertension&lt;/keyword&gt;&lt;keyword&gt;Mean Arterial Pressure&lt;/keyword&gt;&lt;keyword&gt;Pulse Pressure&lt;/keyword&gt;&lt;keyword&gt;Obesity&lt;/keyword&gt;&lt;keyword&gt;Developing Countries&lt;/keyword&gt;&lt;/keywords&gt;&lt;dates&gt;&lt;year&gt;2015&lt;/year&gt;&lt;/dates&gt;&lt;isbn&gt;0021-9150&lt;/isbn&gt;&lt;urls&gt;&lt;/urls&gt;&lt;electronic-resource-num&gt;10.1016/j.atherosclerosis.2014.11.029&lt;/electronic-resource-num&gt;&lt;/record&gt;&lt;/Cite&gt;&lt;/EndNote&gt;</w:instrText>
      </w:r>
      <w:r w:rsidR="001704FE" w:rsidRPr="00000849">
        <w:rPr>
          <w:sz w:val="24"/>
          <w:szCs w:val="24"/>
        </w:rPr>
        <w:fldChar w:fldCharType="separate"/>
      </w:r>
      <w:r w:rsidR="001740AB" w:rsidRPr="00000849">
        <w:rPr>
          <w:noProof/>
          <w:sz w:val="24"/>
          <w:szCs w:val="24"/>
        </w:rPr>
        <w:t>(Tyrovolas et al., 2015)</w:t>
      </w:r>
      <w:r w:rsidR="001704FE" w:rsidRPr="00000849">
        <w:rPr>
          <w:sz w:val="24"/>
          <w:szCs w:val="24"/>
        </w:rPr>
        <w:fldChar w:fldCharType="end"/>
      </w:r>
      <w:r w:rsidR="001704FE" w:rsidRPr="00000849">
        <w:rPr>
          <w:sz w:val="24"/>
          <w:szCs w:val="24"/>
        </w:rPr>
        <w:t>.</w:t>
      </w:r>
      <w:r w:rsidR="005F7211" w:rsidRPr="00000849">
        <w:rPr>
          <w:sz w:val="24"/>
          <w:szCs w:val="24"/>
        </w:rPr>
        <w:t xml:space="preserve">  </w:t>
      </w:r>
      <w:r w:rsidR="00A4444F" w:rsidRPr="00000849">
        <w:rPr>
          <w:sz w:val="24"/>
          <w:szCs w:val="24"/>
        </w:rPr>
        <w:t xml:space="preserve">In most studies, </w:t>
      </w:r>
      <w:r w:rsidR="005F7211" w:rsidRPr="00000849">
        <w:rPr>
          <w:sz w:val="24"/>
          <w:szCs w:val="24"/>
        </w:rPr>
        <w:t xml:space="preserve">however, </w:t>
      </w:r>
      <w:r w:rsidR="00A4444F" w:rsidRPr="00000849">
        <w:rPr>
          <w:sz w:val="24"/>
          <w:szCs w:val="24"/>
        </w:rPr>
        <w:t xml:space="preserve">alcohol consumption including heavy or frequent use was not significantly associated with hypertension </w:t>
      </w:r>
      <w:r w:rsidR="003371D9" w:rsidRPr="00000849">
        <w:rPr>
          <w:sz w:val="24"/>
          <w:szCs w:val="24"/>
        </w:rPr>
        <w:t>(Appendix 3 Table 5)</w:t>
      </w:r>
      <w:r w:rsidR="000123C0" w:rsidRPr="00000849">
        <w:rPr>
          <w:sz w:val="24"/>
          <w:szCs w:val="24"/>
        </w:rPr>
        <w:t>.  It was only in one study that alcohol use was significantly associated with stage 1 SHTN</w:t>
      </w:r>
      <w:r w:rsidR="00AD00E6" w:rsidRPr="00000849">
        <w:rPr>
          <w:sz w:val="24"/>
          <w:szCs w:val="24"/>
        </w:rPr>
        <w:t xml:space="preserve">, with adjusted odds being 41% higher in </w:t>
      </w:r>
      <w:r w:rsidR="00AD00E6" w:rsidRPr="00000849">
        <w:rPr>
          <w:sz w:val="24"/>
          <w:szCs w:val="24"/>
        </w:rPr>
        <w:lastRenderedPageBreak/>
        <w:t>users than in non-users</w:t>
      </w:r>
      <w:r w:rsidR="000123C0" w:rsidRPr="00000849">
        <w:rPr>
          <w:sz w:val="24"/>
          <w:szCs w:val="24"/>
        </w:rPr>
        <w:t xml:space="preserve"> </w:t>
      </w:r>
      <w:r w:rsidR="000123C0" w:rsidRPr="00000849">
        <w:rPr>
          <w:sz w:val="24"/>
          <w:szCs w:val="24"/>
        </w:rPr>
        <w:fldChar w:fldCharType="begin">
          <w:fldData xml:space="preserve">PEVuZE5vdGU+PENpdGU+PEF1dGhvcj5Cb2F0ZW5nPC9BdXRob3I+PFllYXI+MjAxNzwvWWVhcj48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</w:fldData>
        </w:fldChar>
      </w:r>
      <w:r w:rsidR="003E660C" w:rsidRPr="00000849">
        <w:rPr>
          <w:sz w:val="24"/>
          <w:szCs w:val="24"/>
        </w:rPr>
        <w:instrText xml:space="preserve"> ADDIN EN.CITE </w:instrText>
      </w:r>
      <w:r w:rsidR="003E660C" w:rsidRPr="00000849">
        <w:rPr>
          <w:sz w:val="24"/>
          <w:szCs w:val="24"/>
        </w:rPr>
        <w:fldChar w:fldCharType="begin">
          <w:fldData xml:space="preserve">PEVuZE5vdGU+PENpdGU+PEF1dGhvcj5Cb2F0ZW5nPC9BdXRob3I+PFllYXI+MjAxNzwvWWVhcj48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</w:fldData>
        </w:fldChar>
      </w:r>
      <w:r w:rsidR="003E660C" w:rsidRPr="00000849">
        <w:rPr>
          <w:sz w:val="24"/>
          <w:szCs w:val="24"/>
        </w:rPr>
        <w:instrText xml:space="preserve"> ADDIN EN.CITE.DATA </w:instrText>
      </w:r>
      <w:r w:rsidR="003E660C" w:rsidRPr="00000849">
        <w:rPr>
          <w:sz w:val="24"/>
          <w:szCs w:val="24"/>
        </w:rPr>
      </w:r>
      <w:r w:rsidR="003E660C" w:rsidRPr="00000849">
        <w:rPr>
          <w:sz w:val="24"/>
          <w:szCs w:val="24"/>
        </w:rPr>
        <w:fldChar w:fldCharType="end"/>
      </w:r>
      <w:r w:rsidR="000123C0" w:rsidRPr="00000849">
        <w:rPr>
          <w:sz w:val="24"/>
          <w:szCs w:val="24"/>
        </w:rPr>
      </w:r>
      <w:r w:rsidR="000123C0" w:rsidRPr="00000849">
        <w:rPr>
          <w:sz w:val="24"/>
          <w:szCs w:val="24"/>
        </w:rPr>
        <w:fldChar w:fldCharType="separate"/>
      </w:r>
      <w:r w:rsidR="001740AB" w:rsidRPr="00000849">
        <w:rPr>
          <w:noProof/>
          <w:sz w:val="24"/>
          <w:szCs w:val="24"/>
        </w:rPr>
        <w:t>(Boateng et al., 2017)</w:t>
      </w:r>
      <w:r w:rsidR="000123C0" w:rsidRPr="00000849">
        <w:rPr>
          <w:sz w:val="24"/>
          <w:szCs w:val="24"/>
        </w:rPr>
        <w:fldChar w:fldCharType="end"/>
      </w:r>
      <w:r w:rsidR="000123C0" w:rsidRPr="00000849">
        <w:rPr>
          <w:sz w:val="24"/>
          <w:szCs w:val="24"/>
        </w:rPr>
        <w:t>.  In that study</w:t>
      </w:r>
      <w:r w:rsidR="005F7F29" w:rsidRPr="00000849">
        <w:rPr>
          <w:sz w:val="24"/>
          <w:szCs w:val="24"/>
        </w:rPr>
        <w:t xml:space="preserve"> in Ghana</w:t>
      </w:r>
      <w:r w:rsidR="000123C0" w:rsidRPr="00000849">
        <w:rPr>
          <w:sz w:val="24"/>
          <w:szCs w:val="24"/>
        </w:rPr>
        <w:t>, it was not associated with stage 2 SHTN or any DHTN.</w:t>
      </w:r>
    </w:p>
    <w:p w14:paraId="053166D3" w14:textId="5EF15396" w:rsidR="00414E0D" w:rsidRPr="00000849" w:rsidRDefault="007B19E6" w:rsidP="00E93D4C">
      <w:pPr>
        <w:spacing w:line="480" w:lineRule="auto"/>
        <w:ind w:firstLine="567"/>
        <w:jc w:val="both"/>
        <w:rPr>
          <w:sz w:val="24"/>
          <w:szCs w:val="24"/>
        </w:rPr>
      </w:pPr>
      <w:r w:rsidRPr="00000849">
        <w:rPr>
          <w:sz w:val="24"/>
          <w:szCs w:val="24"/>
        </w:rPr>
        <w:t>T</w:t>
      </w:r>
      <w:r w:rsidR="00FC662C" w:rsidRPr="00000849">
        <w:rPr>
          <w:sz w:val="24"/>
          <w:szCs w:val="24"/>
        </w:rPr>
        <w:t xml:space="preserve">he discordant results in the multi-country analysis were also observed in relation to </w:t>
      </w:r>
      <w:r w:rsidR="00FA682B" w:rsidRPr="00000849">
        <w:rPr>
          <w:sz w:val="24"/>
          <w:szCs w:val="24"/>
        </w:rPr>
        <w:t>former smoking</w:t>
      </w:r>
      <w:r w:rsidR="00D70289" w:rsidRPr="00000849">
        <w:rPr>
          <w:sz w:val="24"/>
          <w:szCs w:val="24"/>
        </w:rPr>
        <w:t xml:space="preserve"> </w:t>
      </w:r>
      <w:r w:rsidR="00FC662C" w:rsidRPr="00000849">
        <w:rPr>
          <w:sz w:val="24"/>
          <w:szCs w:val="24"/>
        </w:rPr>
        <w:t xml:space="preserve">which </w:t>
      </w:r>
      <w:r w:rsidR="00D70289" w:rsidRPr="00000849">
        <w:rPr>
          <w:sz w:val="24"/>
          <w:szCs w:val="24"/>
        </w:rPr>
        <w:t xml:space="preserve">was significantly associated with hypertension in Ghana but not in South Africa </w:t>
      </w:r>
      <w:r w:rsidR="00D70289" w:rsidRPr="00000849">
        <w:rPr>
          <w:sz w:val="24"/>
          <w:szCs w:val="24"/>
        </w:rPr>
        <w:fldChar w:fldCharType="begin"/>
      </w:r>
      <w:r w:rsidR="00AC2BE6">
        <w:rPr>
          <w:sz w:val="24"/>
          <w:szCs w:val="24"/>
        </w:rPr>
        <w:instrText xml:space="preserve"> ADDIN EN.CITE &lt;EndNote&gt;&lt;Cite&gt;&lt;Author&gt;Tyrovolas&lt;/Author&gt;&lt;Year&gt;2015&lt;/Year&gt;&lt;RecNum&gt;814&lt;/RecNum&gt;&lt;DisplayText&gt;(Tyrovolas et al., 2015)&lt;/DisplayText&gt;&lt;record&gt;&lt;rec-number&gt;814&lt;/rec-number&gt;&lt;foreign-keys&gt;&lt;key app="EN" db-id="29t2ptva8t9xtgex0z2vepsadpwpfxd9a2zv" timestamp="1613841980"&gt;814&lt;/key&gt;&lt;/foreign-keys&gt;&lt;ref-type name="Journal Article"&gt;17&lt;/ref-type&gt;&lt;contributors&gt;&lt;authors&gt;&lt;author&gt;Tyrovolas, Stefanos&lt;/author&gt;&lt;author&gt;Koyanagi, Ai&lt;/author&gt;&lt;author&gt;Garin, Noe&lt;/author&gt;&lt;author&gt;Olaya, Beatriz&lt;/author&gt;&lt;author&gt;Ayuso-Mateos, Jose Luis&lt;/author&gt;&lt;author&gt;Miret, Marta&lt;/author&gt;&lt;author&gt;Chatterji, Somnath&lt;/author&gt;&lt;author&gt;Tobiasz-Adamczyk, Beata&lt;/author&gt;&lt;author&gt;Koskinen, Seppo&lt;/author&gt;&lt;author&gt;Leonardi, Matilde&lt;/author&gt;&lt;author&gt;Haro, Josep Maria&lt;/author&gt;&lt;/authors&gt;&lt;/contributors&gt;&lt;titles&gt;&lt;title&gt;Determinants of the components of arterial pressure among older adults – The role of anthropometric and clinical factors: A multi-continent study&lt;/title&gt;&lt;secondary-title&gt;Atherosclerosis&lt;/secondary-title&gt;&lt;/titles&gt;&lt;periodical&gt;&lt;full-title&gt;Atherosclerosis&lt;/full-title&gt;&lt;/periodical&gt;&lt;pages&gt;240-249&lt;/pages&gt;&lt;volume&gt;238&lt;/volume&gt;&lt;number&gt;2&lt;/number&gt;&lt;keywords&gt;&lt;keyword&gt;Hypertension&lt;/keyword&gt;&lt;keyword&gt;Mean Arterial Pressure&lt;/keyword&gt;&lt;keyword&gt;Pulse Pressure&lt;/keyword&gt;&lt;keyword&gt;Obesity&lt;/keyword&gt;&lt;keyword&gt;Developing Countries&lt;/keyword&gt;&lt;/keywords&gt;&lt;dates&gt;&lt;year&gt;2015&lt;/year&gt;&lt;/dates&gt;&lt;isbn&gt;0021-9150&lt;/isbn&gt;&lt;urls&gt;&lt;/urls&gt;&lt;electronic-resource-num&gt;10.1016/j.atherosclerosis.2014.11.029&lt;/electronic-resource-num&gt;&lt;/record&gt;&lt;/Cite&gt;&lt;/EndNote&gt;</w:instrText>
      </w:r>
      <w:r w:rsidR="00D70289" w:rsidRPr="00000849">
        <w:rPr>
          <w:sz w:val="24"/>
          <w:szCs w:val="24"/>
        </w:rPr>
        <w:fldChar w:fldCharType="separate"/>
      </w:r>
      <w:r w:rsidR="001740AB" w:rsidRPr="00000849">
        <w:rPr>
          <w:noProof/>
          <w:sz w:val="24"/>
          <w:szCs w:val="24"/>
        </w:rPr>
        <w:t>(Tyrovolas et al., 2015)</w:t>
      </w:r>
      <w:r w:rsidR="00D70289" w:rsidRPr="00000849">
        <w:rPr>
          <w:sz w:val="24"/>
          <w:szCs w:val="24"/>
        </w:rPr>
        <w:fldChar w:fldCharType="end"/>
      </w:r>
      <w:r w:rsidR="00D70289" w:rsidRPr="00000849">
        <w:rPr>
          <w:sz w:val="24"/>
          <w:szCs w:val="24"/>
        </w:rPr>
        <w:t>.</w:t>
      </w:r>
      <w:r w:rsidR="00FC662C" w:rsidRPr="00000849">
        <w:rPr>
          <w:sz w:val="24"/>
          <w:szCs w:val="24"/>
        </w:rPr>
        <w:t xml:space="preserve">  However, the results were similar but counterintuitive in relation to fruit and vegetable consumption.  H</w:t>
      </w:r>
      <w:r w:rsidR="00414E0D" w:rsidRPr="00000849">
        <w:rPr>
          <w:sz w:val="24"/>
          <w:szCs w:val="24"/>
        </w:rPr>
        <w:t xml:space="preserve">igher fruit intake of </w:t>
      </w:r>
      <w:r w:rsidR="00414E0D" w:rsidRPr="00000849">
        <w:rPr>
          <w:rFonts w:cstheme="minorHAnsi"/>
          <w:sz w:val="24"/>
          <w:szCs w:val="24"/>
        </w:rPr>
        <w:t>≥</w:t>
      </w:r>
      <w:r w:rsidR="00414E0D" w:rsidRPr="00000849">
        <w:rPr>
          <w:sz w:val="24"/>
          <w:szCs w:val="24"/>
        </w:rPr>
        <w:t xml:space="preserve">5 daily servings </w:t>
      </w:r>
      <w:r w:rsidR="008B3550" w:rsidRPr="00000849">
        <w:rPr>
          <w:sz w:val="24"/>
          <w:szCs w:val="24"/>
        </w:rPr>
        <w:t>in Ghana and intake of 2-4 daily vegetable servings in South Africa were</w:t>
      </w:r>
      <w:r w:rsidR="00414E0D" w:rsidRPr="00000849">
        <w:rPr>
          <w:sz w:val="24"/>
          <w:szCs w:val="24"/>
        </w:rPr>
        <w:t xml:space="preserve"> independently associated with </w:t>
      </w:r>
      <w:r w:rsidR="008B3550" w:rsidRPr="00000849">
        <w:rPr>
          <w:sz w:val="24"/>
          <w:szCs w:val="24"/>
        </w:rPr>
        <w:t xml:space="preserve">higher odds of </w:t>
      </w:r>
      <w:r w:rsidR="00414E0D" w:rsidRPr="00000849">
        <w:rPr>
          <w:sz w:val="24"/>
          <w:szCs w:val="24"/>
        </w:rPr>
        <w:t xml:space="preserve">hypertension </w:t>
      </w:r>
      <w:r w:rsidR="00414E0D" w:rsidRPr="00000849">
        <w:rPr>
          <w:sz w:val="24"/>
          <w:szCs w:val="24"/>
        </w:rPr>
        <w:fldChar w:fldCharType="begin"/>
      </w:r>
      <w:r w:rsidR="00AC2BE6">
        <w:rPr>
          <w:sz w:val="24"/>
          <w:szCs w:val="24"/>
        </w:rPr>
        <w:instrText xml:space="preserve"> ADDIN EN.CITE &lt;EndNote&gt;&lt;Cite&gt;&lt;Author&gt;Tyrovolas&lt;/Author&gt;&lt;Year&gt;2015&lt;/Year&gt;&lt;RecNum&gt;814&lt;/RecNum&gt;&lt;DisplayText&gt;(Tyrovolas et al., 2015)&lt;/DisplayText&gt;&lt;record&gt;&lt;rec-number&gt;814&lt;/rec-number&gt;&lt;foreign-keys&gt;&lt;key app="EN" db-id="29t2ptva8t9xtgex0z2vepsadpwpfxd9a2zv" timestamp="1613841980"&gt;814&lt;/key&gt;&lt;/foreign-keys&gt;&lt;ref-type name="Journal Article"&gt;17&lt;/ref-type&gt;&lt;contributors&gt;&lt;authors&gt;&lt;author&gt;Tyrovolas, Stefanos&lt;/author&gt;&lt;author&gt;Koyanagi, Ai&lt;/author&gt;&lt;author&gt;Garin, Noe&lt;/author&gt;&lt;author&gt;Olaya, Beatriz&lt;/author&gt;&lt;author&gt;Ayuso-Mateos, Jose Luis&lt;/author&gt;&lt;author&gt;Miret, Marta&lt;/author&gt;&lt;author&gt;Chatterji, Somnath&lt;/author&gt;&lt;author&gt;Tobiasz-Adamczyk, Beata&lt;/author&gt;&lt;author&gt;Koskinen, Seppo&lt;/author&gt;&lt;author&gt;Leonardi, Matilde&lt;/author&gt;&lt;author&gt;Haro, Josep Maria&lt;/author&gt;&lt;/authors&gt;&lt;/contributors&gt;&lt;titles&gt;&lt;title&gt;Determinants of the components of arterial pressure among older adults – The role of anthropometric and clinical factors: A multi-continent study&lt;/title&gt;&lt;secondary-title&gt;Atherosclerosis&lt;/secondary-title&gt;&lt;/titles&gt;&lt;periodical&gt;&lt;full-title&gt;Atherosclerosis&lt;/full-title&gt;&lt;/periodical&gt;&lt;pages&gt;240-249&lt;/pages&gt;&lt;volume&gt;238&lt;/volume&gt;&lt;number&gt;2&lt;/number&gt;&lt;keywords&gt;&lt;keyword&gt;Hypertension&lt;/keyword&gt;&lt;keyword&gt;Mean Arterial Pressure&lt;/keyword&gt;&lt;keyword&gt;Pulse Pressure&lt;/keyword&gt;&lt;keyword&gt;Obesity&lt;/keyword&gt;&lt;keyword&gt;Developing Countries&lt;/keyword&gt;&lt;/keywords&gt;&lt;dates&gt;&lt;year&gt;2015&lt;/year&gt;&lt;/dates&gt;&lt;isbn&gt;0021-9150&lt;/isbn&gt;&lt;urls&gt;&lt;/urls&gt;&lt;electronic-resource-num&gt;10.1016/j.atherosclerosis.2014.11.029&lt;/electronic-resource-num&gt;&lt;/record&gt;&lt;/Cite&gt;&lt;/EndNote&gt;</w:instrText>
      </w:r>
      <w:r w:rsidR="00414E0D" w:rsidRPr="00000849">
        <w:rPr>
          <w:sz w:val="24"/>
          <w:szCs w:val="24"/>
        </w:rPr>
        <w:fldChar w:fldCharType="separate"/>
      </w:r>
      <w:r w:rsidR="001740AB" w:rsidRPr="00000849">
        <w:rPr>
          <w:noProof/>
          <w:sz w:val="24"/>
          <w:szCs w:val="24"/>
        </w:rPr>
        <w:t>(Tyrovolas et al., 2015)</w:t>
      </w:r>
      <w:r w:rsidR="00414E0D" w:rsidRPr="00000849">
        <w:rPr>
          <w:sz w:val="24"/>
          <w:szCs w:val="24"/>
        </w:rPr>
        <w:fldChar w:fldCharType="end"/>
      </w:r>
      <w:r w:rsidR="00414E0D" w:rsidRPr="00000849">
        <w:rPr>
          <w:sz w:val="24"/>
          <w:szCs w:val="24"/>
        </w:rPr>
        <w:t xml:space="preserve">.  In a separate </w:t>
      </w:r>
      <w:r w:rsidR="008B3550" w:rsidRPr="00000849">
        <w:rPr>
          <w:sz w:val="24"/>
          <w:szCs w:val="24"/>
        </w:rPr>
        <w:t>analysis</w:t>
      </w:r>
      <w:r w:rsidR="00414E0D" w:rsidRPr="00000849">
        <w:rPr>
          <w:sz w:val="24"/>
          <w:szCs w:val="24"/>
        </w:rPr>
        <w:t xml:space="preserve">, </w:t>
      </w:r>
      <w:r w:rsidR="008B3550" w:rsidRPr="00000849">
        <w:rPr>
          <w:sz w:val="24"/>
          <w:szCs w:val="24"/>
        </w:rPr>
        <w:t xml:space="preserve">insufficient fruit and vegetable intake </w:t>
      </w:r>
      <w:r w:rsidR="00414E0D" w:rsidRPr="00000849">
        <w:rPr>
          <w:sz w:val="24"/>
          <w:szCs w:val="24"/>
        </w:rPr>
        <w:t>w</w:t>
      </w:r>
      <w:r w:rsidR="00FC662C" w:rsidRPr="00000849">
        <w:rPr>
          <w:sz w:val="24"/>
          <w:szCs w:val="24"/>
        </w:rPr>
        <w:t>as</w:t>
      </w:r>
      <w:r w:rsidR="00414E0D" w:rsidRPr="00000849">
        <w:rPr>
          <w:sz w:val="24"/>
          <w:szCs w:val="24"/>
        </w:rPr>
        <w:t xml:space="preserve"> not associated with </w:t>
      </w:r>
      <w:r w:rsidR="008B3550" w:rsidRPr="00000849">
        <w:rPr>
          <w:sz w:val="24"/>
          <w:szCs w:val="24"/>
        </w:rPr>
        <w:t xml:space="preserve">hypertension </w:t>
      </w:r>
      <w:r w:rsidR="00414E0D" w:rsidRPr="00000849">
        <w:rPr>
          <w:sz w:val="24"/>
          <w:szCs w:val="24"/>
        </w:rPr>
        <w:t xml:space="preserve">in South Africa </w:t>
      </w:r>
      <w:r w:rsidR="00414E0D" w:rsidRPr="00000849">
        <w:rPr>
          <w:sz w:val="24"/>
          <w:szCs w:val="24"/>
        </w:rPr>
        <w:fldChar w:fldCharType="begin"/>
      </w:r>
      <w:r w:rsidR="0060706B" w:rsidRPr="00000849">
        <w:rPr>
          <w:sz w:val="24"/>
          <w:szCs w:val="24"/>
        </w:rPr>
        <w:instrText xml:space="preserve"> ADDIN EN.CITE &lt;EndNote&gt;&lt;Cite&gt;&lt;Author&gt;Peltzer&lt;/Author&gt;&lt;Year&gt;2012&lt;/Year&gt;&lt;RecNum&gt;362&lt;/RecNum&gt;&lt;DisplayText&gt;(Peltzer &amp;amp; Phaswana-Mafuya, 2012)&lt;/DisplayText&gt;&lt;record&gt;&lt;rec-number&gt;362&lt;/rec-number&gt;&lt;foreign-keys&gt;&lt;key app="EN" db-id="pzfw02x58peadyevdp8vswt40etp25t5ddp0" timestamp="1545829125"&gt;362&lt;/key&gt;&lt;/foreign-keys&gt;&lt;ref-type name="Journal Article"&gt;17&lt;/ref-type&gt;&lt;contributors&gt;&lt;authors&gt;&lt;author&gt;Peltzer, Karl&lt;/author&gt;&lt;author&gt;Phaswana-Mafuya, Nancy&lt;/author&gt;&lt;/authors&gt;&lt;/contributors&gt;&lt;titles&gt;&lt;title&gt;Fruit and vegetable intake and associated factors in older adults in South Africa&lt;/title&gt;&lt;secondary-title&gt;Global health action&lt;/secondary-title&gt;&lt;/titles&gt;&lt;periodical&gt;&lt;full-title&gt;Global Health Action&lt;/full-title&gt;&lt;abbr-1&gt;Glob Health Action&lt;/abbr-1&gt;&lt;/periodical&gt;&lt;pages&gt;18668&lt;/pages&gt;&lt;volume&gt;5&lt;/volume&gt;&lt;number&gt;1&lt;/number&gt;&lt;dates&gt;&lt;year&gt;2012&lt;/year&gt;&lt;/dates&gt;&lt;isbn&gt;1654-9880&lt;/isbn&gt;&lt;urls&gt;&lt;/urls&gt;&lt;/record&gt;&lt;/Cite&gt;&lt;/EndNote&gt;</w:instrText>
      </w:r>
      <w:r w:rsidR="00414E0D" w:rsidRPr="00000849">
        <w:rPr>
          <w:sz w:val="24"/>
          <w:szCs w:val="24"/>
        </w:rPr>
        <w:fldChar w:fldCharType="separate"/>
      </w:r>
      <w:r w:rsidR="0060706B" w:rsidRPr="00000849">
        <w:rPr>
          <w:noProof/>
          <w:sz w:val="24"/>
          <w:szCs w:val="24"/>
        </w:rPr>
        <w:t>(Peltzer &amp; Phaswana-Mafuya, 2012)</w:t>
      </w:r>
      <w:r w:rsidR="00414E0D" w:rsidRPr="00000849">
        <w:rPr>
          <w:sz w:val="24"/>
          <w:szCs w:val="24"/>
        </w:rPr>
        <w:fldChar w:fldCharType="end"/>
      </w:r>
      <w:r w:rsidR="00414E0D" w:rsidRPr="00000849">
        <w:rPr>
          <w:sz w:val="24"/>
          <w:szCs w:val="24"/>
        </w:rPr>
        <w:t>.</w:t>
      </w:r>
      <w:r w:rsidR="00FC662C" w:rsidRPr="00000849">
        <w:rPr>
          <w:sz w:val="24"/>
          <w:szCs w:val="24"/>
        </w:rPr>
        <w:t xml:space="preserve"> </w:t>
      </w:r>
    </w:p>
    <w:p w14:paraId="4A818678" w14:textId="79C60899" w:rsidR="00367F9B" w:rsidRPr="00000849" w:rsidRDefault="009D3D0F" w:rsidP="000F731E">
      <w:pPr>
        <w:spacing w:line="480" w:lineRule="auto"/>
        <w:ind w:firstLine="567"/>
        <w:jc w:val="both"/>
        <w:rPr>
          <w:sz w:val="24"/>
          <w:szCs w:val="24"/>
        </w:rPr>
      </w:pPr>
      <w:r w:rsidRPr="00000849">
        <w:rPr>
          <w:sz w:val="24"/>
          <w:szCs w:val="24"/>
        </w:rPr>
        <w:t xml:space="preserve">As with the other behavioural factors, the </w:t>
      </w:r>
      <w:r w:rsidR="002354B0" w:rsidRPr="00000849">
        <w:rPr>
          <w:sz w:val="24"/>
          <w:szCs w:val="24"/>
        </w:rPr>
        <w:t>relationship between physical activity and hypertension was</w:t>
      </w:r>
      <w:r w:rsidRPr="00000849">
        <w:rPr>
          <w:sz w:val="24"/>
          <w:szCs w:val="24"/>
        </w:rPr>
        <w:t xml:space="preserve"> inconsistent and counterintuitive.  </w:t>
      </w:r>
      <w:r w:rsidR="00414E0D" w:rsidRPr="00000849">
        <w:rPr>
          <w:sz w:val="24"/>
          <w:szCs w:val="24"/>
        </w:rPr>
        <w:t xml:space="preserve">High level of physical activity was </w:t>
      </w:r>
      <w:r w:rsidR="000F731E" w:rsidRPr="00000849">
        <w:rPr>
          <w:sz w:val="24"/>
          <w:szCs w:val="24"/>
        </w:rPr>
        <w:t>protective</w:t>
      </w:r>
      <w:r w:rsidR="00414E0D" w:rsidRPr="00000849">
        <w:rPr>
          <w:sz w:val="24"/>
          <w:szCs w:val="24"/>
        </w:rPr>
        <w:t xml:space="preserve"> of hypertension in Congo and CAR </w:t>
      </w:r>
      <w:r w:rsidR="00414E0D" w:rsidRPr="00000849">
        <w:rPr>
          <w:sz w:val="24"/>
          <w:szCs w:val="2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1740AB" w:rsidRPr="00000849">
        <w:rPr>
          <w:sz w:val="24"/>
          <w:szCs w:val="24"/>
        </w:rPr>
        <w:instrText xml:space="preserve"> ADDIN EN.CITE </w:instrText>
      </w:r>
      <w:r w:rsidR="001740AB" w:rsidRPr="00000849">
        <w:rPr>
          <w:sz w:val="24"/>
          <w:szCs w:val="2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1740AB" w:rsidRPr="00000849">
        <w:rPr>
          <w:sz w:val="24"/>
          <w:szCs w:val="24"/>
        </w:rPr>
        <w:instrText xml:space="preserve"> ADDIN EN.CITE.DATA </w:instrText>
      </w:r>
      <w:r w:rsidR="001740AB" w:rsidRPr="00000849">
        <w:rPr>
          <w:sz w:val="24"/>
          <w:szCs w:val="24"/>
        </w:rPr>
      </w:r>
      <w:r w:rsidR="001740AB" w:rsidRPr="00000849">
        <w:rPr>
          <w:sz w:val="24"/>
          <w:szCs w:val="24"/>
        </w:rPr>
        <w:fldChar w:fldCharType="end"/>
      </w:r>
      <w:r w:rsidR="00414E0D" w:rsidRPr="00000849">
        <w:rPr>
          <w:sz w:val="24"/>
          <w:szCs w:val="24"/>
        </w:rPr>
      </w:r>
      <w:r w:rsidR="00414E0D" w:rsidRPr="00000849">
        <w:rPr>
          <w:sz w:val="24"/>
          <w:szCs w:val="24"/>
        </w:rPr>
        <w:fldChar w:fldCharType="separate"/>
      </w:r>
      <w:r w:rsidR="001740AB" w:rsidRPr="00000849">
        <w:rPr>
          <w:noProof/>
          <w:sz w:val="24"/>
          <w:szCs w:val="24"/>
        </w:rPr>
        <w:t>(Pilleron et al., 2017)</w:t>
      </w:r>
      <w:r w:rsidR="00414E0D" w:rsidRPr="00000849">
        <w:rPr>
          <w:sz w:val="24"/>
          <w:szCs w:val="24"/>
        </w:rPr>
        <w:fldChar w:fldCharType="end"/>
      </w:r>
      <w:r w:rsidR="00414E0D" w:rsidRPr="00000849">
        <w:rPr>
          <w:sz w:val="24"/>
          <w:szCs w:val="24"/>
        </w:rPr>
        <w:t xml:space="preserve"> </w:t>
      </w:r>
      <w:r w:rsidR="00896053" w:rsidRPr="00000849">
        <w:rPr>
          <w:sz w:val="24"/>
          <w:szCs w:val="24"/>
        </w:rPr>
        <w:t xml:space="preserve">as was low physical activity </w:t>
      </w:r>
      <w:r w:rsidR="00414E0D" w:rsidRPr="00000849">
        <w:rPr>
          <w:sz w:val="24"/>
          <w:szCs w:val="24"/>
        </w:rPr>
        <w:t xml:space="preserve">in South Africa </w:t>
      </w:r>
      <w:r w:rsidR="00414E0D" w:rsidRPr="00000849">
        <w:rPr>
          <w:sz w:val="24"/>
          <w:szCs w:val="24"/>
        </w:rPr>
        <w:fldChar w:fldCharType="begin">
          <w:fldData xml:space="preserve">PEVuZE5vdGU+PENpdGU+PEF1dGhvcj5MbG95ZC1TaGVybG9jazwvQXV0aG9yPjxZZWFyPjIwMTQ8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</w:fldData>
        </w:fldChar>
      </w:r>
      <w:r w:rsidR="00AC2BE6">
        <w:rPr>
          <w:sz w:val="24"/>
          <w:szCs w:val="24"/>
        </w:rPr>
        <w:instrText xml:space="preserve"> ADDIN EN.CITE </w:instrText>
      </w:r>
      <w:r w:rsidR="00AC2BE6">
        <w:rPr>
          <w:sz w:val="24"/>
          <w:szCs w:val="24"/>
        </w:rPr>
        <w:fldChar w:fldCharType="begin">
          <w:fldData xml:space="preserve">PEVuZE5vdGU+PENpdGU+PEF1dGhvcj5MbG95ZC1TaGVybG9jazwvQXV0aG9yPjxZZWFyPjIwMTQ8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</w:fldData>
        </w:fldChar>
      </w:r>
      <w:r w:rsidR="00AC2BE6">
        <w:rPr>
          <w:sz w:val="24"/>
          <w:szCs w:val="24"/>
        </w:rPr>
        <w:instrText xml:space="preserve"> ADDIN EN.CITE.DATA </w:instrText>
      </w:r>
      <w:r w:rsidR="00AC2BE6">
        <w:rPr>
          <w:sz w:val="24"/>
          <w:szCs w:val="24"/>
        </w:rPr>
      </w:r>
      <w:r w:rsidR="00AC2BE6">
        <w:rPr>
          <w:sz w:val="24"/>
          <w:szCs w:val="24"/>
        </w:rPr>
        <w:fldChar w:fldCharType="end"/>
      </w:r>
      <w:r w:rsidR="00414E0D" w:rsidRPr="00000849">
        <w:rPr>
          <w:sz w:val="24"/>
          <w:szCs w:val="24"/>
        </w:rPr>
      </w:r>
      <w:r w:rsidR="00414E0D" w:rsidRPr="00000849">
        <w:rPr>
          <w:sz w:val="24"/>
          <w:szCs w:val="24"/>
        </w:rPr>
        <w:fldChar w:fldCharType="separate"/>
      </w:r>
      <w:r w:rsidR="00CD7B29">
        <w:rPr>
          <w:noProof/>
          <w:sz w:val="24"/>
          <w:szCs w:val="24"/>
        </w:rPr>
        <w:t>(Lloyd-Sherlock et al., 2014; Tyrovolas et al., 2015)</w:t>
      </w:r>
      <w:r w:rsidR="00414E0D" w:rsidRPr="00000849">
        <w:rPr>
          <w:sz w:val="24"/>
          <w:szCs w:val="24"/>
        </w:rPr>
        <w:fldChar w:fldCharType="end"/>
      </w:r>
      <w:r w:rsidR="00414E0D" w:rsidRPr="00000849">
        <w:rPr>
          <w:sz w:val="24"/>
          <w:szCs w:val="24"/>
        </w:rPr>
        <w:t xml:space="preserve"> (</w:t>
      </w:r>
      <w:r w:rsidR="00007E47" w:rsidRPr="00000849">
        <w:rPr>
          <w:sz w:val="24"/>
          <w:szCs w:val="24"/>
        </w:rPr>
        <w:t>Appendix 3</w:t>
      </w:r>
      <w:r w:rsidR="00896053" w:rsidRPr="00000849">
        <w:rPr>
          <w:sz w:val="24"/>
          <w:szCs w:val="24"/>
        </w:rPr>
        <w:t xml:space="preserve"> </w:t>
      </w:r>
      <w:r w:rsidR="00414E0D" w:rsidRPr="00000849">
        <w:rPr>
          <w:sz w:val="24"/>
          <w:szCs w:val="24"/>
        </w:rPr>
        <w:t xml:space="preserve">Table 5).  </w:t>
      </w:r>
      <w:r w:rsidR="00896053" w:rsidRPr="00000849">
        <w:rPr>
          <w:sz w:val="24"/>
          <w:szCs w:val="24"/>
        </w:rPr>
        <w:t>Physical activity w</w:t>
      </w:r>
      <w:r w:rsidR="001A1C3B" w:rsidRPr="00000849">
        <w:rPr>
          <w:sz w:val="24"/>
          <w:szCs w:val="24"/>
        </w:rPr>
        <w:t>as</w:t>
      </w:r>
      <w:r w:rsidR="00896053" w:rsidRPr="00000849">
        <w:rPr>
          <w:sz w:val="24"/>
          <w:szCs w:val="24"/>
        </w:rPr>
        <w:t xml:space="preserve"> </w:t>
      </w:r>
      <w:r w:rsidR="00414E0D" w:rsidRPr="00000849">
        <w:rPr>
          <w:sz w:val="24"/>
          <w:szCs w:val="24"/>
        </w:rPr>
        <w:t>not significantly associated with hypertension</w:t>
      </w:r>
      <w:r w:rsidR="001A1C3B" w:rsidRPr="00000849">
        <w:rPr>
          <w:sz w:val="24"/>
          <w:szCs w:val="24"/>
        </w:rPr>
        <w:t xml:space="preserve"> in Ghana, South Africa or Tunisia</w:t>
      </w:r>
      <w:r w:rsidR="00414E0D" w:rsidRPr="00000849">
        <w:rPr>
          <w:sz w:val="24"/>
          <w:szCs w:val="24"/>
        </w:rPr>
        <w:t>.</w:t>
      </w:r>
      <w:r w:rsidR="001A1C3B" w:rsidRPr="00000849">
        <w:rPr>
          <w:sz w:val="24"/>
          <w:szCs w:val="24"/>
        </w:rPr>
        <w:t xml:space="preserve"> </w:t>
      </w:r>
      <w:r w:rsidR="00414E0D" w:rsidRPr="00000849">
        <w:rPr>
          <w:sz w:val="24"/>
          <w:szCs w:val="24"/>
        </w:rPr>
        <w:t xml:space="preserve">  </w:t>
      </w:r>
    </w:p>
    <w:p w14:paraId="3423E706" w14:textId="446E1BEC" w:rsidR="00414E0D" w:rsidRPr="00000849" w:rsidRDefault="006C2DF8" w:rsidP="000F731E">
      <w:pPr>
        <w:spacing w:line="480" w:lineRule="auto"/>
        <w:ind w:firstLine="567"/>
        <w:jc w:val="both"/>
        <w:rPr>
          <w:sz w:val="24"/>
          <w:szCs w:val="24"/>
        </w:rPr>
      </w:pPr>
      <w:r w:rsidRPr="00000849">
        <w:rPr>
          <w:sz w:val="24"/>
          <w:szCs w:val="24"/>
        </w:rPr>
        <w:t>Notwithstanding these discordant findings, the benefits of physical activity in preventing cardiovascular diseases in sick and healthy adults are well</w:t>
      </w:r>
      <w:r w:rsidR="001A1C3B" w:rsidRPr="00000849">
        <w:rPr>
          <w:sz w:val="24"/>
          <w:szCs w:val="24"/>
        </w:rPr>
        <w:t>-</w:t>
      </w:r>
      <w:r w:rsidRPr="00000849">
        <w:rPr>
          <w:sz w:val="24"/>
          <w:szCs w:val="24"/>
        </w:rPr>
        <w:t xml:space="preserve">established.  A recent meta-analysis showed that exercise reduced resting SBP or DBP by 4-7 mmHg in adults aged </w:t>
      </w:r>
      <w:r w:rsidRPr="00000849">
        <w:rPr>
          <w:rFonts w:cstheme="minorHAnsi"/>
          <w:sz w:val="24"/>
          <w:szCs w:val="24"/>
        </w:rPr>
        <w:t>≥</w:t>
      </w:r>
      <w:r w:rsidRPr="00000849">
        <w:rPr>
          <w:sz w:val="24"/>
          <w:szCs w:val="24"/>
        </w:rPr>
        <w:t xml:space="preserve">65 years </w:t>
      </w:r>
      <w:r w:rsidRPr="00000849">
        <w:rPr>
          <w:sz w:val="24"/>
          <w:szCs w:val="24"/>
        </w:rPr>
        <w:fldChar w:fldCharType="begin"/>
      </w:r>
      <w:r w:rsidRPr="00000849">
        <w:rPr>
          <w:sz w:val="24"/>
          <w:szCs w:val="24"/>
        </w:rPr>
        <w:instrText xml:space="preserve"> ADDIN EN.CITE &lt;EndNote&gt;&lt;Cite&gt;&lt;Author&gt;Kelley&lt;/Author&gt;&lt;Year&gt;2018&lt;/Year&gt;&lt;RecNum&gt;483&lt;/RecNum&gt;&lt;DisplayText&gt;(Kelley &amp;amp; Kelley, 2018)&lt;/DisplayText&gt;&lt;record&gt;&lt;rec-number&gt;483&lt;/rec-number&gt;&lt;foreign-keys&gt;&lt;key app="EN" db-id="pzfw02x58peadyevdp8vswt40etp25t5ddp0" timestamp="1567384692"&gt;483&lt;/key&gt;&lt;/foreign-keys&gt;&lt;ref-type name="Journal Article"&gt;17&lt;/ref-type&gt;&lt;contributors&gt;&lt;authors&gt;&lt;author&gt;Kelley, George A.&lt;/author&gt;&lt;author&gt;Kelley, Kristi S.&lt;/author&gt;&lt;/authors&gt;&lt;/contributors&gt;&lt;titles&gt;&lt;title&gt;Brief Report: Exercise and Blood Pressure in Older Adults: An Updated Look&lt;/title&gt;&lt;secondary-title&gt;International Journal of Hypertension&lt;/secondary-title&gt;&lt;/titles&gt;&lt;periodical&gt;&lt;full-title&gt;International Journal of Hypertension&lt;/full-title&gt;&lt;abbr-1&gt;Int J Hypertens&lt;/abbr-1&gt;&lt;/periodical&gt;&lt;volume&gt;2018&lt;/volume&gt;&lt;number&gt;6548659&lt;/number&gt;&lt;dates&gt;&lt;year&gt;2018&lt;/year&gt;&lt;/dates&gt;&lt;urls&gt;&lt;related-urls&gt;&lt;url&gt;https://doi.org/10.1155/2018/6548659&lt;/url&gt;&lt;/related-urls&gt;&lt;/urls&gt;&lt;custom7&gt;6548659&lt;/custom7&gt;&lt;electronic-resource-num&gt;10.1155/2018/6548659&lt;/electronic-resource-num&gt;&lt;/record&gt;&lt;/Cite&gt;&lt;/EndNote&gt;</w:instrText>
      </w:r>
      <w:r w:rsidRPr="00000849">
        <w:rPr>
          <w:sz w:val="24"/>
          <w:szCs w:val="24"/>
        </w:rPr>
        <w:fldChar w:fldCharType="separate"/>
      </w:r>
      <w:r w:rsidRPr="00000849">
        <w:rPr>
          <w:noProof/>
          <w:sz w:val="24"/>
          <w:szCs w:val="24"/>
        </w:rPr>
        <w:t>(Kelley &amp; Kelley, 2018)</w:t>
      </w:r>
      <w:r w:rsidRPr="00000849">
        <w:rPr>
          <w:sz w:val="24"/>
          <w:szCs w:val="24"/>
        </w:rPr>
        <w:fldChar w:fldCharType="end"/>
      </w:r>
      <w:r w:rsidRPr="00000849">
        <w:rPr>
          <w:sz w:val="24"/>
          <w:szCs w:val="24"/>
        </w:rPr>
        <w:t>.</w:t>
      </w:r>
    </w:p>
    <w:p w14:paraId="3E59E3DF" w14:textId="23DEADDB" w:rsidR="00883650" w:rsidRPr="00000849" w:rsidRDefault="00883650" w:rsidP="005810A6">
      <w:pPr>
        <w:pStyle w:val="NormalWeb"/>
        <w:shd w:val="clear" w:color="auto" w:fill="FFFFFF"/>
        <w:spacing w:before="0" w:beforeAutospacing="0" w:after="165" w:afterAutospacing="0" w:line="480" w:lineRule="auto"/>
        <w:rPr>
          <w:rFonts w:asciiTheme="minorHAnsi" w:hAnsiTheme="minorHAnsi" w:cstheme="minorHAnsi"/>
          <w:color w:val="383838"/>
        </w:rPr>
      </w:pPr>
    </w:p>
    <w:p w14:paraId="5F79E138" w14:textId="293C4694" w:rsidR="00674E83" w:rsidRPr="00000849" w:rsidRDefault="00D92056" w:rsidP="0075255B">
      <w:pPr>
        <w:pStyle w:val="Heading4"/>
      </w:pPr>
      <w:r w:rsidRPr="00000849">
        <w:lastRenderedPageBreak/>
        <w:t>2.2</w:t>
      </w:r>
      <w:r w:rsidR="00674E83" w:rsidRPr="00000849">
        <w:t>.5.4</w:t>
      </w:r>
      <w:r w:rsidR="00674E83" w:rsidRPr="00000849">
        <w:tab/>
        <w:t>Comorbidity factors</w:t>
      </w:r>
    </w:p>
    <w:p w14:paraId="30C061EF" w14:textId="77777777" w:rsidR="00674E83" w:rsidRPr="00000849" w:rsidRDefault="00674E83" w:rsidP="005810A6">
      <w:pPr>
        <w:pStyle w:val="NormalWeb"/>
        <w:shd w:val="clear" w:color="auto" w:fill="FFFFFF"/>
        <w:spacing w:before="0" w:beforeAutospacing="0" w:after="165" w:afterAutospacing="0" w:line="480" w:lineRule="auto"/>
        <w:rPr>
          <w:rFonts w:asciiTheme="minorHAnsi" w:hAnsiTheme="minorHAnsi" w:cstheme="minorHAnsi"/>
          <w:color w:val="383838"/>
        </w:rPr>
      </w:pPr>
    </w:p>
    <w:p w14:paraId="082841E0" w14:textId="7BECEE0F" w:rsidR="00EF58AB" w:rsidRPr="00000849" w:rsidRDefault="00983776" w:rsidP="00983776">
      <w:pPr>
        <w:spacing w:line="480" w:lineRule="auto"/>
        <w:jc w:val="both"/>
        <w:rPr>
          <w:sz w:val="24"/>
        </w:rPr>
      </w:pPr>
      <w:r w:rsidRPr="00000849">
        <w:rPr>
          <w:sz w:val="24"/>
        </w:rPr>
        <w:t xml:space="preserve">In the </w:t>
      </w:r>
      <w:r w:rsidR="004A4A38" w:rsidRPr="00000849">
        <w:rPr>
          <w:sz w:val="24"/>
        </w:rPr>
        <w:t>multivariable</w:t>
      </w:r>
      <w:r w:rsidRPr="00000849">
        <w:rPr>
          <w:sz w:val="24"/>
        </w:rPr>
        <w:t xml:space="preserve"> analyses, </w:t>
      </w:r>
      <w:r w:rsidR="00EF58AB" w:rsidRPr="00000849">
        <w:rPr>
          <w:sz w:val="24"/>
        </w:rPr>
        <w:t>s</w:t>
      </w:r>
      <w:r w:rsidR="00F41E8C" w:rsidRPr="00000849">
        <w:rPr>
          <w:sz w:val="24"/>
        </w:rPr>
        <w:t xml:space="preserve">elf-reported </w:t>
      </w:r>
      <w:r w:rsidR="00EF58AB" w:rsidRPr="00000849">
        <w:rPr>
          <w:sz w:val="24"/>
        </w:rPr>
        <w:t xml:space="preserve">or laboratory-confirmed </w:t>
      </w:r>
      <w:r w:rsidR="00F41E8C" w:rsidRPr="00000849">
        <w:rPr>
          <w:sz w:val="24"/>
        </w:rPr>
        <w:t xml:space="preserve">diabetes </w:t>
      </w:r>
      <w:r w:rsidR="00EF58AB" w:rsidRPr="00000849">
        <w:rPr>
          <w:sz w:val="24"/>
        </w:rPr>
        <w:t>was</w:t>
      </w:r>
      <w:r w:rsidR="00F41E8C" w:rsidRPr="00000849">
        <w:rPr>
          <w:sz w:val="24"/>
        </w:rPr>
        <w:t xml:space="preserve"> </w:t>
      </w:r>
      <w:r w:rsidR="00EF58AB" w:rsidRPr="00000849">
        <w:rPr>
          <w:sz w:val="24"/>
        </w:rPr>
        <w:t>independently</w:t>
      </w:r>
      <w:r w:rsidR="00F41E8C" w:rsidRPr="00000849">
        <w:rPr>
          <w:sz w:val="24"/>
        </w:rPr>
        <w:t xml:space="preserve"> associated with hypertension in Tunisia </w:t>
      </w:r>
      <w:r w:rsidR="00F41E8C" w:rsidRPr="00000849">
        <w:rPr>
          <w:sz w:val="24"/>
        </w:rPr>
        <w:fldChar w:fldCharType="begin">
          <w:fldData xml:space="preserve">PEVuZE5vdGU+PENpdGU+PEF1dGhvcj5IYW1tYW1pPC9BdXRob3I+PFllYXI+MjAxMTwvWWVhcj48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</w:fldData>
        </w:fldChar>
      </w:r>
      <w:r w:rsidR="00AC2BE6">
        <w:rPr>
          <w:sz w:val="24"/>
        </w:rPr>
        <w:instrText xml:space="preserve"> ADDIN EN.CITE </w:instrText>
      </w:r>
      <w:r w:rsidR="00AC2BE6">
        <w:rPr>
          <w:sz w:val="24"/>
        </w:rPr>
        <w:fldChar w:fldCharType="begin">
          <w:fldData xml:space="preserve">PEVuZE5vdGU+PENpdGU+PEF1dGhvcj5IYW1tYW1pPC9BdXRob3I+PFllYXI+MjAxMTwvWWVhcj48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</w:fldData>
        </w:fldChar>
      </w:r>
      <w:r w:rsidR="00AC2BE6">
        <w:rPr>
          <w:sz w:val="24"/>
        </w:rPr>
        <w:instrText xml:space="preserve"> ADDIN EN.CITE.DATA </w:instrText>
      </w:r>
      <w:r w:rsidR="00AC2BE6">
        <w:rPr>
          <w:sz w:val="24"/>
        </w:rPr>
      </w:r>
      <w:r w:rsidR="00AC2BE6">
        <w:rPr>
          <w:sz w:val="24"/>
        </w:rPr>
        <w:fldChar w:fldCharType="end"/>
      </w:r>
      <w:r w:rsidR="00F41E8C" w:rsidRPr="00000849">
        <w:rPr>
          <w:sz w:val="24"/>
        </w:rPr>
      </w:r>
      <w:r w:rsidR="00F41E8C" w:rsidRPr="00000849">
        <w:rPr>
          <w:sz w:val="24"/>
        </w:rPr>
        <w:fldChar w:fldCharType="separate"/>
      </w:r>
      <w:r w:rsidR="00000849" w:rsidRPr="00000849">
        <w:rPr>
          <w:noProof/>
          <w:sz w:val="24"/>
        </w:rPr>
        <w:t>(Hammami et al., 2011)</w:t>
      </w:r>
      <w:r w:rsidR="00F41E8C" w:rsidRPr="00000849">
        <w:rPr>
          <w:sz w:val="24"/>
        </w:rPr>
        <w:fldChar w:fldCharType="end"/>
      </w:r>
      <w:r w:rsidR="00F41E8C" w:rsidRPr="00000849">
        <w:rPr>
          <w:sz w:val="24"/>
        </w:rPr>
        <w:t xml:space="preserve"> and Ghana </w:t>
      </w:r>
      <w:r w:rsidR="00F41E8C" w:rsidRPr="00000849">
        <w:rPr>
          <w:sz w:val="24"/>
        </w:rPr>
        <w:fldChar w:fldCharType="begin"/>
      </w:r>
      <w:r w:rsidR="00AC2BE6">
        <w:rPr>
          <w:sz w:val="24"/>
        </w:rPr>
        <w:instrText xml:space="preserve"> ADDIN EN.CITE &lt;EndNote&gt;&lt;Cite&gt;&lt;Author&gt;Tyrovolas&lt;/Author&gt;&lt;Year&gt;2015&lt;/Year&gt;&lt;RecNum&gt;814&lt;/RecNum&gt;&lt;DisplayText&gt;(Tyrovolas et al., 2015)&lt;/DisplayText&gt;&lt;record&gt;&lt;rec-number&gt;814&lt;/rec-number&gt;&lt;foreign-keys&gt;&lt;key app="EN" db-id="29t2ptva8t9xtgex0z2vepsadpwpfxd9a2zv" timestamp="1613841980"&gt;814&lt;/key&gt;&lt;/foreign-keys&gt;&lt;ref-type name="Journal Article"&gt;17&lt;/ref-type&gt;&lt;contributors&gt;&lt;authors&gt;&lt;author&gt;Tyrovolas, Stefanos&lt;/author&gt;&lt;author&gt;Koyanagi, Ai&lt;/author&gt;&lt;author&gt;Garin, Noe&lt;/author&gt;&lt;author&gt;Olaya, Beatriz&lt;/author&gt;&lt;author&gt;Ayuso-Mateos, Jose Luis&lt;/author&gt;&lt;author&gt;Miret, Marta&lt;/author&gt;&lt;author&gt;Chatterji, Somnath&lt;/author&gt;&lt;author&gt;Tobiasz-Adamczyk, Beata&lt;/author&gt;&lt;author&gt;Koskinen, Seppo&lt;/author&gt;&lt;author&gt;Leonardi, Matilde&lt;/author&gt;&lt;author&gt;Haro, Josep Maria&lt;/author&gt;&lt;/authors&gt;&lt;/contributors&gt;&lt;titles&gt;&lt;title&gt;Determinants of the components of arterial pressure among older adults – The role of anthropometric and clinical factors: A multi-continent study&lt;/title&gt;&lt;secondary-title&gt;Atherosclerosis&lt;/secondary-title&gt;&lt;/titles&gt;&lt;periodical&gt;&lt;full-title&gt;Atherosclerosis&lt;/full-title&gt;&lt;/periodical&gt;&lt;pages&gt;240-249&lt;/pages&gt;&lt;volume&gt;238&lt;/volume&gt;&lt;number&gt;2&lt;/number&gt;&lt;keywords&gt;&lt;keyword&gt;Hypertension&lt;/keyword&gt;&lt;keyword&gt;Mean Arterial Pressure&lt;/keyword&gt;&lt;keyword&gt;Pulse Pressure&lt;/keyword&gt;&lt;keyword&gt;Obesity&lt;/keyword&gt;&lt;keyword&gt;Developing Countries&lt;/keyword&gt;&lt;/keywords&gt;&lt;dates&gt;&lt;year&gt;2015&lt;/year&gt;&lt;/dates&gt;&lt;isbn&gt;0021-9150&lt;/isbn&gt;&lt;urls&gt;&lt;/urls&gt;&lt;electronic-resource-num&gt;10.1016/j.atherosclerosis.2014.11.029&lt;/electronic-resource-num&gt;&lt;/record&gt;&lt;/Cite&gt;&lt;/EndNote&gt;</w:instrText>
      </w:r>
      <w:r w:rsidR="00F41E8C" w:rsidRPr="00000849">
        <w:rPr>
          <w:sz w:val="24"/>
        </w:rPr>
        <w:fldChar w:fldCharType="separate"/>
      </w:r>
      <w:r w:rsidR="001740AB" w:rsidRPr="00000849">
        <w:rPr>
          <w:noProof/>
          <w:sz w:val="24"/>
        </w:rPr>
        <w:t>(Tyrovolas et al., 2015)</w:t>
      </w:r>
      <w:r w:rsidR="00F41E8C" w:rsidRPr="00000849">
        <w:rPr>
          <w:sz w:val="24"/>
        </w:rPr>
        <w:fldChar w:fldCharType="end"/>
      </w:r>
      <w:r w:rsidR="00EF58AB" w:rsidRPr="00000849">
        <w:rPr>
          <w:sz w:val="24"/>
        </w:rPr>
        <w:t xml:space="preserve"> but not in CAR/Congo </w:t>
      </w:r>
      <w:r w:rsidR="00EF58AB" w:rsidRPr="00000849">
        <w:rPr>
          <w:sz w:val="2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1740AB" w:rsidRPr="00000849">
        <w:rPr>
          <w:sz w:val="24"/>
        </w:rPr>
        <w:instrText xml:space="preserve"> ADDIN EN.CITE </w:instrText>
      </w:r>
      <w:r w:rsidR="001740AB" w:rsidRPr="00000849">
        <w:rPr>
          <w:sz w:val="2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1740AB" w:rsidRPr="00000849">
        <w:rPr>
          <w:sz w:val="24"/>
        </w:rPr>
        <w:instrText xml:space="preserve"> ADDIN EN.CITE.DATA </w:instrText>
      </w:r>
      <w:r w:rsidR="001740AB" w:rsidRPr="00000849">
        <w:rPr>
          <w:sz w:val="24"/>
        </w:rPr>
      </w:r>
      <w:r w:rsidR="001740AB" w:rsidRPr="00000849">
        <w:rPr>
          <w:sz w:val="24"/>
        </w:rPr>
        <w:fldChar w:fldCharType="end"/>
      </w:r>
      <w:r w:rsidR="00EF58AB" w:rsidRPr="00000849">
        <w:rPr>
          <w:sz w:val="24"/>
        </w:rPr>
      </w:r>
      <w:r w:rsidR="00EF58AB" w:rsidRPr="00000849">
        <w:rPr>
          <w:sz w:val="24"/>
        </w:rPr>
        <w:fldChar w:fldCharType="separate"/>
      </w:r>
      <w:r w:rsidR="001740AB" w:rsidRPr="00000849">
        <w:rPr>
          <w:noProof/>
          <w:sz w:val="24"/>
        </w:rPr>
        <w:t>(Pilleron et al., 2017)</w:t>
      </w:r>
      <w:r w:rsidR="00EF58AB" w:rsidRPr="00000849">
        <w:rPr>
          <w:sz w:val="24"/>
        </w:rPr>
        <w:fldChar w:fldCharType="end"/>
      </w:r>
      <w:r w:rsidR="00EF58AB" w:rsidRPr="00000849">
        <w:rPr>
          <w:sz w:val="24"/>
        </w:rPr>
        <w:t xml:space="preserve">, Nigeria </w:t>
      </w:r>
      <w:r w:rsidR="00EF58AB" w:rsidRPr="00000849">
        <w:rPr>
          <w:sz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rPr>
        <w:instrText xml:space="preserve"> ADDIN EN.CITE </w:instrText>
      </w:r>
      <w:r w:rsidR="00AC2BE6">
        <w:rPr>
          <w:sz w:val="2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sz w:val="24"/>
        </w:rPr>
        <w:instrText xml:space="preserve"> ADDIN EN.CITE.DATA </w:instrText>
      </w:r>
      <w:r w:rsidR="00AC2BE6">
        <w:rPr>
          <w:sz w:val="24"/>
        </w:rPr>
      </w:r>
      <w:r w:rsidR="00AC2BE6">
        <w:rPr>
          <w:sz w:val="24"/>
        </w:rPr>
        <w:fldChar w:fldCharType="end"/>
      </w:r>
      <w:r w:rsidR="00EF58AB" w:rsidRPr="00000849">
        <w:rPr>
          <w:sz w:val="24"/>
        </w:rPr>
      </w:r>
      <w:r w:rsidR="00EF58AB" w:rsidRPr="00000849">
        <w:rPr>
          <w:sz w:val="24"/>
        </w:rPr>
        <w:fldChar w:fldCharType="separate"/>
      </w:r>
      <w:r w:rsidR="001740AB" w:rsidRPr="00000849">
        <w:rPr>
          <w:noProof/>
          <w:sz w:val="24"/>
        </w:rPr>
        <w:t>(Raji et al., 2017)</w:t>
      </w:r>
      <w:r w:rsidR="00EF58AB" w:rsidRPr="00000849">
        <w:rPr>
          <w:sz w:val="24"/>
        </w:rPr>
        <w:fldChar w:fldCharType="end"/>
      </w:r>
      <w:r w:rsidR="00EF58AB" w:rsidRPr="00000849">
        <w:rPr>
          <w:sz w:val="24"/>
        </w:rPr>
        <w:t xml:space="preserve"> or South Africa </w:t>
      </w:r>
      <w:r w:rsidR="00EF58AB" w:rsidRPr="00000849">
        <w:rPr>
          <w:sz w:val="24"/>
        </w:rPr>
        <w:fldChar w:fldCharType="begin">
          <w:fldData xml:space="preserve">PEVuZE5vdGU+PENpdGU+PEF1dGhvcj5QZWx0emVyPC9BdXRob3I+PFllYXI+MjAxMzwvWWVhcj48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</w:fldData>
        </w:fldChar>
      </w:r>
      <w:r w:rsidR="00AC2BE6">
        <w:rPr>
          <w:sz w:val="24"/>
        </w:rPr>
        <w:instrText xml:space="preserve"> ADDIN EN.CITE </w:instrText>
      </w:r>
      <w:r w:rsidR="00AC2BE6">
        <w:rPr>
          <w:sz w:val="24"/>
        </w:rPr>
        <w:fldChar w:fldCharType="begin">
          <w:fldData xml:space="preserve">PEVuZE5vdGU+PENpdGU+PEF1dGhvcj5QZWx0emVyPC9BdXRob3I+PFllYXI+MjAxMzwvWWVhcj48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</w:fldData>
        </w:fldChar>
      </w:r>
      <w:r w:rsidR="00AC2BE6">
        <w:rPr>
          <w:sz w:val="24"/>
        </w:rPr>
        <w:instrText xml:space="preserve"> ADDIN EN.CITE.DATA </w:instrText>
      </w:r>
      <w:r w:rsidR="00AC2BE6">
        <w:rPr>
          <w:sz w:val="24"/>
        </w:rPr>
      </w:r>
      <w:r w:rsidR="00AC2BE6">
        <w:rPr>
          <w:sz w:val="24"/>
        </w:rPr>
        <w:fldChar w:fldCharType="end"/>
      </w:r>
      <w:r w:rsidR="00EF58AB" w:rsidRPr="00000849">
        <w:rPr>
          <w:sz w:val="24"/>
        </w:rPr>
      </w:r>
      <w:r w:rsidR="00EF58AB" w:rsidRPr="00000849">
        <w:rPr>
          <w:sz w:val="24"/>
        </w:rPr>
        <w:fldChar w:fldCharType="separate"/>
      </w:r>
      <w:r w:rsidR="00D363A0">
        <w:rPr>
          <w:noProof/>
          <w:sz w:val="24"/>
        </w:rPr>
        <w:t>(Peltzer &amp; Phaswana-Mafuya, 2013a; Tyrovolas et al., 2015)</w:t>
      </w:r>
      <w:r w:rsidR="00EF58AB" w:rsidRPr="00000849">
        <w:rPr>
          <w:sz w:val="24"/>
        </w:rPr>
        <w:fldChar w:fldCharType="end"/>
      </w:r>
      <w:r w:rsidR="00801BAE" w:rsidRPr="00000849">
        <w:rPr>
          <w:sz w:val="24"/>
        </w:rPr>
        <w:t xml:space="preserve"> (Appendix 3 Table </w:t>
      </w:r>
      <w:r w:rsidR="001A1C3B" w:rsidRPr="00000849">
        <w:rPr>
          <w:sz w:val="24"/>
        </w:rPr>
        <w:t>5</w:t>
      </w:r>
      <w:r w:rsidR="00801BAE" w:rsidRPr="00000849">
        <w:rPr>
          <w:sz w:val="24"/>
        </w:rPr>
        <w:t>)</w:t>
      </w:r>
      <w:r w:rsidR="00EF58AB" w:rsidRPr="00000849">
        <w:rPr>
          <w:sz w:val="24"/>
        </w:rPr>
        <w:t>.  In the SAGE study, a</w:t>
      </w:r>
      <w:r w:rsidRPr="00000849">
        <w:rPr>
          <w:sz w:val="24"/>
        </w:rPr>
        <w:t xml:space="preserve"> medical history of </w:t>
      </w:r>
      <w:r w:rsidR="00EF58AB" w:rsidRPr="00000849">
        <w:rPr>
          <w:sz w:val="24"/>
        </w:rPr>
        <w:t xml:space="preserve">stroke was strongly associated with hypertension in both Ghana and South Africa with adjusted </w:t>
      </w:r>
      <w:r w:rsidR="00466D06" w:rsidRPr="00000849">
        <w:rPr>
          <w:sz w:val="24"/>
        </w:rPr>
        <w:t>OR</w:t>
      </w:r>
      <w:r w:rsidR="00EF58AB" w:rsidRPr="00000849">
        <w:rPr>
          <w:sz w:val="24"/>
        </w:rPr>
        <w:t>s of between 3.18 and 4.48</w:t>
      </w:r>
      <w:r w:rsidR="00AA0298" w:rsidRPr="00000849">
        <w:rPr>
          <w:sz w:val="24"/>
        </w:rPr>
        <w:t>.</w:t>
      </w:r>
      <w:r w:rsidR="00EF58AB" w:rsidRPr="00000849">
        <w:rPr>
          <w:sz w:val="24"/>
        </w:rPr>
        <w:t xml:space="preserve">  </w:t>
      </w:r>
    </w:p>
    <w:p w14:paraId="278F71CA" w14:textId="03288F60" w:rsidR="00983776" w:rsidRPr="00000849" w:rsidRDefault="00683DE5" w:rsidP="00683DE5">
      <w:pPr>
        <w:spacing w:line="480" w:lineRule="auto"/>
        <w:ind w:firstLine="567"/>
        <w:jc w:val="both"/>
        <w:rPr>
          <w:sz w:val="24"/>
        </w:rPr>
      </w:pPr>
      <w:r w:rsidRPr="00000849">
        <w:rPr>
          <w:sz w:val="24"/>
        </w:rPr>
        <w:t>Activity limitation</w:t>
      </w:r>
      <w:r w:rsidR="00983776" w:rsidRPr="00000849">
        <w:rPr>
          <w:sz w:val="24"/>
        </w:rPr>
        <w:t xml:space="preserve">, dependency, or disability was significantly associated with hypertension in Tunisia </w:t>
      </w:r>
      <w:r w:rsidR="00983776" w:rsidRPr="00000849">
        <w:rPr>
          <w:sz w:val="24"/>
        </w:rPr>
        <w:fldChar w:fldCharType="begin">
          <w:fldData xml:space="preserve">PEVuZE5vdGU+PENpdGU+PEF1dGhvcj5IYW1tYW1pPC9BdXRob3I+PFllYXI+MjAxMTwvWWVhcj48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</w:fldData>
        </w:fldChar>
      </w:r>
      <w:r w:rsidR="00AC2BE6">
        <w:rPr>
          <w:sz w:val="24"/>
        </w:rPr>
        <w:instrText xml:space="preserve"> ADDIN EN.CITE </w:instrText>
      </w:r>
      <w:r w:rsidR="00AC2BE6">
        <w:rPr>
          <w:sz w:val="24"/>
        </w:rPr>
        <w:fldChar w:fldCharType="begin">
          <w:fldData xml:space="preserve">PEVuZE5vdGU+PENpdGU+PEF1dGhvcj5IYW1tYW1pPC9BdXRob3I+PFllYXI+MjAxMTwvWWVhcj48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</w:fldData>
        </w:fldChar>
      </w:r>
      <w:r w:rsidR="00AC2BE6">
        <w:rPr>
          <w:sz w:val="24"/>
        </w:rPr>
        <w:instrText xml:space="preserve"> ADDIN EN.CITE.DATA </w:instrText>
      </w:r>
      <w:r w:rsidR="00AC2BE6">
        <w:rPr>
          <w:sz w:val="24"/>
        </w:rPr>
      </w:r>
      <w:r w:rsidR="00AC2BE6">
        <w:rPr>
          <w:sz w:val="24"/>
        </w:rPr>
        <w:fldChar w:fldCharType="end"/>
      </w:r>
      <w:r w:rsidR="00983776" w:rsidRPr="00000849">
        <w:rPr>
          <w:sz w:val="24"/>
        </w:rPr>
      </w:r>
      <w:r w:rsidR="00983776" w:rsidRPr="00000849">
        <w:rPr>
          <w:sz w:val="24"/>
        </w:rPr>
        <w:fldChar w:fldCharType="separate"/>
      </w:r>
      <w:r w:rsidR="00000849" w:rsidRPr="00000849">
        <w:rPr>
          <w:noProof/>
          <w:sz w:val="24"/>
        </w:rPr>
        <w:t>(Hammami et al., 2011)</w:t>
      </w:r>
      <w:r w:rsidR="00983776" w:rsidRPr="00000849">
        <w:rPr>
          <w:sz w:val="24"/>
        </w:rPr>
        <w:fldChar w:fldCharType="end"/>
      </w:r>
      <w:r w:rsidR="00983776" w:rsidRPr="00000849">
        <w:rPr>
          <w:sz w:val="24"/>
        </w:rPr>
        <w:t xml:space="preserve"> but not in South Africa </w:t>
      </w:r>
      <w:r w:rsidR="00983776" w:rsidRPr="00000849">
        <w:rPr>
          <w:sz w:val="24"/>
        </w:rPr>
        <w:fldChar w:fldCharType="begin"/>
      </w:r>
      <w:r w:rsidR="00AC2BE6">
        <w:rPr>
          <w:sz w:val="24"/>
        </w:rPr>
        <w:instrText xml:space="preserve"> ADDIN EN.CITE &lt;EndNote&gt;&lt;Cite&gt;&lt;Author&gt;Peltzer&lt;/Author&gt;&lt;Year&gt;2013&lt;/Year&gt;&lt;RecNum&gt;869&lt;/RecNum&gt;&lt;DisplayText&gt;(Peltzer &amp;amp; Phaswana-Mafuya, 2013a)&lt;/DisplayText&gt;&lt;record&gt;&lt;rec-number&gt;869&lt;/rec-number&gt;&lt;foreign-keys&gt;&lt;key app="EN" db-id="29t2ptva8t9xtgex0z2vepsadpwpfxd9a2zv" timestamp="1615774562"&gt;869&lt;/key&gt;&lt;/foreign-keys&gt;&lt;ref-type name="Journal Article"&gt;17&lt;/ref-type&gt;&lt;contributors&gt;&lt;authors&gt;&lt;author&gt;Peltzer, K.&lt;/author&gt;&lt;author&gt;Phaswana-Mafuya, N.&lt;/author&gt;&lt;/authors&gt;&lt;/contributors&gt;&lt;auth-address&gt;HIV/AIDS/SIT and TB (HAST), Human Sciences Research Council, Pretoria, South Africa&lt;/auth-address&gt;&lt;titles&gt;&lt;title&gt;Hypertension and associated factors in older adults in South Africa&lt;/title&gt;&lt;secondary-title&gt;Cardiovascular Journal of Africa&lt;/secondary-title&gt;&lt;/titles&gt;&lt;periodical&gt;&lt;full-title&gt;Cardiovascular Journal of Africa&lt;/full-title&gt;&lt;abbr-1&gt;Cardiovasc J Afr&lt;/abbr-1&gt;&lt;/periodical&gt;&lt;pages&gt;66-71&lt;/pages&gt;&lt;volume&gt;24&lt;/volume&gt;&lt;number&gt;3&lt;/number&gt;&lt;keywords&gt;&lt;keyword&gt;adult&lt;/keyword&gt;&lt;keyword&gt;aged&lt;/keyword&gt;&lt;keyword&gt;anthropometry&lt;/keyword&gt;&lt;keyword&gt;article&lt;/keyword&gt;&lt;keyword&gt;blood pressure measurement&lt;/keyword&gt;&lt;keyword&gt;female&lt;/keyword&gt;&lt;keyword&gt;human&lt;/keyword&gt;&lt;keyword&gt;*hypertension/ep [Epidemiology]&lt;/keyword&gt;&lt;keyword&gt;major clinical study&lt;/keyword&gt;&lt;keyword&gt;male&lt;/keyword&gt;&lt;keyword&gt;outpatient care&lt;/keyword&gt;&lt;keyword&gt;prevalence&lt;/keyword&gt;&lt;keyword&gt;questionnaire&lt;/keyword&gt;&lt;keyword&gt;*senescence&lt;/keyword&gt;&lt;keyword&gt;*South Africa&lt;/keyword&gt;&lt;/keywords&gt;&lt;dates&gt;&lt;year&gt;2013&lt;/year&gt;&lt;/dates&gt;&lt;pub-location&gt;South Africa&lt;/pub-location&gt;&lt;publisher&gt;Clinics Cardive Publishing (PTY)Ltd (PO Box 1013, Durbanville 7551, South Africa)&lt;/publisher&gt;&lt;isbn&gt;1995-1892&lt;/isbn&gt;&lt;urls&gt;&lt;related-urls&gt;&lt;url&gt;http://search.sabinet.co.za/WebZ/images/ejour/cardio1/cardio1_v24_n3_a5.pdf?sessionid=01-35585-666414646&amp;amp;format=F&lt;/url&gt;&lt;url&gt;http://ovidsp.ovid.com/ovidweb.cgi?T=JS&amp;amp;PAGE=reference&amp;amp;D=emed15&amp;amp;NEWS=N&amp;amp;AN=368996853&lt;/url&gt;&lt;/related-urls&gt;&lt;/urls&gt;&lt;electronic-resource-num&gt;10.5830/cvja-2013-002&lt;/electronic-resource-num&gt;&lt;/record&gt;&lt;/Cite&gt;&lt;/EndNote&gt;</w:instrText>
      </w:r>
      <w:r w:rsidR="00983776" w:rsidRPr="00000849">
        <w:rPr>
          <w:sz w:val="24"/>
        </w:rPr>
        <w:fldChar w:fldCharType="separate"/>
      </w:r>
      <w:r w:rsidR="00D363A0">
        <w:rPr>
          <w:noProof/>
          <w:sz w:val="24"/>
        </w:rPr>
        <w:t>(Peltzer &amp; Phaswana-Mafuya, 2013a)</w:t>
      </w:r>
      <w:r w:rsidR="00983776" w:rsidRPr="00000849">
        <w:rPr>
          <w:sz w:val="24"/>
        </w:rPr>
        <w:fldChar w:fldCharType="end"/>
      </w:r>
      <w:r w:rsidR="00983776" w:rsidRPr="00000849">
        <w:rPr>
          <w:sz w:val="24"/>
        </w:rPr>
        <w:t xml:space="preserve"> or Tanzania </w:t>
      </w:r>
      <w:r w:rsidR="00983776" w:rsidRPr="00000849">
        <w:rPr>
          <w:sz w:val="24"/>
        </w:rPr>
        <w:fldChar w:fldCharType="begin"/>
      </w:r>
      <w:r w:rsidR="001740AB" w:rsidRPr="00000849">
        <w:rPr>
          <w:sz w:val="24"/>
        </w:rPr>
        <w:instrText xml:space="preserve"> ADDIN EN.CITE &lt;EndNote&gt;&lt;Cite&gt;&lt;Author&gt;Dewhurst&lt;/Author&gt;&lt;Year&gt;2013&lt;/Year&gt;&lt;RecNum&gt;56&lt;/RecNum&gt;&lt;DisplayText&gt;(Dewhurst et al., 2013)&lt;/DisplayText&gt;&lt;record&gt;&lt;rec-number&gt;56&lt;/rec-number&gt;&lt;foreign-keys&gt;&lt;key app="EN" db-id="pzfw02x58peadyevdp8vswt40etp25t5ddp0" timestamp="1533820182"&gt;56&lt;/key&gt;&lt;/foreign-keys&gt;&lt;ref-type name="Journal Article"&gt;17&lt;/ref-type&gt;&lt;contributors&gt;&lt;authors&gt;&lt;author&gt;Dewhurst, M. J.&lt;/author&gt;&lt;author&gt;Dewhurst, F.&lt;/author&gt;&lt;author&gt;Gray, W. K.&lt;/author&gt;&lt;author&gt;Chaote, P.&lt;/author&gt;&lt;author&gt;Orega, G. P.&lt;/author&gt;&lt;author&gt;Walker, R. W.&lt;/author&gt;&lt;/authors&gt;&lt;/contributors&gt;&lt;titles&gt;&lt;title&gt;The high prevalence of hypertension in rural-dwelling Tanzanian older adults and the disparity between detection, treatment and control: a rule of sixths?&lt;/title&gt;&lt;secondary-title&gt;Journal of Human Hypertension&lt;/secondary-title&gt;&lt;/titles&gt;&lt;periodical&gt;&lt;full-title&gt;Journal of Human Hypertension&lt;/full-title&gt;&lt;abbr-1&gt;J Hum Hypertens&lt;/abbr-1&gt;&lt;/periodical&gt;&lt;pages&gt;374-380&lt;/pages&gt;&lt;volume&gt;27&lt;/volume&gt;&lt;number&gt;6&lt;/number&gt;&lt;keywords&gt;&lt;keyword&gt;HYPERTENSION&lt;/keyword&gt;&lt;keyword&gt;DISEASE prevalence&lt;/keyword&gt;&lt;keyword&gt;DISEASES in older people&lt;/keyword&gt;&lt;keyword&gt;RURAL geography&lt;/keyword&gt;&lt;keyword&gt;TREATMENT of blood circulation disorders&lt;/keyword&gt;&lt;keyword&gt;BLOOD circulation disorders&lt;/keyword&gt;&lt;keyword&gt;DIAGNOSIS&lt;/keyword&gt;&lt;keyword&gt;TANZANIA&lt;/keyword&gt;&lt;/keywords&gt;&lt;dates&gt;&lt;year&gt;2013&lt;/year&gt;&lt;/dates&gt;&lt;publisher&gt;Nature Publishing Group&lt;/publisher&gt;&lt;isbn&gt;09509240&lt;/isbn&gt;&lt;accession-num&gt;87484904&lt;/accession-num&gt;&lt;work-type&gt;Article&lt;/work-type&gt;&lt;urls&gt;&lt;related-urls&gt;&lt;url&gt;http://search.ebscohost.com/login.aspx?direct=true&amp;amp;db=asn&amp;amp;AN=87484904&amp;amp;site=ehost-live&amp;amp;authtype=ip,shib&amp;amp;user=s1523151&lt;/url&gt;&lt;/related-urls&gt;&lt;/urls&gt;&lt;electronic-resource-num&gt;10.1038/jhh.2012.59&lt;/electronic-resource-num&gt;&lt;remote-database-name&gt;asn&lt;/remote-database-name&gt;&lt;remote-database-provider&gt;EBSCOhost&lt;/remote-database-provider&gt;&lt;/record&gt;&lt;/Cite&gt;&lt;/EndNote&gt;</w:instrText>
      </w:r>
      <w:r w:rsidR="00983776" w:rsidRPr="00000849">
        <w:rPr>
          <w:sz w:val="24"/>
        </w:rPr>
        <w:fldChar w:fldCharType="separate"/>
      </w:r>
      <w:r w:rsidR="001740AB" w:rsidRPr="00000849">
        <w:rPr>
          <w:noProof/>
          <w:sz w:val="24"/>
        </w:rPr>
        <w:t>(Dewhurst et al., 2013)</w:t>
      </w:r>
      <w:r w:rsidR="00983776" w:rsidRPr="00000849">
        <w:rPr>
          <w:sz w:val="24"/>
        </w:rPr>
        <w:fldChar w:fldCharType="end"/>
      </w:r>
      <w:r w:rsidR="00983776" w:rsidRPr="00000849">
        <w:rPr>
          <w:sz w:val="24"/>
        </w:rPr>
        <w:t xml:space="preserve">.  </w:t>
      </w:r>
    </w:p>
    <w:p w14:paraId="2990D8D9" w14:textId="05304FED" w:rsidR="00883650" w:rsidRPr="00000849" w:rsidRDefault="00883650" w:rsidP="005810A6">
      <w:pPr>
        <w:pStyle w:val="NormalWeb"/>
        <w:shd w:val="clear" w:color="auto" w:fill="FFFFFF"/>
        <w:spacing w:before="0" w:beforeAutospacing="0" w:after="165" w:afterAutospacing="0" w:line="480" w:lineRule="auto"/>
        <w:rPr>
          <w:rFonts w:asciiTheme="minorHAnsi" w:hAnsiTheme="minorHAnsi" w:cstheme="minorHAnsi"/>
          <w:color w:val="383838"/>
        </w:rPr>
      </w:pPr>
    </w:p>
    <w:p w14:paraId="50E9C865" w14:textId="513AE9EB" w:rsidR="00F5265E" w:rsidRPr="00000849" w:rsidRDefault="0060305F" w:rsidP="00000849">
      <w:pPr>
        <w:pStyle w:val="Heading2"/>
        <w:keepNext w:val="0"/>
        <w:keepLines w:val="0"/>
      </w:pPr>
      <w:bookmarkStart w:id="56" w:name="_Toc51472101"/>
      <w:r w:rsidRPr="00000849">
        <w:t>2</w:t>
      </w:r>
      <w:r w:rsidR="00F5265E" w:rsidRPr="00000849">
        <w:t>.</w:t>
      </w:r>
      <w:r w:rsidRPr="00000849">
        <w:t>3</w:t>
      </w:r>
      <w:r w:rsidR="00F5265E" w:rsidRPr="00000849">
        <w:tab/>
        <w:t>Chapter summary</w:t>
      </w:r>
      <w:bookmarkEnd w:id="56"/>
      <w:r w:rsidR="00F5265E" w:rsidRPr="00000849">
        <w:t xml:space="preserve"> </w:t>
      </w:r>
    </w:p>
    <w:p w14:paraId="2976E2DC" w14:textId="77777777" w:rsidR="00F5265E" w:rsidRPr="00000849" w:rsidRDefault="00F5265E" w:rsidP="00000849">
      <w:pPr>
        <w:pStyle w:val="NormalWeb"/>
        <w:shd w:val="clear" w:color="auto" w:fill="FFFFFF"/>
        <w:spacing w:before="0" w:beforeAutospacing="0" w:after="165" w:afterAutospacing="0" w:line="480" w:lineRule="auto"/>
        <w:jc w:val="both"/>
        <w:rPr>
          <w:rFonts w:asciiTheme="minorHAnsi" w:hAnsiTheme="minorHAnsi" w:cstheme="minorHAnsi"/>
          <w:color w:val="383838"/>
          <w:sz w:val="28"/>
        </w:rPr>
      </w:pPr>
    </w:p>
    <w:p w14:paraId="68AADB24" w14:textId="67F99B0A" w:rsidR="00983776" w:rsidRPr="00000849" w:rsidRDefault="00743686" w:rsidP="00000849">
      <w:pPr>
        <w:spacing w:line="480" w:lineRule="auto"/>
        <w:jc w:val="both"/>
        <w:rPr>
          <w:sz w:val="24"/>
        </w:rPr>
      </w:pPr>
      <w:r w:rsidRPr="00000849">
        <w:rPr>
          <w:sz w:val="24"/>
        </w:rPr>
        <w:t xml:space="preserve">The chapter examined the first reported systematic reviews of studies conducted exclusively among older adults in Africa on the prevalence of hypertension or its determinants.  </w:t>
      </w:r>
      <w:r w:rsidR="00140625" w:rsidRPr="00000849">
        <w:rPr>
          <w:sz w:val="24"/>
        </w:rPr>
        <w:t>The meta-analysis showed a high prevalence of hypertension</w:t>
      </w:r>
      <w:r w:rsidR="00B66345" w:rsidRPr="00000849">
        <w:rPr>
          <w:sz w:val="24"/>
        </w:rPr>
        <w:t xml:space="preserve"> (57.2%)</w:t>
      </w:r>
      <w:r w:rsidR="00140625" w:rsidRPr="00000849">
        <w:rPr>
          <w:sz w:val="24"/>
        </w:rPr>
        <w:t xml:space="preserve"> in older adults</w:t>
      </w:r>
      <w:r w:rsidR="00BF204A" w:rsidRPr="00000849">
        <w:rPr>
          <w:sz w:val="24"/>
        </w:rPr>
        <w:t xml:space="preserve"> in Africa</w:t>
      </w:r>
      <w:r w:rsidR="00140625" w:rsidRPr="00000849">
        <w:rPr>
          <w:sz w:val="24"/>
        </w:rPr>
        <w:t>.  There was evidence of an increasing prevalence over time</w:t>
      </w:r>
      <w:r w:rsidR="00801BAE" w:rsidRPr="00000849">
        <w:rPr>
          <w:sz w:val="24"/>
        </w:rPr>
        <w:t xml:space="preserve"> and of a dose-response gradient in variables such as residence, wealth quintiles and BMI status</w:t>
      </w:r>
      <w:r w:rsidR="00140625" w:rsidRPr="00000849">
        <w:rPr>
          <w:sz w:val="24"/>
        </w:rPr>
        <w:t xml:space="preserve">.  </w:t>
      </w:r>
      <w:r w:rsidR="00C114DC" w:rsidRPr="00000849">
        <w:rPr>
          <w:sz w:val="24"/>
        </w:rPr>
        <w:t>The differences by sex</w:t>
      </w:r>
      <w:r w:rsidR="00AA0298" w:rsidRPr="00000849">
        <w:rPr>
          <w:sz w:val="24"/>
        </w:rPr>
        <w:t xml:space="preserve"> or </w:t>
      </w:r>
      <w:r w:rsidR="00C114DC" w:rsidRPr="00000849">
        <w:rPr>
          <w:sz w:val="24"/>
        </w:rPr>
        <w:t xml:space="preserve">residence were not statistically significant.  </w:t>
      </w:r>
      <w:r w:rsidR="00C114DC" w:rsidRPr="00000849">
        <w:rPr>
          <w:sz w:val="24"/>
        </w:rPr>
        <w:lastRenderedPageBreak/>
        <w:t xml:space="preserve">There was substantial heterogeneity in the studies which was partly explained by the proportion of obesity in the subjects in the different studies. </w:t>
      </w:r>
      <w:r w:rsidR="00801BAE" w:rsidRPr="00000849">
        <w:rPr>
          <w:sz w:val="24"/>
        </w:rPr>
        <w:t xml:space="preserve"> </w:t>
      </w:r>
    </w:p>
    <w:p w14:paraId="2B7FE284" w14:textId="1621194C" w:rsidR="00C336EC" w:rsidRPr="00000849" w:rsidRDefault="00C114DC" w:rsidP="00C114DC">
      <w:pPr>
        <w:spacing w:line="480" w:lineRule="auto"/>
        <w:ind w:firstLine="567"/>
        <w:jc w:val="both"/>
        <w:rPr>
          <w:sz w:val="24"/>
        </w:rPr>
      </w:pPr>
      <w:r w:rsidRPr="00000849">
        <w:rPr>
          <w:sz w:val="24"/>
        </w:rPr>
        <w:t xml:space="preserve">In the narrative synthesis, </w:t>
      </w:r>
      <w:r w:rsidR="00734AD8" w:rsidRPr="00000849">
        <w:rPr>
          <w:sz w:val="24"/>
        </w:rPr>
        <w:t xml:space="preserve">overweight/obesity and history of stroke were the most consistent and strongest risk factors independently associated with hypertension.  The demographic factors, female sex, older age and urban residence were frequent determinants.  Socio-economic (education, wealth quintiles), lifestyle factors (alcohol, tobacco, fruit and vegetable intake, physical activity) and other comorbidity factors (diabetes) were inconsistent determinants.  </w:t>
      </w:r>
      <w:r w:rsidR="00264022" w:rsidRPr="00000849">
        <w:rPr>
          <w:sz w:val="24"/>
        </w:rPr>
        <w:t>Variables such as marital status</w:t>
      </w:r>
      <w:r w:rsidR="000D537A" w:rsidRPr="00000849">
        <w:rPr>
          <w:sz w:val="24"/>
        </w:rPr>
        <w:t xml:space="preserve"> </w:t>
      </w:r>
      <w:r w:rsidR="00264022" w:rsidRPr="00000849">
        <w:rPr>
          <w:sz w:val="24"/>
        </w:rPr>
        <w:t>and blood cholesterol were generally not significantly associated with hypertension.</w:t>
      </w:r>
    </w:p>
    <w:p w14:paraId="6EF77F11" w14:textId="68395F74" w:rsidR="00264022" w:rsidRPr="00000849" w:rsidRDefault="00264022" w:rsidP="00C114DC">
      <w:pPr>
        <w:spacing w:line="480" w:lineRule="auto"/>
        <w:ind w:firstLine="567"/>
        <w:jc w:val="both"/>
        <w:rPr>
          <w:sz w:val="24"/>
        </w:rPr>
      </w:pPr>
      <w:r w:rsidRPr="00000849">
        <w:rPr>
          <w:sz w:val="24"/>
        </w:rPr>
        <w:t xml:space="preserve">In the multi-country SAGE study, the determinants of hypertension frequently differed between Ghana and South Africa.  In the latter, most of the variables were found not be significantly associated with hypertension.  This may be because of the comparison sub-groups </w:t>
      </w:r>
      <w:r w:rsidR="00B66345" w:rsidRPr="00000849">
        <w:rPr>
          <w:sz w:val="24"/>
        </w:rPr>
        <w:t xml:space="preserve">in South Africa were more similar to each other than those </w:t>
      </w:r>
      <w:r w:rsidR="000D537A" w:rsidRPr="00000849">
        <w:rPr>
          <w:sz w:val="24"/>
        </w:rPr>
        <w:t>in Ghana.</w:t>
      </w:r>
    </w:p>
    <w:p w14:paraId="2E87D6E8" w14:textId="66ACADFB" w:rsidR="00D369E5" w:rsidRPr="00000849" w:rsidRDefault="00827F04" w:rsidP="00827F04">
      <w:pPr>
        <w:spacing w:line="480" w:lineRule="auto"/>
        <w:ind w:firstLine="567"/>
        <w:jc w:val="both"/>
        <w:rPr>
          <w:sz w:val="24"/>
        </w:rPr>
      </w:pPr>
      <w:r w:rsidRPr="00000849">
        <w:rPr>
          <w:sz w:val="24"/>
        </w:rPr>
        <w:t xml:space="preserve">Four studies from Ghana were included in the meta-analysis </w:t>
      </w:r>
      <w:r w:rsidR="00B66345" w:rsidRPr="00000849">
        <w:rPr>
          <w:sz w:val="24"/>
        </w:rPr>
        <w:t xml:space="preserve">with a </w:t>
      </w:r>
      <w:r w:rsidRPr="00000849">
        <w:rPr>
          <w:sz w:val="24"/>
        </w:rPr>
        <w:t xml:space="preserve">pooled prevalence of hypertension </w:t>
      </w:r>
      <w:r w:rsidR="00B66345" w:rsidRPr="00000849">
        <w:rPr>
          <w:sz w:val="24"/>
        </w:rPr>
        <w:t>of</w:t>
      </w:r>
      <w:r w:rsidRPr="00000849">
        <w:rPr>
          <w:sz w:val="24"/>
        </w:rPr>
        <w:t xml:space="preserve"> 44.0%.  The meta-analysis</w:t>
      </w:r>
      <w:r w:rsidR="00B66345" w:rsidRPr="00000849">
        <w:rPr>
          <w:sz w:val="24"/>
        </w:rPr>
        <w:t>,</w:t>
      </w:r>
      <w:r w:rsidRPr="00000849">
        <w:rPr>
          <w:sz w:val="24"/>
        </w:rPr>
        <w:t xml:space="preserve"> </w:t>
      </w:r>
      <w:r w:rsidR="00B66345" w:rsidRPr="00000849">
        <w:rPr>
          <w:sz w:val="24"/>
        </w:rPr>
        <w:t xml:space="preserve">thus, </w:t>
      </w:r>
      <w:r w:rsidRPr="00000849">
        <w:rPr>
          <w:sz w:val="24"/>
        </w:rPr>
        <w:t xml:space="preserve">revealed the </w:t>
      </w:r>
      <w:r w:rsidR="003371D9" w:rsidRPr="00000849">
        <w:rPr>
          <w:sz w:val="24"/>
        </w:rPr>
        <w:t xml:space="preserve">absence </w:t>
      </w:r>
      <w:r w:rsidRPr="00000849">
        <w:rPr>
          <w:sz w:val="24"/>
        </w:rPr>
        <w:t xml:space="preserve">of studies on hypertension in older adults in Ghana and in Africa as a whole.  </w:t>
      </w:r>
      <w:r w:rsidR="00D369E5" w:rsidRPr="00000849">
        <w:rPr>
          <w:sz w:val="24"/>
        </w:rPr>
        <w:t>L</w:t>
      </w:r>
      <w:r w:rsidR="00801BAE" w:rsidRPr="00000849">
        <w:rPr>
          <w:sz w:val="24"/>
        </w:rPr>
        <w:t>ongitudinal studies on hypertension and its determinants in older adults in Africa</w:t>
      </w:r>
      <w:r w:rsidRPr="00000849">
        <w:rPr>
          <w:sz w:val="24"/>
        </w:rPr>
        <w:t xml:space="preserve"> were particularly lacking</w:t>
      </w:r>
      <w:r w:rsidR="00801BAE" w:rsidRPr="00000849">
        <w:rPr>
          <w:sz w:val="24"/>
        </w:rPr>
        <w:t xml:space="preserve">.  </w:t>
      </w:r>
    </w:p>
    <w:p w14:paraId="7E3E5ACD" w14:textId="4772BC40" w:rsidR="00801BAE" w:rsidRPr="00000849" w:rsidRDefault="00801BAE" w:rsidP="00827F04">
      <w:pPr>
        <w:spacing w:line="480" w:lineRule="auto"/>
        <w:ind w:firstLine="567"/>
        <w:jc w:val="both"/>
        <w:rPr>
          <w:sz w:val="24"/>
        </w:rPr>
      </w:pPr>
      <w:r w:rsidRPr="00000849">
        <w:rPr>
          <w:sz w:val="24"/>
        </w:rPr>
        <w:t xml:space="preserve">Only a few selected variables were typically included in statistical models to explore the determinants of hypertension in this age group.  </w:t>
      </w:r>
      <w:r w:rsidR="0017696E" w:rsidRPr="00000849">
        <w:rPr>
          <w:sz w:val="24"/>
        </w:rPr>
        <w:t>Lifestyle and comorbid</w:t>
      </w:r>
      <w:r w:rsidR="005F7F29" w:rsidRPr="00000849">
        <w:rPr>
          <w:sz w:val="24"/>
        </w:rPr>
        <w:t>ity</w:t>
      </w:r>
      <w:r w:rsidR="0017696E" w:rsidRPr="00000849">
        <w:rPr>
          <w:sz w:val="24"/>
        </w:rPr>
        <w:t xml:space="preserve"> </w:t>
      </w:r>
      <w:r w:rsidR="0017696E" w:rsidRPr="00000849">
        <w:rPr>
          <w:sz w:val="24"/>
        </w:rPr>
        <w:lastRenderedPageBreak/>
        <w:t xml:space="preserve">determinants were often lacking in models.  </w:t>
      </w:r>
      <w:r w:rsidRPr="00000849">
        <w:rPr>
          <w:sz w:val="24"/>
        </w:rPr>
        <w:t>The</w:t>
      </w:r>
      <w:r w:rsidR="00BF204A" w:rsidRPr="00000849">
        <w:rPr>
          <w:sz w:val="24"/>
        </w:rPr>
        <w:t>re was inconsistency between studies in the</w:t>
      </w:r>
      <w:r w:rsidRPr="00000849">
        <w:rPr>
          <w:sz w:val="24"/>
        </w:rPr>
        <w:t xml:space="preserve"> </w:t>
      </w:r>
      <w:r w:rsidR="0017696E" w:rsidRPr="00000849">
        <w:rPr>
          <w:sz w:val="24"/>
        </w:rPr>
        <w:t>definitions of certain lifestyle variables such as alcohol use and physical activity.</w:t>
      </w:r>
      <w:r w:rsidR="001F5289" w:rsidRPr="00000849">
        <w:rPr>
          <w:sz w:val="24"/>
        </w:rPr>
        <w:t xml:space="preserve">  As most of the studies were cross-sectional, it was difficult to establish the temporal sequence between the determinants and hypertension.  Longitudinal studies </w:t>
      </w:r>
      <w:r w:rsidR="00E02335" w:rsidRPr="00000849">
        <w:rPr>
          <w:sz w:val="24"/>
        </w:rPr>
        <w:t>could</w:t>
      </w:r>
      <w:r w:rsidR="001F5289" w:rsidRPr="00000849">
        <w:rPr>
          <w:sz w:val="24"/>
        </w:rPr>
        <w:t xml:space="preserve"> address</w:t>
      </w:r>
      <w:r w:rsidR="00E02335" w:rsidRPr="00000849">
        <w:rPr>
          <w:sz w:val="24"/>
        </w:rPr>
        <w:t xml:space="preserve"> this</w:t>
      </w:r>
      <w:r w:rsidR="001F5289" w:rsidRPr="00000849">
        <w:rPr>
          <w:sz w:val="24"/>
        </w:rPr>
        <w:t xml:space="preserve"> challenge of temporality.</w:t>
      </w:r>
    </w:p>
    <w:p w14:paraId="76D741D8" w14:textId="77777777" w:rsidR="00BF204A" w:rsidRPr="00000849" w:rsidRDefault="00BF204A" w:rsidP="00C114DC">
      <w:pPr>
        <w:spacing w:line="480" w:lineRule="auto"/>
        <w:ind w:firstLine="567"/>
        <w:jc w:val="both"/>
        <w:rPr>
          <w:sz w:val="24"/>
        </w:rPr>
      </w:pPr>
    </w:p>
    <w:p w14:paraId="431EB476" w14:textId="77777777" w:rsidR="005614DC" w:rsidRPr="00000849" w:rsidRDefault="005614DC" w:rsidP="005614DC"/>
    <w:p w14:paraId="2076C9EE" w14:textId="77777777" w:rsidR="005614DC" w:rsidRPr="00000849" w:rsidRDefault="005614DC">
      <w:pPr>
        <w:pStyle w:val="Heading1"/>
        <w:sectPr w:rsidR="005614DC" w:rsidRPr="00000849" w:rsidSect="00085546">
          <w:pgSz w:w="11906" w:h="16838"/>
          <w:pgMar w:top="1440" w:right="1440" w:bottom="1440" w:left="2155" w:header="708" w:footer="708" w:gutter="0"/>
          <w:cols w:space="708"/>
          <w:docGrid w:linePitch="360"/>
        </w:sectPr>
      </w:pPr>
    </w:p>
    <w:p w14:paraId="58CE2371" w14:textId="20E8B0C1" w:rsidR="00D92056" w:rsidRPr="00000849" w:rsidRDefault="00D92056">
      <w:pPr>
        <w:pStyle w:val="Heading1"/>
      </w:pPr>
      <w:bookmarkStart w:id="57" w:name="_Toc51472102"/>
      <w:r w:rsidRPr="00000849">
        <w:lastRenderedPageBreak/>
        <w:t>Chapter 3: Theoretical framework</w:t>
      </w:r>
      <w:bookmarkEnd w:id="57"/>
      <w:r w:rsidRPr="00000849">
        <w:t xml:space="preserve"> </w:t>
      </w:r>
    </w:p>
    <w:p w14:paraId="77329C6F"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6BA84E39"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This chapter outlines the epistemological stance, explores the concepts of successful ageing, critically reviews potential theoretical frameworks which could be used to analyse the determinants of hypertension and then provides a justification for the choice of the specific framework which underpins this study.  It concludes with a discussion of the conceptual framework for the study.</w:t>
      </w:r>
    </w:p>
    <w:p w14:paraId="32CDE34F"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1F961841" w14:textId="1A726384" w:rsidR="00D92056" w:rsidRPr="00000849" w:rsidRDefault="00D92056" w:rsidP="00A61BAB">
      <w:pPr>
        <w:pStyle w:val="Heading2"/>
      </w:pPr>
      <w:bookmarkStart w:id="58" w:name="_Toc51472103"/>
      <w:r w:rsidRPr="00000849">
        <w:t>3.1</w:t>
      </w:r>
      <w:r w:rsidRPr="00000849">
        <w:tab/>
        <w:t>Definitions</w:t>
      </w:r>
      <w:bookmarkEnd w:id="58"/>
    </w:p>
    <w:p w14:paraId="5C2D4530"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4FC41888" w14:textId="344E2F14"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terms, “theoretical framework” and “conceptual framework” are often confused and used interchangeably.  Theoretical framework generally applies pretested and validated theories identified a priori as a ‘blueprint’ which provides the “conceptual basis for understanding, analysing and designing ways to investigate a problem”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&lt;EndNote&gt;&lt;Cite&gt;&lt;Author&gt;Grant&lt;/Author&gt;&lt;Year&gt;2014&lt;/Year&gt;&lt;RecNum&gt;1642&lt;/RecNum&gt;&lt;DisplayText&gt;(Grant &amp;amp; Osanloo, 2014)&lt;/DisplayText&gt;&lt;record&gt;&lt;rec-number&gt;1642&lt;/rec-number&gt;&lt;foreign-keys&gt;&lt;key app="EN" db-id="9tzf2rda8re2a9es5tuxart3swzx2zws2s02" timestamp="1591932948"&gt;1642&lt;/key&gt;&lt;/foreign-keys&gt;&lt;ref-type name="Journal Article"&gt;17&lt;/ref-type&gt;&lt;contributors&gt;&lt;authors&gt;&lt;author&gt;Grant, Cynthia&lt;/author&gt;&lt;author&gt;Osanloo, Azadeh&lt;/author&gt;&lt;/authors&gt;&lt;/contributors&gt;&lt;titles&gt;&lt;title&gt;Understanding, selecting, and integrating a theoretical framework in dissertation research: Creating the blueprint for your “house”&lt;/title&gt;&lt;secondary-title&gt;Administrative Issues Journal&lt;/secondary-title&gt;&lt;/titles&gt;&lt;periodical&gt;&lt;full-title&gt;Administrative Issues Journal&lt;/full-title&gt;&lt;/periodical&gt;&lt;pages&gt;12-26&lt;/pages&gt;&lt;volume&gt;4&lt;/volume&gt;&lt;number&gt;2&lt;/number&gt;&lt;dates&gt;&lt;year&gt;2014&lt;/year&gt;&lt;/dates&gt;&lt;urls&gt;&lt;related-urls&gt;&lt;url&gt;https://dc.swosu.edu/aij/vol4/iss2/4&lt;/url&gt;&lt;/related-urls&gt;&lt;/urls&gt;&lt;electronic-resource-num&gt;10.5929/2014.4.2.9&lt;/electronic-resource-num&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(Grant &amp; Osanloo, 2014)</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In contrast, conceptual framework describes the researcher’s understanding of how the research problem will be best explored, the specific direction in conducting the research, and the relationship between the different study variables.  In line with recommended practice, both frameworks are articulated in this </w:t>
      </w:r>
      <w:r w:rsidR="00BB5472" w:rsidRPr="00000849">
        <w:t>thesis</w:t>
      </w:r>
      <w:r w:rsidR="00BB5472" w:rsidRPr="00000849">
        <w:rPr>
          <w:rFonts w:asciiTheme="minorHAnsi" w:hAnsiTheme="minorHAnsi" w:cstheme="minorHAnsi"/>
          <w:color w:val="383838"/>
        </w:rPr>
        <w:t xml:space="preserve">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&lt;EndNote&gt;&lt;Cite&gt;&lt;Author&gt;Crawford&lt;/Author&gt;&lt;Year&gt;2020&lt;/Year&gt;&lt;RecNum&gt;1644&lt;/RecNum&gt;&lt;DisplayText&gt;(Crawford, 2020)&lt;/DisplayText&gt;&lt;record&gt;&lt;rec-number&gt;1644&lt;/rec-number&gt;&lt;foreign-keys&gt;&lt;key app="EN" db-id="9tzf2rda8re2a9es5tuxart3swzx2zws2s02" timestamp="1591936453"&gt;1644&lt;/key&gt;&lt;/foreign-keys&gt;&lt;ref-type name="Book Section"&gt;5&lt;/ref-type&gt;&lt;contributors&gt;&lt;authors&gt;&lt;author&gt;Crawford, Linda M&lt;/author&gt;&lt;/authors&gt;&lt;secondary-authors&gt;&lt;author&gt;Burkholder, Gary J&lt;/author&gt;&lt;author&gt;Cox, Kimberley A&lt;/author&gt;&lt;author&gt;Crawford, Linda M&lt;/author&gt;&lt;author&gt;Hitchcock, John H&lt;/author&gt;&lt;/secondary-authors&gt;&lt;/contributors&gt;&lt;titles&gt;&lt;title&gt;Conceptual and theoretical frameworks in research&lt;/title&gt;&lt;secondary-title&gt;Research Design and Methods: An Applied Guide for the Scholar-Practitioner&lt;/secondary-title&gt;&lt;/titles&gt;&lt;pages&gt;35-48&lt;/pages&gt;&lt;section&gt;3&lt;/section&gt;&lt;dates&gt;&lt;year&gt;2020&lt;/year&gt;&lt;/dates&gt;&lt;pub-location&gt;Thousand Oaks, California, USA&lt;/pub-location&gt;&lt;publisher&gt;SAGE Publications, Incorporated&lt;/publisher&gt;&lt;isbn&gt;154434239X&lt;/isbn&gt;&lt;urls&gt;&lt;related-urls&gt;&lt;url&gt;https://us.sagepub.com/sites/default/files/upm-assets/105274_book_item_105274.pdf&lt;/url&gt;&lt;/related-urls&gt;&lt;/urls&gt;&lt;/record&gt;&lt;/Cite&gt;&lt;/EndNote&gt;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(Crawford, 2020)</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p>
    <w:p w14:paraId="30EDE7EF" w14:textId="77777777" w:rsidR="00D92056" w:rsidRPr="00000849" w:rsidRDefault="00D92056" w:rsidP="00D92056"/>
    <w:p w14:paraId="31E77D17" w14:textId="604E66E0" w:rsidR="00D92056" w:rsidRPr="00000849" w:rsidRDefault="00D92056" w:rsidP="00A61BAB">
      <w:pPr>
        <w:pStyle w:val="Heading2"/>
      </w:pPr>
      <w:bookmarkStart w:id="59" w:name="_Toc51472104"/>
      <w:r w:rsidRPr="00000849">
        <w:lastRenderedPageBreak/>
        <w:t>3.2</w:t>
      </w:r>
      <w:r w:rsidRPr="00000849">
        <w:tab/>
        <w:t>Epistemological stance</w:t>
      </w:r>
      <w:bookmarkEnd w:id="59"/>
    </w:p>
    <w:p w14:paraId="18B696DA" w14:textId="77777777" w:rsidR="00D92056" w:rsidRPr="00000849" w:rsidRDefault="00D92056" w:rsidP="00D92056">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p>
    <w:p w14:paraId="2FC5E537" w14:textId="77777777" w:rsidR="00D92056" w:rsidRPr="00000849" w:rsidRDefault="00D92056" w:rsidP="00D92056">
      <w:pPr>
        <w:pStyle w:val="NormalWeb"/>
        <w:keepNext/>
        <w:keepLines/>
        <w:shd w:val="clear" w:color="auto" w:fill="FFFFFF"/>
        <w:spacing w:before="0" w:beforeAutospacing="0" w:after="165" w:afterAutospacing="0" w:line="480" w:lineRule="auto"/>
        <w:jc w:val="both"/>
        <w:rPr>
          <w:rFonts w:asciiTheme="minorHAnsi" w:hAnsiTheme="minorHAnsi" w:cstheme="minorHAnsi"/>
        </w:rPr>
      </w:pPr>
      <w:r w:rsidRPr="00000849">
        <w:rPr>
          <w:rFonts w:asciiTheme="minorHAnsi" w:hAnsiTheme="minorHAnsi" w:cstheme="minorHAnsi"/>
        </w:rPr>
        <w:t xml:space="preserve">This study is based on an </w:t>
      </w:r>
      <w:r w:rsidRPr="00000849">
        <w:rPr>
          <w:rFonts w:asciiTheme="minorHAnsi" w:hAnsiTheme="minorHAnsi" w:cstheme="minorHAnsi"/>
          <w:color w:val="000000"/>
          <w:lang w:val="en-US"/>
        </w:rPr>
        <w:t xml:space="preserve">objectivist epistemological stance, given its perspective that the reality of the prevalence of hypertension in Ghana can objectively be measured and quantified from the two waves of the empirical studies.  Using statistical methods, the study </w:t>
      </w:r>
      <w:r w:rsidRPr="00000849">
        <w:rPr>
          <w:rFonts w:asciiTheme="minorHAnsi" w:hAnsiTheme="minorHAnsi" w:cstheme="minorHAnsi"/>
        </w:rPr>
        <w:t xml:space="preserve">tests hypotheses on the relationship between different explanatory variables of interest (such as demographic and lifestyle factors) and hypertension as an outcome.  The study methods can be replicated, </w:t>
      </w:r>
      <w:r w:rsidRPr="00000849">
        <w:rPr>
          <w:rFonts w:asciiTheme="minorHAnsi" w:hAnsiTheme="minorHAnsi" w:cstheme="minorHAnsi"/>
          <w:color w:val="000000"/>
          <w:lang w:val="en-US"/>
        </w:rPr>
        <w:t>and similar findings be obtained to make that reality and its factors evident to multiple researchers.</w:t>
      </w:r>
    </w:p>
    <w:p w14:paraId="55F73569"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07C8F376" w14:textId="7A818430" w:rsidR="00D92056" w:rsidRPr="00000849" w:rsidRDefault="00D92056" w:rsidP="00A61BAB">
      <w:pPr>
        <w:pStyle w:val="Heading2"/>
      </w:pPr>
      <w:bookmarkStart w:id="60" w:name="_Toc51472105"/>
      <w:r w:rsidRPr="00000849">
        <w:t>3.3</w:t>
      </w:r>
      <w:r w:rsidRPr="00000849">
        <w:tab/>
        <w:t>Concept of successful ageing</w:t>
      </w:r>
      <w:bookmarkEnd w:id="60"/>
    </w:p>
    <w:p w14:paraId="4330A213"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3BC69330" w14:textId="4A97BB0D" w:rsidR="00D92056" w:rsidRPr="00000849" w:rsidRDefault="00D92056" w:rsidP="00D92056">
      <w:pPr>
        <w:spacing w:line="480" w:lineRule="auto"/>
        <w:jc w:val="both"/>
        <w:rPr>
          <w:rFonts w:cstheme="minorHAnsi"/>
          <w:color w:val="383838"/>
          <w:sz w:val="24"/>
          <w:szCs w:val="24"/>
        </w:rPr>
      </w:pPr>
      <w:r w:rsidRPr="00000849">
        <w:rPr>
          <w:rFonts w:cstheme="minorHAnsi"/>
          <w:sz w:val="24"/>
          <w:szCs w:val="24"/>
        </w:rPr>
        <w:t xml:space="preserve">Ageing is a complex process involving both genetic and environmental determinants </w:t>
      </w:r>
      <w:r w:rsidRPr="00000849">
        <w:rPr>
          <w:rFonts w:cstheme="minorHAnsi"/>
          <w:sz w:val="24"/>
          <w:szCs w:val="24"/>
        </w:rPr>
        <w:fldChar w:fldCharType="begin"/>
      </w:r>
      <w:r w:rsidRPr="00000849">
        <w:rPr>
          <w:rFonts w:cstheme="minorHAnsi"/>
          <w:sz w:val="24"/>
          <w:szCs w:val="24"/>
        </w:rPr>
        <w:instrText xml:space="preserve"> ADDIN EN.CITE &lt;EndNote&gt;&lt;Cite&gt;&lt;Author&gt;Moayyeri&lt;/Author&gt;&lt;Year&gt;2016&lt;/Year&gt;&lt;RecNum&gt;84&lt;/RecNum&gt;&lt;DisplayText&gt;(Moayyeri et al., 2016)&lt;/DisplayText&gt;&lt;record&gt;&lt;rec-number&gt;84&lt;/rec-number&gt;&lt;foreign-keys&gt;&lt;key app="EN" db-id="9tzf2rda8re2a9es5tuxart3swzx2zws2s02" timestamp="1466317657"&gt;84&lt;/key&gt;&lt;/foreign-keys&gt;&lt;ref-type name="Journal Article"&gt;17&lt;/ref-type&gt;&lt;contributors&gt;&lt;authors&gt;&lt;author&gt;Moayyeri, Alireza&lt;/author&gt;&lt;author&gt;Hart, Deborah J&lt;/author&gt;&lt;author&gt;Snieder, Harold&lt;/author&gt;&lt;author&gt;Hammond, Christopher J&lt;/author&gt;&lt;author&gt;Spector, Timothy D&lt;/author&gt;&lt;author&gt;Steves, Claire J&lt;/author&gt;&lt;/authors&gt;&lt;/contributors&gt;&lt;titles&gt;&lt;title&gt;Aging Trajectories in Different Body Systems Share Common Environmental Etiology: The Healthy Aging Twin Study (HATS)&lt;/title&gt;&lt;secondary-title&gt;Twin Research and Human Genetics&lt;/secondary-title&gt;&lt;/titles&gt;&lt;periodical&gt;&lt;full-title&gt;Twin Research and Human Genetics&lt;/full-title&gt;&lt;/periodical&gt;&lt;pages&gt;27-34&lt;/pages&gt;&lt;volume&gt;19&lt;/volume&gt;&lt;number&gt;1&lt;/number&gt;&lt;dates&gt;&lt;year&gt;2016&lt;/year&gt;&lt;/dates&gt;&lt;isbn&gt;1832-4274&lt;/isbn&gt;&lt;urls&gt;&lt;/urls&gt;&lt;/record&gt;&lt;/Cite&gt;&lt;/EndNote&gt;</w:instrText>
      </w:r>
      <w:r w:rsidRPr="00000849">
        <w:rPr>
          <w:rFonts w:cstheme="minorHAnsi"/>
          <w:sz w:val="24"/>
          <w:szCs w:val="24"/>
        </w:rPr>
        <w:fldChar w:fldCharType="separate"/>
      </w:r>
      <w:r w:rsidRPr="00000849">
        <w:rPr>
          <w:rFonts w:cstheme="minorHAnsi"/>
          <w:noProof/>
          <w:sz w:val="24"/>
          <w:szCs w:val="24"/>
        </w:rPr>
        <w:t>(Moayyeri et al., 2016)</w:t>
      </w:r>
      <w:r w:rsidRPr="00000849">
        <w:rPr>
          <w:rFonts w:cstheme="minorHAnsi"/>
          <w:sz w:val="24"/>
          <w:szCs w:val="24"/>
        </w:rPr>
        <w:fldChar w:fldCharType="end"/>
      </w:r>
      <w:r w:rsidRPr="00000849">
        <w:rPr>
          <w:rFonts w:cstheme="minorHAnsi"/>
          <w:sz w:val="24"/>
          <w:szCs w:val="24"/>
        </w:rPr>
        <w:t>.  It</w:t>
      </w:r>
      <w:r w:rsidRPr="00000849">
        <w:rPr>
          <w:rFonts w:cstheme="minorHAnsi"/>
          <w:color w:val="383838"/>
          <w:sz w:val="24"/>
          <w:szCs w:val="24"/>
        </w:rPr>
        <w:t xml:space="preserve"> results “from the impact of the accumulation of a wide variety of molecular and cellular damage that occurs over time” </w:t>
      </w:r>
      <w:r w:rsidRPr="00000849">
        <w:rPr>
          <w:rFonts w:cstheme="minorHAnsi"/>
          <w:color w:val="383838"/>
          <w:sz w:val="24"/>
          <w:szCs w:val="24"/>
        </w:rPr>
        <w:fldChar w:fldCharType="begin"/>
      </w:r>
      <w:r w:rsidRPr="00000849">
        <w:rPr>
          <w:rFonts w:cstheme="minorHAnsi"/>
          <w:color w:val="383838"/>
          <w:sz w:val="24"/>
          <w:szCs w:val="24"/>
        </w:rPr>
        <w:instrText xml:space="preserve"> ADDIN EN.CITE &lt;EndNote&gt;&lt;Cite&gt;&lt;Author&gt;WHO&lt;/Author&gt;&lt;Year&gt;2015&lt;/Year&gt;&lt;RecNum&gt;134&lt;/RecNum&gt;&lt;DisplayText&gt;(WHO, 2015b)&lt;/DisplayText&gt;&lt;record&gt;&lt;rec-number&gt;134&lt;/rec-number&gt;&lt;foreign-keys&gt;&lt;key app="EN" db-id="9tzf2rda8re2a9es5tuxart3swzx2zws2s02" timestamp="1479789921"&gt;134&lt;/key&gt;&lt;/foreign-keys&gt;&lt;ref-type name="Report"&gt;27&lt;/ref-type&gt;&lt;contributors&gt;&lt;authors&gt;&lt;author&gt;WHO,&lt;/author&gt;&lt;/authors&gt;&lt;tertiary-authors&gt;&lt;author&gt;WHO&lt;/author&gt;&lt;/tertiary-authors&gt;&lt;/contributors&gt;&lt;titles&gt;&lt;title&gt;World report on ageing and health&lt;/title&gt;&lt;/titles&gt;&lt;dates&gt;&lt;year&gt;2015&lt;/year&gt;&lt;/dates&gt;&lt;pub-location&gt;Geneva&lt;/pub-location&gt;&lt;publisher&gt;World Health Organization&lt;/publisher&gt;&lt;urls&gt;&lt;related-urls&gt;&lt;url&gt;http://apps.who.int/iris/bitstream/10665/186463/1/9789240694811_eng.pdf?ua=1&lt;/url&gt;&lt;/related-urls&gt;&lt;/urls&gt;&lt;/record&gt;&lt;/Cite&gt;&lt;/EndNote&gt;</w:instrText>
      </w:r>
      <w:r w:rsidRPr="00000849">
        <w:rPr>
          <w:rFonts w:cstheme="minorHAnsi"/>
          <w:color w:val="383838"/>
          <w:sz w:val="24"/>
          <w:szCs w:val="24"/>
        </w:rPr>
        <w:fldChar w:fldCharType="separate"/>
      </w:r>
      <w:r w:rsidRPr="00000849">
        <w:rPr>
          <w:rFonts w:cstheme="minorHAnsi"/>
          <w:noProof/>
          <w:color w:val="383838"/>
          <w:sz w:val="24"/>
          <w:szCs w:val="24"/>
        </w:rPr>
        <w:t>(WHO, 2015b)</w:t>
      </w:r>
      <w:r w:rsidRPr="00000849">
        <w:rPr>
          <w:rFonts w:cstheme="minorHAnsi"/>
          <w:color w:val="383838"/>
          <w:sz w:val="24"/>
          <w:szCs w:val="24"/>
        </w:rPr>
        <w:fldChar w:fldCharType="end"/>
      </w:r>
      <w:r w:rsidRPr="00000849">
        <w:rPr>
          <w:rFonts w:cstheme="minorHAnsi"/>
          <w:color w:val="383838"/>
          <w:sz w:val="24"/>
          <w:szCs w:val="24"/>
        </w:rPr>
        <w:t xml:space="preserve">.  </w:t>
      </w:r>
      <w:r w:rsidRPr="00000849">
        <w:rPr>
          <w:rFonts w:cstheme="minorHAnsi"/>
          <w:sz w:val="24"/>
          <w:szCs w:val="24"/>
        </w:rPr>
        <w:t xml:space="preserve">It is often associated with negative stereotypes, often related to loss of physical and intellectual function and memory loss </w:t>
      </w:r>
      <w:r w:rsidRPr="00000849">
        <w:rPr>
          <w:rFonts w:cstheme="minorHAnsi"/>
          <w:sz w:val="24"/>
          <w:szCs w:val="24"/>
        </w:rPr>
        <w:fldChar w:fldCharType="begin"/>
      </w:r>
      <w:r w:rsidR="00431DA0" w:rsidRPr="00000849">
        <w:rPr>
          <w:rFonts w:cstheme="minorHAnsi"/>
          <w:sz w:val="24"/>
          <w:szCs w:val="24"/>
        </w:rPr>
        <w:instrText xml:space="preserve"> ADDIN EN.CITE &lt;EndNote&gt;&lt;Cite&gt;&lt;Author&gt;Lamont&lt;/Author&gt;&lt;Year&gt;2015&lt;/Year&gt;&lt;RecNum&gt;136&lt;/RecNum&gt;&lt;DisplayText&gt;(Lamont et al., 2015)&lt;/DisplayText&gt;&lt;record&gt;&lt;rec-number&gt;136&lt;/rec-number&gt;&lt;foreign-keys&gt;&lt;key app="EN" db-id="9tzf2rda8re2a9es5tuxart3swzx2zws2s02" timestamp="1479790753"&gt;136&lt;/key&gt;&lt;/foreign-keys&gt;&lt;ref-type name="Journal Article"&gt;17&lt;/ref-type&gt;&lt;contributors&gt;&lt;authors&gt;&lt;author&gt;Lamont, Ruth A&lt;/author&gt;&lt;author&gt;Swift, Hannah J&lt;/author&gt;&lt;author&gt;Abrams, Dominic&lt;/author&gt;&lt;/authors&gt;&lt;/contributors&gt;&lt;titles&gt;&lt;title&gt;A review and meta-analysis of age-based stereotype threat: Negative stereotypes, not facts, do the damage&lt;/title&gt;&lt;secondary-title&gt;Psychology and Aging&lt;/secondary-title&gt;&lt;/titles&gt;&lt;periodical&gt;&lt;full-title&gt;Psychology and Aging&lt;/full-title&gt;&lt;abbr-1&gt;Psychology and Aging&lt;/abbr-1&gt;&lt;/periodical&gt;&lt;pages&gt;180-193&lt;/pages&gt;&lt;volume&gt;30&lt;/volume&gt;&lt;number&gt;1&lt;/number&gt;&lt;dates&gt;&lt;year&gt;2015&lt;/year&gt;&lt;/dates&gt;&lt;isbn&gt;1939-1498&lt;/isbn&gt;&lt;urls&gt;&lt;/urls&gt;&lt;/record&gt;&lt;/Cite&gt;&lt;/EndNote&gt;</w:instrText>
      </w:r>
      <w:r w:rsidRPr="00000849">
        <w:rPr>
          <w:rFonts w:cstheme="minorHAnsi"/>
          <w:sz w:val="24"/>
          <w:szCs w:val="24"/>
        </w:rPr>
        <w:fldChar w:fldCharType="separate"/>
      </w:r>
      <w:r w:rsidR="00431DA0" w:rsidRPr="00000849">
        <w:rPr>
          <w:rFonts w:cstheme="minorHAnsi"/>
          <w:noProof/>
          <w:sz w:val="24"/>
          <w:szCs w:val="24"/>
        </w:rPr>
        <w:t>(Lamont et al., 2015)</w:t>
      </w:r>
      <w:r w:rsidRPr="00000849">
        <w:rPr>
          <w:rFonts w:cstheme="minorHAnsi"/>
          <w:sz w:val="24"/>
          <w:szCs w:val="24"/>
        </w:rPr>
        <w:fldChar w:fldCharType="end"/>
      </w:r>
      <w:r w:rsidRPr="00000849">
        <w:rPr>
          <w:rFonts w:cstheme="minorHAnsi"/>
          <w:sz w:val="24"/>
          <w:szCs w:val="24"/>
        </w:rPr>
        <w:t xml:space="preserve">.  </w:t>
      </w:r>
      <w:r w:rsidRPr="00000849">
        <w:rPr>
          <w:rFonts w:cstheme="minorHAnsi"/>
          <w:color w:val="383838"/>
          <w:sz w:val="24"/>
          <w:szCs w:val="24"/>
        </w:rPr>
        <w:t xml:space="preserve">With the increased life expectancy and the growing older adult population in most countries, there has been keen interest in successful ageing in contemporary times.  </w:t>
      </w:r>
    </w:p>
    <w:p w14:paraId="4C095B93" w14:textId="2A4E1AAB" w:rsidR="00D92056" w:rsidRPr="00000849" w:rsidRDefault="00D92056" w:rsidP="00D92056">
      <w:pPr>
        <w:spacing w:line="480" w:lineRule="auto"/>
        <w:ind w:firstLine="720"/>
        <w:jc w:val="both"/>
        <w:rPr>
          <w:rFonts w:cstheme="minorHAnsi"/>
          <w:sz w:val="24"/>
          <w:szCs w:val="24"/>
        </w:rPr>
      </w:pPr>
      <w:r w:rsidRPr="00000849">
        <w:rPr>
          <w:rFonts w:cstheme="minorHAnsi"/>
          <w:color w:val="383838"/>
          <w:sz w:val="24"/>
          <w:szCs w:val="24"/>
        </w:rPr>
        <w:t xml:space="preserve">There is no consensus on the definition of “successful ageing” which has also been described as “active ageing” </w:t>
      </w:r>
      <w:r w:rsidRPr="00000849">
        <w:rPr>
          <w:rFonts w:cstheme="minorHAnsi"/>
          <w:color w:val="383838"/>
          <w:sz w:val="24"/>
          <w:szCs w:val="24"/>
        </w:rPr>
        <w:fldChar w:fldCharType="begin">
          <w:fldData xml:space="preserve">PEVuZE5vdGU+PENpdGU+PEF1dGhvcj5CYXVtYW48L0F1dGhvcj48WWVhcj4yMDE2PC9ZZWFyPjxS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==
</w:fldData>
        </w:fldChar>
      </w:r>
      <w:r w:rsidR="00431DA0" w:rsidRPr="00000849">
        <w:rPr>
          <w:rFonts w:cstheme="minorHAnsi"/>
          <w:color w:val="383838"/>
          <w:sz w:val="24"/>
          <w:szCs w:val="24"/>
        </w:rPr>
        <w:instrText xml:space="preserve"> ADDIN EN.CITE </w:instrText>
      </w:r>
      <w:r w:rsidR="00431DA0" w:rsidRPr="00000849">
        <w:rPr>
          <w:rFonts w:cstheme="minorHAnsi"/>
          <w:color w:val="383838"/>
          <w:sz w:val="24"/>
          <w:szCs w:val="24"/>
        </w:rPr>
        <w:fldChar w:fldCharType="begin">
          <w:fldData xml:space="preserve">PEVuZE5vdGU+PENpdGU+PEF1dGhvcj5CYXVtYW48L0F1dGhvcj48WWVhcj4yMDE2PC9ZZWFyPjxS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==
</w:fldData>
        </w:fldChar>
      </w:r>
      <w:r w:rsidR="00431DA0" w:rsidRPr="00000849">
        <w:rPr>
          <w:rFonts w:cstheme="minorHAnsi"/>
          <w:color w:val="383838"/>
          <w:sz w:val="24"/>
          <w:szCs w:val="24"/>
        </w:rPr>
        <w:instrText xml:space="preserve"> ADDIN EN.CITE.DATA </w:instrText>
      </w:r>
      <w:r w:rsidR="00431DA0" w:rsidRPr="00000849">
        <w:rPr>
          <w:rFonts w:cstheme="minorHAnsi"/>
          <w:color w:val="383838"/>
          <w:sz w:val="24"/>
          <w:szCs w:val="24"/>
        </w:rPr>
      </w:r>
      <w:r w:rsidR="00431DA0" w:rsidRPr="00000849">
        <w:rPr>
          <w:rFonts w:cstheme="minorHAnsi"/>
          <w:color w:val="383838"/>
          <w:sz w:val="24"/>
          <w:szCs w:val="24"/>
        </w:rPr>
        <w:fldChar w:fldCharType="end"/>
      </w:r>
      <w:r w:rsidRPr="00000849">
        <w:rPr>
          <w:rFonts w:cstheme="minorHAnsi"/>
          <w:color w:val="383838"/>
          <w:sz w:val="24"/>
          <w:szCs w:val="24"/>
        </w:rPr>
      </w:r>
      <w:r w:rsidRPr="00000849">
        <w:rPr>
          <w:rFonts w:cstheme="minorHAnsi"/>
          <w:color w:val="383838"/>
          <w:sz w:val="24"/>
          <w:szCs w:val="24"/>
        </w:rPr>
        <w:fldChar w:fldCharType="separate"/>
      </w:r>
      <w:r w:rsidR="00431DA0" w:rsidRPr="00000849">
        <w:rPr>
          <w:rFonts w:cstheme="minorHAnsi"/>
          <w:noProof/>
          <w:color w:val="383838"/>
          <w:sz w:val="24"/>
          <w:szCs w:val="24"/>
        </w:rPr>
        <w:t>(Bauman et al., 2016)</w:t>
      </w:r>
      <w:r w:rsidRPr="00000849">
        <w:rPr>
          <w:rFonts w:cstheme="minorHAnsi"/>
          <w:color w:val="383838"/>
          <w:sz w:val="24"/>
          <w:szCs w:val="24"/>
        </w:rPr>
        <w:fldChar w:fldCharType="end"/>
      </w:r>
      <w:r w:rsidRPr="00000849">
        <w:rPr>
          <w:rFonts w:cstheme="minorHAnsi"/>
          <w:color w:val="383838"/>
          <w:sz w:val="24"/>
          <w:szCs w:val="24"/>
        </w:rPr>
        <w:t xml:space="preserve">, “healthy ageing” </w:t>
      </w:r>
      <w:r w:rsidRPr="00000849">
        <w:rPr>
          <w:rFonts w:cstheme="minorHAnsi"/>
          <w:color w:val="383838"/>
          <w:sz w:val="24"/>
          <w:szCs w:val="24"/>
        </w:rPr>
        <w:fldChar w:fldCharType="begin"/>
      </w:r>
      <w:r w:rsidR="00431DA0" w:rsidRPr="00000849">
        <w:rPr>
          <w:rFonts w:cstheme="minorHAnsi"/>
          <w:color w:val="383838"/>
          <w:sz w:val="24"/>
          <w:szCs w:val="24"/>
        </w:rPr>
        <w:instrText xml:space="preserve"> ADDIN EN.CITE &lt;EndNote&gt;&lt;Cite&gt;&lt;Author&gt;Peel&lt;/Author&gt;&lt;Year&gt;2004&lt;/Year&gt;&lt;RecNum&gt;739&lt;/RecNum&gt;&lt;DisplayText&gt;(Peel et al., 2004)&lt;/DisplayText&gt;&lt;record&gt;&lt;rec-number&gt;739&lt;/rec-number&gt;&lt;foreign-keys&gt;&lt;key app="EN" db-id="9tzf2rda8re2a9es5tuxart3swzx2zws2s02" timestamp="1502763084"&gt;739&lt;/key&gt;&lt;/foreign-keys&gt;&lt;ref-type name="Journal Article"&gt;17&lt;/ref-type&gt;&lt;contributors&gt;&lt;authors&gt;&lt;author&gt;Peel, Nancye&lt;/author&gt;&lt;author&gt;Bartlett, Helen&lt;/author&gt;&lt;author&gt;McClure, Roderick&lt;/author&gt;&lt;/authors&gt;&lt;/contributors&gt;&lt;titles&gt;&lt;title&gt;Healthy ageing: how is it defined and measured?&lt;/title&gt;&lt;secondary-title&gt;Australian Journal on Ageing&lt;/secondary-title&gt;&lt;/titles&gt;&lt;periodical&gt;&lt;full-title&gt;Australian Journal on Ageing&lt;/full-title&gt;&lt;/periodical&gt;&lt;pages&gt;115-119&lt;/pages&gt;&lt;volume&gt;23&lt;/volume&gt;&lt;number&gt;3&lt;/number&gt;&lt;keywords&gt;&lt;keyword&gt;Measurement Issues&lt;/keyword&gt;&lt;keyword&gt;Older Age&lt;/keyword&gt;&lt;keyword&gt;Positive Health Outcomes&lt;/keyword&gt;&lt;/keywords&gt;&lt;dates&gt;&lt;year&gt;2004&lt;/year&gt;&lt;/dates&gt;&lt;isbn&gt;1440-6381&lt;/isbn&gt;&lt;urls&gt;&lt;/urls&gt;&lt;electronic-resource-num&gt;10.1111/j.1741-6612.2004.00035.x&lt;/electronic-resource-num&gt;&lt;/record&gt;&lt;/Cite&gt;&lt;/EndNote&gt;</w:instrText>
      </w:r>
      <w:r w:rsidRPr="00000849">
        <w:rPr>
          <w:rFonts w:cstheme="minorHAnsi"/>
          <w:color w:val="383838"/>
          <w:sz w:val="24"/>
          <w:szCs w:val="24"/>
        </w:rPr>
        <w:fldChar w:fldCharType="separate"/>
      </w:r>
      <w:r w:rsidR="00431DA0" w:rsidRPr="00000849">
        <w:rPr>
          <w:rFonts w:cstheme="minorHAnsi"/>
          <w:noProof/>
          <w:color w:val="383838"/>
          <w:sz w:val="24"/>
          <w:szCs w:val="24"/>
        </w:rPr>
        <w:t>(Peel et al., 2004)</w:t>
      </w:r>
      <w:r w:rsidRPr="00000849">
        <w:rPr>
          <w:rFonts w:cstheme="minorHAnsi"/>
          <w:color w:val="383838"/>
          <w:sz w:val="24"/>
          <w:szCs w:val="24"/>
        </w:rPr>
        <w:fldChar w:fldCharType="end"/>
      </w:r>
      <w:r w:rsidRPr="00000849">
        <w:rPr>
          <w:rFonts w:cstheme="minorHAnsi"/>
          <w:color w:val="383838"/>
          <w:sz w:val="24"/>
          <w:szCs w:val="24"/>
        </w:rPr>
        <w:t xml:space="preserve"> or “positive  ageing” </w:t>
      </w:r>
      <w:r w:rsidRPr="00000849">
        <w:rPr>
          <w:rFonts w:cstheme="minorHAnsi"/>
          <w:color w:val="383838"/>
          <w:sz w:val="24"/>
          <w:szCs w:val="24"/>
        </w:rPr>
        <w:fldChar w:fldCharType="begin"/>
      </w:r>
      <w:r w:rsidRPr="00000849">
        <w:rPr>
          <w:rFonts w:cstheme="minorHAnsi"/>
          <w:color w:val="383838"/>
          <w:sz w:val="24"/>
          <w:szCs w:val="24"/>
        </w:rPr>
        <w:instrText xml:space="preserve"> ADDIN EN.CITE &lt;EndNote&gt;&lt;Cite&gt;&lt;Author&gt;Bowling&lt;/Author&gt;&lt;Year&gt;1993&lt;/Year&gt;&lt;RecNum&gt;744&lt;/RecNum&gt;&lt;DisplayText&gt;(Bowling, 1993)&lt;/DisplayText&gt;&lt;record&gt;&lt;rec-number&gt;744&lt;/rec-number&gt;&lt;foreign-keys&gt;&lt;key app="EN" db-id="9tzf2rda8re2a9es5tuxart3swzx2zws2s02" timestamp="1502834124"&gt;744&lt;/key&gt;&lt;/foreign-keys&gt;&lt;ref-type name="Journal Article"&gt;17&lt;/ref-type&gt;&lt;contributors&gt;&lt;authors&gt;&lt;author&gt;Bowling, A.&lt;/author&gt;&lt;/authors&gt;&lt;/contributors&gt;&lt;titles&gt;&lt;title&gt;The concepts of successful and positive ageing&lt;/title&gt;&lt;secondary-title&gt;Family practice&lt;/secondary-title&gt;&lt;/titles&gt;&lt;periodical&gt;&lt;full-title&gt;Family practice&lt;/full-title&gt;&lt;/periodical&gt;&lt;pages&gt;449&lt;/pages&gt;&lt;volume&gt;10&lt;/volume&gt;&lt;number&gt;4&lt;/number&gt;&lt;keywords&gt;&lt;keyword&gt;Aging -- Psychology&lt;/keyword&gt;&lt;/keywords&gt;&lt;dates&gt;&lt;year&gt;1993&lt;/year&gt;&lt;/dates&gt;&lt;isbn&gt;0263-2136&lt;/isbn&gt;&lt;urls&gt;&lt;/urls&gt;&lt;electronic-resource-num&gt;10.1093/fampra/10.4.449&lt;/electronic-resource-num&gt;&lt;/record&gt;&lt;/Cite&gt;&lt;/EndNote&gt;</w:instrText>
      </w:r>
      <w:r w:rsidRPr="00000849">
        <w:rPr>
          <w:rFonts w:cstheme="minorHAnsi"/>
          <w:color w:val="383838"/>
          <w:sz w:val="24"/>
          <w:szCs w:val="24"/>
        </w:rPr>
        <w:fldChar w:fldCharType="separate"/>
      </w:r>
      <w:r w:rsidRPr="00000849">
        <w:rPr>
          <w:rFonts w:cstheme="minorHAnsi"/>
          <w:noProof/>
          <w:color w:val="383838"/>
          <w:sz w:val="24"/>
          <w:szCs w:val="24"/>
        </w:rPr>
        <w:t>(Bowling, 1993)</w:t>
      </w:r>
      <w:r w:rsidRPr="00000849">
        <w:rPr>
          <w:rFonts w:cstheme="minorHAnsi"/>
          <w:color w:val="383838"/>
          <w:sz w:val="24"/>
          <w:szCs w:val="24"/>
        </w:rPr>
        <w:fldChar w:fldCharType="end"/>
      </w:r>
      <w:r w:rsidRPr="00000849">
        <w:rPr>
          <w:rFonts w:cstheme="minorHAnsi"/>
          <w:color w:val="383838"/>
          <w:sz w:val="24"/>
          <w:szCs w:val="24"/>
        </w:rPr>
        <w:t xml:space="preserve">.  Neither is there consensus on how best </w:t>
      </w:r>
      <w:r w:rsidRPr="00000849">
        <w:rPr>
          <w:rFonts w:cstheme="minorHAnsi"/>
          <w:color w:val="383838"/>
          <w:sz w:val="24"/>
          <w:szCs w:val="24"/>
        </w:rPr>
        <w:lastRenderedPageBreak/>
        <w:t xml:space="preserve">to evaluate it </w:t>
      </w:r>
      <w:r w:rsidRPr="00000849">
        <w:rPr>
          <w:rFonts w:cstheme="minorHAnsi"/>
          <w:color w:val="383838"/>
          <w:sz w:val="24"/>
          <w:szCs w:val="24"/>
        </w:rPr>
        <w:fldChar w:fldCharType="begin"/>
      </w:r>
      <w:r w:rsidR="00431DA0" w:rsidRPr="00000849">
        <w:rPr>
          <w:rFonts w:cstheme="minorHAnsi"/>
          <w:color w:val="383838"/>
          <w:sz w:val="24"/>
          <w:szCs w:val="24"/>
        </w:rPr>
        <w:instrText xml:space="preserve"> ADDIN EN.CITE &lt;EndNote&gt;&lt;Cite&gt;&lt;Author&gt;Cosco&lt;/Author&gt;&lt;Year&gt;2014&lt;/Year&gt;&lt;RecNum&gt;748&lt;/RecNum&gt;&lt;DisplayText&gt;(Cosco et al., 2014)&lt;/DisplayText&gt;&lt;record&gt;&lt;rec-number&gt;748&lt;/rec-number&gt;&lt;foreign-keys&gt;&lt;key app="EN" db-id="9tzf2rda8re2a9es5tuxart3swzx2zws2s02" timestamp="1502839113"&gt;748&lt;/key&gt;&lt;/foreign-keys&gt;&lt;ref-type name="Journal Article"&gt;17&lt;/ref-type&gt;&lt;contributors&gt;&lt;authors&gt;&lt;author&gt;Cosco, Theodore D.&lt;/author&gt;&lt;author&gt;Prina, A. Matthew&lt;/author&gt;&lt;author&gt;Perales, Jaime&lt;/author&gt;&lt;author&gt;Stephan, Blossom C. M.&lt;/author&gt;&lt;author&gt;Brayne, Carol&lt;/author&gt;&lt;/authors&gt;&lt;/contributors&gt;&lt;titles&gt;&lt;title&gt;Operational definitions of successful aging: a systematic review&lt;/title&gt;&lt;secondary-title&gt;International Psychogeriatrics&lt;/secondary-title&gt;&lt;alt-title&gt;Int Psychogeriatr&lt;/alt-title&gt;&lt;/titles&gt;&lt;periodical&gt;&lt;full-title&gt;International Psychogeriatrics&lt;/full-title&gt;&lt;/periodical&gt;&lt;pages&gt;373-381&lt;/pages&gt;&lt;volume&gt;26&lt;/volume&gt;&lt;number&gt;3&lt;/number&gt;&lt;keywords&gt;&lt;keyword&gt;Successful Aging&lt;/keyword&gt;&lt;keyword&gt;Healthy Aging&lt;/keyword&gt;&lt;keyword&gt;Systematic Review&lt;/keyword&gt;&lt;keyword&gt;Operational Definition&lt;/keyword&gt;&lt;/keywords&gt;&lt;dates&gt;&lt;year&gt;2014&lt;/year&gt;&lt;/dates&gt;&lt;isbn&gt;1041-6102&lt;/isbn&gt;&lt;urls&gt;&lt;/urls&gt;&lt;electronic-resource-num&gt;10.1017/S1041610213002287&lt;/electronic-resource-num&gt;&lt;/record&gt;&lt;/Cite&gt;&lt;/EndNote&gt;</w:instrText>
      </w:r>
      <w:r w:rsidRPr="00000849">
        <w:rPr>
          <w:rFonts w:cstheme="minorHAnsi"/>
          <w:color w:val="383838"/>
          <w:sz w:val="24"/>
          <w:szCs w:val="24"/>
        </w:rPr>
        <w:fldChar w:fldCharType="separate"/>
      </w:r>
      <w:r w:rsidR="00431DA0" w:rsidRPr="00000849">
        <w:rPr>
          <w:rFonts w:cstheme="minorHAnsi"/>
          <w:noProof/>
          <w:color w:val="383838"/>
          <w:sz w:val="24"/>
          <w:szCs w:val="24"/>
        </w:rPr>
        <w:t>(Cosco et al., 2014)</w:t>
      </w:r>
      <w:r w:rsidRPr="00000849">
        <w:rPr>
          <w:rFonts w:cstheme="minorHAnsi"/>
          <w:color w:val="383838"/>
          <w:sz w:val="24"/>
          <w:szCs w:val="24"/>
        </w:rPr>
        <w:fldChar w:fldCharType="end"/>
      </w:r>
      <w:r w:rsidRPr="00000849">
        <w:rPr>
          <w:rFonts w:cstheme="minorHAnsi"/>
          <w:color w:val="383838"/>
          <w:sz w:val="24"/>
          <w:szCs w:val="24"/>
        </w:rPr>
        <w:t xml:space="preserve">.  </w:t>
      </w:r>
      <w:r w:rsidRPr="00000849">
        <w:rPr>
          <w:rFonts w:cstheme="minorHAnsi"/>
          <w:sz w:val="24"/>
          <w:szCs w:val="24"/>
        </w:rPr>
        <w:t xml:space="preserve">Twenty-nine definitions have been described </w:t>
      </w:r>
      <w:r w:rsidRPr="00000849">
        <w:rPr>
          <w:rFonts w:cstheme="minorHAnsi"/>
          <w:sz w:val="24"/>
          <w:szCs w:val="24"/>
        </w:rPr>
        <w:fldChar w:fldCharType="begin"/>
      </w:r>
      <w:r w:rsidRPr="00000849">
        <w:rPr>
          <w:rFonts w:cstheme="minorHAnsi"/>
          <w:sz w:val="24"/>
          <w:szCs w:val="24"/>
        </w:rPr>
        <w:instrText xml:space="preserve"> ADDIN EN.CITE &lt;EndNote&gt;&lt;Cite&gt;&lt;Author&gt;Depp&lt;/Author&gt;&lt;Year&gt;2006&lt;/Year&gt;&lt;RecNum&gt;86&lt;/RecNum&gt;&lt;DisplayText&gt;(Depp &amp;amp; Jeste, 2006)&lt;/DisplayText&gt;&lt;record&gt;&lt;rec-number&gt;86&lt;/rec-number&gt;&lt;foreign-keys&gt;&lt;key app="EN" db-id="9tzf2rda8re2a9es5tuxart3swzx2zws2s02" timestamp="1466323747"&gt;86&lt;/key&gt;&lt;/foreign-keys&gt;&lt;ref-type name="Journal Article"&gt;17&lt;/ref-type&gt;&lt;contributors&gt;&lt;authors&gt;&lt;author&gt;Depp, Colin A&lt;/author&gt;&lt;author&gt;Jeste, Dilip V&lt;/author&gt;&lt;/authors&gt;&lt;/contributors&gt;&lt;titles&gt;&lt;title&gt;Definitions and predictors of successful aging: a comprehensive review of larger quantitative studies&lt;/title&gt;&lt;secondary-title&gt;The American Journal of Geriatric Psychiatry&lt;/secondary-title&gt;&lt;/titles&gt;&lt;periodical&gt;&lt;full-title&gt;The American Journal of Geriatric Psychiatry&lt;/full-title&gt;&lt;/periodical&gt;&lt;pages&gt;6-20&lt;/pages&gt;&lt;volume&gt;14&lt;/volume&gt;&lt;number&gt;1&lt;/number&gt;&lt;dates&gt;&lt;year&gt;2006&lt;/year&gt;&lt;/dates&gt;&lt;isbn&gt;1064-7481&lt;/isbn&gt;&lt;urls&gt;&lt;/urls&gt;&lt;/record&gt;&lt;/Cite&gt;&lt;/EndNote&gt;</w:instrText>
      </w:r>
      <w:r w:rsidRPr="00000849">
        <w:rPr>
          <w:rFonts w:cstheme="minorHAnsi"/>
          <w:sz w:val="24"/>
          <w:szCs w:val="24"/>
        </w:rPr>
        <w:fldChar w:fldCharType="separate"/>
      </w:r>
      <w:r w:rsidRPr="00000849">
        <w:rPr>
          <w:rFonts w:cstheme="minorHAnsi"/>
          <w:sz w:val="24"/>
          <w:szCs w:val="24"/>
        </w:rPr>
        <w:t>(Depp &amp; Jeste, 2006)</w:t>
      </w:r>
      <w:r w:rsidRPr="00000849">
        <w:rPr>
          <w:rFonts w:cstheme="minorHAnsi"/>
          <w:sz w:val="24"/>
          <w:szCs w:val="24"/>
        </w:rPr>
        <w:fldChar w:fldCharType="end"/>
      </w:r>
      <w:r w:rsidRPr="00000849">
        <w:rPr>
          <w:rFonts w:cstheme="minorHAnsi"/>
          <w:sz w:val="24"/>
          <w:szCs w:val="24"/>
        </w:rPr>
        <w:t xml:space="preserve">.  Most of these definitions relate to disability or physical function, cognitive function, life satisfaction and well-being, social engagement and presence of illness.  They </w:t>
      </w:r>
      <w:r w:rsidRPr="00000849">
        <w:rPr>
          <w:rFonts w:cstheme="minorHAnsi"/>
          <w:color w:val="383838"/>
          <w:sz w:val="24"/>
          <w:szCs w:val="24"/>
        </w:rPr>
        <w:t>attempt to capture the multi-dimensional biological, physical, cognitive and social elements of successful ageing.</w:t>
      </w:r>
    </w:p>
    <w:p w14:paraId="1E0AE6A7" w14:textId="77777777" w:rsidR="00D92056" w:rsidRPr="00000849" w:rsidRDefault="00D92056" w:rsidP="00D92056">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Healthy ageing has been defined as a “lifelong process of optimizing opportunities for improving and preserving physical, social and mental wellness, independence, and quality of life, as well as enhancing successful life-course transitions”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&lt;EndNote&gt;&lt;Cite&gt;&lt;Author&gt;Health Canada&lt;/Author&gt;&lt;Year&gt;2002&lt;/Year&gt;&lt;RecNum&gt;738&lt;/RecNum&gt;&lt;DisplayText&gt;(Health Canada, 2002)&lt;/DisplayText&gt;&lt;record&gt;&lt;rec-number&gt;738&lt;/rec-number&gt;&lt;foreign-keys&gt;&lt;key app="EN" db-id="9tzf2rda8re2a9es5tuxart3swzx2zws2s02" timestamp="1502761474"&gt;738&lt;/key&gt;&lt;/foreign-keys&gt;&lt;ref-type name="Generic"&gt;13&lt;/ref-type&gt;&lt;contributors&gt;&lt;authors&gt;&lt;author&gt;Health Canada,&lt;/author&gt;&lt;/authors&gt;&lt;/contributors&gt;&lt;titles&gt;&lt;title&gt;Part I: Aging and Health Practices&lt;/title&gt;&lt;secondary-title&gt;Workshop on Healthy Aging, November 28-30, 2001&lt;/secondary-title&gt;&lt;/titles&gt;&lt;dates&gt;&lt;year&gt;2002&lt;/year&gt;&lt;/dates&gt;&lt;pub-location&gt;Ottawa&lt;/pub-location&gt;&lt;publisher&gt;Minister of Public Works and Government Services Canada&lt;/publisher&gt;&lt;urls&gt;&lt;related-urls&gt;&lt;url&gt;http://publications.gc.ca/collections/Collection/H39-612-2002-1E.pdf&lt;/url&gt;&lt;/related-urls&gt;&lt;/urls&gt;&lt;/record&gt;&lt;/Cite&gt;&lt;/EndNote&gt;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(Health Canada, 2002)</w:t>
      </w:r>
      <w:r w:rsidRPr="00000849">
        <w:rPr>
          <w:rFonts w:asciiTheme="minorHAnsi" w:hAnsiTheme="minorHAnsi" w:cstheme="minorHAnsi"/>
          <w:color w:val="383838"/>
        </w:rPr>
        <w:fldChar w:fldCharType="end"/>
      </w:r>
      <w:r w:rsidRPr="00000849">
        <w:rPr>
          <w:rFonts w:asciiTheme="minorHAnsi" w:hAnsiTheme="minorHAnsi" w:cstheme="minorHAnsi"/>
          <w:color w:val="383838"/>
        </w:rPr>
        <w:t>.  It includes physical, psychological, social, and spiritual well-being in later years (Han et al 2015).</w:t>
      </w:r>
    </w:p>
    <w:p w14:paraId="233F5CC0" w14:textId="4C5F6043"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WHO defines active ageing as “the process of optimizing opportunities for health, participation and security to enhance quality of life as people age”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&lt;EndNote&gt;&lt;Cite&gt;&lt;Author&gt;WHO&lt;/Author&gt;&lt;Year&gt;2002&lt;/Year&gt;&lt;RecNum&gt;585&lt;/RecNum&gt;&lt;DisplayText&gt;(WHO, 2002)&lt;/DisplayText&gt;&lt;record&gt;&lt;rec-number&gt;585&lt;/rec-number&gt;&lt;foreign-keys&gt;&lt;key app="EN" db-id="9tzf2rda8re2a9es5tuxart3swzx2zws2s02" timestamp="1496556460"&gt;585&lt;/key&gt;&lt;/foreign-keys&gt;&lt;ref-type name="Report"&gt;27&lt;/ref-type&gt;&lt;contributors&gt;&lt;authors&gt;&lt;author&gt;WHO,&lt;/author&gt;&lt;/authors&gt;&lt;/contributors&gt;&lt;titles&gt;&lt;title&gt;Active aging: a policy framework. WHO/NMP/NPH/02.8&lt;/title&gt;&lt;/titles&gt;&lt;dates&gt;&lt;year&gt;2002&lt;/year&gt;&lt;/dates&gt;&lt;pub-location&gt;Geneva&lt;/pub-location&gt;&lt;publisher&gt;World Health Organization,&lt;/publisher&gt;&lt;urls&gt;&lt;related-urls&gt;&lt;url&gt;http://apps.who.int/iris/bitstream/10665/67215/1/WHO_NMH_NPH_02.8.pdf&lt;/url&gt;&lt;/related-urls&gt;&lt;/urls&gt;&lt;/record&gt;&lt;/Cite&gt;&lt;/EndNote&gt;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(WHO, 2002)</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The key elements in the WHO model are autonomy to makes one’s personal decisions; independence to </w:t>
      </w:r>
      <w:r w:rsidRPr="00000849">
        <w:rPr>
          <w:rFonts w:asciiTheme="minorHAnsi" w:hAnsiTheme="minorHAnsi" w:cstheme="minorHAnsi"/>
          <w:color w:val="000000"/>
          <w:shd w:val="clear" w:color="auto" w:fill="FFFFFF"/>
        </w:rPr>
        <w:t>perform activities related to daily living;</w:t>
      </w:r>
      <w:r w:rsidRPr="00000849">
        <w:rPr>
          <w:rFonts w:asciiTheme="minorHAnsi" w:hAnsiTheme="minorHAnsi" w:cstheme="minorHAnsi"/>
          <w:color w:val="383838"/>
        </w:rPr>
        <w:t xml:space="preserve"> quality of life encompassing one’s physical and psychosocial health; and </w:t>
      </w:r>
      <w:r w:rsidRPr="00000849">
        <w:rPr>
          <w:rFonts w:asciiTheme="minorHAnsi" w:hAnsiTheme="minorHAnsi" w:cstheme="minorHAnsi"/>
          <w:color w:val="000000"/>
          <w:shd w:val="clear" w:color="auto" w:fill="FFFFFF"/>
        </w:rPr>
        <w:t xml:space="preserve">healthy life expectancy relating to years of life lived without disabilities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&lt;EndNote&gt;&lt;Cite&gt;&lt;Author&gt;Paul&lt;/Author&gt;&lt;Year&gt;2012&lt;/Year&gt;&lt;RecNum&gt;650&lt;/RecNum&gt;&lt;DisplayText&gt;(Paul et al., 2012)&lt;/DisplayText&gt;&lt;record&gt;&lt;rec-number&gt;650&lt;/rec-number&gt;&lt;foreign-keys&gt;&lt;key app="EN" db-id="9tzf2rda8re2a9es5tuxart3swzx2zws2s02" timestamp="1497055714"&gt;650&lt;/key&gt;&lt;/foreign-keys&gt;&lt;ref-type name="Journal Article"&gt;17&lt;/ref-type&gt;&lt;contributors&gt;&lt;authors&gt;&lt;author&gt;Paul, C.&lt;/author&gt;&lt;author&gt;Ribeiro, O.&lt;/author&gt;&lt;author&gt;Teixeira, L.&lt;/author&gt;&lt;/authors&gt;&lt;/contributors&gt;&lt;auth-address&gt;Research and Education Unit on Ageing, UnIFai, ICBAS, Institute of Biomedical Sciences Abel Salazar, Universidade do Porto, 4050-313 Porto, Portugal.&lt;/auth-address&gt;&lt;titles&gt;&lt;title&gt;Active Ageing: An Empirical Approach to the WHO Model&lt;/title&gt;&lt;secondary-title&gt;Curr Gerontol Geriatr Res&lt;/secondary-title&gt;&lt;alt-title&gt;Current gerontology and geriatrics research&lt;/alt-title&gt;&lt;/titles&gt;&lt;periodical&gt;&lt;full-title&gt;Curr Gerontol Geriatr Res&lt;/full-title&gt;&lt;abbr-1&gt;Current gerontology and geriatrics research&lt;/abbr-1&gt;&lt;/periodical&gt;&lt;alt-periodical&gt;&lt;full-title&gt;Curr Gerontol Geriatr Res&lt;/full-title&gt;&lt;abbr-1&gt;Current gerontology and geriatrics research&lt;/abbr-1&gt;&lt;/alt-periodical&gt;&lt;pages&gt;382972&lt;/pages&gt;&lt;volume&gt;2012&lt;/volume&gt;&lt;edition&gt;2012/11/30&lt;/edition&gt;&lt;dates&gt;&lt;year&gt;2012&lt;/year&gt;&lt;/dates&gt;&lt;isbn&gt;1687-7063&lt;/isbn&gt;&lt;accession-num&gt;23193396&lt;/accession-num&gt;&lt;urls&gt;&lt;/urls&gt;&lt;custom2&gt;PMC3501803&lt;/custom2&gt;&lt;electronic-resource-num&gt;10.1155/2012/382972&lt;/electronic-resource-num&gt;&lt;remote-database-provider&gt;NLM&lt;/remote-database-provider&gt;&lt;language&gt;eng&lt;/language&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(Paul et al., 2012)</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p>
    <w:p w14:paraId="50D6018C"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The WHO policy framework identifies six key determinants of active ageing: economic, behavioural, personal, social, health and social services, and the physical environment. It recommends four components necessary for a health policy response:</w:t>
      </w:r>
    </w:p>
    <w:p w14:paraId="3D0642DC" w14:textId="77777777" w:rsidR="00D92056" w:rsidRPr="00000849" w:rsidRDefault="00D92056" w:rsidP="00D92056">
      <w:pPr>
        <w:pStyle w:val="NormalWeb"/>
        <w:numPr>
          <w:ilvl w:val="0"/>
          <w:numId w:val="6"/>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prevent and reduce the burden of excess disabilities, chronic disease and premature mortality;</w:t>
      </w:r>
    </w:p>
    <w:p w14:paraId="343FB416" w14:textId="77777777" w:rsidR="00D92056" w:rsidRPr="00000849" w:rsidRDefault="00D92056" w:rsidP="00D92056">
      <w:pPr>
        <w:pStyle w:val="NormalWeb"/>
        <w:numPr>
          <w:ilvl w:val="0"/>
          <w:numId w:val="6"/>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lastRenderedPageBreak/>
        <w:t>reduce risk factors associated with major diseases and increase factors that protect health throughout the life course;</w:t>
      </w:r>
    </w:p>
    <w:p w14:paraId="0AEC7262" w14:textId="77777777" w:rsidR="00D92056" w:rsidRPr="00000849" w:rsidRDefault="00D92056" w:rsidP="00D92056">
      <w:pPr>
        <w:pStyle w:val="NormalWeb"/>
        <w:numPr>
          <w:ilvl w:val="0"/>
          <w:numId w:val="6"/>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develop a continuum of affordable, accessible, high-quality and age-friendly health and social services that address the needs and rights of people as they age;</w:t>
      </w:r>
    </w:p>
    <w:p w14:paraId="2BECCA88" w14:textId="77777777" w:rsidR="00D92056" w:rsidRPr="00000849" w:rsidRDefault="00D92056" w:rsidP="00D92056">
      <w:pPr>
        <w:pStyle w:val="NormalWeb"/>
        <w:numPr>
          <w:ilvl w:val="0"/>
          <w:numId w:val="6"/>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provide training and education to caregivers</w:t>
      </w:r>
    </w:p>
    <w:p w14:paraId="36228E56"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66BB454B" w14:textId="594DA879"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Thus, while there is no consensus on the concept of successful ageing, the various definitions articulate</w:t>
      </w:r>
      <w:r w:rsidR="005F7F29" w:rsidRPr="00000849">
        <w:rPr>
          <w:rFonts w:asciiTheme="minorHAnsi" w:hAnsiTheme="minorHAnsi" w:cstheme="minorHAnsi"/>
          <w:color w:val="383838"/>
        </w:rPr>
        <w:t xml:space="preserve"> it,</w:t>
      </w:r>
      <w:r w:rsidRPr="00000849">
        <w:rPr>
          <w:rFonts w:asciiTheme="minorHAnsi" w:hAnsiTheme="minorHAnsi" w:cstheme="minorHAnsi"/>
          <w:color w:val="383838"/>
        </w:rPr>
        <w:t xml:space="preserve"> not only a state of physical health, but also</w:t>
      </w:r>
      <w:r w:rsidR="005F7F29" w:rsidRPr="00000849">
        <w:rPr>
          <w:rFonts w:asciiTheme="minorHAnsi" w:hAnsiTheme="minorHAnsi" w:cstheme="minorHAnsi"/>
          <w:color w:val="383838"/>
        </w:rPr>
        <w:t>,</w:t>
      </w:r>
      <w:r w:rsidRPr="00000849">
        <w:rPr>
          <w:rFonts w:asciiTheme="minorHAnsi" w:hAnsiTheme="minorHAnsi" w:cstheme="minorHAnsi"/>
          <w:color w:val="383838"/>
        </w:rPr>
        <w:t xml:space="preserve"> that of psychological, and spiritual well-being as well as social engagement.  It is a lifelong process whose health policy response requires a combination of health and social services throughout the life course.</w:t>
      </w:r>
    </w:p>
    <w:p w14:paraId="7EAD27D1" w14:textId="77777777" w:rsidR="00D92056" w:rsidRPr="00000849" w:rsidRDefault="00D92056" w:rsidP="00000849">
      <w:pPr>
        <w:pStyle w:val="NormalWeb"/>
        <w:shd w:val="clear" w:color="auto" w:fill="FFFFFF"/>
        <w:spacing w:before="0" w:beforeAutospacing="0" w:after="165" w:afterAutospacing="0" w:line="360" w:lineRule="auto"/>
        <w:jc w:val="both"/>
        <w:rPr>
          <w:rFonts w:asciiTheme="minorHAnsi" w:hAnsiTheme="minorHAnsi" w:cstheme="minorHAnsi"/>
          <w:color w:val="383838"/>
          <w:sz w:val="28"/>
        </w:rPr>
      </w:pPr>
    </w:p>
    <w:p w14:paraId="53DD872B" w14:textId="7717C6D2" w:rsidR="00D92056" w:rsidRPr="00000849" w:rsidRDefault="00D92056" w:rsidP="00A61BAB">
      <w:pPr>
        <w:pStyle w:val="Heading2"/>
      </w:pPr>
      <w:bookmarkStart w:id="61" w:name="_Toc51472106"/>
      <w:r w:rsidRPr="00000849">
        <w:t>3.</w:t>
      </w:r>
      <w:r w:rsidR="004B6822" w:rsidRPr="00000849">
        <w:t>4</w:t>
      </w:r>
      <w:r w:rsidRPr="00000849">
        <w:tab/>
        <w:t>The Rowe and Kahn model</w:t>
      </w:r>
      <w:bookmarkEnd w:id="61"/>
      <w:r w:rsidRPr="00000849">
        <w:t xml:space="preserve"> </w:t>
      </w:r>
    </w:p>
    <w:p w14:paraId="74975B67"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77691AB2" w14:textId="77777777" w:rsidR="003371D9" w:rsidRPr="00000849" w:rsidRDefault="003371D9" w:rsidP="003371D9">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theoretical framework for the concept of successful ageing has evolved over the past 70 years.  The term “successful ageing” was introduced by Robert J. Havighurst in 1961 as a framework to describe the “conditions of individual and social life under which the individual older person gets a maximum of satisfaction and happiness”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&lt;EndNote&gt;&lt;Cite&gt;&lt;Author&gt;Havighurst&lt;/Author&gt;&lt;Year&gt;1961&lt;/Year&gt;&lt;RecNum&gt;729&lt;/RecNum&gt;&lt;DisplayText&gt;(Havighurst, 1961)&lt;/DisplayText&gt;&lt;record&gt;&lt;rec-number&gt;729&lt;/rec-number&gt;&lt;foreign-keys&gt;&lt;key app="EN" db-id="9tzf2rda8re2a9es5tuxart3swzx2zws2s02" timestamp="1502691895"&gt;729&lt;/key&gt;&lt;/foreign-keys&gt;&lt;ref-type name="Journal Article"&gt;17&lt;/ref-type&gt;&lt;contributors&gt;&lt;authors&gt;&lt;author&gt;Havighurst, Robert J.&lt;/author&gt;&lt;/authors&gt;&lt;/contributors&gt;&lt;titles&gt;&lt;title&gt;Successful Aging&lt;/title&gt;&lt;secondary-title&gt;The Gerontologist&lt;/secondary-title&gt;&lt;/titles&gt;&lt;periodical&gt;&lt;full-title&gt;The Gerontologist&lt;/full-title&gt;&lt;abbr-1&gt;Gerontologist&lt;/abbr-1&gt;&lt;/periodical&gt;&lt;pages&gt;8-13&lt;/pages&gt;&lt;volume&gt;1&lt;/volume&gt;&lt;number&gt;1&lt;/number&gt;&lt;dates&gt;&lt;year&gt;1961&lt;/year&gt;&lt;/dates&gt;&lt;isbn&gt;0016-9013&lt;/isbn&gt;&lt;urls&gt;&lt;related-urls&gt;&lt;url&gt;http://dx.doi.org/10.1093/geront/1.1.8&lt;/url&gt;&lt;/related-urls&gt;&lt;/urls&gt;&lt;electronic-resource-num&gt;10.1093/geront/1.1.8&lt;/electronic-resource-num&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(Havighurst, 1961)</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The framework sought to explain how certain people age well.  </w:t>
      </w:r>
    </w:p>
    <w:p w14:paraId="34B6989D" w14:textId="0845FD89" w:rsidR="00C73058" w:rsidRPr="00000849" w:rsidRDefault="00C73058" w:rsidP="00C73058">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lastRenderedPageBreak/>
        <w:t>Several theories have been proposed with many emphasizing</w:t>
      </w:r>
      <w:r w:rsidR="004B6822" w:rsidRPr="00000849">
        <w:rPr>
          <w:rFonts w:asciiTheme="minorHAnsi" w:hAnsiTheme="minorHAnsi" w:cstheme="minorHAnsi"/>
          <w:color w:val="383838"/>
        </w:rPr>
        <w:t xml:space="preserve"> one or other dimension of ageing in</w:t>
      </w:r>
      <w:r w:rsidRPr="00000849">
        <w:rPr>
          <w:rFonts w:asciiTheme="minorHAnsi" w:hAnsiTheme="minorHAnsi" w:cstheme="minorHAnsi"/>
          <w:color w:val="383838"/>
        </w:rPr>
        <w:t xml:space="preserve"> the psychological or soci</w:t>
      </w:r>
      <w:r w:rsidR="004B6822" w:rsidRPr="00000849">
        <w:rPr>
          <w:rFonts w:asciiTheme="minorHAnsi" w:hAnsiTheme="minorHAnsi" w:cstheme="minorHAnsi"/>
          <w:color w:val="383838"/>
        </w:rPr>
        <w:t>ological</w:t>
      </w:r>
      <w:r w:rsidRPr="00000849">
        <w:rPr>
          <w:rFonts w:asciiTheme="minorHAnsi" w:hAnsiTheme="minorHAnsi" w:cstheme="minorHAnsi"/>
          <w:color w:val="383838"/>
        </w:rPr>
        <w:t xml:space="preserve"> </w:t>
      </w:r>
      <w:r w:rsidR="004B6822" w:rsidRPr="00000849">
        <w:rPr>
          <w:rFonts w:asciiTheme="minorHAnsi" w:hAnsiTheme="minorHAnsi" w:cstheme="minorHAnsi"/>
          <w:color w:val="383838"/>
        </w:rPr>
        <w:t xml:space="preserve">discourse </w:t>
      </w:r>
      <w:r w:rsidR="004B6822" w:rsidRPr="00000849">
        <w:rPr>
          <w:rFonts w:asciiTheme="minorHAnsi" w:hAnsiTheme="minorHAnsi" w:cstheme="minorHAnsi"/>
          <w:color w:val="383838"/>
        </w:rPr>
        <w:fldChar w:fldCharType="begin">
          <w:fldData xml:space="preserve">PEVuZE5vdGU+PENpdGU+PEF1dGhvcj5DdW1taW5nPC9BdXRob3I+PFllYXI+MTk2MTwvWWVhcj48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</w:fldData>
        </w:fldChar>
      </w:r>
      <w:r w:rsidR="004B6822" w:rsidRPr="00000849">
        <w:rPr>
          <w:rFonts w:asciiTheme="minorHAnsi" w:hAnsiTheme="minorHAnsi" w:cstheme="minorHAnsi"/>
          <w:color w:val="383838"/>
        </w:rPr>
        <w:instrText xml:space="preserve"> ADDIN EN.CITE </w:instrText>
      </w:r>
      <w:r w:rsidR="004B6822" w:rsidRPr="00000849">
        <w:rPr>
          <w:rFonts w:asciiTheme="minorHAnsi" w:hAnsiTheme="minorHAnsi" w:cstheme="minorHAnsi"/>
          <w:color w:val="383838"/>
        </w:rPr>
        <w:fldChar w:fldCharType="begin">
          <w:fldData xml:space="preserve">PEVuZE5vdGU+PENpdGU+PEF1dGhvcj5DdW1taW5nPC9BdXRob3I+PFllYXI+MTk2MTwvWWVhcj48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</w:fldData>
        </w:fldChar>
      </w:r>
      <w:r w:rsidR="004B6822" w:rsidRPr="00000849">
        <w:rPr>
          <w:rFonts w:asciiTheme="minorHAnsi" w:hAnsiTheme="minorHAnsi" w:cstheme="minorHAnsi"/>
          <w:color w:val="383838"/>
        </w:rPr>
        <w:instrText xml:space="preserve"> ADDIN EN.CITE.DATA </w:instrText>
      </w:r>
      <w:r w:rsidR="004B6822" w:rsidRPr="00000849">
        <w:rPr>
          <w:rFonts w:asciiTheme="minorHAnsi" w:hAnsiTheme="minorHAnsi" w:cstheme="minorHAnsi"/>
          <w:color w:val="383838"/>
        </w:rPr>
      </w:r>
      <w:r w:rsidR="004B6822" w:rsidRPr="00000849">
        <w:rPr>
          <w:rFonts w:asciiTheme="minorHAnsi" w:hAnsiTheme="minorHAnsi" w:cstheme="minorHAnsi"/>
          <w:color w:val="383838"/>
        </w:rPr>
        <w:fldChar w:fldCharType="end"/>
      </w:r>
      <w:r w:rsidR="004B6822" w:rsidRPr="00000849">
        <w:rPr>
          <w:rFonts w:asciiTheme="minorHAnsi" w:hAnsiTheme="minorHAnsi" w:cstheme="minorHAnsi"/>
          <w:color w:val="383838"/>
        </w:rPr>
      </w:r>
      <w:r w:rsidR="004B6822" w:rsidRPr="00000849">
        <w:rPr>
          <w:rFonts w:asciiTheme="minorHAnsi" w:hAnsiTheme="minorHAnsi" w:cstheme="minorHAnsi"/>
          <w:color w:val="383838"/>
        </w:rPr>
        <w:fldChar w:fldCharType="separate"/>
      </w:r>
      <w:r w:rsidR="004B6822" w:rsidRPr="00000849">
        <w:rPr>
          <w:rFonts w:asciiTheme="minorHAnsi" w:hAnsiTheme="minorHAnsi" w:cstheme="minorHAnsi"/>
          <w:noProof/>
          <w:color w:val="383838"/>
        </w:rPr>
        <w:t>(Atchley, 1989; Cumming &amp; Henry, 1961; Tobin &amp; Neugarten, 1961)</w:t>
      </w:r>
      <w:r w:rsidR="004B6822"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However, there is now consensus on the multidimensional nature of successful ageing based on developmental, clinical and mental health perspectives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&lt;EndNote&gt;&lt;Cite&gt;&lt;Author&gt;Ryff&lt;/Author&gt;&lt;Year&gt;1982&lt;/Year&gt;&lt;RecNum&gt;1123&lt;/RecNum&gt;&lt;DisplayText&gt;(Ryff, 1982)&lt;/DisplayText&gt;&lt;record&gt;&lt;rec-number&gt;1123&lt;/rec-number&gt;&lt;foreign-keys&gt;&lt;key app="EN" db-id="9tzf2rda8re2a9es5tuxart3swzx2zws2s02" timestamp="1579468617"&gt;1123&lt;/key&gt;&lt;/foreign-keys&gt;&lt;ref-type name="Journal Article"&gt;17&lt;/ref-type&gt;&lt;contributors&gt;&lt;authors&gt;&lt;author&gt;Ryff, Carol D.&lt;/author&gt;&lt;/authors&gt;&lt;/contributors&gt;&lt;titles&gt;&lt;title&gt;Successful Aging: A Developmental Approach&lt;/title&gt;&lt;secondary-title&gt;The Gerontologist&lt;/secondary-title&gt;&lt;/titles&gt;&lt;periodical&gt;&lt;full-title&gt;The Gerontologist&lt;/full-title&gt;&lt;abbr-1&gt;Gerontologist&lt;/abbr-1&gt;&lt;/periodical&gt;&lt;pages&gt;209-214&lt;/pages&gt;&lt;volume&gt;22&lt;/volume&gt;&lt;number&gt;2&lt;/number&gt;&lt;dates&gt;&lt;year&gt;1982&lt;/year&gt;&lt;/dates&gt;&lt;isbn&gt;0016-9013&lt;/isbn&gt;&lt;urls&gt;&lt;related-urls&gt;&lt;url&gt;https://doi.org/10.1093/geront/22.2.209&lt;/url&gt;&lt;/related-urls&gt;&lt;/urls&gt;&lt;electronic-resource-num&gt;10.1093/geront/22.2.209&lt;/electronic-resource-num&gt;&lt;access-date&gt;1/19/2020&lt;/access-date&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(Ryff, 1982)</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p>
    <w:p w14:paraId="6D9A7600" w14:textId="4BC63B6F" w:rsidR="00D92056" w:rsidRPr="00000849" w:rsidRDefault="00D92056" w:rsidP="00000849">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This study adopts the</w:t>
      </w:r>
      <w:r w:rsidR="004B6822"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Rowe and Kahn model of successful ageing based on its relevance and its application to studies in settings similar to Ghana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&lt;EndNote&gt;&lt;Cite&gt;&lt;Author&gt;Rowe&lt;/Author&gt;&lt;Year&gt;1997&lt;/Year&gt;&lt;RecNum&gt;24&lt;/RecNum&gt;&lt;DisplayText&gt;(Rowe &amp;amp; Kahn, 1997)&lt;/DisplayText&gt;&lt;record&gt;&lt;rec-number&gt;24&lt;/rec-number&gt;&lt;foreign-keys&gt;&lt;key app="EN" db-id="9tzf2rda8re2a9es5tuxart3swzx2zws2s02" timestamp="1463942467"&gt;24&lt;/key&gt;&lt;/foreign-keys&gt;&lt;ref-type name="Journal Article"&gt;17&lt;/ref-type&gt;&lt;contributors&gt;&lt;authors&gt;&lt;author&gt;Rowe, John W&lt;/author&gt;&lt;author&gt;Kahn, Robert L&lt;/author&gt;&lt;/authors&gt;&lt;/contributors&gt;&lt;titles&gt;&lt;title&gt;Successful aging&lt;/title&gt;&lt;secondary-title&gt;The Gerontologist&lt;/secondary-title&gt;&lt;/titles&gt;&lt;periodical&gt;&lt;full-title&gt;The Gerontologist&lt;/full-title&gt;&lt;abbr-1&gt;Gerontologist&lt;/abbr-1&gt;&lt;/periodical&gt;&lt;pages&gt;433-440&lt;/pages&gt;&lt;volume&gt;37&lt;/volume&gt;&lt;number&gt;4&lt;/number&gt;&lt;dates&gt;&lt;year&gt;1997&lt;/year&gt;&lt;/dates&gt;&lt;isbn&gt;0016-9013&lt;/isbn&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(Rowe &amp; Kahn, 1997)</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The model has been commended for its optimistic narrative of successful ageing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&lt;EndNote&gt;&lt;Cite&gt;&lt;Author&gt;Katz&lt;/Author&gt;&lt;Year&gt;2015&lt;/Year&gt;&lt;RecNum&gt;1127&lt;/RecNum&gt;&lt;DisplayText&gt;(Katz &amp;amp; Calasanti, 2015)&lt;/DisplayText&gt;&lt;record&gt;&lt;rec-number&gt;1127&lt;/rec-number&gt;&lt;foreign-keys&gt;&lt;key app="EN" db-id="9tzf2rda8re2a9es5tuxart3swzx2zws2s02" timestamp="1579493083"&gt;1127&lt;/key&gt;&lt;/foreign-keys&gt;&lt;ref-type name="Journal Article"&gt;17&lt;/ref-type&gt;&lt;contributors&gt;&lt;authors&gt;&lt;author&gt;Katz, Stephen&lt;/author&gt;&lt;author&gt;Calasanti, Toni&lt;/author&gt;&lt;/authors&gt;&lt;/contributors&gt;&lt;titles&gt;&lt;title&gt;Critical Perspectives on Successful Aging: Does It “Appeal More Than It Illuminates”?&lt;/title&gt;&lt;secondary-title&gt;The Gerontologist&lt;/secondary-title&gt;&lt;/titles&gt;&lt;periodical&gt;&lt;full-title&gt;The Gerontologist&lt;/full-title&gt;&lt;abbr-1&gt;Gerontologist&lt;/abbr-1&gt;&lt;/periodical&gt;&lt;pages&gt;26-33&lt;/pages&gt;&lt;volume&gt;55&lt;/volume&gt;&lt;number&gt;1&lt;/number&gt;&lt;keywords&gt;&lt;keyword&gt;Critical Theory&lt;/keyword&gt;&lt;keyword&gt;Social Inequality&lt;/keyword&gt;&lt;keyword&gt;Age Relations&lt;/keyword&gt;&lt;keyword&gt;Gerontological Discourse&lt;/keyword&gt;&lt;/keywords&gt;&lt;dates&gt;&lt;year&gt;2015&lt;/year&gt;&lt;/dates&gt;&lt;isbn&gt;0016-9013&lt;/isbn&gt;&lt;urls&gt;&lt;/urls&gt;&lt;electronic-resource-num&gt;10.1093/geront/gnu027&lt;/electronic-resource-num&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(Katz &amp; Calasanti, 2015)</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In their seminal publication on successful ageing,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 AuthorYear="1"&gt;&lt;Author&gt;Rowe&lt;/Author&gt;&lt;Year&gt;1987&lt;/Year&gt;&lt;RecNum&gt;586&lt;/RecNum&gt;&lt;DisplayText&gt;Rowe and Kahn (1987)&lt;/DisplayText&gt;&lt;record&gt;&lt;rec-number&gt;586&lt;/rec-number&gt;&lt;foreign-keys&gt;&lt;key app="EN" db-id="9tzf2rda8re2a9es5tuxart3swzx2zws2s02" timestamp="1496558802"&gt;586&lt;/key&gt;&lt;/foreign-keys&gt;&lt;ref-type name="Journal Article"&gt;17&lt;/ref-type&gt;&lt;contributors&gt;&lt;authors&gt;&lt;author&gt;Rowe, John W.&lt;/author&gt;&lt;author&gt;Kahn, Robert L.&lt;/author&gt;&lt;/authors&gt;&lt;/contributors&gt;&lt;titles&gt;&lt;title&gt;Human Aging: Usual and Successful&lt;/title&gt;&lt;secondary-title&gt;Science&lt;/secondary-title&gt;&lt;/titles&gt;&lt;periodical&gt;&lt;full-title&gt;Science&lt;/full-title&gt;&lt;/periodical&gt;&lt;pages&gt;143-49&lt;/pages&gt;&lt;volume&gt;237&lt;/volume&gt;&lt;number&gt;4811&lt;/number&gt;&lt;keywords&gt;&lt;keyword&gt;Adult Development&lt;/keyword&gt;&lt;keyword&gt;Aging (Individuals)&lt;/keyword&gt;&lt;keyword&gt;Cognitive Ability&lt;/keyword&gt;&lt;keyword&gt;Gerontology&lt;/keyword&gt;&lt;keyword&gt;Health&lt;/keyword&gt;&lt;keyword&gt;Physiology&lt;/keyword&gt;&lt;keyword&gt;Psychophysiology&lt;/keyword&gt;&lt;keyword&gt;Scientific Research&lt;/keyword&gt;&lt;keyword&gt;Social Influences&lt;/keyword&gt;&lt;keyword&gt;Social Psychology&lt;/keyword&gt;&lt;/keywords&gt;&lt;dates&gt;&lt;year&gt;1987&lt;/year&gt;&lt;/dates&gt;&lt;urls&gt;&lt;/urls&gt;&lt;/record&gt;&lt;/Cite&gt;&lt;/EndNote&gt;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Rowe and Kahn (1987)</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had been concerned that studies on ageing </w:t>
      </w:r>
      <w:r w:rsidR="0049794D" w:rsidRPr="00000849">
        <w:rPr>
          <w:rFonts w:asciiTheme="minorHAnsi" w:hAnsiTheme="minorHAnsi" w:cstheme="minorHAnsi"/>
          <w:color w:val="383838"/>
        </w:rPr>
        <w:t>often</w:t>
      </w:r>
      <w:r w:rsidRPr="00000849">
        <w:rPr>
          <w:rFonts w:asciiTheme="minorHAnsi" w:hAnsiTheme="minorHAnsi" w:cstheme="minorHAnsi"/>
          <w:color w:val="383838"/>
        </w:rPr>
        <w:t xml:space="preserve"> impl</w:t>
      </w:r>
      <w:r w:rsidR="0049794D" w:rsidRPr="00000849">
        <w:rPr>
          <w:rFonts w:asciiTheme="minorHAnsi" w:hAnsiTheme="minorHAnsi" w:cstheme="minorHAnsi"/>
          <w:color w:val="383838"/>
        </w:rPr>
        <w:t>ied</w:t>
      </w:r>
      <w:r w:rsidRPr="00000849">
        <w:rPr>
          <w:rFonts w:asciiTheme="minorHAnsi" w:hAnsiTheme="minorHAnsi" w:cstheme="minorHAnsi"/>
          <w:color w:val="383838"/>
        </w:rPr>
        <w:t xml:space="preserve"> that functional deficits were intrinsically age-related and that average age-related losses were emphasized with little mention of the substantial heterogeneity within age groups.  They suggested that researchers distinguish between pathologic changes that are age-determined and those that are due to extrinsic factors such as lifestyles.  They considered changes that are mostly physiologic or intrinsic to ageing per se as “normal” ageing.  They characterised non-diseased older individuals with minimal or no physiological loss (when compared with younger individuals) as undergoing “successful ageing” and those with typical non-pathologic age-related losses as experiencing “usual ageing”.</w:t>
      </w:r>
    </w:p>
    <w:p w14:paraId="59ADDA4E" w14:textId="704E8E05" w:rsidR="00D92056" w:rsidRPr="00000849" w:rsidRDefault="00D92056" w:rsidP="00D92056">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noProof/>
          <w:color w:val="383838"/>
        </w:rPr>
        <w:t xml:space="preserve">Building on this framework, </w:t>
      </w:r>
      <w:r w:rsidRPr="00000849">
        <w:rPr>
          <w:rFonts w:asciiTheme="minorHAnsi" w:hAnsiTheme="minorHAnsi" w:cstheme="minorHAnsi"/>
          <w:noProof/>
          <w:color w:val="383838"/>
        </w:rPr>
        <w:fldChar w:fldCharType="begin"/>
      </w:r>
      <w:r w:rsidRPr="00000849">
        <w:rPr>
          <w:rFonts w:asciiTheme="minorHAnsi" w:hAnsiTheme="minorHAnsi" w:cstheme="minorHAnsi"/>
          <w:noProof/>
          <w:color w:val="383838"/>
        </w:rPr>
        <w:instrText xml:space="preserve"> ADDIN EN.CITE &lt;EndNote&gt;&lt;Cite AuthorYear="1"&gt;&lt;Author&gt;Rowe&lt;/Author&gt;&lt;Year&gt;1997&lt;/Year&gt;&lt;RecNum&gt;24&lt;/RecNum&gt;&lt;DisplayText&gt;Rowe and Kahn (1997)&lt;/DisplayText&gt;&lt;record&gt;&lt;rec-number&gt;24&lt;/rec-number&gt;&lt;foreign-keys&gt;&lt;key app="EN" db-id="9tzf2rda8re2a9es5tuxart3swzx2zws2s02" timestamp="1463942467"&gt;24&lt;/key&gt;&lt;/foreign-keys&gt;&lt;ref-type name="Journal Article"&gt;17&lt;/ref-type&gt;&lt;contributors&gt;&lt;authors&gt;&lt;author&gt;Rowe, John W&lt;/author&gt;&lt;author&gt;Kahn, Robert L&lt;/author&gt;&lt;/authors&gt;&lt;/contributors&gt;&lt;titles&gt;&lt;title&gt;Successful aging&lt;/title&gt;&lt;secondary-title&gt;The Gerontologist&lt;/secondary-title&gt;&lt;/titles&gt;&lt;periodical&gt;&lt;full-title&gt;The Gerontologist&lt;/full-title&gt;&lt;abbr-1&gt;Gerontologist&lt;/abbr-1&gt;&lt;/periodical&gt;&lt;pages&gt;433-440&lt;/pages&gt;&lt;volume&gt;37&lt;/volume&gt;&lt;number&gt;4&lt;/number&gt;&lt;dates&gt;&lt;year&gt;1997&lt;/year&gt;&lt;/dates&gt;&lt;isbn&gt;0016-9013&lt;/isbn&gt;&lt;urls&gt;&lt;/urls&gt;&lt;/record&gt;&lt;/Cite&gt;&lt;/EndNote&gt;</w:instrText>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Rowe and Kahn (1997)</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proposed their famous model of successful ageing as </w:t>
      </w:r>
      <w:r w:rsidRPr="00000849">
        <w:rPr>
          <w:rFonts w:asciiTheme="minorHAnsi" w:hAnsiTheme="minorHAnsi" w:cstheme="minorHAnsi"/>
          <w:color w:val="383838"/>
        </w:rPr>
        <w:t xml:space="preserve">consisting of three components - low probability of disease and disability, high cognitive and physical function, and active engagement </w:t>
      </w:r>
      <w:r w:rsidRPr="00000849">
        <w:rPr>
          <w:rFonts w:asciiTheme="minorHAnsi" w:hAnsiTheme="minorHAnsi" w:cstheme="minorHAnsi"/>
          <w:color w:val="383838"/>
        </w:rPr>
        <w:lastRenderedPageBreak/>
        <w:t xml:space="preserve">with life in terms of productive activities and maintenance of social relations (Figure </w:t>
      </w:r>
      <w:r w:rsidR="00702C75" w:rsidRPr="00000849">
        <w:rPr>
          <w:rFonts w:asciiTheme="minorHAnsi" w:hAnsiTheme="minorHAnsi" w:cstheme="minorHAnsi"/>
          <w:color w:val="383838"/>
        </w:rPr>
        <w:t>7</w:t>
      </w:r>
      <w:r w:rsidRPr="00000849">
        <w:rPr>
          <w:rFonts w:asciiTheme="minorHAnsi" w:hAnsiTheme="minorHAnsi" w:cstheme="minorHAnsi"/>
          <w:color w:val="383838"/>
        </w:rPr>
        <w:t xml:space="preserve">).  </w:t>
      </w:r>
    </w:p>
    <w:p w14:paraId="7D9CC95C" w14:textId="77777777" w:rsidR="00D92056" w:rsidRPr="00000849" w:rsidRDefault="00D92056" w:rsidP="004F307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02E5C543" w14:textId="481B6230" w:rsidR="00D92056" w:rsidRPr="00000849" w:rsidRDefault="00D92056" w:rsidP="00D92056">
      <w:pPr>
        <w:pStyle w:val="TableSAGE1"/>
        <w:keepNext/>
        <w:ind w:left="1276" w:hanging="992"/>
        <w:rPr>
          <w:szCs w:val="24"/>
        </w:rPr>
      </w:pPr>
      <w:bookmarkStart w:id="62" w:name="_Toc71153646"/>
      <w:r w:rsidRPr="00000849">
        <w:rPr>
          <w:szCs w:val="24"/>
        </w:rPr>
        <w:t xml:space="preserve">Figure </w:t>
      </w:r>
      <w:r w:rsidR="001D354F" w:rsidRPr="00000849">
        <w:rPr>
          <w:szCs w:val="24"/>
        </w:rPr>
        <w:fldChar w:fldCharType="begin"/>
      </w:r>
      <w:r w:rsidR="001D354F" w:rsidRPr="00000849">
        <w:rPr>
          <w:szCs w:val="24"/>
        </w:rPr>
        <w:instrText xml:space="preserve"> SEQ Figure \* ARABIC </w:instrText>
      </w:r>
      <w:r w:rsidR="001D354F" w:rsidRPr="00000849">
        <w:rPr>
          <w:szCs w:val="24"/>
        </w:rPr>
        <w:fldChar w:fldCharType="separate"/>
      </w:r>
      <w:r w:rsidR="00C0100F">
        <w:rPr>
          <w:noProof/>
          <w:szCs w:val="24"/>
        </w:rPr>
        <w:t>7</w:t>
      </w:r>
      <w:r w:rsidR="001D354F" w:rsidRPr="00000849">
        <w:rPr>
          <w:szCs w:val="24"/>
        </w:rPr>
        <w:fldChar w:fldCharType="end"/>
      </w:r>
      <w:r w:rsidRPr="00000849">
        <w:rPr>
          <w:szCs w:val="24"/>
        </w:rPr>
        <w:t>:</w:t>
      </w:r>
      <w:r w:rsidRPr="00000849">
        <w:rPr>
          <w:szCs w:val="24"/>
        </w:rPr>
        <w:tab/>
        <w:t>Rowe and Kahn model of successful ageing</w:t>
      </w:r>
      <w:bookmarkEnd w:id="62"/>
      <w:r w:rsidRPr="00000849">
        <w:rPr>
          <w:szCs w:val="24"/>
        </w:rPr>
        <w:t xml:space="preserve"> </w:t>
      </w:r>
    </w:p>
    <w:p w14:paraId="43CD521D" w14:textId="77777777" w:rsidR="00D92056" w:rsidRPr="00000849" w:rsidRDefault="00D92056" w:rsidP="00D92056">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noProof/>
        </w:rPr>
        <w:drawing>
          <wp:inline distT="0" distB="0" distL="0" distR="0" wp14:anchorId="528AE0CD" wp14:editId="34DEF130">
            <wp:extent cx="4102100" cy="3458478"/>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23523" cy="3476539"/>
                    </a:xfrm>
                    <a:prstGeom prst="rect">
                      <a:avLst/>
                    </a:prstGeom>
                    <a:noFill/>
                    <a:ln>
                      <a:noFill/>
                    </a:ln>
                  </pic:spPr>
                </pic:pic>
              </a:graphicData>
            </a:graphic>
          </wp:inline>
        </w:drawing>
      </w:r>
    </w:p>
    <w:p w14:paraId="36D3F3E9" w14:textId="77777777" w:rsidR="00D92056" w:rsidRPr="00000849" w:rsidRDefault="00D92056" w:rsidP="00D92056">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7C410629" w14:textId="3C5B88F4"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The model has several strengths.  It distinguishes ill-health due to biological and physiological decline from that due to lifestyle factors.  It examines successful ageing from biomedical and psychosocial perspectives.  It recognizes that successful ageing is multidimensional and not merely th</w:t>
      </w:r>
      <w:r w:rsidR="00465323" w:rsidRPr="00000849">
        <w:rPr>
          <w:rFonts w:asciiTheme="minorHAnsi" w:hAnsiTheme="minorHAnsi" w:cstheme="minorHAnsi"/>
          <w:color w:val="383838"/>
        </w:rPr>
        <w:t>e</w:t>
      </w:r>
      <w:r w:rsidRPr="00000849">
        <w:rPr>
          <w:rFonts w:asciiTheme="minorHAnsi" w:hAnsiTheme="minorHAnsi" w:cstheme="minorHAnsi"/>
          <w:color w:val="383838"/>
        </w:rPr>
        <w:t xml:space="preserve"> absence of diseases.  It challenges the dominant attribution of functional losses to intrinsic ageing without sufficient acknowledgment of the contribution of lifestyle factors to the process.  It observes that disease in old age is not inevitable and that factors such as overweight, physical inactivity and poor diet can be modified even in old age.  </w:t>
      </w:r>
    </w:p>
    <w:p w14:paraId="65964EE6" w14:textId="009EF68C"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lastRenderedPageBreak/>
        <w:t xml:space="preserve">Several studies support the Rowe and Kahn model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&lt;EndNote&gt;&lt;Cite&gt;&lt;Author&gt;Bosnes&lt;/Author&gt;&lt;Year&gt;2019&lt;/Year&gt;&lt;RecNum&gt;1128&lt;/RecNum&gt;&lt;DisplayText&gt;(Bosnes et al., 2019)&lt;/DisplayText&gt;&lt;record&gt;&lt;rec-number&gt;1128&lt;/rec-number&gt;&lt;foreign-keys&gt;&lt;key app="EN" db-id="9tzf2rda8re2a9es5tuxart3swzx2zws2s02" timestamp="1579570785"&gt;1128&lt;/key&gt;&lt;/foreign-keys&gt;&lt;ref-type name="Journal Article"&gt;17&lt;/ref-type&gt;&lt;contributors&gt;&lt;authors&gt;&lt;author&gt;Bosnes, Ingunn&lt;/author&gt;&lt;author&gt;Nordahl, Hans Morten&lt;/author&gt;&lt;author&gt;Stordal, Eystein&lt;/author&gt;&lt;author&gt;Bosnes, Ole&lt;/author&gt;&lt;author&gt;Myklebust, Tor Åge&lt;/author&gt;&lt;author&gt;Almkvist, Ove&lt;/author&gt;&lt;/authors&gt;&lt;/contributors&gt;&lt;titles&gt;&lt;title&gt;Lifestyle predictors of successful aging: A 20-year prospective HUNT study&lt;/title&gt;&lt;secondary-title&gt;PLOS ONE&lt;/secondary-title&gt;&lt;/titles&gt;&lt;periodical&gt;&lt;full-title&gt;PLoS One&lt;/full-title&gt;&lt;/periodical&gt;&lt;pages&gt;e0219200&lt;/pages&gt;&lt;volume&gt;14&lt;/volume&gt;&lt;number&gt;7&lt;/number&gt;&lt;dates&gt;&lt;year&gt;2019&lt;/year&gt;&lt;/dates&gt;&lt;publisher&gt;Public Library of Science&lt;/publisher&gt;&lt;urls&gt;&lt;related-urls&gt;&lt;url&gt;https://doi.org/10.1371/journal.pone.0219200&lt;/url&gt;&lt;/related-urls&gt;&lt;/urls&gt;&lt;electronic-resource-num&gt;10.1371/journal.pone.0219200&lt;/electronic-resource-num&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(Bosnes et al., 2019)</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Pr="00000849">
        <w:rPr>
          <w:rFonts w:asciiTheme="minorHAnsi" w:hAnsiTheme="minorHAnsi" w:cstheme="minorHAnsi"/>
          <w:color w:val="383838"/>
          <w:lang w:val="en-US"/>
        </w:rPr>
        <w:t>A longitudinal data analysis</w:t>
      </w:r>
      <w:r w:rsidR="007100DE" w:rsidRPr="00000849">
        <w:rPr>
          <w:rFonts w:asciiTheme="minorHAnsi" w:hAnsiTheme="minorHAnsi" w:cstheme="minorHAnsi"/>
          <w:color w:val="383838"/>
          <w:lang w:val="en-US"/>
        </w:rPr>
        <w:t xml:space="preserve"> of</w:t>
      </w:r>
      <w:r w:rsidRPr="00000849">
        <w:rPr>
          <w:rFonts w:asciiTheme="minorHAnsi" w:hAnsiTheme="minorHAnsi" w:cstheme="minorHAnsi"/>
          <w:color w:val="383838"/>
          <w:lang w:val="en-US"/>
        </w:rPr>
        <w:t xml:space="preserve"> </w:t>
      </w:r>
      <w:r w:rsidR="007100DE" w:rsidRPr="00000849">
        <w:rPr>
          <w:rFonts w:asciiTheme="minorHAnsi" w:hAnsiTheme="minorHAnsi" w:cstheme="minorHAnsi"/>
          <w:color w:val="383838"/>
          <w:lang w:val="en-US"/>
        </w:rPr>
        <w:t xml:space="preserve">the Canadian National Population Health Survey </w:t>
      </w:r>
      <w:r w:rsidRPr="00000849">
        <w:rPr>
          <w:rFonts w:asciiTheme="minorHAnsi" w:hAnsiTheme="minorHAnsi" w:cstheme="minorHAnsi"/>
          <w:color w:val="383838"/>
          <w:lang w:val="en-US"/>
        </w:rPr>
        <w:t xml:space="preserve">involving individuals aged 65-85 years over the period 1994-2004 </w:t>
      </w:r>
      <w:r w:rsidRPr="00000849">
        <w:rPr>
          <w:rFonts w:asciiTheme="minorHAnsi" w:hAnsiTheme="minorHAnsi" w:cstheme="minorHAnsi"/>
          <w:color w:val="383838"/>
        </w:rPr>
        <w:t xml:space="preserve">found that higher income, absence of chronic illness, moderate alcohol use, never smoked and sense of coherence were independent predictors of thriving </w:t>
      </w:r>
      <w:r w:rsidRPr="00000849">
        <w:rPr>
          <w:rFonts w:asciiTheme="minorHAnsi" w:hAnsiTheme="minorHAnsi" w:cstheme="minorHAnsi"/>
          <w:color w:val="383838"/>
          <w:lang w:val="en-US"/>
        </w:rPr>
        <w:fldChar w:fldCharType="begin"/>
      </w:r>
      <w:r w:rsidRPr="00000849">
        <w:rPr>
          <w:rFonts w:asciiTheme="minorHAnsi" w:hAnsiTheme="minorHAnsi" w:cstheme="minorHAnsi"/>
          <w:color w:val="383838"/>
          <w:lang w:val="en-US"/>
        </w:rPr>
        <w:instrText xml:space="preserve"> ADDIN EN.CITE &lt;EndNote&gt;&lt;Cite&gt;&lt;Author&gt;Kaplan&lt;/Author&gt;&lt;Year&gt;2008&lt;/Year&gt;&lt;RecNum&gt;1047&lt;/RecNum&gt;&lt;DisplayText&gt;(Kaplan et al., 2008)&lt;/DisplayText&gt;&lt;record&gt;&lt;rec-number&gt;1047&lt;/rec-number&gt;&lt;foreign-keys&gt;&lt;key app="EN" db-id="9tzf2rda8re2a9es5tuxart3swzx2zws2s02" timestamp="1556863858"&gt;1047&lt;/key&gt;&lt;/foreign-keys&gt;&lt;ref-type name="Journal Article"&gt;17&lt;/ref-type&gt;&lt;contributors&gt;&lt;authors&gt;&lt;author&gt;Kaplan, Mark S&lt;/author&gt;&lt;author&gt;Huguet, Nathalie&lt;/author&gt;&lt;author&gt;Orpana, Heather&lt;/author&gt;&lt;author&gt;Feeny, David&lt;/author&gt;&lt;author&gt;McFarland, Bentson H&lt;/author&gt;&lt;author&gt;Ross, Nancy&lt;/author&gt;&lt;/authors&gt;&lt;/contributors&gt;&lt;titles&gt;&lt;title&gt;Prevalence and factors associated with thriving in older adulthood: a 10-year population-based study&lt;/title&gt;&lt;secondary-title&gt;The Journals of Gerontology Series A: Biological Sciences and Medical Sciences&lt;/secondary-title&gt;&lt;/titles&gt;&lt;periodical&gt;&lt;full-title&gt;The Journals of Gerontology Series A: Biological Sciences and Medical Sciences&lt;/full-title&gt;&lt;abbr-1&gt;J Gerontol A Biol Sci Med Sci&lt;/abbr-1&gt;&lt;/periodical&gt;&lt;pages&gt;1097-1104&lt;/pages&gt;&lt;volume&gt;63&lt;/volume&gt;&lt;number&gt;10&lt;/number&gt;&lt;dates&gt;&lt;year&gt;2008&lt;/year&gt;&lt;/dates&gt;&lt;isbn&gt;1758-535X&lt;/isbn&gt;&lt;urls&gt;&lt;/urls&gt;&lt;/record&gt;&lt;/Cite&gt;&lt;/EndNote&gt;</w:instrText>
      </w:r>
      <w:r w:rsidRPr="00000849">
        <w:rPr>
          <w:rFonts w:asciiTheme="minorHAnsi" w:hAnsiTheme="minorHAnsi" w:cstheme="minorHAnsi"/>
          <w:color w:val="383838"/>
          <w:lang w:val="en-US"/>
        </w:rPr>
        <w:fldChar w:fldCharType="separate"/>
      </w:r>
      <w:r w:rsidRPr="00000849">
        <w:rPr>
          <w:rFonts w:asciiTheme="minorHAnsi" w:hAnsiTheme="minorHAnsi" w:cstheme="minorHAnsi"/>
          <w:noProof/>
          <w:color w:val="383838"/>
          <w:lang w:val="en-US"/>
        </w:rPr>
        <w:t>(Kaplan et al., 2008)</w:t>
      </w:r>
      <w:r w:rsidRPr="00000849">
        <w:rPr>
          <w:rFonts w:asciiTheme="minorHAnsi" w:hAnsiTheme="minorHAnsi" w:cstheme="minorHAnsi"/>
          <w:color w:val="383838"/>
          <w:lang w:val="en-US"/>
        </w:rPr>
        <w:fldChar w:fldCharType="end"/>
      </w:r>
      <w:r w:rsidRPr="00000849">
        <w:rPr>
          <w:rFonts w:asciiTheme="minorHAnsi" w:hAnsiTheme="minorHAnsi" w:cstheme="minorHAnsi"/>
          <w:color w:val="383838"/>
          <w:lang w:val="en-US"/>
        </w:rPr>
        <w:t xml:space="preserve">.  The model, therefore, appears to be dynamic in not only identifying </w:t>
      </w:r>
      <w:r w:rsidRPr="00000849">
        <w:rPr>
          <w:rFonts w:asciiTheme="minorHAnsi" w:hAnsiTheme="minorHAnsi" w:cstheme="minorHAnsi"/>
          <w:color w:val="383838"/>
        </w:rPr>
        <w:t xml:space="preserve">factors associated with successful ageing but with its maintenance over time.  </w:t>
      </w:r>
    </w:p>
    <w:p w14:paraId="525DBF12" w14:textId="6D650810"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noProof/>
          <w:color w:val="383838"/>
        </w:rPr>
      </w:pPr>
      <w:r w:rsidRPr="00000849">
        <w:rPr>
          <w:rFonts w:asciiTheme="minorHAnsi" w:hAnsiTheme="minorHAnsi" w:cstheme="minorHAnsi"/>
          <w:noProof/>
          <w:color w:val="383838"/>
        </w:rPr>
        <w:t xml:space="preserve">As </w:t>
      </w:r>
      <w:r w:rsidRPr="00000849">
        <w:rPr>
          <w:rFonts w:asciiTheme="minorHAnsi" w:hAnsiTheme="minorHAnsi" w:cstheme="minorHAnsi"/>
          <w:noProof/>
          <w:color w:val="383838"/>
        </w:rPr>
        <w:fldChar w:fldCharType="begin"/>
      </w:r>
      <w:r w:rsidRPr="00000849">
        <w:rPr>
          <w:rFonts w:asciiTheme="minorHAnsi" w:hAnsiTheme="minorHAnsi" w:cstheme="minorHAnsi"/>
          <w:noProof/>
          <w:color w:val="383838"/>
        </w:rPr>
        <w:instrText xml:space="preserve"> ADDIN EN.CITE &lt;EndNote&gt;&lt;Cite AuthorYear="1"&gt;&lt;Author&gt;Kahn&lt;/Author&gt;&lt;Year&gt;2002&lt;/Year&gt;&lt;RecNum&gt;760&lt;/RecNum&gt;&lt;DisplayText&gt;Kahn (2002)&lt;/DisplayText&gt;&lt;record&gt;&lt;rec-number&gt;760&lt;/rec-number&gt;&lt;foreign-keys&gt;&lt;key app="EN" db-id="9tzf2rda8re2a9es5tuxart3swzx2zws2s02" timestamp="1503235737"&gt;760&lt;/key&gt;&lt;/foreign-keys&gt;&lt;ref-type name="Journal Article"&gt;17&lt;/ref-type&gt;&lt;contributors&gt;&lt;authors&gt;&lt;author&gt;Kahn, Robert L.&lt;/author&gt;&lt;/authors&gt;&lt;/contributors&gt;&lt;titles&gt;&lt;title&gt;On &amp;quot;Successful Aging and Well-Being: Self-Rated Compared With Rowe and Kahn&amp;quot;&lt;/title&gt;&lt;secondary-title&gt;The Gerontologist&lt;/secondary-title&gt;&lt;/titles&gt;&lt;periodical&gt;&lt;full-title&gt;The Gerontologist&lt;/full-title&gt;&lt;abbr-1&gt;Gerontologist&lt;/abbr-1&gt;&lt;/periodical&gt;&lt;pages&gt;725-726&lt;/pages&gt;&lt;volume&gt;42&lt;/volume&gt;&lt;number&gt;6&lt;/number&gt;&lt;dates&gt;&lt;year&gt;2002&lt;/year&gt;&lt;/dates&gt;&lt;isbn&gt;0016-9013&lt;/isbn&gt;&lt;urls&gt;&lt;related-urls&gt;&lt;url&gt;http://dx.doi.org/10.1093/geront/42.6.725&lt;/url&gt;&lt;/related-urls&gt;&lt;/urls&gt;&lt;electronic-resource-num&gt;10.1093/geront/42.6.725&lt;/electronic-resource-num&gt;&lt;/record&gt;&lt;/Cite&gt;&lt;/EndNote&gt;</w:instrText>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Kahn (2002)</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argues, that their model sought to stimulate further research on the heterogeneity of ageing among older people and its genetic, psychosocial, and environmental determinants.  They also hoped their highlights on lifestyle factors would influence people’s behaviour positively towards ageing well.  </w:t>
      </w:r>
    </w:p>
    <w:p w14:paraId="7177F67E"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Despite its substantial contributions to the successful ageing discourse, the Rowe and Kahn model has been criticised for</w:t>
      </w:r>
      <w:r w:rsidRPr="00000849">
        <w:rPr>
          <w:rFonts w:asciiTheme="minorHAnsi" w:hAnsiTheme="minorHAnsi" w:cstheme="minorHAnsi"/>
          <w:noProof/>
          <w:color w:val="383838"/>
        </w:rPr>
        <w:t xml:space="preserve"> conceptualizing ageing from the perspective of Western, white, middle class subjects whose values may be different from those from other cultures </w:t>
      </w:r>
      <w:r w:rsidRPr="00000849">
        <w:rPr>
          <w:rFonts w:asciiTheme="minorHAnsi" w:hAnsiTheme="minorHAnsi" w:cstheme="minorHAnsi"/>
          <w:noProof/>
          <w:color w:val="383838"/>
        </w:rPr>
        <w:fldChar w:fldCharType="begin"/>
      </w:r>
      <w:r w:rsidRPr="00000849">
        <w:rPr>
          <w:rFonts w:asciiTheme="minorHAnsi" w:hAnsiTheme="minorHAnsi" w:cstheme="minorHAnsi"/>
          <w:noProof/>
          <w:color w:val="383838"/>
        </w:rPr>
        <w:instrText xml:space="preserve"> ADDIN EN.CITE &lt;EndNote&gt;&lt;Cite&gt;&lt;Author&gt;Torres&lt;/Author&gt;&lt;Year&gt;1999&lt;/Year&gt;&lt;RecNum&gt;1075&lt;/RecNum&gt;&lt;DisplayText&gt;(Torres, 1999)&lt;/DisplayText&gt;&lt;record&gt;&lt;rec-number&gt;1075&lt;/rec-number&gt;&lt;foreign-keys&gt;&lt;key app="EN" db-id="9tzf2rda8re2a9es5tuxart3swzx2zws2s02" timestamp="1557685524"&gt;1075&lt;/key&gt;&lt;/foreign-keys&gt;&lt;ref-type name="Journal Article"&gt;17&lt;/ref-type&gt;&lt;contributors&gt;&lt;authors&gt;&lt;author&gt;Torres, Sandra&lt;/author&gt;&lt;/authors&gt;&lt;/contributors&gt;&lt;titles&gt;&lt;title&gt;A culturally-relevant theoretical framework for the study of successful ageing&lt;/title&gt;&lt;secondary-title&gt;Ageing &amp;amp; Society&lt;/secondary-title&gt;&lt;/titles&gt;&lt;periodical&gt;&lt;full-title&gt;Ageing &amp;amp; Society&lt;/full-title&gt;&lt;/periodical&gt;&lt;pages&gt;33-51&lt;/pages&gt;&lt;volume&gt;19&lt;/volume&gt;&lt;number&gt;1&lt;/number&gt;&lt;dates&gt;&lt;year&gt;1999&lt;/year&gt;&lt;/dates&gt;&lt;isbn&gt;1469-1779&lt;/isbn&gt;&lt;urls&gt;&lt;/urls&gt;&lt;/record&gt;&lt;/Cite&gt;&lt;/EndNote&gt;</w:instrText>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(Torres, 1999)</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 AuthorYear="1"&gt;&lt;Author&gt;Martinson&lt;/Author&gt;&lt;Year&gt;2015&lt;/Year&gt;&lt;RecNum&gt;750&lt;/RecNum&gt;&lt;DisplayText&gt;Martinson and Berridge (2015)&lt;/DisplayText&gt;&lt;record&gt;&lt;rec-number&gt;750&lt;/rec-number&gt;&lt;foreign-keys&gt;&lt;key app="EN" db-id="9tzf2rda8re2a9es5tuxart3swzx2zws2s02" timestamp="1502840087"&gt;750&lt;/key&gt;&lt;/foreign-keys&gt;&lt;ref-type name="Journal Article"&gt;17&lt;/ref-type&gt;&lt;contributors&gt;&lt;authors&gt;&lt;author&gt;Martinson, Marty&lt;/author&gt;&lt;author&gt;Berridge, Clara&lt;/author&gt;&lt;/authors&gt;&lt;/contributors&gt;&lt;titles&gt;&lt;title&gt;Successful Aging and Its Discontents: A Systematic Review of the Social Gerontology Literature&lt;/title&gt;&lt;secondary-title&gt;The Gerontologist&lt;/secondary-title&gt;&lt;/titles&gt;&lt;periodical&gt;&lt;full-title&gt;The Gerontologist&lt;/full-title&gt;&lt;abbr-1&gt;Gerontologist&lt;/abbr-1&gt;&lt;/periodical&gt;&lt;pages&gt;58-69&lt;/pages&gt;&lt;volume&gt;55&lt;/volume&gt;&lt;number&gt;1&lt;/number&gt;&lt;dates&gt;&lt;year&gt;2015&lt;/year&gt;&lt;/dates&gt;&lt;isbn&gt;0016-9013&lt;/isbn&gt;&lt;urls&gt;&lt;related-urls&gt;&lt;url&gt;http://dx.doi.org/10.1093/geront/gnu037&lt;/url&gt;&lt;/related-urls&gt;&lt;/urls&gt;&lt;electronic-resource-num&gt;10.1093/geront/gnu037&lt;/electronic-resource-num&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Martinson and Berridge (2015)</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conducted a systematic review of peer-reviewed articles providing a critique of models on successful ageing published between January 1987 and December 2013.  They divided the 67 articles that met their inclusion criteria into four groups based on the recommendations made by the articles for addressing identified gaps.  </w:t>
      </w:r>
    </w:p>
    <w:p w14:paraId="223841A0" w14:textId="57F33849"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first group, Add and Stir, identified a very low prevalence of successful ageing based on Rowe and Khan model and proposed adding missing criteria to the baseline model.  The prevalence was 10.9%-11.9% among older American adults involved in the Health and Retirement longitudinal study in 1998-2004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&lt;EndNote&gt;&lt;Cite&gt;&lt;Author&gt;McLaughlin&lt;/Author&gt;&lt;Year&gt;2009&lt;/Year&gt;&lt;RecNum&gt;1066&lt;/RecNum&gt;&lt;DisplayText&gt;(McLaughlin et al., 2009)&lt;/DisplayText&gt;&lt;record&gt;&lt;rec-number&gt;1066&lt;/rec-number&gt;&lt;foreign-keys&gt;&lt;key app="EN" db-id="9tzf2rda8re2a9es5tuxart3swzx2zws2s02" timestamp="1557210666"&gt;1066&lt;/key&gt;&lt;/foreign-keys&gt;&lt;ref-type name="Journal Article"&gt;17&lt;/ref-type&gt;&lt;contributors&gt;&lt;authors&gt;&lt;author&gt;McLaughlin, Sara J.&lt;/author&gt;&lt;author&gt;Connell, Cathleen M&lt;/author&gt;&lt;author&gt;Heeringa, Steven G.&lt;/author&gt;&lt;author&gt;Li, Lydia W.&lt;/author&gt;&lt;author&gt;Roberts, J. Scott&lt;/author&gt;&lt;/authors&gt;&lt;/contributors&gt;&lt;titles&gt;&lt;title&gt;Successful Aging in the United States: Prevalence Estimates From a National Sample of Older Adults&lt;/title&gt;&lt;secondary-title&gt;The Journals of Gerontology: Series B&lt;/secondary-title&gt;&lt;/titles&gt;&lt;periodical&gt;&lt;full-title&gt;The Journals of Gerontology: Series B&lt;/full-title&gt;&lt;/periodical&gt;&lt;pages&gt;216-226&lt;/pages&gt;&lt;volume&gt;65B&lt;/volume&gt;&lt;number&gt;2&lt;/number&gt;&lt;dates&gt;&lt;year&gt;2009&lt;/year&gt;&lt;/dates&gt;&lt;isbn&gt;1079-5014&lt;/isbn&gt;&lt;urls&gt;&lt;related-urls&gt;&lt;url&gt;https://doi.org/10.1093/geronb/gbp101&lt;/url&gt;&lt;/related-urls&gt;&lt;/urls&gt;&lt;electronic-resource-num&gt;10.1093/geronb/gbp101&lt;/electronic-resource-num&gt;&lt;access-date&gt;5/7/2019&lt;/access-date&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 xml:space="preserve">(McLaughlin et </w:t>
      </w:r>
      <w:r w:rsidR="00431DA0" w:rsidRPr="00000849">
        <w:rPr>
          <w:rFonts w:asciiTheme="minorHAnsi" w:hAnsiTheme="minorHAnsi" w:cstheme="minorHAnsi"/>
          <w:noProof/>
          <w:color w:val="383838"/>
        </w:rPr>
        <w:lastRenderedPageBreak/>
        <w:t>al., 2009)</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rising up to 35.5% when model criteria were relaxed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&lt;EndNote&gt;&lt;Cite&gt;&lt;Author&gt;McLaughlin&lt;/Author&gt;&lt;Year&gt;2012&lt;/Year&gt;&lt;RecNum&gt;1067&lt;/RecNum&gt;&lt;DisplayText&gt;(McLaughlin et al., 2012)&lt;/DisplayText&gt;&lt;record&gt;&lt;rec-number&gt;1067&lt;/rec-number&gt;&lt;foreign-keys&gt;&lt;key app="EN" db-id="9tzf2rda8re2a9es5tuxart3swzx2zws2s02" timestamp="1557659536"&gt;1067&lt;/key&gt;&lt;/foreign-keys&gt;&lt;ref-type name="Journal Article"&gt;17&lt;/ref-type&gt;&lt;contributors&gt;&lt;authors&gt;&lt;author&gt;McLaughlin, Sara J.&lt;/author&gt;&lt;author&gt;Jette, Alan M.&lt;/author&gt;&lt;author&gt;Connell, Cathleen M&lt;/author&gt;&lt;/authors&gt;&lt;/contributors&gt;&lt;titles&gt;&lt;title&gt;An Examination of Healthy Aging Across a Conceptual Continuum: Prevalence Estimates, Demographic Patterns, and Validity&lt;/title&gt;&lt;secondary-title&gt;The Journals of Gerontology: Series A&lt;/secondary-title&gt;&lt;/titles&gt;&lt;periodical&gt;&lt;full-title&gt;The Journals of Gerontology: Series A&lt;/full-title&gt;&lt;/periodical&gt;&lt;pages&gt;783-789&lt;/pages&gt;&lt;volume&gt;67&lt;/volume&gt;&lt;number&gt;7&lt;/number&gt;&lt;dates&gt;&lt;year&gt;2012&lt;/year&gt;&lt;/dates&gt;&lt;isbn&gt;1079-5006&lt;/isbn&gt;&lt;urls&gt;&lt;related-urls&gt;&lt;url&gt;https://doi.org/10.1093/gerona/glr234&lt;/url&gt;&lt;/related-urls&gt;&lt;/urls&gt;&lt;electronic-resource-num&gt;10.1093/gerona/glr234&lt;/electronic-resource-num&gt;&lt;access-date&gt;5/12/2019&lt;/access-date&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(McLaughlin et al., 2012)</w:t>
      </w:r>
      <w:r w:rsidRPr="00000849">
        <w:rPr>
          <w:rFonts w:asciiTheme="minorHAnsi" w:hAnsiTheme="minorHAnsi" w:cstheme="minorHAnsi"/>
          <w:color w:val="383838"/>
        </w:rPr>
        <w:fldChar w:fldCharType="end"/>
      </w:r>
      <w:r w:rsidRPr="00000849">
        <w:rPr>
          <w:rFonts w:asciiTheme="minorHAnsi" w:hAnsiTheme="minorHAnsi" w:cstheme="minorHAnsi"/>
          <w:color w:val="383838"/>
        </w:rPr>
        <w:t>.  The model may therefore be too idealistic and rigorous to be useful for monitoring the health status of older adults</w:t>
      </w:r>
      <w:r w:rsidR="007100DE"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 </w:t>
      </w:r>
      <w:r w:rsidR="007100DE" w:rsidRPr="00000849">
        <w:rPr>
          <w:rFonts w:asciiTheme="minorHAnsi" w:hAnsiTheme="minorHAnsi" w:cstheme="minorHAnsi"/>
          <w:color w:val="383838"/>
        </w:rPr>
        <w:t xml:space="preserve">It </w:t>
      </w:r>
      <w:r w:rsidRPr="00000849">
        <w:rPr>
          <w:rFonts w:asciiTheme="minorHAnsi" w:hAnsiTheme="minorHAnsi" w:cstheme="minorHAnsi"/>
          <w:color w:val="383838"/>
        </w:rPr>
        <w:t>could benefit from additional multidimensional criteria such as spirituality, social functioning, cognitive well-functioning and emotional wellbeing  and life satisfaction.</w:t>
      </w:r>
    </w:p>
    <w:p w14:paraId="633A68B8" w14:textId="285C23EE"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noProof/>
          <w:color w:val="383838"/>
        </w:rPr>
      </w:pPr>
      <w:r w:rsidRPr="00000849">
        <w:rPr>
          <w:rFonts w:asciiTheme="minorHAnsi" w:hAnsiTheme="minorHAnsi" w:cstheme="minorHAnsi"/>
          <w:noProof/>
          <w:color w:val="383838"/>
        </w:rPr>
        <w:t xml:space="preserve">In the second group, Missing Voices, self-reported ratings of successful ageing by older subjects themselves tended to be higher than those derived from the Rowe and Khan model </w:t>
      </w:r>
      <w:r w:rsidRPr="00000849">
        <w:rPr>
          <w:rFonts w:asciiTheme="minorHAnsi" w:hAnsiTheme="minorHAnsi" w:cstheme="minorHAnsi"/>
          <w:noProof/>
          <w:color w:val="383838"/>
        </w:rPr>
        <w:fldChar w:fldCharType="begin">
          <w:fldData xml:space="preserve">PEVuZE5vdGU+PENpdGU+PEF1dGhvcj5QaGVsYW48L0F1dGhvcj48WWVhcj4yMDA0PC9ZZWFyPjxS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</w:fldData>
        </w:fldChar>
      </w:r>
      <w:r w:rsidR="00431DA0" w:rsidRPr="00000849">
        <w:rPr>
          <w:rFonts w:asciiTheme="minorHAnsi" w:hAnsiTheme="minorHAnsi" w:cstheme="minorHAnsi"/>
          <w:noProof/>
          <w:color w:val="383838"/>
        </w:rPr>
        <w:instrText xml:space="preserve"> ADDIN EN.CITE </w:instrText>
      </w:r>
      <w:r w:rsidR="00431DA0" w:rsidRPr="00000849">
        <w:rPr>
          <w:rFonts w:asciiTheme="minorHAnsi" w:hAnsiTheme="minorHAnsi" w:cstheme="minorHAnsi"/>
          <w:noProof/>
          <w:color w:val="383838"/>
        </w:rPr>
        <w:fldChar w:fldCharType="begin">
          <w:fldData xml:space="preserve">PEVuZE5vdGU+PENpdGU+PEF1dGhvcj5QaGVsYW48L0F1dGhvcj48WWVhcj4yMDA0PC9ZZWFyPjxS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</w:fldData>
        </w:fldChar>
      </w:r>
      <w:r w:rsidR="00431DA0" w:rsidRPr="00000849">
        <w:rPr>
          <w:rFonts w:asciiTheme="minorHAnsi" w:hAnsiTheme="minorHAnsi" w:cstheme="minorHAnsi"/>
          <w:noProof/>
          <w:color w:val="383838"/>
        </w:rPr>
        <w:instrText xml:space="preserve"> ADDIN EN.CITE.DATA </w:instrText>
      </w:r>
      <w:r w:rsidR="00431DA0" w:rsidRPr="00000849">
        <w:rPr>
          <w:rFonts w:asciiTheme="minorHAnsi" w:hAnsiTheme="minorHAnsi" w:cstheme="minorHAnsi"/>
          <w:noProof/>
          <w:color w:val="383838"/>
        </w:rPr>
      </w:r>
      <w:r w:rsidR="00431DA0"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r>
      <w:r w:rsidRPr="00000849">
        <w:rPr>
          <w:rFonts w:asciiTheme="minorHAnsi" w:hAnsiTheme="minorHAnsi" w:cstheme="minorHAnsi"/>
          <w:noProof/>
          <w:color w:val="383838"/>
        </w:rPr>
        <w:fldChar w:fldCharType="separate"/>
      </w:r>
      <w:r w:rsidR="00431DA0" w:rsidRPr="00000849">
        <w:rPr>
          <w:rFonts w:asciiTheme="minorHAnsi" w:hAnsiTheme="minorHAnsi" w:cstheme="minorHAnsi"/>
          <w:noProof/>
          <w:color w:val="383838"/>
        </w:rPr>
        <w:t>(Phelan et al., 2004; Strawbridge et al., 2002)</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In one study, whereas only 5% of community-based adults aged ≥60 years met the Rowe and Khan criteria, 92% rated themselves as ageing successfully </w:t>
      </w:r>
      <w:r w:rsidRPr="00000849">
        <w:rPr>
          <w:rFonts w:asciiTheme="minorHAnsi" w:hAnsiTheme="minorHAnsi" w:cstheme="minorHAnsi"/>
          <w:noProof/>
          <w:color w:val="383838"/>
        </w:rPr>
        <w:fldChar w:fldCharType="begin"/>
      </w:r>
      <w:r w:rsidRPr="00000849">
        <w:rPr>
          <w:rFonts w:asciiTheme="minorHAnsi" w:hAnsiTheme="minorHAnsi" w:cstheme="minorHAnsi"/>
          <w:noProof/>
          <w:color w:val="383838"/>
        </w:rPr>
        <w:instrText xml:space="preserve"> ADDIN EN.CITE &lt;EndNote&gt;&lt;Cite&gt;&lt;Author&gt;Montross&lt;/Author&gt;&lt;Year&gt;2006&lt;/Year&gt;&lt;RecNum&gt;1064&lt;/RecNum&gt;&lt;DisplayText&gt;(Montross et al., 2006)&lt;/DisplayText&gt;&lt;record&gt;&lt;rec-number&gt;1064&lt;/rec-number&gt;&lt;foreign-keys&gt;&lt;key app="EN" db-id="9tzf2rda8re2a9es5tuxart3swzx2zws2s02" timestamp="1557210145"&gt;1064&lt;/key&gt;&lt;/foreign-keys&gt;&lt;ref-type name="Journal Article"&gt;17&lt;/ref-type&gt;&lt;contributors&gt;&lt;authors&gt;&lt;author&gt;Montross, Lori P&lt;/author&gt;&lt;author&gt;Depp, Colin&lt;/author&gt;&lt;author&gt;Daly, John&lt;/author&gt;&lt;author&gt;Reichstadt, Jennifer&lt;/author&gt;&lt;author&gt;Golshan, Shahrokh&lt;/author&gt;&lt;author&gt;Moore, David&lt;/author&gt;&lt;author&gt;Sitzer, David&lt;/author&gt;&lt;author&gt;Jeste, Dilip V&lt;/author&gt;&lt;/authors&gt;&lt;/contributors&gt;&lt;titles&gt;&lt;title&gt;Correlates of self-rated successful aging among community-dwelling older adults&lt;/title&gt;&lt;secondary-title&gt;The American Journal of Geriatric Psychiatry&lt;/secondary-title&gt;&lt;/titles&gt;&lt;periodical&gt;&lt;full-title&gt;The American Journal of Geriatric Psychiatry&lt;/full-title&gt;&lt;/periodical&gt;&lt;pages&gt;43-51&lt;/pages&gt;&lt;volume&gt;14&lt;/volume&gt;&lt;number&gt;1&lt;/number&gt;&lt;dates&gt;&lt;year&gt;2006&lt;/year&gt;&lt;/dates&gt;&lt;isbn&gt;1064-7481&lt;/isbn&gt;&lt;urls&gt;&lt;/urls&gt;&lt;/record&gt;&lt;/Cite&gt;&lt;/EndNote&gt;</w:instrText>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(Montross et al., 2006)</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w:t>
      </w:r>
      <w:r w:rsidR="007100DE" w:rsidRPr="00000849">
        <w:rPr>
          <w:rFonts w:asciiTheme="minorHAnsi" w:hAnsiTheme="minorHAnsi" w:cstheme="minorHAnsi"/>
          <w:noProof/>
          <w:color w:val="383838"/>
        </w:rPr>
        <w:t xml:space="preserve">Thus, </w:t>
      </w:r>
      <w:r w:rsidRPr="00000849">
        <w:rPr>
          <w:rFonts w:asciiTheme="minorHAnsi" w:hAnsiTheme="minorHAnsi" w:cstheme="minorHAnsi"/>
          <w:noProof/>
          <w:color w:val="383838"/>
        </w:rPr>
        <w:t>older subjects can feel successful despite suffering physical ill-health</w:t>
      </w:r>
      <w:r w:rsidR="007100DE" w:rsidRPr="00000849">
        <w:rPr>
          <w:rFonts w:asciiTheme="minorHAnsi" w:hAnsiTheme="minorHAnsi" w:cstheme="minorHAnsi"/>
          <w:noProof/>
          <w:color w:val="383838"/>
        </w:rPr>
        <w:t xml:space="preserve"> and so </w:t>
      </w:r>
      <w:r w:rsidRPr="00000849">
        <w:rPr>
          <w:rFonts w:asciiTheme="minorHAnsi" w:hAnsiTheme="minorHAnsi" w:cstheme="minorHAnsi"/>
          <w:noProof/>
          <w:color w:val="383838"/>
        </w:rPr>
        <w:t xml:space="preserve">it is important to include both subjective and objective criteria in constructing sucessful ageing models </w:t>
      </w:r>
      <w:r w:rsidRPr="00000849">
        <w:rPr>
          <w:rFonts w:asciiTheme="minorHAnsi" w:hAnsiTheme="minorHAnsi" w:cstheme="minorHAnsi"/>
          <w:noProof/>
          <w:color w:val="383838"/>
        </w:rPr>
        <w:fldChar w:fldCharType="begin"/>
      </w:r>
      <w:r w:rsidR="00431DA0" w:rsidRPr="00000849">
        <w:rPr>
          <w:rFonts w:asciiTheme="minorHAnsi" w:hAnsiTheme="minorHAnsi" w:cstheme="minorHAnsi"/>
          <w:noProof/>
          <w:color w:val="383838"/>
        </w:rPr>
        <w:instrText xml:space="preserve"> ADDIN EN.CITE &lt;EndNote&gt;&lt;Cite&gt;&lt;Author&gt;Pruchno&lt;/Author&gt;&lt;Year&gt;2010&lt;/Year&gt;&lt;RecNum&gt;1065&lt;/RecNum&gt;&lt;DisplayText&gt;(Pruchno et al., 2010)&lt;/DisplayText&gt;&lt;record&gt;&lt;rec-number&gt;1065&lt;/rec-number&gt;&lt;foreign-keys&gt;&lt;key app="EN" db-id="9tzf2rda8re2a9es5tuxart3swzx2zws2s02" timestamp="1557210629"&gt;1065&lt;/key&gt;&lt;/foreign-keys&gt;&lt;ref-type name="Journal Article"&gt;17&lt;/ref-type&gt;&lt;contributors&gt;&lt;authors&gt;&lt;author&gt;Pruchno, Rachel A.&lt;/author&gt;&lt;author&gt;Wilson-Genderson, Maureen&lt;/author&gt;&lt;author&gt;Cartwright, Francine&lt;/author&gt;&lt;/authors&gt;&lt;/contributors&gt;&lt;titles&gt;&lt;title&gt;A Two-Factor Model of Successful Aging&lt;/title&gt;&lt;secondary-title&gt;The Journals of Gerontology: Series B&lt;/secondary-title&gt;&lt;/titles&gt;&lt;periodical&gt;&lt;full-title&gt;The Journals of Gerontology: Series B&lt;/full-title&gt;&lt;/periodical&gt;&lt;pages&gt;671-679&lt;/pages&gt;&lt;volume&gt;65B&lt;/volume&gt;&lt;number&gt;6&lt;/number&gt;&lt;dates&gt;&lt;year&gt;2010&lt;/year&gt;&lt;/dates&gt;&lt;isbn&gt;1079-5014&lt;/isbn&gt;&lt;urls&gt;&lt;related-urls&gt;&lt;url&gt;https://doi.org/10.1093/geronb/gbq051&lt;/url&gt;&lt;/related-urls&gt;&lt;/urls&gt;&lt;electronic-resource-num&gt;10.1093/geronb/gbq051&lt;/electronic-resource-num&gt;&lt;access-date&gt;5/7/2019&lt;/access-date&gt;&lt;/record&gt;&lt;/Cite&gt;&lt;/EndNote&gt;</w:instrText>
      </w:r>
      <w:r w:rsidRPr="00000849">
        <w:rPr>
          <w:rFonts w:asciiTheme="minorHAnsi" w:hAnsiTheme="minorHAnsi" w:cstheme="minorHAnsi"/>
          <w:noProof/>
          <w:color w:val="383838"/>
        </w:rPr>
        <w:fldChar w:fldCharType="separate"/>
      </w:r>
      <w:r w:rsidR="00431DA0" w:rsidRPr="00000849">
        <w:rPr>
          <w:rFonts w:asciiTheme="minorHAnsi" w:hAnsiTheme="minorHAnsi" w:cstheme="minorHAnsi"/>
          <w:noProof/>
          <w:color w:val="383838"/>
        </w:rPr>
        <w:t>(Pruchno et al., 2010)</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w:t>
      </w:r>
    </w:p>
    <w:p w14:paraId="52D053A1"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noProof/>
          <w:color w:val="383838"/>
        </w:rPr>
      </w:pPr>
      <w:r w:rsidRPr="00000849">
        <w:rPr>
          <w:rFonts w:asciiTheme="minorHAnsi" w:hAnsiTheme="minorHAnsi" w:cstheme="minorHAnsi"/>
          <w:noProof/>
          <w:color w:val="383838"/>
        </w:rPr>
        <w:t xml:space="preserve">The third group, the Hard Hitting category, criticised the Rowe and Khan model as being individualistic and medical in focus </w:t>
      </w:r>
      <w:r w:rsidRPr="00000849">
        <w:rPr>
          <w:rFonts w:asciiTheme="minorHAnsi" w:hAnsiTheme="minorHAnsi" w:cstheme="minorHAnsi"/>
          <w:noProof/>
          <w:color w:val="383838"/>
        </w:rPr>
        <w:fldChar w:fldCharType="begin"/>
      </w:r>
      <w:r w:rsidRPr="00000849">
        <w:rPr>
          <w:rFonts w:asciiTheme="minorHAnsi" w:hAnsiTheme="minorHAnsi" w:cstheme="minorHAnsi"/>
          <w:noProof/>
          <w:color w:val="383838"/>
        </w:rPr>
        <w:instrText xml:space="preserve"> ADDIN EN.CITE &lt;EndNote&gt;&lt;Cite&gt;&lt;Author&gt;Calasanti&lt;/Author&gt;&lt;Year&gt;2015&lt;/Year&gt;&lt;RecNum&gt;1077&lt;/RecNum&gt;&lt;DisplayText&gt;(Calasanti, 2015)&lt;/DisplayText&gt;&lt;record&gt;&lt;rec-number&gt;1077&lt;/rec-number&gt;&lt;foreign-keys&gt;&lt;key app="EN" db-id="9tzf2rda8re2a9es5tuxart3swzx2zws2s02" timestamp="1557686233"&gt;1077&lt;/key&gt;&lt;/foreign-keys&gt;&lt;ref-type name="Journal Article"&gt;17&lt;/ref-type&gt;&lt;contributors&gt;&lt;authors&gt;&lt;author&gt;Calasanti, Toni&lt;/author&gt;&lt;/authors&gt;&lt;/contributors&gt;&lt;titles&gt;&lt;title&gt;Combating Ageism: How Successful Is Successful Aging?&lt;/title&gt;&lt;secondary-title&gt;The Gerontologist&lt;/secondary-title&gt;&lt;/titles&gt;&lt;periodical&gt;&lt;full-title&gt;The Gerontologist&lt;/full-title&gt;&lt;abbr-1&gt;Gerontologist&lt;/abbr-1&gt;&lt;/periodical&gt;&lt;pages&gt;1093-1101&lt;/pages&gt;&lt;volume&gt;56&lt;/volume&gt;&lt;number&gt;6&lt;/number&gt;&lt;dates&gt;&lt;year&gt;2015&lt;/year&gt;&lt;/dates&gt;&lt;isbn&gt;0016-9013&lt;/isbn&gt;&lt;urls&gt;&lt;related-urls&gt;&lt;url&gt;https://doi.org/10.1093/geront/gnv076&lt;/url&gt;&lt;/related-urls&gt;&lt;/urls&gt;&lt;electronic-resource-num&gt;10.1093/geront/gnv076&lt;/electronic-resource-num&gt;&lt;access-date&gt;5/12/2019&lt;/access-date&gt;&lt;/record&gt;&lt;/Cite&gt;&lt;/EndNote&gt;</w:instrText>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(Calasanti, 2015)</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They discounted the assertion that individuals could influence their ageing process through the adoption of healthy lifestyles as one that ignored the socio-cultural, historical factors and economic realities faced by disadvantaged social groups whose circumstances make them less likely to age successfully </w:t>
      </w:r>
      <w:r w:rsidRPr="00000849">
        <w:rPr>
          <w:rFonts w:asciiTheme="minorHAnsi" w:hAnsiTheme="minorHAnsi" w:cstheme="minorHAnsi"/>
          <w:noProof/>
          <w:color w:val="383838"/>
        </w:rPr>
        <w:fldChar w:fldCharType="begin">
          <w:fldData xml:space="preserve">PEVuZE5vdGU+PENpdGU+PEF1dGhvcj5EaWxsYXdheTwvQXV0aG9yPjxZZWFyPjIwMDk8L1llYXI+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=
</w:fldData>
        </w:fldChar>
      </w:r>
      <w:r w:rsidRPr="00000849">
        <w:rPr>
          <w:rFonts w:asciiTheme="minorHAnsi" w:hAnsiTheme="minorHAnsi" w:cstheme="minorHAnsi"/>
          <w:noProof/>
          <w:color w:val="383838"/>
        </w:rPr>
        <w:instrText xml:space="preserve"> ADDIN EN.CITE </w:instrText>
      </w:r>
      <w:r w:rsidRPr="00000849">
        <w:rPr>
          <w:rFonts w:asciiTheme="minorHAnsi" w:hAnsiTheme="minorHAnsi" w:cstheme="minorHAnsi"/>
          <w:noProof/>
          <w:color w:val="383838"/>
        </w:rPr>
        <w:fldChar w:fldCharType="begin">
          <w:fldData xml:space="preserve">PEVuZE5vdGU+PENpdGU+PEF1dGhvcj5EaWxsYXdheTwvQXV0aG9yPjxZZWFyPjIwMDk8L1llYXI+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=
</w:fldData>
        </w:fldChar>
      </w:r>
      <w:r w:rsidRPr="00000849">
        <w:rPr>
          <w:rFonts w:asciiTheme="minorHAnsi" w:hAnsiTheme="minorHAnsi" w:cstheme="minorHAnsi"/>
          <w:noProof/>
          <w:color w:val="383838"/>
        </w:rPr>
        <w:instrText xml:space="preserve"> ADDIN EN.CITE.DATA </w:instrText>
      </w:r>
      <w:r w:rsidRPr="00000849">
        <w:rPr>
          <w:rFonts w:asciiTheme="minorHAnsi" w:hAnsiTheme="minorHAnsi" w:cstheme="minorHAnsi"/>
          <w:noProof/>
          <w:color w:val="383838"/>
        </w:rPr>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(Dillaway &amp; Byrnes, 2009; Katz &amp; Calasanti, 2015)</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w:t>
      </w:r>
    </w:p>
    <w:p w14:paraId="1D2519D6" w14:textId="191B6626"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noProof/>
          <w:color w:val="383838"/>
        </w:rPr>
      </w:pPr>
      <w:r w:rsidRPr="00000849">
        <w:rPr>
          <w:rFonts w:asciiTheme="minorHAnsi" w:hAnsiTheme="minorHAnsi" w:cstheme="minorHAnsi"/>
          <w:noProof/>
          <w:color w:val="383838"/>
        </w:rPr>
        <w:t xml:space="preserve">The fourth group of critiques, the </w:t>
      </w:r>
      <w:r w:rsidRPr="00000849">
        <w:rPr>
          <w:rFonts w:asciiTheme="minorHAnsi" w:hAnsiTheme="minorHAnsi" w:cstheme="minorHAnsi"/>
          <w:color w:val="383838"/>
        </w:rPr>
        <w:t xml:space="preserve">New Frames and Names, basically rejected the philosophy of successful ageing, characterising it as being ageist, exclusionary and unrealistic.  The critics proposed a more holistic concept of successful ageing that gives all individuals equal chance of ageing with dignity, while acknowledging its spiritual </w:t>
      </w:r>
      <w:r w:rsidRPr="00000849">
        <w:rPr>
          <w:rFonts w:asciiTheme="minorHAnsi" w:hAnsiTheme="minorHAnsi" w:cstheme="minorHAnsi"/>
          <w:color w:val="383838"/>
        </w:rPr>
        <w:lastRenderedPageBreak/>
        <w:t xml:space="preserve">dimension.  They proposed </w:t>
      </w:r>
      <w:r w:rsidRPr="00000849">
        <w:rPr>
          <w:rFonts w:asciiTheme="minorHAnsi" w:hAnsiTheme="minorHAnsi" w:cstheme="minorHAnsi"/>
          <w:noProof/>
          <w:color w:val="383838"/>
        </w:rPr>
        <w:t xml:space="preserve">more inclusive </w:t>
      </w:r>
      <w:r w:rsidRPr="00000849">
        <w:rPr>
          <w:rFonts w:asciiTheme="minorHAnsi" w:hAnsiTheme="minorHAnsi" w:cstheme="minorHAnsi"/>
          <w:color w:val="383838"/>
        </w:rPr>
        <w:t xml:space="preserve">themes such as </w:t>
      </w:r>
      <w:r w:rsidRPr="00000849">
        <w:rPr>
          <w:rFonts w:asciiTheme="minorHAnsi" w:hAnsiTheme="minorHAnsi" w:cstheme="minorHAnsi"/>
          <w:noProof/>
          <w:color w:val="383838"/>
        </w:rPr>
        <w:t xml:space="preserve">balanced ageing, harmonious ageing, and resilient ageing </w:t>
      </w:r>
      <w:r w:rsidRPr="00000849">
        <w:rPr>
          <w:rFonts w:asciiTheme="minorHAnsi" w:hAnsiTheme="minorHAnsi" w:cstheme="minorHAnsi"/>
          <w:noProof/>
          <w:color w:val="383838"/>
        </w:rPr>
        <w:fldChar w:fldCharType="begin"/>
      </w:r>
      <w:r w:rsidR="00431DA0" w:rsidRPr="00000849">
        <w:rPr>
          <w:rFonts w:asciiTheme="minorHAnsi" w:hAnsiTheme="minorHAnsi" w:cstheme="minorHAnsi"/>
          <w:noProof/>
          <w:color w:val="383838"/>
        </w:rPr>
        <w:instrText xml:space="preserve"> ADDIN EN.CITE &lt;EndNote&gt;&lt;Cite&gt;&lt;Author&gt;Harris&lt;/Author&gt;&lt;Year&gt;2008&lt;/Year&gt;&lt;RecNum&gt;1078&lt;/RecNum&gt;&lt;DisplayText&gt;(Butler et al., 2011; Harris, 2008)&lt;/DisplayText&gt;&lt;record&gt;&lt;rec-number&gt;1078&lt;/rec-number&gt;&lt;foreign-keys&gt;&lt;key app="EN" db-id="9tzf2rda8re2a9es5tuxart3swzx2zws2s02" timestamp="1557719220"&gt;1078&lt;/key&gt;&lt;/foreign-keys&gt;&lt;ref-type name="Journal Article"&gt;17&lt;/ref-type&gt;&lt;contributors&gt;&lt;authors&gt;&lt;author&gt;Harris, Phyllis Braudy&lt;/author&gt;&lt;/authors&gt;&lt;/contributors&gt;&lt;titles&gt;&lt;title&gt;Another Wrinkle in the Debate about Successful Aging: The Undervalued Concept of Resilience and the Lived Experience of Dementia&lt;/title&gt;&lt;secondary-title&gt;The International Journal of Aging and Human Development&lt;/secondary-title&gt;&lt;/titles&gt;&lt;periodical&gt;&lt;full-title&gt;The International Journal of Aging and Human Development&lt;/full-title&gt;&lt;abbr-1&gt;The International Journal of Aging and Human Development&lt;/abbr-1&gt;&lt;/periodical&gt;&lt;pages&gt;43-61&lt;/pages&gt;&lt;volume&gt;67&lt;/volume&gt;&lt;number&gt;1&lt;/number&gt;&lt;keywords&gt;&lt;keyword&gt;Medicine&lt;/keyword&gt;&lt;keyword&gt;Social Welfare &amp;amp; Social Work&lt;/keyword&gt;&lt;/keywords&gt;&lt;dates&gt;&lt;year&gt;2008&lt;/year&gt;&lt;/dates&gt;&lt;isbn&gt;0091-4150&lt;/isbn&gt;&lt;urls&gt;&lt;/urls&gt;&lt;electronic-resource-num&gt;10.2190/AG.67.1.c&lt;/electronic-resource-num&gt;&lt;/record&gt;&lt;/Cite&gt;&lt;Cite&gt;&lt;Author&gt;Butler&lt;/Author&gt;&lt;Year&gt;2011&lt;/Year&gt;&lt;RecNum&gt;1081&lt;/RecNum&gt;&lt;record&gt;&lt;rec-number&gt;1081&lt;/rec-number&gt;&lt;foreign-keys&gt;&lt;key app="EN" db-id="9tzf2rda8re2a9es5tuxart3swzx2zws2s02" timestamp="1557721404"&gt;1081&lt;/key&gt;&lt;/foreign-keys&gt;&lt;ref-type name="Journal Article"&gt;17&lt;/ref-type&gt;&lt;contributors&gt;&lt;authors&gt;&lt;author&gt;Butler, James&lt;/author&gt;&lt;author&gt;Fujii, Masahiko&lt;/author&gt;&lt;author&gt;Sasaki, Hidetada&lt;/author&gt;&lt;/authors&gt;&lt;/contributors&gt;&lt;titles&gt;&lt;title&gt;Balanced aging, or successful aging?&lt;/title&gt;&lt;secondary-title&gt;Geriatrics and Gerontology International&lt;/secondary-title&gt;&lt;/titles&gt;&lt;periodical&gt;&lt;full-title&gt;Geriatrics and Gerontology International&lt;/full-title&gt;&lt;/periodical&gt;&lt;pages&gt;1-2&lt;/pages&gt;&lt;volume&gt;11&lt;/volume&gt;&lt;number&gt;1&lt;/number&gt;&lt;dates&gt;&lt;year&gt;2011&lt;/year&gt;&lt;/dates&gt;&lt;isbn&gt;1444-1586&lt;/isbn&gt;&lt;urls&gt;&lt;/urls&gt;&lt;/record&gt;&lt;/Cite&gt;&lt;/EndNote&gt;</w:instrText>
      </w:r>
      <w:r w:rsidRPr="00000849">
        <w:rPr>
          <w:rFonts w:asciiTheme="minorHAnsi" w:hAnsiTheme="minorHAnsi" w:cstheme="minorHAnsi"/>
          <w:noProof/>
          <w:color w:val="383838"/>
        </w:rPr>
        <w:fldChar w:fldCharType="separate"/>
      </w:r>
      <w:r w:rsidR="00431DA0" w:rsidRPr="00000849">
        <w:rPr>
          <w:rFonts w:asciiTheme="minorHAnsi" w:hAnsiTheme="minorHAnsi" w:cstheme="minorHAnsi"/>
          <w:noProof/>
          <w:color w:val="383838"/>
        </w:rPr>
        <w:t>(Butler et al., 2011; Harris, 2008)</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w:t>
      </w:r>
    </w:p>
    <w:p w14:paraId="335CF21F"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noProof/>
          <w:color w:val="383838"/>
        </w:rPr>
      </w:pPr>
      <w:r w:rsidRPr="00000849">
        <w:rPr>
          <w:rFonts w:asciiTheme="minorHAnsi" w:hAnsiTheme="minorHAnsi" w:cstheme="minorHAnsi"/>
          <w:noProof/>
          <w:color w:val="383838"/>
        </w:rPr>
        <w:t xml:space="preserve">In their response to these criticisms, </w:t>
      </w:r>
      <w:r w:rsidRPr="00000849">
        <w:rPr>
          <w:rFonts w:asciiTheme="minorHAnsi" w:hAnsiTheme="minorHAnsi" w:cstheme="minorHAnsi"/>
          <w:noProof/>
          <w:color w:val="383838"/>
        </w:rPr>
        <w:fldChar w:fldCharType="begin"/>
      </w:r>
      <w:r w:rsidRPr="00000849">
        <w:rPr>
          <w:rFonts w:asciiTheme="minorHAnsi" w:hAnsiTheme="minorHAnsi" w:cstheme="minorHAnsi"/>
          <w:noProof/>
          <w:color w:val="383838"/>
        </w:rPr>
        <w:instrText xml:space="preserve"> ADDIN EN.CITE &lt;EndNote&gt;&lt;Cite AuthorYear="1"&gt;&lt;Author&gt;Rowe&lt;/Author&gt;&lt;Year&gt;2015&lt;/Year&gt;&lt;RecNum&gt;1052&lt;/RecNum&gt;&lt;DisplayText&gt;Rowe and Kahn (2015)&lt;/DisplayText&gt;&lt;record&gt;&lt;rec-number&gt;1052&lt;/rec-number&gt;&lt;foreign-keys&gt;&lt;key app="EN" db-id="9tzf2rda8re2a9es5tuxart3swzx2zws2s02" timestamp="1556965133"&gt;1052&lt;/key&gt;&lt;/foreign-keys&gt;&lt;ref-type name="Journal Article"&gt;17&lt;/ref-type&gt;&lt;contributors&gt;&lt;authors&gt;&lt;author&gt;Rowe, John W&lt;/author&gt;&lt;author&gt;Kahn, Robert L&lt;/author&gt;&lt;/authors&gt;&lt;/contributors&gt;&lt;titles&gt;&lt;title&gt;Successful aging 2.0: Conceptual expansions for the 21st century&lt;/title&gt;&lt;secondary-title&gt;The Journals of Gerontology: Series B&lt;/secondary-title&gt;&lt;/titles&gt;&lt;periodical&gt;&lt;full-title&gt;The Journals of Gerontology: Series B&lt;/full-title&gt;&lt;/periodical&gt;&lt;pages&gt;593-596&lt;/pages&gt;&lt;volume&gt;70&lt;/volume&gt;&lt;number&gt;4&lt;/number&gt;&lt;dates&gt;&lt;year&gt;2015&lt;/year&gt;&lt;/dates&gt;&lt;isbn&gt;1079-5014&lt;/isbn&gt;&lt;urls&gt;&lt;/urls&gt;&lt;/record&gt;&lt;/Cite&gt;&lt;/EndNote&gt;</w:instrText>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Rowe and Kahn (2015)</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challenged the criticism that their model was too biomedical and indicated that their work involved 16 scholars drawn various ageing-related disciplines.  They acknowledged that their model had not been explicit about the role of socioeconomic factors and family structure on the capacity of individuals to age successfully.</w:t>
      </w:r>
    </w:p>
    <w:p w14:paraId="0FC15EC4" w14:textId="173A955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noProof/>
          <w:color w:val="383838"/>
        </w:rPr>
      </w:pPr>
      <w:r w:rsidRPr="00000849">
        <w:rPr>
          <w:rFonts w:asciiTheme="minorHAnsi" w:hAnsiTheme="minorHAnsi" w:cstheme="minorHAnsi"/>
          <w:noProof/>
          <w:color w:val="383838"/>
        </w:rPr>
        <w:t>Other criticisms of the Rowe and Khan’s successful ageing model are that it downplays the importance of genetics and species</w:t>
      </w:r>
      <w:r w:rsidRPr="00000849">
        <w:rPr>
          <w:rFonts w:ascii="Cambria Math" w:hAnsi="Cambria Math" w:cs="Cambria Math"/>
          <w:noProof/>
          <w:color w:val="383838"/>
        </w:rPr>
        <w:t>‑</w:t>
      </w:r>
      <w:r w:rsidRPr="00000849">
        <w:rPr>
          <w:rFonts w:asciiTheme="minorHAnsi" w:hAnsiTheme="minorHAnsi" w:cstheme="minorHAnsi"/>
          <w:noProof/>
          <w:color w:val="383838"/>
        </w:rPr>
        <w:t xml:space="preserve">determined deterioration in late life and endorses a “fortunate elite” who age successfully while neglecting or even blaming those who are less fortunate </w:t>
      </w:r>
      <w:r w:rsidRPr="00000849">
        <w:rPr>
          <w:rFonts w:asciiTheme="minorHAnsi" w:hAnsiTheme="minorHAnsi" w:cstheme="minorHAnsi"/>
          <w:noProof/>
          <w:color w:val="383838"/>
        </w:rPr>
        <w:fldChar w:fldCharType="begin"/>
      </w:r>
      <w:r w:rsidRPr="00000849">
        <w:rPr>
          <w:rFonts w:asciiTheme="minorHAnsi" w:hAnsiTheme="minorHAnsi" w:cstheme="minorHAnsi"/>
          <w:noProof/>
          <w:color w:val="383838"/>
        </w:rPr>
        <w:instrText xml:space="preserve"> ADDIN EN.CITE &lt;EndNote&gt;&lt;Cite&gt;&lt;Author&gt;Masoro&lt;/Author&gt;&lt;Year&gt;2001&lt;/Year&gt;&lt;RecNum&gt;758&lt;/RecNum&gt;&lt;DisplayText&gt;(Masoro, 2001)&lt;/DisplayText&gt;&lt;record&gt;&lt;rec-number&gt;758&lt;/rec-number&gt;&lt;foreign-keys&gt;&lt;key app="EN" db-id="9tzf2rda8re2a9es5tuxart3swzx2zws2s02" timestamp="1503234590"&gt;758&lt;/key&gt;&lt;/foreign-keys&gt;&lt;ref-type name="Journal Article"&gt;17&lt;/ref-type&gt;&lt;contributors&gt;&lt;authors&gt;&lt;author&gt;Masoro, Edward J&lt;/author&gt;&lt;/authors&gt;&lt;/contributors&gt;&lt;titles&gt;&lt;title&gt;&amp;quot; Successful aging&amp;quot;-Useful or misleading concept?&lt;/title&gt;&lt;secondary-title&gt;Gerontologist&lt;/secondary-title&gt;&lt;/titles&gt;&lt;periodical&gt;&lt;full-title&gt;The Gerontologist&lt;/full-title&gt;&lt;abbr-1&gt;Gerontologist&lt;/abbr-1&gt;&lt;/periodical&gt;&lt;pages&gt;415-418&lt;/pages&gt;&lt;volume&gt;41&lt;/volume&gt;&lt;number&gt;3&lt;/number&gt;&lt;dates&gt;&lt;year&gt;2001&lt;/year&gt;&lt;/dates&gt;&lt;isbn&gt;0016-9013&lt;/isbn&gt;&lt;urls&gt;&lt;/urls&gt;&lt;/record&gt;&lt;/Cite&gt;&lt;/EndNote&gt;</w:instrText>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(Masoro, 2001)</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Further, successful ageing seems to conceptualized as an outcome rather than a process </w:t>
      </w:r>
      <w:r w:rsidRPr="00000849">
        <w:rPr>
          <w:rFonts w:asciiTheme="minorHAnsi" w:hAnsiTheme="minorHAnsi" w:cstheme="minorHAnsi"/>
          <w:noProof/>
          <w:color w:val="383838"/>
        </w:rPr>
        <w:fldChar w:fldCharType="begin"/>
      </w:r>
      <w:r w:rsidRPr="00000849">
        <w:rPr>
          <w:rFonts w:asciiTheme="minorHAnsi" w:hAnsiTheme="minorHAnsi" w:cstheme="minorHAnsi"/>
          <w:noProof/>
          <w:color w:val="383838"/>
        </w:rPr>
        <w:instrText xml:space="preserve"> ADDIN EN.CITE &lt;EndNote&gt;&lt;Cite&gt;&lt;Author&gt;Dillaway&lt;/Author&gt;&lt;Year&gt;2009&lt;/Year&gt;&lt;RecNum&gt;753&lt;/RecNum&gt;&lt;DisplayText&gt;(Dillaway &amp;amp; Byrnes, 2009)&lt;/DisplayText&gt;&lt;record&gt;&lt;rec-number&gt;753&lt;/rec-number&gt;&lt;foreign-keys&gt;&lt;key app="EN" db-id="9tzf2rda8re2a9es5tuxart3swzx2zws2s02" timestamp="1502846474"&gt;753&lt;/key&gt;&lt;/foreign-keys&gt;&lt;ref-type name="Journal Article"&gt;17&lt;/ref-type&gt;&lt;contributors&gt;&lt;authors&gt;&lt;author&gt;Dillaway, Heather E.&lt;/author&gt;&lt;author&gt;Byrnes, Mary&lt;/author&gt;&lt;/authors&gt;&lt;/contributors&gt;&lt;titles&gt;&lt;title&gt;Reconsidering Successful Aging: A Call for Renewed and Expanded Academic Critiques and Conceptualizations&lt;/title&gt;&lt;secondary-title&gt;Journal of Applied Gerontology&lt;/secondary-title&gt;&lt;/titles&gt;&lt;periodical&gt;&lt;full-title&gt;Journal of Applied Gerontology&lt;/full-title&gt;&lt;/periodical&gt;&lt;pages&gt;702-722&lt;/pages&gt;&lt;volume&gt;28&lt;/volume&gt;&lt;number&gt;6&lt;/number&gt;&lt;dates&gt;&lt;year&gt;2009&lt;/year&gt;&lt;pub-dates&gt;&lt;date&gt;2009/12/01&lt;/date&gt;&lt;/pub-dates&gt;&lt;/dates&gt;&lt;publisher&gt;SAGE Publications Inc&lt;/publisher&gt;&lt;isbn&gt;0733-4648&lt;/isbn&gt;&lt;urls&gt;&lt;related-urls&gt;&lt;url&gt;http://dx.doi.org/10.1177/0733464809333882&lt;/url&gt;&lt;/related-urls&gt;&lt;/urls&gt;&lt;electronic-resource-num&gt;10.1177/0733464809333882&lt;/electronic-resource-num&gt;&lt;access-date&gt;2017/08/15&lt;/access-date&gt;&lt;/record&gt;&lt;/Cite&gt;&lt;/EndNote&gt;</w:instrText>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(Dillaway &amp; Byrnes, 2009)</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It </w:t>
      </w:r>
      <w:r w:rsidRPr="00000849">
        <w:rPr>
          <w:rFonts w:asciiTheme="minorHAnsi" w:hAnsiTheme="minorHAnsi" w:cstheme="minorHAnsi"/>
          <w:color w:val="383838"/>
        </w:rPr>
        <w:t xml:space="preserve">ignores the life course determinants of ageing when </w:t>
      </w:r>
      <w:r w:rsidR="00744809" w:rsidRPr="00000849">
        <w:rPr>
          <w:rFonts w:asciiTheme="minorHAnsi" w:hAnsiTheme="minorHAnsi" w:cstheme="minorHAnsi"/>
          <w:color w:val="383838"/>
        </w:rPr>
        <w:t xml:space="preserve">it assesses </w:t>
      </w:r>
      <w:r w:rsidRPr="00000849">
        <w:rPr>
          <w:rFonts w:asciiTheme="minorHAnsi" w:hAnsiTheme="minorHAnsi" w:cstheme="minorHAnsi"/>
          <w:noProof/>
          <w:color w:val="383838"/>
        </w:rPr>
        <w:t>an individual’s “successful ageing” as a snapshot</w:t>
      </w:r>
      <w:r w:rsidRPr="00000849">
        <w:rPr>
          <w:rFonts w:asciiTheme="minorHAnsi" w:hAnsiTheme="minorHAnsi" w:cstheme="minorHAnsi"/>
          <w:color w:val="383838"/>
        </w:rPr>
        <w:t xml:space="preserve"> </w:t>
      </w:r>
      <w:r w:rsidRPr="00000849">
        <w:rPr>
          <w:rFonts w:asciiTheme="minorHAnsi" w:hAnsiTheme="minorHAnsi" w:cstheme="minorHAnsi"/>
          <w:noProof/>
          <w:color w:val="383838"/>
        </w:rPr>
        <w:t xml:space="preserve">in late adulthood </w:t>
      </w:r>
      <w:r w:rsidRPr="00000849">
        <w:rPr>
          <w:rFonts w:asciiTheme="minorHAnsi" w:hAnsiTheme="minorHAnsi" w:cstheme="minorHAnsi"/>
          <w:color w:val="383838"/>
        </w:rPr>
        <w:fldChar w:fldCharType="begin">
          <w:fldData xml:space="preserve">PEVuZE5vdGU+PENpdGU+PEF1dGhvcj5TdG93ZTwvQXV0aG9yPjxZZWFyPjIwMTU8L1llYXI+PFJl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</w:fldData>
        </w:fldChar>
      </w:r>
      <w:r w:rsidRPr="00000849">
        <w:rPr>
          <w:rFonts w:asciiTheme="minorHAnsi" w:hAnsiTheme="minorHAnsi" w:cstheme="minorHAnsi"/>
          <w:color w:val="383838"/>
        </w:rPr>
        <w:instrText xml:space="preserve"> ADDIN EN.CITE </w:instrText>
      </w:r>
      <w:r w:rsidRPr="00000849">
        <w:rPr>
          <w:rFonts w:asciiTheme="minorHAnsi" w:hAnsiTheme="minorHAnsi" w:cstheme="minorHAnsi"/>
          <w:color w:val="383838"/>
        </w:rPr>
        <w:fldChar w:fldCharType="begin">
          <w:fldData xml:space="preserve">PEVuZE5vdGU+PENpdGU+PEF1dGhvcj5TdG93ZTwvQXV0aG9yPjxZZWFyPjIwMTU8L1llYXI+PFJl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</w:fldData>
        </w:fldChar>
      </w:r>
      <w:r w:rsidRPr="00000849">
        <w:rPr>
          <w:rFonts w:asciiTheme="minorHAnsi" w:hAnsiTheme="minorHAnsi" w:cstheme="minorHAnsi"/>
          <w:color w:val="383838"/>
        </w:rPr>
        <w:instrText xml:space="preserve"> ADDIN EN.CITE.DATA </w:instrText>
      </w:r>
      <w:r w:rsidRPr="00000849">
        <w:rPr>
          <w:rFonts w:asciiTheme="minorHAnsi" w:hAnsiTheme="minorHAnsi" w:cstheme="minorHAnsi"/>
          <w:color w:val="383838"/>
        </w:rPr>
      </w:r>
      <w:r w:rsidRPr="00000849">
        <w:rPr>
          <w:rFonts w:asciiTheme="minorHAnsi" w:hAnsiTheme="minorHAnsi" w:cstheme="minorHAnsi"/>
          <w:color w:val="383838"/>
        </w:rPr>
        <w:fldChar w:fldCharType="end"/>
      </w:r>
      <w:r w:rsidRPr="00000849">
        <w:rPr>
          <w:rFonts w:asciiTheme="minorHAnsi" w:hAnsiTheme="minorHAnsi" w:cstheme="minorHAnsi"/>
          <w:color w:val="383838"/>
        </w:rPr>
      </w:r>
      <w:r w:rsidRPr="00000849">
        <w:rPr>
          <w:rFonts w:asciiTheme="minorHAnsi" w:hAnsiTheme="minorHAnsi" w:cstheme="minorHAnsi"/>
          <w:color w:val="383838"/>
        </w:rPr>
        <w:fldChar w:fldCharType="separate"/>
      </w:r>
      <w:r w:rsidRPr="00000849">
        <w:rPr>
          <w:rFonts w:asciiTheme="minorHAnsi" w:hAnsiTheme="minorHAnsi" w:cstheme="minorHAnsi"/>
          <w:color w:val="383838"/>
        </w:rPr>
        <w:t>(Stowe &amp; Cooney, 2015)</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Pr="00000849">
        <w:rPr>
          <w:rFonts w:asciiTheme="minorHAnsi" w:hAnsiTheme="minorHAnsi" w:cstheme="minorHAnsi"/>
          <w:noProof/>
          <w:color w:val="383838"/>
        </w:rPr>
        <w:t xml:space="preserve">Overall, Rowe and Kahn model has engendered intense dialogue </w:t>
      </w:r>
      <w:r w:rsidR="00744809" w:rsidRPr="00000849">
        <w:rPr>
          <w:rFonts w:asciiTheme="minorHAnsi" w:hAnsiTheme="minorHAnsi" w:cstheme="minorHAnsi"/>
          <w:noProof/>
          <w:color w:val="383838"/>
        </w:rPr>
        <w:t xml:space="preserve">and thereby, </w:t>
      </w:r>
      <w:r w:rsidRPr="00000849">
        <w:rPr>
          <w:rFonts w:asciiTheme="minorHAnsi" w:hAnsiTheme="minorHAnsi" w:cstheme="minorHAnsi"/>
          <w:noProof/>
          <w:color w:val="383838"/>
        </w:rPr>
        <w:t>enrich</w:t>
      </w:r>
      <w:r w:rsidR="00744809" w:rsidRPr="00000849">
        <w:rPr>
          <w:rFonts w:asciiTheme="minorHAnsi" w:hAnsiTheme="minorHAnsi" w:cstheme="minorHAnsi"/>
          <w:noProof/>
          <w:color w:val="383838"/>
        </w:rPr>
        <w:t>ed</w:t>
      </w:r>
      <w:r w:rsidRPr="00000849">
        <w:rPr>
          <w:rFonts w:asciiTheme="minorHAnsi" w:hAnsiTheme="minorHAnsi" w:cstheme="minorHAnsi"/>
          <w:noProof/>
          <w:color w:val="383838"/>
        </w:rPr>
        <w:t xml:space="preserve"> the </w:t>
      </w:r>
      <w:r w:rsidR="00744809" w:rsidRPr="00000849">
        <w:rPr>
          <w:rFonts w:asciiTheme="minorHAnsi" w:hAnsiTheme="minorHAnsi" w:cstheme="minorHAnsi"/>
          <w:noProof/>
          <w:color w:val="383838"/>
        </w:rPr>
        <w:t xml:space="preserve">“successful ageing” </w:t>
      </w:r>
      <w:r w:rsidRPr="00000849">
        <w:rPr>
          <w:rFonts w:asciiTheme="minorHAnsi" w:hAnsiTheme="minorHAnsi" w:cstheme="minorHAnsi"/>
          <w:noProof/>
          <w:color w:val="383838"/>
        </w:rPr>
        <w:t xml:space="preserve">narrative.  </w:t>
      </w:r>
    </w:p>
    <w:p w14:paraId="085D2DF8"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79B92F60" w14:textId="3D7FE3DA" w:rsidR="00D92056" w:rsidRPr="00000849" w:rsidRDefault="00D92056" w:rsidP="00A61BAB">
      <w:pPr>
        <w:pStyle w:val="Heading2"/>
      </w:pPr>
      <w:bookmarkStart w:id="63" w:name="_Toc51472107"/>
      <w:r w:rsidRPr="00000849">
        <w:t>3.</w:t>
      </w:r>
      <w:r w:rsidR="004B6822" w:rsidRPr="00000849">
        <w:t>5</w:t>
      </w:r>
      <w:r w:rsidRPr="00000849">
        <w:tab/>
        <w:t>Justification for choice of theoretical framework for this study</w:t>
      </w:r>
      <w:bookmarkEnd w:id="63"/>
    </w:p>
    <w:p w14:paraId="505B5D20"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C107A27" w14:textId="17DD16D9"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current study draws on the Rowe and Kahn theoretical framework for several reasons.  Firstly, the aims of the Rowe and Kahn model and the current study converge in seeking to encourage positive lifestyle behaviour in older adults and </w:t>
      </w:r>
      <w:r w:rsidRPr="00000849">
        <w:rPr>
          <w:rFonts w:asciiTheme="minorHAnsi" w:hAnsiTheme="minorHAnsi" w:cstheme="minorHAnsi"/>
          <w:noProof/>
          <w:color w:val="383838"/>
        </w:rPr>
        <w:t xml:space="preserve">to advocate </w:t>
      </w:r>
      <w:r w:rsidRPr="00000849">
        <w:rPr>
          <w:rFonts w:asciiTheme="minorHAnsi" w:hAnsiTheme="minorHAnsi" w:cstheme="minorHAnsi"/>
          <w:noProof/>
          <w:color w:val="383838"/>
        </w:rPr>
        <w:lastRenderedPageBreak/>
        <w:t xml:space="preserve">policies that </w:t>
      </w:r>
      <w:r w:rsidR="00744809" w:rsidRPr="00000849">
        <w:rPr>
          <w:rFonts w:asciiTheme="minorHAnsi" w:hAnsiTheme="minorHAnsi" w:cstheme="minorHAnsi"/>
          <w:noProof/>
          <w:color w:val="383838"/>
        </w:rPr>
        <w:t>promote</w:t>
      </w:r>
      <w:r w:rsidRPr="00000849">
        <w:rPr>
          <w:rFonts w:asciiTheme="minorHAnsi" w:hAnsiTheme="minorHAnsi" w:cstheme="minorHAnsi"/>
          <w:noProof/>
          <w:color w:val="383838"/>
        </w:rPr>
        <w:t xml:space="preserve"> such behaviour </w:t>
      </w:r>
      <w:r w:rsidRPr="00000849">
        <w:rPr>
          <w:rFonts w:asciiTheme="minorHAnsi" w:hAnsiTheme="minorHAnsi" w:cstheme="minorHAnsi"/>
          <w:noProof/>
          <w:color w:val="383838"/>
        </w:rPr>
        <w:fldChar w:fldCharType="begin"/>
      </w:r>
      <w:r w:rsidRPr="00000849">
        <w:rPr>
          <w:rFonts w:asciiTheme="minorHAnsi" w:hAnsiTheme="minorHAnsi" w:cstheme="minorHAnsi"/>
          <w:noProof/>
          <w:color w:val="383838"/>
        </w:rPr>
        <w:instrText xml:space="preserve"> ADDIN EN.CITE &lt;EndNote&gt;&lt;Cite&gt;&lt;Author&gt;Kahn&lt;/Author&gt;&lt;Year&gt;2002&lt;/Year&gt;&lt;RecNum&gt;760&lt;/RecNum&gt;&lt;DisplayText&gt;(Kahn, 2002)&lt;/DisplayText&gt;&lt;record&gt;&lt;rec-number&gt;760&lt;/rec-number&gt;&lt;foreign-keys&gt;&lt;key app="EN" db-id="9tzf2rda8re2a9es5tuxart3swzx2zws2s02" timestamp="1503235737"&gt;760&lt;/key&gt;&lt;/foreign-keys&gt;&lt;ref-type name="Journal Article"&gt;17&lt;/ref-type&gt;&lt;contributors&gt;&lt;authors&gt;&lt;author&gt;Kahn, Robert L.&lt;/author&gt;&lt;/authors&gt;&lt;/contributors&gt;&lt;titles&gt;&lt;title&gt;On &amp;quot;Successful Aging and Well-Being: Self-Rated Compared With Rowe and Kahn&amp;quot;&lt;/title&gt;&lt;secondary-title&gt;The Gerontologist&lt;/secondary-title&gt;&lt;/titles&gt;&lt;periodical&gt;&lt;full-title&gt;The Gerontologist&lt;/full-title&gt;&lt;abbr-1&gt;Gerontologist&lt;/abbr-1&gt;&lt;/periodical&gt;&lt;pages&gt;725-726&lt;/pages&gt;&lt;volume&gt;42&lt;/volume&gt;&lt;number&gt;6&lt;/number&gt;&lt;dates&gt;&lt;year&gt;2002&lt;/year&gt;&lt;/dates&gt;&lt;isbn&gt;0016-9013&lt;/isbn&gt;&lt;urls&gt;&lt;related-urls&gt;&lt;url&gt;http://dx.doi.org/10.1093/geront/42.6.725&lt;/url&gt;&lt;/related-urls&gt;&lt;/urls&gt;&lt;electronic-resource-num&gt;10.1093/geront/42.6.725&lt;/electronic-resource-num&gt;&lt;/record&gt;&lt;/Cite&gt;&lt;/EndNote&gt;</w:instrText>
      </w:r>
      <w:r w:rsidRPr="00000849">
        <w:rPr>
          <w:rFonts w:asciiTheme="minorHAnsi" w:hAnsiTheme="minorHAnsi" w:cstheme="minorHAnsi"/>
          <w:noProof/>
          <w:color w:val="383838"/>
        </w:rPr>
        <w:fldChar w:fldCharType="separate"/>
      </w:r>
      <w:r w:rsidRPr="00000849">
        <w:rPr>
          <w:rFonts w:asciiTheme="minorHAnsi" w:hAnsiTheme="minorHAnsi" w:cstheme="minorHAnsi"/>
          <w:noProof/>
          <w:color w:val="383838"/>
        </w:rPr>
        <w:t>(Kahn, 2002)</w:t>
      </w:r>
      <w:r w:rsidRPr="00000849">
        <w:rPr>
          <w:rFonts w:asciiTheme="minorHAnsi" w:hAnsiTheme="minorHAnsi" w:cstheme="minorHAnsi"/>
          <w:noProof/>
          <w:color w:val="383838"/>
        </w:rPr>
        <w:fldChar w:fldCharType="end"/>
      </w:r>
      <w:r w:rsidRPr="00000849">
        <w:rPr>
          <w:rFonts w:asciiTheme="minorHAnsi" w:hAnsiTheme="minorHAnsi" w:cstheme="minorHAnsi"/>
          <w:noProof/>
          <w:color w:val="383838"/>
        </w:rPr>
        <w:t xml:space="preserve">.  Secondly, like Rowe and Kahn’s model, the current study’s approach is essentially biomedical in quantitatively analysing physical and social factors associated with hypertension.  Thirdly, two of Rowe and Kahn’s factors for successful ageing – prevalence of disease (hypertension) and physical functions (lifestyle factors) are examined in the current study.  </w:t>
      </w:r>
      <w:r w:rsidRPr="00000849">
        <w:rPr>
          <w:rFonts w:asciiTheme="minorHAnsi" w:hAnsiTheme="minorHAnsi" w:cstheme="minorHAnsi"/>
          <w:color w:val="383838"/>
        </w:rPr>
        <w:t xml:space="preserve">Fourthly, the model has been applied in studies in Ghana and similar settings – for example, to explore perceived influences of socio-cultural and political experiences on active ageing and quality of life at old age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&lt;EndNote&gt;&lt;Cite&gt;&lt;Author&gt;Doh&lt;/Author&gt;&lt;Year&gt;2017&lt;/Year&gt;&lt;RecNum&gt;1128&lt;/RecNum&gt;&lt;DisplayText&gt;(Doh, 2017)&lt;/DisplayText&gt;&lt;record&gt;&lt;rec-number&gt;1128&lt;/rec-number&gt;&lt;foreign-keys&gt;&lt;key app="EN" db-id="9tzf2rda8re2a9es5tuxart3swzx2zws2s02" timestamp="1579594671"&gt;1128&lt;/key&gt;&lt;/foreign-keys&gt;&lt;ref-type name="Thesis"&gt;32&lt;/ref-type&gt;&lt;contributors&gt;&lt;authors&gt;&lt;author&gt;Doh, Daniel&lt;/author&gt;&lt;/authors&gt;&lt;/contributors&gt;&lt;titles&gt;&lt;title&gt;Towards active ageing: A comparative study ofexperiences of older Ghanaians in Australia and Ghana&lt;/title&gt;&lt;secondary-title&gt;School of Arts and Humanities&lt;/secondary-title&gt;&lt;/titles&gt;&lt;volume&gt;PhD&lt;/volume&gt;&lt;dates&gt;&lt;year&gt;2017&lt;/year&gt;&lt;/dates&gt;&lt;pub-location&gt;Joondalup, WA, Australia&lt;/pub-location&gt;&lt;publisher&gt;Edith Cowan University&lt;/publisher&gt;&lt;urls&gt;&lt;related-urls&gt;&lt;url&gt;https://ro.ecu.edu.au/cgi/viewcontent.cgi?referer=https://scholar.google.com/&amp;amp;httpsredir=1&amp;amp;article=3012&amp;amp;context=theses&lt;/url&gt;&lt;/related-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(Doh, 2017)</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p>
    <w:p w14:paraId="7F2B08B9" w14:textId="404E0E89"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In the Ibadan Study of Ageing in Nigeria</w:t>
      </w:r>
      <w:r w:rsidR="001227E1" w:rsidRPr="00000849">
        <w:rPr>
          <w:rFonts w:asciiTheme="minorHAnsi" w:hAnsiTheme="minorHAnsi" w:cstheme="minorHAnsi"/>
          <w:color w:val="383838"/>
        </w:rPr>
        <w:t>,</w:t>
      </w:r>
      <w:r w:rsidRPr="00000849">
        <w:rPr>
          <w:rFonts w:asciiTheme="minorHAnsi" w:hAnsiTheme="minorHAnsi" w:cstheme="minorHAnsi"/>
          <w:color w:val="383838"/>
        </w:rPr>
        <w:t xml:space="preserve"> only 7.5% of persons aged ≥65 years met all the three </w:t>
      </w:r>
      <w:r w:rsidR="001227E1" w:rsidRPr="00000849">
        <w:rPr>
          <w:rFonts w:asciiTheme="minorHAnsi" w:hAnsiTheme="minorHAnsi" w:cstheme="minorHAnsi"/>
          <w:color w:val="383838"/>
        </w:rPr>
        <w:t xml:space="preserve">model </w:t>
      </w:r>
      <w:r w:rsidRPr="00000849">
        <w:rPr>
          <w:rFonts w:asciiTheme="minorHAnsi" w:hAnsiTheme="minorHAnsi" w:cstheme="minorHAnsi"/>
          <w:color w:val="383838"/>
        </w:rPr>
        <w:t xml:space="preserve">components of successful ageing after a five-year follow-up </w:t>
      </w:r>
      <w:r w:rsidRPr="00000849">
        <w:rPr>
          <w:rFonts w:asciiTheme="minorHAnsi" w:hAnsiTheme="minorHAnsi" w:cstheme="minorHAnsi"/>
          <w:color w:val="383838"/>
        </w:rPr>
        <w:fldChar w:fldCharType="begin">
          <w:fldData xml:space="preserve">PEVuZE5vdGU+PENpdGU+PEF1dGhvcj5HdXJlamU8L0F1dGhvcj48WWVhcj4yMDE0PC9ZZWFyPjxS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=
</w:fldData>
        </w:fldChar>
      </w:r>
      <w:r w:rsidR="00431DA0" w:rsidRPr="00000849">
        <w:rPr>
          <w:rFonts w:asciiTheme="minorHAnsi" w:hAnsiTheme="minorHAnsi" w:cstheme="minorHAnsi"/>
          <w:color w:val="383838"/>
        </w:rPr>
        <w:instrText xml:space="preserve"> ADDIN EN.CITE </w:instrText>
      </w:r>
      <w:r w:rsidR="00431DA0" w:rsidRPr="00000849">
        <w:rPr>
          <w:rFonts w:asciiTheme="minorHAnsi" w:hAnsiTheme="minorHAnsi" w:cstheme="minorHAnsi"/>
          <w:color w:val="383838"/>
        </w:rPr>
        <w:fldChar w:fldCharType="begin">
          <w:fldData xml:space="preserve">PEVuZE5vdGU+PENpdGU+PEF1dGhvcj5HdXJlamU8L0F1dGhvcj48WWVhcj4yMDE0PC9ZZWFyPjxS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=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Pr="00000849">
        <w:rPr>
          <w:rFonts w:asciiTheme="minorHAnsi" w:hAnsiTheme="minorHAnsi" w:cstheme="minorHAnsi"/>
          <w:color w:val="383838"/>
        </w:rPr>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(Gureje et al., 2014)</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This prevalence is similar to that of older adults in richer economies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&lt;EndNote&gt;&lt;Cite&gt;&lt;Author&gt;Montross&lt;/Author&gt;&lt;Year&gt;2006&lt;/Year&gt;&lt;RecNum&gt;1064&lt;/RecNum&gt;&lt;DisplayText&gt;(Montross et al., 2006)&lt;/DisplayText&gt;&lt;record&gt;&lt;rec-number&gt;1064&lt;/rec-number&gt;&lt;foreign-keys&gt;&lt;key app="EN" db-id="9tzf2rda8re2a9es5tuxart3swzx2zws2s02" timestamp="1557210145"&gt;1064&lt;/key&gt;&lt;/foreign-keys&gt;&lt;ref-type name="Journal Article"&gt;17&lt;/ref-type&gt;&lt;contributors&gt;&lt;authors&gt;&lt;author&gt;Montross, Lori P&lt;/author&gt;&lt;author&gt;Depp, Colin&lt;/author&gt;&lt;author&gt;Daly, John&lt;/author&gt;&lt;author&gt;Reichstadt, Jennifer&lt;/author&gt;&lt;author&gt;Golshan, Shahrokh&lt;/author&gt;&lt;author&gt;Moore, David&lt;/author&gt;&lt;author&gt;Sitzer, David&lt;/author&gt;&lt;author&gt;Jeste, Dilip V&lt;/author&gt;&lt;/authors&gt;&lt;/contributors&gt;&lt;titles&gt;&lt;title&gt;Correlates of self-rated successful aging among community-dwelling older adults&lt;/title&gt;&lt;secondary-title&gt;The American Journal of Geriatric Psychiatry&lt;/secondary-title&gt;&lt;/titles&gt;&lt;periodical&gt;&lt;full-title&gt;The American Journal of Geriatric Psychiatry&lt;/full-title&gt;&lt;/periodical&gt;&lt;pages&gt;43-51&lt;/pages&gt;&lt;volume&gt;14&lt;/volume&gt;&lt;number&gt;1&lt;/number&gt;&lt;dates&gt;&lt;year&gt;2006&lt;/year&gt;&lt;/dates&gt;&lt;isbn&gt;1064-7481&lt;/isbn&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(Montross et al., 2006)</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1227E1" w:rsidRPr="00000849">
        <w:rPr>
          <w:rFonts w:asciiTheme="minorHAnsi" w:hAnsiTheme="minorHAnsi" w:cstheme="minorHAnsi"/>
          <w:color w:val="383838"/>
        </w:rPr>
        <w:t xml:space="preserve">despite the notion </w:t>
      </w:r>
      <w:r w:rsidRPr="00000849">
        <w:rPr>
          <w:rFonts w:asciiTheme="minorHAnsi" w:hAnsiTheme="minorHAnsi" w:cstheme="minorHAnsi"/>
          <w:color w:val="383838"/>
        </w:rPr>
        <w:t xml:space="preserve">that the lower socioeconomic status of </w:t>
      </w:r>
      <w:r w:rsidR="001227E1" w:rsidRPr="00000849">
        <w:rPr>
          <w:rFonts w:asciiTheme="minorHAnsi" w:hAnsiTheme="minorHAnsi" w:cstheme="minorHAnsi"/>
          <w:color w:val="383838"/>
        </w:rPr>
        <w:t>LIC</w:t>
      </w:r>
      <w:r w:rsidRPr="00000849">
        <w:rPr>
          <w:rFonts w:asciiTheme="minorHAnsi" w:hAnsiTheme="minorHAnsi" w:cstheme="minorHAnsi"/>
          <w:color w:val="383838"/>
        </w:rPr>
        <w:t xml:space="preserve">s disfavours successful ageing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&lt;EndNote&gt;&lt;Cite&gt;&lt;Author&gt;Zolnikov&lt;/Author&gt;&lt;Year&gt;2015&lt;/Year&gt;&lt;RecNum&gt;1082&lt;/RecNum&gt;&lt;DisplayText&gt;(Zolnikov, 2015)&lt;/DisplayText&gt;&lt;record&gt;&lt;rec-number&gt;1082&lt;/rec-number&gt;&lt;foreign-keys&gt;&lt;key app="EN" db-id="9tzf2rda8re2a9es5tuxart3swzx2zws2s02" timestamp="1557765077"&gt;1082&lt;/key&gt;&lt;/foreign-keys&gt;&lt;ref-type name="Journal Article"&gt;17&lt;/ref-type&gt;&lt;contributors&gt;&lt;authors&gt;&lt;author&gt;Zolnikov, Tara Rava&lt;/author&gt;&lt;/authors&gt;&lt;/contributors&gt;&lt;titles&gt;&lt;title&gt;Proposing a re-adapted successful aging model addressing chronic diseases in low- and middle-income countries&lt;/title&gt;&lt;secondary-title&gt;Quality of Life Research&lt;/secondary-title&gt;&lt;/titles&gt;&lt;periodical&gt;&lt;full-title&gt;Quality of Life Research&lt;/full-title&gt;&lt;/periodical&gt;&lt;pages&gt;2945-2949&lt;/pages&gt;&lt;volume&gt;24&lt;/volume&gt;&lt;number&gt;12&lt;/number&gt;&lt;dates&gt;&lt;year&gt;2015&lt;/year&gt;&lt;/dates&gt;&lt;publisher&gt;Springer&lt;/publisher&gt;&lt;isbn&gt;09629343, 15732649&lt;/isbn&gt;&lt;urls&gt;&lt;related-urls&gt;&lt;url&gt;http://www.jstor.org/stable/44849400&lt;/url&gt;&lt;/related-urls&gt;&lt;/urls&gt;&lt;custom1&gt;Full publication date: December 2015&lt;/custom1&gt;&lt;remote-database-name&gt;JSTOR&lt;/remote-database-name&gt;&lt;/record&gt;&lt;/Cite&gt;&lt;/EndNote&gt;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(Zolnikov, 2015)</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The prevalence of the three separate indices of successful ageing in the Ibadan Study was as follows: the absence of chronic health conditions (16.5%), functional independence (74.2%) and self-reported satisfaction with life (41.8%) </w:t>
      </w:r>
      <w:r w:rsidRPr="00000849">
        <w:rPr>
          <w:rFonts w:asciiTheme="minorHAnsi" w:hAnsiTheme="minorHAnsi" w:cstheme="minorHAnsi"/>
          <w:color w:val="383838"/>
        </w:rPr>
        <w:fldChar w:fldCharType="begin">
          <w:fldData xml:space="preserve">PEVuZE5vdGU+PENpdGU+PEF1dGhvcj5HdXJlamU8L0F1dGhvcj48WWVhcj4yMDE0PC9ZZWFyPjxS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=
</w:fldData>
        </w:fldChar>
      </w:r>
      <w:r w:rsidRPr="00000849">
        <w:rPr>
          <w:rFonts w:asciiTheme="minorHAnsi" w:hAnsiTheme="minorHAnsi" w:cstheme="minorHAnsi"/>
          <w:color w:val="383838"/>
        </w:rPr>
        <w:instrText xml:space="preserve"> ADDIN EN.CITE </w:instrText>
      </w:r>
      <w:r w:rsidRPr="00000849">
        <w:rPr>
          <w:rFonts w:asciiTheme="minorHAnsi" w:hAnsiTheme="minorHAnsi" w:cstheme="minorHAnsi"/>
          <w:color w:val="383838"/>
        </w:rPr>
        <w:fldChar w:fldCharType="begin">
          <w:fldData xml:space="preserve">PEVuZE5vdGU+PENpdGU+PEF1dGhvcj5HdXJlamU8L0F1dGhvcj48WWVhcj4yMDE0PC9ZZWFyPjxS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=
</w:fldData>
        </w:fldChar>
      </w:r>
      <w:r w:rsidRPr="00000849">
        <w:rPr>
          <w:rFonts w:asciiTheme="minorHAnsi" w:hAnsiTheme="minorHAnsi" w:cstheme="minorHAnsi"/>
          <w:color w:val="383838"/>
        </w:rPr>
        <w:instrText xml:space="preserve"> ADDIN EN.CITE.DATA </w:instrText>
      </w:r>
      <w:r w:rsidRPr="00000849">
        <w:rPr>
          <w:rFonts w:asciiTheme="minorHAnsi" w:hAnsiTheme="minorHAnsi" w:cstheme="minorHAnsi"/>
          <w:color w:val="383838"/>
        </w:rPr>
      </w:r>
      <w:r w:rsidRPr="00000849">
        <w:rPr>
          <w:rFonts w:asciiTheme="minorHAnsi" w:hAnsiTheme="minorHAnsi" w:cstheme="minorHAnsi"/>
          <w:color w:val="383838"/>
        </w:rPr>
        <w:fldChar w:fldCharType="end"/>
      </w:r>
      <w:r w:rsidRPr="00000849">
        <w:rPr>
          <w:rFonts w:asciiTheme="minorHAnsi" w:hAnsiTheme="minorHAnsi" w:cstheme="minorHAnsi"/>
          <w:color w:val="383838"/>
        </w:rPr>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(Gureje et al., 2014)</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Being in the age group 65-69 years, being in a lower economic status, maintaining contact with friends and participation in community activities were independently associated with successful ageing whilst sex, educational level, urban-rural residence, ever smoked, ever drank, level of physical activity and self-reported health were not.  The multivariable analyses of the separate indices of successful ageing identified different predictors for each index, suggesting that the domains represent the outcomes of different life trajectories </w:t>
      </w:r>
      <w:r w:rsidRPr="00000849">
        <w:rPr>
          <w:rFonts w:asciiTheme="minorHAnsi" w:hAnsiTheme="minorHAnsi" w:cstheme="minorHAnsi"/>
          <w:color w:val="383838"/>
        </w:rPr>
        <w:fldChar w:fldCharType="begin">
          <w:fldData xml:space="preserve">PEVuZE5vdGU+PENpdGU+PEF1dGhvcj5HdXJlamU8L0F1dGhvcj48WWVhcj4yMDE0PC9ZZWFyPjxS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=
</w:fldData>
        </w:fldChar>
      </w:r>
      <w:r w:rsidRPr="00000849">
        <w:rPr>
          <w:rFonts w:asciiTheme="minorHAnsi" w:hAnsiTheme="minorHAnsi" w:cstheme="minorHAnsi"/>
          <w:color w:val="383838"/>
        </w:rPr>
        <w:instrText xml:space="preserve"> ADDIN EN.CITE </w:instrText>
      </w:r>
      <w:r w:rsidRPr="00000849">
        <w:rPr>
          <w:rFonts w:asciiTheme="minorHAnsi" w:hAnsiTheme="minorHAnsi" w:cstheme="minorHAnsi"/>
          <w:color w:val="383838"/>
        </w:rPr>
        <w:fldChar w:fldCharType="begin">
          <w:fldData xml:space="preserve">PEVuZE5vdGU+PENpdGU+PEF1dGhvcj5HdXJlamU8L0F1dGhvcj48WWVhcj4yMDE0PC9ZZWFyPjxS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=
</w:fldData>
        </w:fldChar>
      </w:r>
      <w:r w:rsidRPr="00000849">
        <w:rPr>
          <w:rFonts w:asciiTheme="minorHAnsi" w:hAnsiTheme="minorHAnsi" w:cstheme="minorHAnsi"/>
          <w:color w:val="383838"/>
        </w:rPr>
        <w:instrText xml:space="preserve"> ADDIN EN.CITE.DATA </w:instrText>
      </w:r>
      <w:r w:rsidRPr="00000849">
        <w:rPr>
          <w:rFonts w:asciiTheme="minorHAnsi" w:hAnsiTheme="minorHAnsi" w:cstheme="minorHAnsi"/>
          <w:color w:val="383838"/>
        </w:rPr>
      </w:r>
      <w:r w:rsidRPr="00000849">
        <w:rPr>
          <w:rFonts w:asciiTheme="minorHAnsi" w:hAnsiTheme="minorHAnsi" w:cstheme="minorHAnsi"/>
          <w:color w:val="383838"/>
        </w:rPr>
        <w:fldChar w:fldCharType="end"/>
      </w:r>
      <w:r w:rsidRPr="00000849">
        <w:rPr>
          <w:rFonts w:asciiTheme="minorHAnsi" w:hAnsiTheme="minorHAnsi" w:cstheme="minorHAnsi"/>
          <w:color w:val="383838"/>
        </w:rPr>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(Gureje et al., 2014)</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The study also found that the several factors such as </w:t>
      </w:r>
      <w:r w:rsidRPr="00000849">
        <w:rPr>
          <w:rFonts w:asciiTheme="minorHAnsi" w:hAnsiTheme="minorHAnsi" w:cstheme="minorHAnsi"/>
          <w:color w:val="383838"/>
        </w:rPr>
        <w:lastRenderedPageBreak/>
        <w:t xml:space="preserve">physical activity and social support networks that predicted successful ageing were modifiable.  </w:t>
      </w:r>
    </w:p>
    <w:p w14:paraId="30FAAA41" w14:textId="27DA18E1"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The findings from the Ibadan Study of Ageing, a study with a design similar to the SAGE Ghana study, show that the factors in the Rowe and Khan model of successful ageing can be analysed quantitatively</w:t>
      </w:r>
      <w:r w:rsidR="001227E1" w:rsidRPr="00000849">
        <w:rPr>
          <w:rFonts w:asciiTheme="minorHAnsi" w:hAnsiTheme="minorHAnsi" w:cstheme="minorHAnsi"/>
          <w:color w:val="383838"/>
        </w:rPr>
        <w:t>, with t</w:t>
      </w:r>
      <w:r w:rsidRPr="00000849">
        <w:rPr>
          <w:rFonts w:asciiTheme="minorHAnsi" w:hAnsiTheme="minorHAnsi" w:cstheme="minorHAnsi"/>
          <w:color w:val="383838"/>
        </w:rPr>
        <w:t>he outcome relat</w:t>
      </w:r>
      <w:r w:rsidR="001227E1" w:rsidRPr="00000849">
        <w:rPr>
          <w:rFonts w:asciiTheme="minorHAnsi" w:hAnsiTheme="minorHAnsi" w:cstheme="minorHAnsi"/>
          <w:color w:val="383838"/>
        </w:rPr>
        <w:t xml:space="preserve">ing </w:t>
      </w:r>
      <w:r w:rsidRPr="00000849">
        <w:rPr>
          <w:rFonts w:asciiTheme="minorHAnsi" w:hAnsiTheme="minorHAnsi" w:cstheme="minorHAnsi"/>
          <w:color w:val="383838"/>
        </w:rPr>
        <w:t xml:space="preserve">to absence </w:t>
      </w:r>
      <w:r w:rsidR="001227E1" w:rsidRPr="00000849">
        <w:rPr>
          <w:rFonts w:asciiTheme="minorHAnsi" w:hAnsiTheme="minorHAnsi" w:cstheme="minorHAnsi"/>
          <w:color w:val="383838"/>
        </w:rPr>
        <w:t xml:space="preserve">or presence </w:t>
      </w:r>
      <w:r w:rsidRPr="00000849">
        <w:rPr>
          <w:rFonts w:asciiTheme="minorHAnsi" w:hAnsiTheme="minorHAnsi" w:cstheme="minorHAnsi"/>
          <w:color w:val="383838"/>
        </w:rPr>
        <w:t xml:space="preserve">of chronic conditions such as hypertension.  </w:t>
      </w:r>
    </w:p>
    <w:p w14:paraId="1B623BA2"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22967C49" w14:textId="74F945C1" w:rsidR="00D92056" w:rsidRPr="00000849" w:rsidRDefault="00D92056" w:rsidP="00000849">
      <w:pPr>
        <w:pStyle w:val="Heading2"/>
        <w:keepNext w:val="0"/>
        <w:keepLines w:val="0"/>
      </w:pPr>
      <w:bookmarkStart w:id="64" w:name="_Toc51472108"/>
      <w:r w:rsidRPr="00000849">
        <w:t>3.</w:t>
      </w:r>
      <w:r w:rsidR="004B6822" w:rsidRPr="00000849">
        <w:t>6</w:t>
      </w:r>
      <w:r w:rsidRPr="00000849">
        <w:tab/>
        <w:t>Other theoretical frameworks considered in the current study</w:t>
      </w:r>
      <w:bookmarkEnd w:id="64"/>
    </w:p>
    <w:p w14:paraId="022ACC79" w14:textId="77777777" w:rsidR="00D92056" w:rsidRPr="00000849" w:rsidRDefault="00D92056" w:rsidP="00000849">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3EF2EA2A" w14:textId="3CBC1F06" w:rsidR="00D92056" w:rsidRPr="00000849" w:rsidRDefault="00D92056" w:rsidP="00000849">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life course model was also considered in framing this study which explore</w:t>
      </w:r>
      <w:r w:rsidR="005B434F" w:rsidRPr="00000849">
        <w:rPr>
          <w:rFonts w:asciiTheme="minorHAnsi" w:hAnsiTheme="minorHAnsi" w:cstheme="minorHAnsi"/>
          <w:color w:val="383838"/>
        </w:rPr>
        <w:t>s</w:t>
      </w:r>
      <w:r w:rsidRPr="00000849">
        <w:rPr>
          <w:rFonts w:asciiTheme="minorHAnsi" w:hAnsiTheme="minorHAnsi" w:cstheme="minorHAnsi"/>
          <w:color w:val="383838"/>
        </w:rPr>
        <w:t xml:space="preserve"> the factors associated with hypertension in a cohort at two relatively short time points among older adults</w:t>
      </w:r>
      <w:r w:rsidR="005B434F" w:rsidRPr="00000849">
        <w:rPr>
          <w:rFonts w:asciiTheme="minorHAnsi" w:hAnsiTheme="minorHAnsi" w:cstheme="minorHAnsi"/>
          <w:color w:val="383838"/>
        </w:rPr>
        <w:t xml:space="preserve"> in Ghana</w:t>
      </w:r>
      <w:r w:rsidRPr="00000849">
        <w:rPr>
          <w:rFonts w:asciiTheme="minorHAnsi" w:hAnsiTheme="minorHAnsi" w:cstheme="minorHAnsi"/>
          <w:color w:val="383838"/>
        </w:rPr>
        <w:t xml:space="preserve">.  </w:t>
      </w:r>
      <w:r w:rsidR="005B434F" w:rsidRPr="00000849">
        <w:rPr>
          <w:rFonts w:asciiTheme="minorHAnsi" w:hAnsiTheme="minorHAnsi" w:cstheme="minorHAnsi"/>
          <w:color w:val="383838"/>
        </w:rPr>
        <w:t xml:space="preserve">It </w:t>
      </w:r>
      <w:r w:rsidRPr="00000849">
        <w:rPr>
          <w:rFonts w:asciiTheme="minorHAnsi" w:hAnsiTheme="minorHAnsi" w:cstheme="minorHAnsi"/>
          <w:color w:val="383838"/>
        </w:rPr>
        <w:t xml:space="preserve">advocates for the determinants of successful ageing to be assessed over the course of one’s life and not just at one point in time.  </w:t>
      </w:r>
      <w:r w:rsidR="005B434F" w:rsidRPr="00000849">
        <w:rPr>
          <w:rFonts w:asciiTheme="minorHAnsi" w:hAnsiTheme="minorHAnsi" w:cstheme="minorHAnsi"/>
          <w:color w:val="383838"/>
        </w:rPr>
        <w:t>T</w:t>
      </w:r>
      <w:r w:rsidRPr="00000849">
        <w:rPr>
          <w:rFonts w:asciiTheme="minorHAnsi" w:hAnsiTheme="minorHAnsi" w:cstheme="minorHAnsi"/>
          <w:color w:val="383838"/>
        </w:rPr>
        <w:t>he adoption of life course approaches</w:t>
      </w:r>
      <w:r w:rsidR="005B434F" w:rsidRPr="00000849">
        <w:rPr>
          <w:rFonts w:asciiTheme="minorHAnsi" w:hAnsiTheme="minorHAnsi" w:cstheme="minorHAnsi"/>
          <w:color w:val="383838"/>
        </w:rPr>
        <w:t xml:space="preserve"> is important</w:t>
      </w:r>
      <w:r w:rsidRPr="00000849">
        <w:rPr>
          <w:rFonts w:asciiTheme="minorHAnsi" w:hAnsiTheme="minorHAnsi" w:cstheme="minorHAnsi"/>
          <w:color w:val="383838"/>
        </w:rPr>
        <w:t xml:space="preserve"> in understanding the distribution and cumulative effects of behavioural, biological and psychosocial risk factors acting across all stages of the life span that are associated with chronic NCDs in later life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&lt;EndNote&gt;&lt;Cite&gt;&lt;Author&gt;Smith&lt;/Author&gt;&lt;Year&gt;2007&lt;/Year&gt;&lt;RecNum&gt;1084&lt;/RecNum&gt;&lt;DisplayText&gt;(Aboderin et al., 2002; Smith, 2007)&lt;/DisplayText&gt;&lt;record&gt;&lt;rec-number&gt;1084&lt;/rec-number&gt;&lt;foreign-keys&gt;&lt;key app="EN" db-id="9tzf2rda8re2a9es5tuxart3swzx2zws2s02" timestamp="1557799201"&gt;1084&lt;/key&gt;&lt;/foreign-keys&gt;&lt;ref-type name="Journal Article"&gt;17&lt;/ref-type&gt;&lt;contributors&gt;&lt;authors&gt;&lt;author&gt;Smith, George Davey&lt;/author&gt;&lt;/authors&gt;&lt;/contributors&gt;&lt;titles&gt;&lt;title&gt;Life-course approaches to inequalities in adult chronic disease risk: Boyd Orr Lecture&lt;/title&gt;&lt;secondary-title&gt;Proceedings of the Nutrition Society&lt;/secondary-title&gt;&lt;/titles&gt;&lt;periodical&gt;&lt;full-title&gt;Proceedings of the Nutrition Society&lt;/full-title&gt;&lt;/periodical&gt;&lt;pages&gt;216-236&lt;/pages&gt;&lt;volume&gt;66&lt;/volume&gt;&lt;number&gt;2&lt;/number&gt;&lt;dates&gt;&lt;year&gt;2007&lt;/year&gt;&lt;/dates&gt;&lt;isbn&gt;1475-2719&lt;/isbn&gt;&lt;urls&gt;&lt;/urls&gt;&lt;/record&gt;&lt;/Cite&gt;&lt;Cite&gt;&lt;Author&gt;Aboderin&lt;/Author&gt;&lt;Year&gt;2002&lt;/Year&gt;&lt;RecNum&gt;1085&lt;/RecNum&gt;&lt;record&gt;&lt;rec-number&gt;1085&lt;/rec-number&gt;&lt;foreign-keys&gt;&lt;key app="EN" db-id="9tzf2rda8re2a9es5tuxart3swzx2zws2s02" timestamp="1557799391"&gt;1085&lt;/key&gt;&lt;/foreign-keys&gt;&lt;ref-type name="Generic"&gt;13&lt;/ref-type&gt;&lt;contributors&gt;&lt;authors&gt;&lt;author&gt;Aboderin, Isabela&lt;/author&gt;&lt;author&gt;Kalache, A&lt;/author&gt;&lt;author&gt;Ben Shlomo, Y&lt;/author&gt;&lt;author&gt;Lynch, JW&lt;/author&gt;&lt;author&gt;Yajnik, CS&lt;/author&gt;&lt;author&gt;Kuh, D&lt;/author&gt;&lt;author&gt;Yach, D&lt;/author&gt;&lt;/authors&gt;&lt;/contributors&gt;&lt;titles&gt;&lt;title&gt;Life course perspectives on coronary heart disease, stroke and diabetes: key issues and implications for policy and research&lt;/title&gt;&lt;/titles&gt;&lt;dates&gt;&lt;year&gt;2002&lt;/year&gt;&lt;/dates&gt;&lt;pub-location&gt;Geneva&lt;/pub-location&gt;&lt;publisher&gt;World Health Organisation&lt;/publisher&gt;&lt;urls&gt;&lt;/urls&gt;&lt;/record&gt;&lt;/Cite&gt;&lt;/EndNote&gt;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(Aboderin et al., 2002; Smith, 2007)</w:t>
      </w:r>
      <w:r w:rsidRPr="00000849">
        <w:rPr>
          <w:rFonts w:asciiTheme="minorHAnsi" w:hAnsiTheme="minorHAnsi" w:cstheme="minorHAnsi"/>
          <w:color w:val="383838"/>
        </w:rPr>
        <w:fldChar w:fldCharType="end"/>
      </w:r>
      <w:r w:rsidRPr="00000849">
        <w:rPr>
          <w:rFonts w:asciiTheme="minorHAnsi" w:hAnsiTheme="minorHAnsi" w:cstheme="minorHAnsi"/>
          <w:color w:val="383838"/>
        </w:rPr>
        <w:t>.  Intra-uterine origins, childhood, adolescent and intergenerational as well as adulthood factors are assessed for their influence o</w:t>
      </w:r>
      <w:r w:rsidR="005B434F" w:rsidRPr="00000849">
        <w:rPr>
          <w:rFonts w:asciiTheme="minorHAnsi" w:hAnsiTheme="minorHAnsi" w:cstheme="minorHAnsi"/>
          <w:color w:val="383838"/>
        </w:rPr>
        <w:t>n</w:t>
      </w:r>
      <w:r w:rsidRPr="00000849">
        <w:rPr>
          <w:rFonts w:asciiTheme="minorHAnsi" w:hAnsiTheme="minorHAnsi" w:cstheme="minorHAnsi"/>
          <w:color w:val="383838"/>
        </w:rPr>
        <w:t xml:space="preserve"> blood pressure, ideally through purposefully designed prospective studies with long follow up periods.</w:t>
      </w:r>
    </w:p>
    <w:p w14:paraId="22F607A3" w14:textId="0C3AC39A" w:rsidR="00D92056" w:rsidRPr="00000849" w:rsidRDefault="00D92056" w:rsidP="00E93D4C">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This study also reviewed the </w:t>
      </w:r>
      <w:r w:rsidR="005B434F" w:rsidRPr="00000849">
        <w:rPr>
          <w:rFonts w:asciiTheme="minorHAnsi" w:hAnsiTheme="minorHAnsi" w:cstheme="minorHAnsi"/>
          <w:color w:val="383838"/>
        </w:rPr>
        <w:t xml:space="preserve">WHO </w:t>
      </w:r>
      <w:r w:rsidRPr="00000849">
        <w:rPr>
          <w:rFonts w:asciiTheme="minorHAnsi" w:hAnsiTheme="minorHAnsi" w:cstheme="minorHAnsi"/>
          <w:color w:val="383838"/>
        </w:rPr>
        <w:t xml:space="preserve">framework on social determinants of health (SDH) </w:t>
      </w:r>
      <w:r w:rsidR="005B434F" w:rsidRPr="00000849">
        <w:rPr>
          <w:rFonts w:asciiTheme="minorHAnsi" w:hAnsiTheme="minorHAnsi" w:cstheme="minorHAnsi"/>
          <w:color w:val="383838"/>
        </w:rPr>
        <w:t>in relation to</w:t>
      </w:r>
      <w:r w:rsidRPr="00000849">
        <w:rPr>
          <w:rFonts w:asciiTheme="minorHAnsi" w:hAnsiTheme="minorHAnsi" w:cstheme="minorHAnsi"/>
          <w:color w:val="383838"/>
        </w:rPr>
        <w:t xml:space="preserve"> how social inequities affect public health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&lt;EndNote&gt;&lt;Cite&gt;&lt;Author&gt;Marmot&lt;/Author&gt;&lt;Year&gt;2008&lt;/Year&gt;&lt;RecNum&gt;1115&lt;/RecNum&gt;&lt;DisplayText&gt;(Marmot et al., 2008)&lt;/DisplayText&gt;&lt;record&gt;&lt;rec-number&gt;1115&lt;/rec-number&gt;&lt;foreign-keys&gt;&lt;key app="EN" db-id="9tzf2rda8re2a9es5tuxart3swzx2zws2s02" timestamp="1565093916"&gt;1115&lt;/key&gt;&lt;/foreign-keys&gt;&lt;ref-type name="Journal Article"&gt;17&lt;/ref-type&gt;&lt;contributors&gt;&lt;authors&gt;&lt;author&gt;Marmot, Michael&lt;/author&gt;&lt;author&gt;Friel, Sharon&lt;/author&gt;&lt;author&gt;Bell, Ruth&lt;/author&gt;&lt;author&gt;Houweling, Tanja Aj&lt;/author&gt;&lt;author&gt;Taylor, Sebastian&lt;/author&gt;&lt;/authors&gt;&lt;/contributors&gt;&lt;titles&gt;&lt;title&gt;Closing the gap in a generation: health equity through action on the social determinants of health&lt;/title&gt;&lt;secondary-title&gt;The Lancet&lt;/secondary-title&gt;&lt;/titles&gt;&lt;periodical&gt;&lt;full-title&gt;The Lancet&lt;/full-title&gt;&lt;abbr-1&gt;Lancet&lt;/abbr-1&gt;&lt;/periodical&gt;&lt;pages&gt;1661-1669&lt;/pages&gt;&lt;volume&gt;372&lt;/volume&gt;&lt;number&gt;9650&lt;/number&gt;&lt;keywords&gt;&lt;keyword&gt;Delivery of Health Care–Organization &amp;amp; Administration&lt;/keyword&gt;&lt;keyword&gt;Delivery of Health Care–Trends&lt;/keyword&gt;&lt;keyword&gt;Female–Methods&lt;/keyword&gt;&lt;keyword&gt;Health Promotion–Methods&lt;/keyword&gt;&lt;keyword&gt;Health Status Disparities–Trends&lt;/keyword&gt;&lt;keyword&gt;Humans–Trends&lt;/keyword&gt;&lt;keyword&gt;Intergenerational Relations–Trends&lt;/keyword&gt;&lt;keyword&gt;Male–Trends&lt;/keyword&gt;&lt;keyword&gt;Maternal Welfare–Trends&lt;/keyword&gt;&lt;keyword&gt;Mental Health–Trends&lt;/keyword&gt;&lt;keyword&gt;Public Health–Trends&lt;/keyword&gt;&lt;keyword&gt;Public Policy–Trends&lt;/keyword&gt;&lt;keyword&gt;Social Class–Trends&lt;/keyword&gt;&lt;keyword&gt;Society&lt;/keyword&gt;&lt;keyword&gt;Mortality&lt;/keyword&gt;&lt;keyword&gt;Living Conditions&lt;/keyword&gt;&lt;keyword&gt;Illnesses&lt;/keyword&gt;&lt;keyword&gt;Child Development&lt;/keyword&gt;&lt;/keywords&gt;&lt;dates&gt;&lt;year&gt;2008&lt;/year&gt;&lt;/dates&gt;&lt;isbn&gt;0140-6736&lt;/isbn&gt;&lt;urls&gt;&lt;/urls&gt;&lt;electronic-resource-num&gt;10.1016/S0140-6736(08)61690-6&lt;/electronic-resource-num&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(Marmot et al., 2008)</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Pr="00000849">
        <w:rPr>
          <w:rFonts w:asciiTheme="minorHAnsi" w:hAnsiTheme="minorHAnsi" w:cstheme="minorHAnsi"/>
          <w:color w:val="383838"/>
        </w:rPr>
        <w:lastRenderedPageBreak/>
        <w:t xml:space="preserve">SDHs are the general everyday socio-economic, cultural and environmental conditions under which individuals are born, grow, live, work, play, age and die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&lt;EndNote&gt;&lt;Cite&gt;&lt;Author&gt;Commission on Social Determinants of Health&lt;/Author&gt;&lt;Year&gt;2008&lt;/Year&gt;&lt;RecNum&gt;1114&lt;/RecNum&gt;&lt;DisplayText&gt;(Commission on Social Determinants of Health, 2008)&lt;/DisplayText&gt;&lt;record&gt;&lt;rec-number&gt;1114&lt;/rec-number&gt;&lt;foreign-keys&gt;&lt;key app="EN" db-id="9tzf2rda8re2a9es5tuxart3swzx2zws2s02" timestamp="1565077644"&gt;1114&lt;/key&gt;&lt;/foreign-keys&gt;&lt;ref-type name="Book"&gt;6&lt;/ref-type&gt;&lt;contributors&gt;&lt;authors&gt;&lt;author&gt;Commission on Social Determinants of Health,&lt;/author&gt;&lt;/authors&gt;&lt;/contributors&gt;&lt;titles&gt;&lt;title&gt;Closing the gap in a generation: Health equity through action on the social determinants of health&lt;/title&gt;&lt;/titles&gt;&lt;dates&gt;&lt;year&gt;2008&lt;/year&gt;&lt;/dates&gt;&lt;pub-location&gt;Geneva&lt;/pub-location&gt;&lt;publisher&gt;WHO&lt;/publisher&gt;&lt;urls&gt;&lt;/urls&gt;&lt;/record&gt;&lt;/Cite&gt;&lt;/EndNote&gt;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(Commission on Social Determinants of Health, 2008)</w:t>
      </w:r>
      <w:r w:rsidRPr="00000849">
        <w:rPr>
          <w:rFonts w:asciiTheme="minorHAnsi" w:hAnsiTheme="minorHAnsi" w:cstheme="minorHAnsi"/>
          <w:color w:val="383838"/>
        </w:rPr>
        <w:fldChar w:fldCharType="end"/>
      </w:r>
      <w:r w:rsidRPr="00000849">
        <w:rPr>
          <w:rFonts w:asciiTheme="minorHAnsi" w:hAnsiTheme="minorHAnsi" w:cstheme="minorHAnsi"/>
          <w:color w:val="383838"/>
        </w:rPr>
        <w:t>.  The SDH framework includes structural and intermediary determinants which</w:t>
      </w:r>
      <w:r w:rsidR="009D2C51" w:rsidRPr="00000849">
        <w:rPr>
          <w:rFonts w:asciiTheme="minorHAnsi" w:hAnsiTheme="minorHAnsi" w:cstheme="minorHAnsi"/>
          <w:color w:val="383838"/>
        </w:rPr>
        <w:t xml:space="preserve"> operate at multiple levels within the political, social, and economic context</w:t>
      </w:r>
      <w:r w:rsidRPr="00000849">
        <w:rPr>
          <w:rFonts w:asciiTheme="minorHAnsi" w:hAnsiTheme="minorHAnsi" w:cstheme="minorHAnsi"/>
          <w:color w:val="383838"/>
        </w:rPr>
        <w:t xml:space="preserve"> </w:t>
      </w:r>
      <w:r w:rsidR="009D2C51" w:rsidRPr="00000849">
        <w:rPr>
          <w:rFonts w:asciiTheme="minorHAnsi" w:hAnsiTheme="minorHAnsi" w:cstheme="minorHAnsi"/>
          <w:color w:val="383838"/>
        </w:rPr>
        <w:t xml:space="preserve">to </w:t>
      </w:r>
      <w:r w:rsidRPr="00000849">
        <w:rPr>
          <w:rFonts w:asciiTheme="minorHAnsi" w:hAnsiTheme="minorHAnsi" w:cstheme="minorHAnsi"/>
          <w:color w:val="383838"/>
        </w:rPr>
        <w:t>influence individual behaviours and lifestyles. It is the latter which eventually impact on equity in health and well-being.</w:t>
      </w:r>
    </w:p>
    <w:p w14:paraId="538FBF65" w14:textId="19F37524"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Calibri" w:eastAsia="Calibri" w:hAnsi="Calibri" w:cs="Calibri"/>
          <w:color w:val="383838"/>
        </w:rPr>
        <w:t xml:space="preserve">Studies on the social determinants of the incidence, prevalence, treatment and outcomes of cardiovascular diseases including hypertension have been published </w:t>
      </w:r>
      <w:r w:rsidRPr="00000849">
        <w:rPr>
          <w:rFonts w:ascii="Calibri" w:eastAsia="Calibri" w:hAnsi="Calibri" w:cs="Calibri"/>
          <w:color w:val="383838"/>
        </w:rPr>
        <w:fldChar w:fldCharType="begin">
          <w:fldData xml:space="preserve">PEVuZE5vdGU+PENpdGU+PEF1dGhvcj5IYXZyYW5lazwvQXV0aG9yPjxZZWFyPjIwMTU8L1llYXI+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</w:fldData>
        </w:fldChar>
      </w:r>
      <w:r w:rsidRPr="00000849">
        <w:rPr>
          <w:rFonts w:ascii="Calibri" w:eastAsia="Calibri" w:hAnsi="Calibri" w:cs="Calibri"/>
          <w:color w:val="383838"/>
        </w:rPr>
        <w:instrText xml:space="preserve"> ADDIN EN.CITE </w:instrText>
      </w:r>
      <w:r w:rsidRPr="00000849">
        <w:rPr>
          <w:rFonts w:ascii="Calibri" w:eastAsia="Calibri" w:hAnsi="Calibri" w:cs="Calibri"/>
          <w:color w:val="383838"/>
        </w:rPr>
        <w:fldChar w:fldCharType="begin">
          <w:fldData xml:space="preserve">PEVuZE5vdGU+PENpdGU+PEF1dGhvcj5IYXZyYW5lazwvQXV0aG9yPjxZZWFyPjIwMTU8L1llYXI+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</w:fldData>
        </w:fldChar>
      </w:r>
      <w:r w:rsidRPr="00000849">
        <w:rPr>
          <w:rFonts w:ascii="Calibri" w:eastAsia="Calibri" w:hAnsi="Calibri" w:cs="Calibri"/>
          <w:color w:val="383838"/>
        </w:rPr>
        <w:instrText xml:space="preserve"> ADDIN EN.CITE.DATA </w:instrText>
      </w:r>
      <w:r w:rsidRPr="00000849">
        <w:rPr>
          <w:rFonts w:ascii="Calibri" w:eastAsia="Calibri" w:hAnsi="Calibri" w:cs="Calibri"/>
          <w:color w:val="383838"/>
        </w:rPr>
      </w:r>
      <w:r w:rsidRPr="00000849">
        <w:rPr>
          <w:rFonts w:ascii="Calibri" w:eastAsia="Calibri" w:hAnsi="Calibri" w:cs="Calibri"/>
          <w:color w:val="383838"/>
        </w:rPr>
        <w:fldChar w:fldCharType="end"/>
      </w:r>
      <w:r w:rsidRPr="00000849">
        <w:rPr>
          <w:rFonts w:ascii="Calibri" w:eastAsia="Calibri" w:hAnsi="Calibri" w:cs="Calibri"/>
          <w:color w:val="383838"/>
        </w:rPr>
      </w:r>
      <w:r w:rsidRPr="00000849">
        <w:rPr>
          <w:rFonts w:ascii="Calibri" w:eastAsia="Calibri" w:hAnsi="Calibri" w:cs="Calibri"/>
          <w:color w:val="383838"/>
        </w:rPr>
        <w:fldChar w:fldCharType="separate"/>
      </w:r>
      <w:r w:rsidRPr="00000849">
        <w:rPr>
          <w:rFonts w:ascii="Calibri" w:eastAsia="Calibri" w:hAnsi="Calibri" w:cs="Calibri"/>
          <w:noProof/>
          <w:color w:val="383838"/>
        </w:rPr>
        <w:t>(Havranek et al., 2015; Peltzer &amp; Pengpid, 2018)</w:t>
      </w:r>
      <w:r w:rsidRPr="00000849">
        <w:rPr>
          <w:rFonts w:ascii="Calibri" w:eastAsia="Calibri" w:hAnsi="Calibri" w:cs="Calibri"/>
          <w:color w:val="383838"/>
        </w:rPr>
        <w:fldChar w:fldCharType="end"/>
      </w:r>
      <w:r w:rsidRPr="00000849">
        <w:rPr>
          <w:rFonts w:ascii="Calibri" w:eastAsia="Calibri" w:hAnsi="Calibri" w:cs="Calibri"/>
          <w:color w:val="383838"/>
        </w:rPr>
        <w:t xml:space="preserve">.  Income, education and occupation are often used as proxies for socio-economic status or position.  </w:t>
      </w:r>
      <w:r w:rsidR="009D2C51" w:rsidRPr="00000849">
        <w:rPr>
          <w:rFonts w:ascii="Calibri" w:eastAsia="Calibri" w:hAnsi="Calibri" w:cs="Calibri"/>
          <w:color w:val="383838"/>
        </w:rPr>
        <w:t xml:space="preserve">For instance, </w:t>
      </w:r>
      <w:r w:rsidRPr="00000849">
        <w:rPr>
          <w:rFonts w:ascii="Calibri" w:eastAsia="Calibri" w:hAnsi="Calibri" w:cs="Calibri"/>
          <w:color w:val="383838"/>
        </w:rPr>
        <w:t>a review of different social determinants</w:t>
      </w:r>
      <w:r w:rsidR="009D2C51" w:rsidRPr="00000849">
        <w:rPr>
          <w:rFonts w:ascii="Calibri" w:eastAsia="Calibri" w:hAnsi="Calibri" w:cs="Calibri"/>
          <w:color w:val="383838"/>
        </w:rPr>
        <w:t xml:space="preserve"> </w:t>
      </w:r>
      <w:r w:rsidRPr="00000849">
        <w:rPr>
          <w:rFonts w:ascii="Calibri" w:eastAsia="Calibri" w:hAnsi="Calibri" w:cs="Calibri"/>
          <w:color w:val="383838"/>
        </w:rPr>
        <w:t xml:space="preserve">observed that socially disadvantaged groups have relatively poorer cardiovascular health than those who are socially advantaged </w:t>
      </w:r>
      <w:r w:rsidRPr="00000849">
        <w:rPr>
          <w:rFonts w:ascii="Calibri" w:eastAsia="Calibri" w:hAnsi="Calibri" w:cs="Calibri"/>
          <w:color w:val="383838"/>
        </w:rPr>
        <w:fldChar w:fldCharType="begin"/>
      </w:r>
      <w:r w:rsidRPr="00000849">
        <w:rPr>
          <w:rFonts w:ascii="Calibri" w:eastAsia="Calibri" w:hAnsi="Calibri" w:cs="Calibri"/>
          <w:color w:val="383838"/>
        </w:rPr>
        <w:instrText xml:space="preserve"> ADDIN EN.CITE &lt;EndNote&gt;&lt;Cite&gt;&lt;Author&gt;Havranek&lt;/Author&gt;&lt;Year&gt;2015&lt;/Year&gt;&lt;RecNum&gt;1111&lt;/RecNum&gt;&lt;DisplayText&gt;(Havranek et al., 2015)&lt;/DisplayText&gt;&lt;record&gt;&lt;rec-number&gt;1111&lt;/rec-number&gt;&lt;foreign-keys&gt;&lt;key app="EN" db-id="9tzf2rda8re2a9es5tuxart3swzx2zws2s02" timestamp="1565069556"&gt;1111&lt;/key&gt;&lt;/foreign-keys&gt;&lt;ref-type name="Journal Article"&gt;17&lt;/ref-type&gt;&lt;contributors&gt;&lt;authors&gt;&lt;author&gt;Edward P. Havranek&lt;/author&gt;&lt;author&gt;Mahasin S. Mujahid&lt;/author&gt;&lt;author&gt;Donald A. Barr&lt;/author&gt;&lt;author&gt;Irene V. Blair&lt;/author&gt;&lt;author&gt;Meryl S. Cohen&lt;/author&gt;&lt;author&gt;Salvador Cruz-Flores&lt;/author&gt;&lt;author&gt;George Davey-Smith&lt;/author&gt;&lt;author&gt;Cheryl R. Dennison-Himmelfarb&lt;/author&gt;&lt;author&gt;Michael S. Lauer&lt;/author&gt;&lt;author&gt;Debra W. Lockwood&lt;/author&gt;&lt;author&gt;Milagros Rosal&lt;/author&gt;&lt;author&gt;Clyde W. Yancy&lt;/author&gt;&lt;/authors&gt;&lt;/contributors&gt;&lt;titles&gt;&lt;title&gt;Social Determinants of Risk and Outcomes for Cardiovascular Disease&lt;/title&gt;&lt;secondary-title&gt;Circulation&lt;/secondary-title&gt;&lt;/titles&gt;&lt;periodical&gt;&lt;full-title&gt;Circulation&lt;/full-title&gt;&lt;/periodical&gt;&lt;pages&gt;873-898&lt;/pages&gt;&lt;volume&gt;132&lt;/volume&gt;&lt;number&gt;9&lt;/number&gt;&lt;dates&gt;&lt;year&gt;2015&lt;/year&gt;&lt;/dates&gt;&lt;urls&gt;&lt;related-urls&gt;&lt;url&gt;https://www.ahajournals.org/doi/abs/10.1161/CIR.0000000000000228&lt;/url&gt;&lt;/related-urls&gt;&lt;/urls&gt;&lt;electronic-resource-num&gt;doi:10.1161/CIR.0000000000000228&lt;/electronic-resource-num&gt;&lt;/record&gt;&lt;/Cite&gt;&lt;/EndNote&gt;</w:instrText>
      </w:r>
      <w:r w:rsidRPr="00000849">
        <w:rPr>
          <w:rFonts w:ascii="Calibri" w:eastAsia="Calibri" w:hAnsi="Calibri" w:cs="Calibri"/>
          <w:color w:val="383838"/>
        </w:rPr>
        <w:fldChar w:fldCharType="separate"/>
      </w:r>
      <w:r w:rsidRPr="00000849">
        <w:rPr>
          <w:rFonts w:ascii="Calibri" w:eastAsia="Calibri" w:hAnsi="Calibri" w:cs="Calibri"/>
          <w:noProof/>
          <w:color w:val="383838"/>
        </w:rPr>
        <w:t>(Havranek et al., 2015)</w:t>
      </w:r>
      <w:r w:rsidRPr="00000849">
        <w:rPr>
          <w:rFonts w:ascii="Calibri" w:eastAsia="Calibri" w:hAnsi="Calibri" w:cs="Calibri"/>
          <w:color w:val="383838"/>
        </w:rPr>
        <w:fldChar w:fldCharType="end"/>
      </w:r>
      <w:r w:rsidRPr="00000849">
        <w:rPr>
          <w:rFonts w:ascii="Calibri" w:eastAsia="Calibri" w:hAnsi="Calibri" w:cs="Calibri"/>
          <w:color w:val="383838"/>
        </w:rPr>
        <w:t xml:space="preserve">.  </w:t>
      </w:r>
      <w:r w:rsidR="009D2C51" w:rsidRPr="00000849">
        <w:rPr>
          <w:rFonts w:ascii="Calibri" w:eastAsia="Calibri" w:hAnsi="Calibri" w:cs="Calibri"/>
          <w:color w:val="383838"/>
        </w:rPr>
        <w:t xml:space="preserve">Although the current </w:t>
      </w:r>
      <w:r w:rsidRPr="00000849">
        <w:rPr>
          <w:rFonts w:ascii="Calibri" w:eastAsia="Calibri" w:hAnsi="Calibri" w:cs="Calibri"/>
          <w:color w:val="383838"/>
        </w:rPr>
        <w:t>study assessed the relationship between social determinants (educational attainment, occupation and wealth quintiles) and hypertension at two time points, eight-years apart</w:t>
      </w:r>
      <w:r w:rsidR="009D2C51" w:rsidRPr="00000849">
        <w:rPr>
          <w:rFonts w:ascii="Calibri" w:eastAsia="Calibri" w:hAnsi="Calibri" w:cs="Calibri"/>
          <w:color w:val="383838"/>
        </w:rPr>
        <w:t xml:space="preserve">, it </w:t>
      </w:r>
      <w:r w:rsidRPr="00000849">
        <w:rPr>
          <w:rFonts w:ascii="Calibri" w:eastAsia="Calibri" w:hAnsi="Calibri" w:cs="Calibri"/>
          <w:color w:val="383838"/>
        </w:rPr>
        <w:t>did not have an equity focus.</w:t>
      </w:r>
    </w:p>
    <w:p w14:paraId="4CAE74F6"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BC9D117" w14:textId="2BE194FC" w:rsidR="00D92056" w:rsidRPr="00000849" w:rsidRDefault="00D92056" w:rsidP="00A61BAB">
      <w:pPr>
        <w:pStyle w:val="Heading2"/>
      </w:pPr>
      <w:bookmarkStart w:id="65" w:name="_Toc51472109"/>
      <w:r w:rsidRPr="00000849">
        <w:t>3.</w:t>
      </w:r>
      <w:r w:rsidR="004B6822" w:rsidRPr="00000849">
        <w:t>7</w:t>
      </w:r>
      <w:r w:rsidRPr="00000849">
        <w:tab/>
        <w:t>Conceptual framework of the study</w:t>
      </w:r>
      <w:bookmarkEnd w:id="65"/>
      <w:r w:rsidRPr="00000849">
        <w:t xml:space="preserve"> </w:t>
      </w:r>
    </w:p>
    <w:p w14:paraId="68674362"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C90F33F" w14:textId="7F3CCE4B"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 AuthorYear="1"&gt;&lt;Author&gt;Crawford&lt;/Author&gt;&lt;Year&gt;2020&lt;/Year&gt;&lt;RecNum&gt;1644&lt;/RecNum&gt;&lt;DisplayText&gt;Crawford (2020)&lt;/DisplayText&gt;&lt;record&gt;&lt;rec-number&gt;1644&lt;/rec-number&gt;&lt;foreign-keys&gt;&lt;key app="EN" db-id="9tzf2rda8re2a9es5tuxart3swzx2zws2s02" timestamp="1591936453"&gt;1644&lt;/key&gt;&lt;/foreign-keys&gt;&lt;ref-type name="Book Section"&gt;5&lt;/ref-type&gt;&lt;contributors&gt;&lt;authors&gt;&lt;author&gt;Crawford, Linda M&lt;/author&gt;&lt;/authors&gt;&lt;secondary-authors&gt;&lt;author&gt;Burkholder, Gary J&lt;/author&gt;&lt;author&gt;Cox, Kimberley A&lt;/author&gt;&lt;author&gt;Crawford, Linda M&lt;/author&gt;&lt;author&gt;Hitchcock, John H&lt;/author&gt;&lt;/secondary-authors&gt;&lt;/contributors&gt;&lt;titles&gt;&lt;title&gt;Conceptual and theoretical frameworks in research&lt;/title&gt;&lt;secondary-title&gt;Research Design and Methods: An Applied Guide for the Scholar-Practitioner&lt;/secondary-title&gt;&lt;/titles&gt;&lt;pages&gt;35-48&lt;/pages&gt;&lt;section&gt;3&lt;/section&gt;&lt;dates&gt;&lt;year&gt;2020&lt;/year&gt;&lt;/dates&gt;&lt;pub-location&gt;Thousand Oaks, California, USA&lt;/pub-location&gt;&lt;publisher&gt;SAGE Publications, Incorporated&lt;/publisher&gt;&lt;isbn&gt;154434239X&lt;/isbn&gt;&lt;urls&gt;&lt;related-urls&gt;&lt;url&gt;https://us.sagepub.com/sites/default/files/upm-assets/105274_book_item_105274.pdf&lt;/url&gt;&lt;/related-urls&gt;&lt;/urls&gt;&lt;/record&gt;&lt;/Cite&gt;&lt;/EndNote&gt;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Crawford (2020)</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posits that the theoretical framework is an element of the conceptual framework which outlines the relationships to be explored in terms of developing or testing formal theories.  The conceptual framework sets out how the political and social context of Ghana and the social determinants of health influence the occurrence of three groups of risk factors that are associated with hypertension, and how the </w:t>
      </w:r>
      <w:r w:rsidRPr="00000849">
        <w:rPr>
          <w:rFonts w:asciiTheme="minorHAnsi" w:hAnsiTheme="minorHAnsi" w:cstheme="minorHAnsi"/>
          <w:color w:val="383838"/>
        </w:rPr>
        <w:lastRenderedPageBreak/>
        <w:t xml:space="preserve">uptake of treatment could lead to healthy older adults with controlled blood pressure (Figure </w:t>
      </w:r>
      <w:r w:rsidR="00702C75" w:rsidRPr="00000849">
        <w:rPr>
          <w:rFonts w:asciiTheme="minorHAnsi" w:hAnsiTheme="minorHAnsi" w:cstheme="minorHAnsi"/>
          <w:color w:val="383838"/>
        </w:rPr>
        <w:t>8</w:t>
      </w:r>
      <w:r w:rsidRPr="00000849">
        <w:rPr>
          <w:rFonts w:asciiTheme="minorHAnsi" w:hAnsiTheme="minorHAnsi" w:cstheme="minorHAnsi"/>
          <w:color w:val="383838"/>
        </w:rPr>
        <w:t>).  Analogous to the Rowe and Kahn model, older adults who do not develop hypertension or those with hypertension who have the blood pressure controlled by treatment or non-pharmaceutical measure</w:t>
      </w:r>
      <w:r w:rsidR="00E54EDA">
        <w:rPr>
          <w:rFonts w:asciiTheme="minorHAnsi" w:hAnsiTheme="minorHAnsi" w:cstheme="minorHAnsi"/>
          <w:color w:val="383838"/>
        </w:rPr>
        <w:t>s</w:t>
      </w:r>
      <w:r w:rsidRPr="00000849">
        <w:rPr>
          <w:rFonts w:asciiTheme="minorHAnsi" w:hAnsiTheme="minorHAnsi" w:cstheme="minorHAnsi"/>
          <w:color w:val="383838"/>
        </w:rPr>
        <w:t xml:space="preserve"> can be thought of as experiencing “successful ageing’.</w:t>
      </w:r>
    </w:p>
    <w:p w14:paraId="3FD0A043"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41A10527" w14:textId="49F72117" w:rsidR="00D92056" w:rsidRPr="00000849" w:rsidRDefault="00D92056" w:rsidP="00D92056">
      <w:pPr>
        <w:pStyle w:val="TableSAGE1"/>
        <w:keepNext/>
        <w:ind w:left="1276" w:hanging="992"/>
        <w:rPr>
          <w:szCs w:val="24"/>
        </w:rPr>
      </w:pPr>
      <w:bookmarkStart w:id="66" w:name="_Toc71153647"/>
      <w:r w:rsidRPr="00000849">
        <w:rPr>
          <w:szCs w:val="24"/>
        </w:rPr>
        <w:t xml:space="preserve">Figure </w:t>
      </w:r>
      <w:r w:rsidR="001D354F" w:rsidRPr="00000849">
        <w:rPr>
          <w:szCs w:val="24"/>
        </w:rPr>
        <w:fldChar w:fldCharType="begin"/>
      </w:r>
      <w:r w:rsidR="001D354F" w:rsidRPr="00000849">
        <w:rPr>
          <w:szCs w:val="24"/>
        </w:rPr>
        <w:instrText xml:space="preserve"> SEQ Figure \* ARABIC </w:instrText>
      </w:r>
      <w:r w:rsidR="001D354F" w:rsidRPr="00000849">
        <w:rPr>
          <w:szCs w:val="24"/>
        </w:rPr>
        <w:fldChar w:fldCharType="separate"/>
      </w:r>
      <w:r w:rsidR="00C0100F">
        <w:rPr>
          <w:noProof/>
          <w:szCs w:val="24"/>
        </w:rPr>
        <w:t>8</w:t>
      </w:r>
      <w:r w:rsidR="001D354F" w:rsidRPr="00000849">
        <w:rPr>
          <w:szCs w:val="24"/>
        </w:rPr>
        <w:fldChar w:fldCharType="end"/>
      </w:r>
      <w:r w:rsidRPr="00000849">
        <w:rPr>
          <w:szCs w:val="24"/>
        </w:rPr>
        <w:t>:</w:t>
      </w:r>
      <w:r w:rsidRPr="00000849">
        <w:rPr>
          <w:szCs w:val="24"/>
        </w:rPr>
        <w:tab/>
        <w:t>Conceptual framework, interfaced with the Rowe and Kahn model for successful ageing and the social determinants of health, for the analysis of factors associated with hypertension in older adults in Ghana and</w:t>
      </w:r>
      <w:bookmarkEnd w:id="66"/>
      <w:r w:rsidRPr="00000849">
        <w:rPr>
          <w:szCs w:val="24"/>
        </w:rPr>
        <w:t xml:space="preserve">  </w:t>
      </w:r>
    </w:p>
    <w:p w14:paraId="594F88B3"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lang w:val="en-US"/>
        </w:rPr>
      </w:pPr>
    </w:p>
    <w:p w14:paraId="5B3C2B91"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noProof/>
        </w:rPr>
        <w:drawing>
          <wp:inline distT="0" distB="0" distL="0" distR="0" wp14:anchorId="67D79AAC" wp14:editId="5555A953">
            <wp:extent cx="5277485" cy="27647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7485" cy="2764790"/>
                    </a:xfrm>
                    <a:prstGeom prst="rect">
                      <a:avLst/>
                    </a:prstGeom>
                    <a:noFill/>
                    <a:ln>
                      <a:noFill/>
                    </a:ln>
                  </pic:spPr>
                </pic:pic>
              </a:graphicData>
            </a:graphic>
          </wp:inline>
        </w:drawing>
      </w:r>
    </w:p>
    <w:p w14:paraId="2E605323" w14:textId="77777777" w:rsidR="00D92056" w:rsidRPr="00000849" w:rsidRDefault="00D92056" w:rsidP="00D92056">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BE592BE" w14:textId="630B3569"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demographic, socioeconomic and lifestyle-related factors assessed were identified from a recent systematic review of determinants of hypertension in older adults in Africa </w:t>
      </w:r>
      <w:r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Pr="00000849">
        <w:rPr>
          <w:rFonts w:asciiTheme="minorHAnsi" w:hAnsiTheme="minorHAnsi" w:cstheme="minorHAnsi"/>
          <w:color w:val="383838"/>
        </w:rPr>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(Bosu et al., 2019a)</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The review found that demographic factors such </w:t>
      </w:r>
      <w:r w:rsidRPr="00000849">
        <w:rPr>
          <w:rFonts w:asciiTheme="minorHAnsi" w:hAnsiTheme="minorHAnsi" w:cstheme="minorHAnsi"/>
          <w:color w:val="383838"/>
        </w:rPr>
        <w:lastRenderedPageBreak/>
        <w:t>as older age group and lifestyle factors such as overweight/obesity were consistently and independently associated with hypertension.</w:t>
      </w:r>
    </w:p>
    <w:p w14:paraId="313B7F2E" w14:textId="3FFD4666"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This study goes beyond the identification of factors associated with the mere presence or absence of hypertension to the factors associated with the grade of severity of hypertension.  The prediction of factors associated with hypertension is highly relevant in Ghana in a setting where there is a high prevalence of target organ damage from hypertension and other complications of hypertension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&lt;EndNote&gt;&lt;Cite&gt;&lt;Author&gt;Addo&lt;/Author&gt;&lt;Year&gt;2009&lt;/Year&gt;&lt;RecNum&gt;56&lt;/RecNum&gt;&lt;DisplayText&gt;(Addo et al., 2009a)&lt;/DisplayText&gt;&lt;record&gt;&lt;rec-number&gt;56&lt;/rec-number&gt;&lt;foreign-keys&gt;&lt;key app="EN" db-id="9tzf2rda8re2a9es5tuxart3swzx2zws2s02" timestamp="1465070676"&gt;56&lt;/key&gt;&lt;/foreign-keys&gt;&lt;ref-type name="Journal Article"&gt;17&lt;/ref-type&gt;&lt;contributors&gt;&lt;authors&gt;&lt;author&gt;Addo, Juliet &lt;/author&gt;&lt;author&gt;Smeeth, Liam &lt;/author&gt;&lt;author&gt;Leon, David A.&lt;/author&gt;&lt;/authors&gt;&lt;/contributors&gt;&lt;titles&gt;&lt;title&gt;Hypertensive target organ damage in Ghanaian civil servants with hypertension&lt;/title&gt;&lt;secondary-title&gt;PLoS One&lt;/secondary-title&gt;&lt;/titles&gt;&lt;periodical&gt;&lt;full-title&gt;PLoS One&lt;/full-title&gt;&lt;/periodical&gt;&lt;pages&gt;e6672&lt;/pages&gt;&lt;volume&gt;4&lt;/volume&gt;&lt;number&gt;8&lt;/number&gt;&lt;dates&gt;&lt;year&gt;2009&lt;/year&gt;&lt;/dates&gt;&lt;urls&gt;&lt;/urls&gt;&lt;electronic-resource-num&gt;10.1371/journal.pone.0006672.&lt;/electronic-resource-num&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(Addo et al., 2009a)</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p>
    <w:p w14:paraId="6EF7C560" w14:textId="77777777" w:rsidR="00D92056" w:rsidRPr="00000849" w:rsidRDefault="00D92056" w:rsidP="00D9205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06885659" w14:textId="77777777" w:rsidR="00D92056" w:rsidRPr="00000849" w:rsidRDefault="00D92056">
      <w:pPr>
        <w:pStyle w:val="Heading1"/>
        <w:sectPr w:rsidR="00D92056" w:rsidRPr="00000849" w:rsidSect="008D5ECD">
          <w:pgSz w:w="11906" w:h="16838"/>
          <w:pgMar w:top="1440" w:right="1440" w:bottom="1440" w:left="2155" w:header="708" w:footer="708" w:gutter="0"/>
          <w:cols w:space="708"/>
          <w:docGrid w:linePitch="360"/>
        </w:sectPr>
      </w:pPr>
    </w:p>
    <w:p w14:paraId="6DBF3B0B" w14:textId="1B121CD3" w:rsidR="0011226C" w:rsidRPr="00000849" w:rsidRDefault="002B0B4B">
      <w:pPr>
        <w:pStyle w:val="Heading1"/>
      </w:pPr>
      <w:bookmarkStart w:id="67" w:name="_Toc51472110"/>
      <w:r w:rsidRPr="00000849">
        <w:lastRenderedPageBreak/>
        <w:t xml:space="preserve">Chapter </w:t>
      </w:r>
      <w:r w:rsidR="00883650" w:rsidRPr="00000849">
        <w:t>4</w:t>
      </w:r>
      <w:r w:rsidRPr="00000849">
        <w:t xml:space="preserve">: </w:t>
      </w:r>
      <w:r w:rsidR="00F1350D" w:rsidRPr="00000849">
        <w:t>Methods</w:t>
      </w:r>
      <w:bookmarkEnd w:id="67"/>
      <w:r w:rsidRPr="00000849">
        <w:t xml:space="preserve"> </w:t>
      </w:r>
    </w:p>
    <w:p w14:paraId="5C4900AB" w14:textId="7CC7ED6F" w:rsidR="002B0B4B" w:rsidRPr="00000849" w:rsidRDefault="002B0B4B"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1CECB72F" w14:textId="2E62605F" w:rsidR="006549A9" w:rsidRPr="00000849" w:rsidRDefault="006549A9" w:rsidP="006549A9">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This chapter presents a </w:t>
      </w:r>
      <w:r w:rsidR="00B22F52" w:rsidRPr="00000849">
        <w:rPr>
          <w:rFonts w:asciiTheme="minorHAnsi" w:hAnsiTheme="minorHAnsi" w:cstheme="minorHAnsi"/>
          <w:color w:val="383838"/>
        </w:rPr>
        <w:t xml:space="preserve">detailed </w:t>
      </w:r>
      <w:r w:rsidRPr="00000849">
        <w:rPr>
          <w:rFonts w:asciiTheme="minorHAnsi" w:hAnsiTheme="minorHAnsi" w:cstheme="minorHAnsi"/>
          <w:color w:val="383838"/>
        </w:rPr>
        <w:t xml:space="preserve">overview of the </w:t>
      </w:r>
      <w:r w:rsidR="00B22F52" w:rsidRPr="00000849">
        <w:rPr>
          <w:rFonts w:asciiTheme="minorHAnsi" w:hAnsiTheme="minorHAnsi" w:cstheme="minorHAnsi"/>
          <w:color w:val="383838"/>
        </w:rPr>
        <w:t>main source of data employed for the empirical analys</w:t>
      </w:r>
      <w:r w:rsidR="00132896" w:rsidRPr="00000849">
        <w:rPr>
          <w:rFonts w:asciiTheme="minorHAnsi" w:hAnsiTheme="minorHAnsi" w:cstheme="minorHAnsi"/>
          <w:color w:val="383838"/>
        </w:rPr>
        <w:t>e</w:t>
      </w:r>
      <w:r w:rsidR="00B22F52" w:rsidRPr="00000849">
        <w:rPr>
          <w:rFonts w:asciiTheme="minorHAnsi" w:hAnsiTheme="minorHAnsi" w:cstheme="minorHAnsi"/>
          <w:color w:val="383838"/>
        </w:rPr>
        <w:t xml:space="preserve">s presented in the thesis, the </w:t>
      </w:r>
      <w:r w:rsidRPr="00000849">
        <w:rPr>
          <w:rFonts w:asciiTheme="minorHAnsi" w:hAnsiTheme="minorHAnsi" w:cstheme="minorHAnsi"/>
          <w:color w:val="383838"/>
        </w:rPr>
        <w:t>SAGE Ghana Study</w:t>
      </w:r>
      <w:r w:rsidR="00B22F52" w:rsidRPr="00000849">
        <w:rPr>
          <w:rFonts w:asciiTheme="minorHAnsi" w:hAnsiTheme="minorHAnsi" w:cstheme="minorHAnsi"/>
          <w:color w:val="383838"/>
        </w:rPr>
        <w:t xml:space="preserve">. </w:t>
      </w:r>
      <w:r w:rsidR="00737059">
        <w:rPr>
          <w:rFonts w:asciiTheme="minorHAnsi" w:hAnsiTheme="minorHAnsi" w:cstheme="minorHAnsi"/>
          <w:color w:val="383838"/>
        </w:rPr>
        <w:t xml:space="preserve"> </w:t>
      </w:r>
      <w:r w:rsidR="00B22F52" w:rsidRPr="00000849">
        <w:rPr>
          <w:rFonts w:asciiTheme="minorHAnsi" w:hAnsiTheme="minorHAnsi" w:cstheme="minorHAnsi"/>
          <w:color w:val="383838"/>
        </w:rPr>
        <w:t>It</w:t>
      </w:r>
      <w:r w:rsidRPr="00000849">
        <w:rPr>
          <w:rFonts w:asciiTheme="minorHAnsi" w:hAnsiTheme="minorHAnsi" w:cstheme="minorHAnsi"/>
          <w:color w:val="383838"/>
        </w:rPr>
        <w:t xml:space="preserve"> describes the study methods for each wave</w:t>
      </w:r>
      <w:r w:rsidR="00B22F52" w:rsidRPr="00000849">
        <w:rPr>
          <w:rFonts w:asciiTheme="minorHAnsi" w:hAnsiTheme="minorHAnsi" w:cstheme="minorHAnsi"/>
          <w:color w:val="383838"/>
        </w:rPr>
        <w:t>;</w:t>
      </w:r>
      <w:r w:rsidRPr="00000849">
        <w:rPr>
          <w:rFonts w:asciiTheme="minorHAnsi" w:hAnsiTheme="minorHAnsi" w:cstheme="minorHAnsi"/>
          <w:color w:val="383838"/>
        </w:rPr>
        <w:t xml:space="preserve"> </w:t>
      </w:r>
      <w:r w:rsidR="00B22F52" w:rsidRPr="00000849">
        <w:rPr>
          <w:rFonts w:asciiTheme="minorHAnsi" w:hAnsiTheme="minorHAnsi" w:cstheme="minorHAnsi"/>
          <w:color w:val="383838"/>
        </w:rPr>
        <w:t>its</w:t>
      </w:r>
      <w:r w:rsidRPr="00000849">
        <w:rPr>
          <w:rFonts w:asciiTheme="minorHAnsi" w:hAnsiTheme="minorHAnsi" w:cstheme="minorHAnsi"/>
          <w:color w:val="383838"/>
        </w:rPr>
        <w:t xml:space="preserve"> sampling technique</w:t>
      </w:r>
      <w:r w:rsidR="00B22F52" w:rsidRPr="00000849">
        <w:rPr>
          <w:rFonts w:asciiTheme="minorHAnsi" w:hAnsiTheme="minorHAnsi" w:cstheme="minorHAnsi"/>
          <w:color w:val="383838"/>
        </w:rPr>
        <w:t>;</w:t>
      </w:r>
      <w:r w:rsidRPr="00000849">
        <w:rPr>
          <w:rFonts w:asciiTheme="minorHAnsi" w:hAnsiTheme="minorHAnsi" w:cstheme="minorHAnsi"/>
          <w:color w:val="383838"/>
        </w:rPr>
        <w:t xml:space="preserve"> sample size and </w:t>
      </w:r>
      <w:r w:rsidR="00B22F52" w:rsidRPr="00000849">
        <w:rPr>
          <w:rFonts w:asciiTheme="minorHAnsi" w:hAnsiTheme="minorHAnsi" w:cstheme="minorHAnsi"/>
          <w:color w:val="383838"/>
        </w:rPr>
        <w:t xml:space="preserve">main features of </w:t>
      </w:r>
      <w:r w:rsidRPr="00000849">
        <w:rPr>
          <w:rFonts w:asciiTheme="minorHAnsi" w:hAnsiTheme="minorHAnsi" w:cstheme="minorHAnsi"/>
          <w:color w:val="383838"/>
        </w:rPr>
        <w:t xml:space="preserve">the data collected from older adults.  </w:t>
      </w:r>
      <w:r w:rsidR="005F7F29" w:rsidRPr="00000849">
        <w:rPr>
          <w:rFonts w:asciiTheme="minorHAnsi" w:hAnsiTheme="minorHAnsi" w:cstheme="minorHAnsi"/>
          <w:color w:val="383838"/>
        </w:rPr>
        <w:t>Further</w:t>
      </w:r>
      <w:r w:rsidR="00B22F52" w:rsidRPr="00000849">
        <w:rPr>
          <w:rFonts w:asciiTheme="minorHAnsi" w:hAnsiTheme="minorHAnsi" w:cstheme="minorHAnsi"/>
          <w:color w:val="383838"/>
        </w:rPr>
        <w:t>, i</w:t>
      </w:r>
      <w:r w:rsidRPr="00000849">
        <w:rPr>
          <w:rFonts w:asciiTheme="minorHAnsi" w:hAnsiTheme="minorHAnsi" w:cstheme="minorHAnsi"/>
          <w:color w:val="383838"/>
        </w:rPr>
        <w:t xml:space="preserve">t defines the variables </w:t>
      </w:r>
      <w:r w:rsidR="00B22F52" w:rsidRPr="00000849">
        <w:rPr>
          <w:rFonts w:asciiTheme="minorHAnsi" w:hAnsiTheme="minorHAnsi" w:cstheme="minorHAnsi"/>
          <w:color w:val="383838"/>
        </w:rPr>
        <w:t xml:space="preserve">used </w:t>
      </w:r>
      <w:r w:rsidRPr="00000849">
        <w:rPr>
          <w:rFonts w:asciiTheme="minorHAnsi" w:hAnsiTheme="minorHAnsi" w:cstheme="minorHAnsi"/>
          <w:color w:val="383838"/>
        </w:rPr>
        <w:t>and systematically describes</w:t>
      </w:r>
      <w:r w:rsidR="00B22F52"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the data analyses undertaken.  </w:t>
      </w:r>
      <w:r w:rsidR="00B22F52" w:rsidRPr="00000849">
        <w:rPr>
          <w:rFonts w:asciiTheme="minorHAnsi" w:hAnsiTheme="minorHAnsi" w:cstheme="minorHAnsi"/>
          <w:color w:val="383838"/>
        </w:rPr>
        <w:t>In addition, i</w:t>
      </w:r>
      <w:r w:rsidRPr="00000849">
        <w:rPr>
          <w:rFonts w:asciiTheme="minorHAnsi" w:hAnsiTheme="minorHAnsi" w:cstheme="minorHAnsi"/>
          <w:color w:val="383838"/>
        </w:rPr>
        <w:t xml:space="preserve">t </w:t>
      </w:r>
      <w:r w:rsidR="00FA4664" w:rsidRPr="00000849">
        <w:rPr>
          <w:rFonts w:asciiTheme="minorHAnsi" w:hAnsiTheme="minorHAnsi" w:cstheme="minorHAnsi"/>
          <w:color w:val="383838"/>
        </w:rPr>
        <w:t>descri</w:t>
      </w:r>
      <w:r w:rsidR="00CA7BFE" w:rsidRPr="00000849">
        <w:rPr>
          <w:rFonts w:asciiTheme="minorHAnsi" w:hAnsiTheme="minorHAnsi" w:cstheme="minorHAnsi"/>
          <w:color w:val="383838"/>
        </w:rPr>
        <w:t>bes</w:t>
      </w:r>
      <w:r w:rsidR="00FA4664" w:rsidRPr="00000849">
        <w:rPr>
          <w:rFonts w:asciiTheme="minorHAnsi" w:hAnsiTheme="minorHAnsi" w:cstheme="minorHAnsi"/>
          <w:color w:val="383838"/>
        </w:rPr>
        <w:t xml:space="preserve"> the </w:t>
      </w:r>
      <w:r w:rsidR="00B22F52" w:rsidRPr="00000849">
        <w:rPr>
          <w:rFonts w:asciiTheme="minorHAnsi" w:hAnsiTheme="minorHAnsi" w:cstheme="minorHAnsi"/>
          <w:color w:val="383838"/>
        </w:rPr>
        <w:t xml:space="preserve">different approaches </w:t>
      </w:r>
      <w:r w:rsidR="00FA4664" w:rsidRPr="00000849">
        <w:rPr>
          <w:rFonts w:asciiTheme="minorHAnsi" w:hAnsiTheme="minorHAnsi" w:cstheme="minorHAnsi"/>
          <w:color w:val="383838"/>
        </w:rPr>
        <w:t xml:space="preserve">employed to ensure </w:t>
      </w:r>
      <w:r w:rsidR="00B22F52" w:rsidRPr="00000849">
        <w:rPr>
          <w:rFonts w:asciiTheme="minorHAnsi" w:hAnsiTheme="minorHAnsi" w:cstheme="minorHAnsi"/>
          <w:color w:val="383838"/>
        </w:rPr>
        <w:t>the</w:t>
      </w:r>
      <w:r w:rsidR="00FA4664" w:rsidRPr="00000849">
        <w:rPr>
          <w:rFonts w:asciiTheme="minorHAnsi" w:hAnsiTheme="minorHAnsi" w:cstheme="minorHAnsi"/>
          <w:color w:val="383838"/>
        </w:rPr>
        <w:t xml:space="preserve"> quality</w:t>
      </w:r>
      <w:r w:rsidR="00B22F52" w:rsidRPr="00000849">
        <w:rPr>
          <w:rFonts w:asciiTheme="minorHAnsi" w:hAnsiTheme="minorHAnsi" w:cstheme="minorHAnsi"/>
          <w:color w:val="383838"/>
        </w:rPr>
        <w:t xml:space="preserve"> of the data. </w:t>
      </w:r>
      <w:r w:rsidR="00737059">
        <w:rPr>
          <w:rFonts w:asciiTheme="minorHAnsi" w:hAnsiTheme="minorHAnsi" w:cstheme="minorHAnsi"/>
          <w:color w:val="383838"/>
        </w:rPr>
        <w:t xml:space="preserve"> </w:t>
      </w:r>
      <w:r w:rsidR="00B22F52" w:rsidRPr="00000849">
        <w:rPr>
          <w:rFonts w:asciiTheme="minorHAnsi" w:hAnsiTheme="minorHAnsi" w:cstheme="minorHAnsi"/>
          <w:color w:val="383838"/>
        </w:rPr>
        <w:t>Finally, this chapter also includes</w:t>
      </w:r>
      <w:r w:rsidR="00FA4664" w:rsidRPr="00000849">
        <w:rPr>
          <w:rFonts w:asciiTheme="minorHAnsi" w:hAnsiTheme="minorHAnsi" w:cstheme="minorHAnsi"/>
          <w:color w:val="383838"/>
        </w:rPr>
        <w:t xml:space="preserve"> a </w:t>
      </w:r>
      <w:r w:rsidRPr="00000849">
        <w:rPr>
          <w:rFonts w:asciiTheme="minorHAnsi" w:hAnsiTheme="minorHAnsi" w:cstheme="minorHAnsi"/>
          <w:color w:val="383838"/>
        </w:rPr>
        <w:t xml:space="preserve">brief </w:t>
      </w:r>
      <w:r w:rsidR="00FA4664" w:rsidRPr="00000849">
        <w:rPr>
          <w:rFonts w:asciiTheme="minorHAnsi" w:hAnsiTheme="minorHAnsi" w:cstheme="minorHAnsi"/>
          <w:color w:val="383838"/>
        </w:rPr>
        <w:t>account of</w:t>
      </w:r>
      <w:r w:rsidRPr="00000849">
        <w:rPr>
          <w:rFonts w:asciiTheme="minorHAnsi" w:hAnsiTheme="minorHAnsi" w:cstheme="minorHAnsi"/>
          <w:color w:val="383838"/>
        </w:rPr>
        <w:t xml:space="preserve"> the ethical clearance procedure</w:t>
      </w:r>
      <w:r w:rsidR="00FA4664" w:rsidRPr="00000849">
        <w:rPr>
          <w:rFonts w:asciiTheme="minorHAnsi" w:hAnsiTheme="minorHAnsi" w:cstheme="minorHAnsi"/>
          <w:color w:val="383838"/>
        </w:rPr>
        <w:t>s</w:t>
      </w:r>
      <w:r w:rsidRPr="00000849">
        <w:rPr>
          <w:rFonts w:asciiTheme="minorHAnsi" w:hAnsiTheme="minorHAnsi" w:cstheme="minorHAnsi"/>
          <w:color w:val="383838"/>
        </w:rPr>
        <w:t>.</w:t>
      </w:r>
    </w:p>
    <w:p w14:paraId="43CAC6D1" w14:textId="77777777" w:rsidR="00AE37D5" w:rsidRPr="00000849" w:rsidRDefault="00AE37D5"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553A0B3A" w14:textId="06F9A0DC" w:rsidR="001F6239" w:rsidRPr="00000849" w:rsidRDefault="00ED4D24" w:rsidP="00A61BAB">
      <w:pPr>
        <w:pStyle w:val="Heading2"/>
      </w:pPr>
      <w:bookmarkStart w:id="68" w:name="_Toc51472111"/>
      <w:r w:rsidRPr="00000849">
        <w:t>4</w:t>
      </w:r>
      <w:r w:rsidR="00F173E4" w:rsidRPr="00000849">
        <w:t>.</w:t>
      </w:r>
      <w:r w:rsidR="00A53952" w:rsidRPr="00000849">
        <w:t>1</w:t>
      </w:r>
      <w:r w:rsidR="0083769F" w:rsidRPr="00000849">
        <w:tab/>
      </w:r>
      <w:r w:rsidR="00F1350D" w:rsidRPr="00000849">
        <w:t xml:space="preserve">The </w:t>
      </w:r>
      <w:r w:rsidR="001F6239" w:rsidRPr="00000849">
        <w:t>SAGE Longitudinal Study</w:t>
      </w:r>
      <w:bookmarkEnd w:id="68"/>
    </w:p>
    <w:p w14:paraId="2ECD9EF7" w14:textId="77777777" w:rsidR="001F6239" w:rsidRPr="00000849" w:rsidRDefault="001F6239" w:rsidP="001F6239">
      <w:pPr>
        <w:rPr>
          <w:sz w:val="24"/>
          <w:szCs w:val="24"/>
        </w:rPr>
      </w:pPr>
    </w:p>
    <w:p w14:paraId="7FCE791A" w14:textId="66635C9E" w:rsidR="0005564D" w:rsidRPr="00000849" w:rsidRDefault="00FE688C" w:rsidP="00FE688C">
      <w:pPr>
        <w:spacing w:line="480" w:lineRule="auto"/>
        <w:jc w:val="both"/>
        <w:rPr>
          <w:rFonts w:cstheme="minorHAnsi"/>
          <w:sz w:val="24"/>
          <w:szCs w:val="24"/>
        </w:rPr>
      </w:pPr>
      <w:r w:rsidRPr="00000849">
        <w:rPr>
          <w:rFonts w:cstheme="minorHAnsi"/>
          <w:sz w:val="24"/>
          <w:szCs w:val="24"/>
        </w:rPr>
        <w:t xml:space="preserve">The </w:t>
      </w:r>
      <w:r w:rsidRPr="00000849">
        <w:rPr>
          <w:rFonts w:cstheme="minorHAnsi"/>
          <w:b/>
          <w:sz w:val="24"/>
          <w:szCs w:val="24"/>
        </w:rPr>
        <w:t>S</w:t>
      </w:r>
      <w:r w:rsidRPr="00000849">
        <w:rPr>
          <w:rFonts w:cstheme="minorHAnsi"/>
          <w:sz w:val="24"/>
          <w:szCs w:val="24"/>
        </w:rPr>
        <w:t xml:space="preserve">tudy on global </w:t>
      </w:r>
      <w:r w:rsidRPr="00000849">
        <w:rPr>
          <w:rFonts w:cstheme="minorHAnsi"/>
          <w:b/>
          <w:sz w:val="24"/>
          <w:szCs w:val="24"/>
        </w:rPr>
        <w:t>AGE</w:t>
      </w:r>
      <w:r w:rsidRPr="00000849">
        <w:rPr>
          <w:rFonts w:cstheme="minorHAnsi"/>
          <w:sz w:val="24"/>
          <w:szCs w:val="24"/>
        </w:rPr>
        <w:t>ing and adult health (</w:t>
      </w:r>
      <w:r w:rsidRPr="00000849">
        <w:rPr>
          <w:rFonts w:cstheme="minorHAnsi"/>
          <w:color w:val="383838"/>
          <w:sz w:val="24"/>
          <w:szCs w:val="24"/>
        </w:rPr>
        <w:t xml:space="preserve">SAGE) </w:t>
      </w:r>
      <w:r w:rsidRPr="00000849">
        <w:rPr>
          <w:rFonts w:cstheme="minorHAnsi"/>
          <w:sz w:val="24"/>
          <w:szCs w:val="24"/>
        </w:rPr>
        <w:t xml:space="preserve">is a multi-country </w:t>
      </w:r>
      <w:r w:rsidR="0036165A" w:rsidRPr="00000849">
        <w:rPr>
          <w:rFonts w:cstheme="minorHAnsi"/>
          <w:sz w:val="24"/>
          <w:szCs w:val="24"/>
        </w:rPr>
        <w:t xml:space="preserve">panel survey (cross-sectional time-series) </w:t>
      </w:r>
      <w:r w:rsidRPr="00000849">
        <w:rPr>
          <w:rFonts w:cstheme="minorHAnsi"/>
          <w:sz w:val="24"/>
          <w:szCs w:val="24"/>
        </w:rPr>
        <w:t xml:space="preserve">that assesses the physical, psychological and social health </w:t>
      </w:r>
      <w:r w:rsidR="00097E22" w:rsidRPr="00000849">
        <w:rPr>
          <w:rFonts w:cstheme="minorHAnsi"/>
          <w:sz w:val="24"/>
          <w:szCs w:val="24"/>
        </w:rPr>
        <w:t>and well-being</w:t>
      </w:r>
      <w:r w:rsidR="00E27ACA" w:rsidRPr="00000849">
        <w:rPr>
          <w:rFonts w:cstheme="minorHAnsi"/>
          <w:sz w:val="24"/>
          <w:szCs w:val="24"/>
        </w:rPr>
        <w:t xml:space="preserve"> </w:t>
      </w:r>
      <w:r w:rsidR="00097E22" w:rsidRPr="00000849">
        <w:rPr>
          <w:rFonts w:cstheme="minorHAnsi"/>
          <w:sz w:val="24"/>
          <w:szCs w:val="24"/>
        </w:rPr>
        <w:t xml:space="preserve">as well as the ageing process </w:t>
      </w:r>
      <w:r w:rsidRPr="00000849">
        <w:rPr>
          <w:rFonts w:cstheme="minorHAnsi"/>
          <w:sz w:val="24"/>
          <w:szCs w:val="24"/>
        </w:rPr>
        <w:t>of adults aged ≥50 years in lower and upper middle countries over time</w:t>
      </w:r>
      <w:r w:rsidR="00D7744C" w:rsidRPr="00000849">
        <w:rPr>
          <w:rFonts w:cstheme="minorHAnsi"/>
          <w:sz w:val="24"/>
          <w:szCs w:val="24"/>
        </w:rPr>
        <w:t xml:space="preserve"> </w:t>
      </w:r>
      <w:r w:rsidR="00D7744C" w:rsidRPr="00000849">
        <w:rPr>
          <w:rFonts w:cstheme="minorHAnsi"/>
          <w:sz w:val="24"/>
          <w:szCs w:val="24"/>
        </w:rPr>
        <w:fldChar w:fldCharType="begin"/>
      </w:r>
      <w:r w:rsidR="00431DA0" w:rsidRPr="00000849">
        <w:rPr>
          <w:rFonts w:cstheme="minorHAnsi"/>
          <w:sz w:val="24"/>
          <w:szCs w:val="24"/>
        </w:rPr>
        <w:instrText xml:space="preserve"> ADDIN EN.CITE &lt;EndNote&gt;&lt;Cite&gt;&lt;Author&gt;He&lt;/Author&gt;&lt;Year&gt;2012&lt;/Year&gt;&lt;RecNum&gt;9&lt;/RecNum&gt;&lt;DisplayText&gt;(He et al., 2012)&lt;/DisplayText&gt;&lt;record&gt;&lt;rec-number&gt;9&lt;/rec-number&gt;&lt;foreign-keys&gt;&lt;key app="EN" db-id="9tzf2rda8re2a9es5tuxart3swzx2zws2s02" timestamp="1463393202"&gt;9&lt;/key&gt;&lt;/foreign-keys&gt;&lt;ref-type name="Book"&gt;6&lt;/ref-type&gt;&lt;contributors&gt;&lt;authors&gt;&lt;author&gt;He, Wan&lt;/author&gt;&lt;author&gt;Muenchrath, Mark N&lt;/author&gt;&lt;author&gt;Kowal, Paul R&lt;/author&gt;&lt;/authors&gt;&lt;/contributors&gt;&lt;titles&gt;&lt;title&gt;Shades of gray: a cross-country study of health and well-being of the older populations in SAGE countries, 2007-2010&lt;/title&gt;&lt;secondary-title&gt;International Population Reports&lt;/secondary-title&gt;&lt;/titles&gt;&lt;dates&gt;&lt;year&gt;2012&lt;/year&gt;&lt;/dates&gt;&lt;pub-location&gt;Washington, DC&lt;/pub-location&gt;&lt;publisher&gt;US Department of Commerce, Economics and Statistics Administration, US Census Bureau&lt;/publisher&gt;&lt;urls&gt;&lt;related-urls&gt;&lt;url&gt;http://indiaenvironmentportal.org.in/files/file/Shades%20of%20Gray.pdf&lt;/url&gt;&lt;/related-urls&gt;&lt;/urls&gt;&lt;/record&gt;&lt;/Cite&gt;&lt;/EndNote&gt;</w:instrText>
      </w:r>
      <w:r w:rsidR="00D7744C" w:rsidRPr="00000849">
        <w:rPr>
          <w:rFonts w:cstheme="minorHAnsi"/>
          <w:sz w:val="24"/>
          <w:szCs w:val="24"/>
        </w:rPr>
        <w:fldChar w:fldCharType="separate"/>
      </w:r>
      <w:r w:rsidR="00431DA0" w:rsidRPr="00000849">
        <w:rPr>
          <w:rFonts w:cstheme="minorHAnsi"/>
          <w:noProof/>
          <w:sz w:val="24"/>
          <w:szCs w:val="24"/>
        </w:rPr>
        <w:t>(He et al., 2012)</w:t>
      </w:r>
      <w:r w:rsidR="00D7744C" w:rsidRPr="00000849">
        <w:rPr>
          <w:rFonts w:cstheme="minorHAnsi"/>
          <w:sz w:val="24"/>
          <w:szCs w:val="24"/>
        </w:rPr>
        <w:fldChar w:fldCharType="end"/>
      </w:r>
      <w:r w:rsidRPr="00000849">
        <w:rPr>
          <w:rFonts w:cstheme="minorHAnsi"/>
          <w:sz w:val="24"/>
          <w:szCs w:val="24"/>
        </w:rPr>
        <w:t>.  These six countries are Ghana and South Africa in Africa, India and China in Asia, Mexico in North America and Russia in Europe.</w:t>
      </w:r>
      <w:r w:rsidR="00F91DED" w:rsidRPr="00000849">
        <w:rPr>
          <w:rStyle w:val="FootnoteReference"/>
          <w:rFonts w:cstheme="minorHAnsi"/>
          <w:sz w:val="24"/>
          <w:szCs w:val="24"/>
        </w:rPr>
        <w:footnoteReference w:id="4"/>
      </w:r>
      <w:r w:rsidRPr="00000849">
        <w:rPr>
          <w:rFonts w:cstheme="minorHAnsi"/>
          <w:sz w:val="24"/>
          <w:szCs w:val="24"/>
        </w:rPr>
        <w:t xml:space="preserve">  The use of standardized data collection tools enables comparison over time within and between countries.  </w:t>
      </w:r>
    </w:p>
    <w:p w14:paraId="4E37F7D1" w14:textId="1E8DAB59" w:rsidR="009A6C97" w:rsidRPr="00000849" w:rsidRDefault="009A6C97" w:rsidP="009A6C97">
      <w:pPr>
        <w:pStyle w:val="Default"/>
        <w:spacing w:after="200" w:line="480" w:lineRule="auto"/>
        <w:ind w:firstLine="567"/>
        <w:jc w:val="both"/>
        <w:rPr>
          <w:rFonts w:cstheme="minorHAnsi"/>
        </w:rPr>
      </w:pPr>
      <w:r w:rsidRPr="00000849">
        <w:lastRenderedPageBreak/>
        <w:t xml:space="preserve">The publicly-available SAGE Ghana datasets were used for this study because they fit the study objectives which require nationally-representative, comprehensive, high-quality longitudinal data on Ghana.  </w:t>
      </w:r>
    </w:p>
    <w:p w14:paraId="7236B594" w14:textId="6285769D" w:rsidR="00CB29AC" w:rsidRPr="00000849" w:rsidRDefault="006E5402" w:rsidP="00CB29AC">
      <w:pPr>
        <w:pStyle w:val="Default"/>
        <w:spacing w:after="200" w:line="480" w:lineRule="auto"/>
        <w:ind w:firstLine="567"/>
        <w:jc w:val="both"/>
        <w:rPr>
          <w:rFonts w:asciiTheme="minorHAnsi" w:hAnsiTheme="minorHAnsi" w:cstheme="minorHAnsi"/>
        </w:rPr>
      </w:pPr>
      <w:r w:rsidRPr="00000849">
        <w:rPr>
          <w:rFonts w:asciiTheme="minorHAnsi" w:hAnsiTheme="minorHAnsi" w:cstheme="minorHAnsi"/>
        </w:rPr>
        <w:t xml:space="preserve">The SAGE study enrolled participants </w:t>
      </w:r>
      <w:r w:rsidR="00CB29AC" w:rsidRPr="00000849">
        <w:rPr>
          <w:rFonts w:asciiTheme="minorHAnsi" w:hAnsiTheme="minorHAnsi" w:cstheme="minorHAnsi"/>
        </w:rPr>
        <w:t xml:space="preserve">aged ≥18 years </w:t>
      </w:r>
      <w:r w:rsidRPr="00000849">
        <w:rPr>
          <w:rFonts w:asciiTheme="minorHAnsi" w:hAnsiTheme="minorHAnsi" w:cstheme="minorHAnsi"/>
        </w:rPr>
        <w:t xml:space="preserve">from the World Health Surveys (WHS) </w:t>
      </w:r>
      <w:r w:rsidR="00ED7F82" w:rsidRPr="00000849">
        <w:rPr>
          <w:rFonts w:asciiTheme="minorHAnsi" w:hAnsiTheme="minorHAnsi" w:cstheme="minorHAnsi"/>
        </w:rPr>
        <w:t>that</w:t>
      </w:r>
      <w:r w:rsidRPr="00000849">
        <w:rPr>
          <w:rFonts w:asciiTheme="minorHAnsi" w:hAnsiTheme="minorHAnsi" w:cstheme="minorHAnsi"/>
        </w:rPr>
        <w:t xml:space="preserve"> were conducted in 70 countries including the six SAGE countries in 2002–2004 – hence, this constitutes SAGE Wave 0.  More comprehensive instruments including the modules on chronic NCD risk factors and anthropometry were developed for the first wave of SAGE studies (</w:t>
      </w:r>
      <w:r w:rsidRPr="00000849">
        <w:rPr>
          <w:rFonts w:asciiTheme="minorHAnsi" w:eastAsia="Times New Roman" w:hAnsiTheme="minorHAnsi" w:cstheme="minorHAnsi"/>
          <w:lang w:val="en-US"/>
        </w:rPr>
        <w:t xml:space="preserve">SAGE Wave 1) </w:t>
      </w:r>
      <w:r w:rsidRPr="00000849">
        <w:rPr>
          <w:rFonts w:asciiTheme="minorHAnsi" w:hAnsiTheme="minorHAnsi" w:cstheme="minorHAnsi"/>
        </w:rPr>
        <w:t xml:space="preserve">in the six countries which were conducted in </w:t>
      </w:r>
      <w:r w:rsidRPr="00000849">
        <w:rPr>
          <w:rFonts w:asciiTheme="minorHAnsi" w:eastAsia="Times New Roman" w:hAnsiTheme="minorHAnsi" w:cstheme="minorHAnsi"/>
          <w:lang w:val="en-US"/>
        </w:rPr>
        <w:t xml:space="preserve">2007–2010.  </w:t>
      </w:r>
      <w:r w:rsidR="00CB29AC" w:rsidRPr="00000849">
        <w:rPr>
          <w:rFonts w:asciiTheme="minorHAnsi" w:hAnsiTheme="minorHAnsi" w:cstheme="minorHAnsi"/>
        </w:rPr>
        <w:t>SAGE Wave 2 was conducted in the same six countries in 2014/15 while SAGE Wave 3</w:t>
      </w:r>
      <w:r w:rsidR="00D7744C" w:rsidRPr="00000849">
        <w:rPr>
          <w:rStyle w:val="FootnoteReference"/>
          <w:rFonts w:asciiTheme="minorHAnsi" w:hAnsiTheme="minorHAnsi" w:cstheme="minorHAnsi"/>
        </w:rPr>
        <w:footnoteReference w:id="5"/>
      </w:r>
      <w:r w:rsidR="00CB29AC" w:rsidRPr="00000849">
        <w:rPr>
          <w:rFonts w:asciiTheme="minorHAnsi" w:hAnsiTheme="minorHAnsi" w:cstheme="minorHAnsi"/>
        </w:rPr>
        <w:t xml:space="preserve"> covered the 2018/19 period.</w:t>
      </w:r>
    </w:p>
    <w:p w14:paraId="7E689627" w14:textId="19F61140" w:rsidR="009A6C97" w:rsidRPr="00000849" w:rsidRDefault="00A44123" w:rsidP="00135D6C">
      <w:pPr>
        <w:pStyle w:val="Default"/>
        <w:spacing w:after="200" w:line="480" w:lineRule="auto"/>
        <w:ind w:firstLine="567"/>
        <w:jc w:val="both"/>
      </w:pPr>
      <w:r w:rsidRPr="00000849">
        <w:rPr>
          <w:rFonts w:asciiTheme="minorHAnsi" w:eastAsia="Times New Roman" w:hAnsiTheme="minorHAnsi" w:cstheme="minorHAnsi"/>
          <w:lang w:val="en-US"/>
        </w:rPr>
        <w:t>There have been numerous</w:t>
      </w:r>
      <w:r w:rsidR="006E5402" w:rsidRPr="00000849">
        <w:rPr>
          <w:rFonts w:asciiTheme="minorHAnsi" w:eastAsia="Times New Roman" w:hAnsiTheme="minorHAnsi" w:cstheme="minorHAnsi"/>
          <w:lang w:val="en-US"/>
        </w:rPr>
        <w:t xml:space="preserve"> publications based on the publicly</w:t>
      </w:r>
      <w:r w:rsidR="00A52C4F" w:rsidRPr="00000849">
        <w:rPr>
          <w:rFonts w:asciiTheme="minorHAnsi" w:eastAsia="Times New Roman" w:hAnsiTheme="minorHAnsi" w:cstheme="minorHAnsi"/>
          <w:lang w:val="en-US"/>
        </w:rPr>
        <w:t>-</w:t>
      </w:r>
      <w:r w:rsidR="006E5402" w:rsidRPr="00000849">
        <w:rPr>
          <w:rFonts w:asciiTheme="minorHAnsi" w:eastAsia="Times New Roman" w:hAnsiTheme="minorHAnsi" w:cstheme="minorHAnsi"/>
          <w:lang w:val="en-US"/>
        </w:rPr>
        <w:t xml:space="preserve">available </w:t>
      </w:r>
      <w:r w:rsidR="00F24F7E" w:rsidRPr="00000849">
        <w:rPr>
          <w:rFonts w:asciiTheme="minorHAnsi" w:eastAsia="Times New Roman" w:hAnsiTheme="minorHAnsi" w:cstheme="minorHAnsi"/>
          <w:lang w:val="en-US"/>
        </w:rPr>
        <w:t xml:space="preserve">SAGE </w:t>
      </w:r>
      <w:r w:rsidR="006E5402" w:rsidRPr="00000849">
        <w:rPr>
          <w:rFonts w:asciiTheme="minorHAnsi" w:eastAsia="Times New Roman" w:hAnsiTheme="minorHAnsi" w:cstheme="minorHAnsi"/>
          <w:lang w:val="en-US"/>
        </w:rPr>
        <w:t>datasets</w:t>
      </w:r>
      <w:r w:rsidR="00ED7F82" w:rsidRPr="00000849">
        <w:rPr>
          <w:rFonts w:asciiTheme="minorHAnsi" w:eastAsia="Times New Roman" w:hAnsiTheme="minorHAnsi" w:cstheme="minorHAnsi"/>
          <w:lang w:val="en-US"/>
        </w:rPr>
        <w:t xml:space="preserve"> </w:t>
      </w:r>
      <w:r w:rsidR="00ED7F82" w:rsidRPr="00000849">
        <w:rPr>
          <w:rFonts w:asciiTheme="minorHAnsi" w:eastAsia="Times New Roman" w:hAnsiTheme="minorHAnsi" w:cstheme="minorHAnsi"/>
          <w:lang w:val="en-US"/>
        </w:rPr>
        <w:fldChar w:fldCharType="begin">
          <w:fldData xml:space="preserve">PEVuZE5vdGU+PENpdGU+PEF1dGhvcj5NaW5pY3VjaTwvQXV0aG9yPjxZZWFyPjIwMTk8L1llYXI+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</w:fldData>
        </w:fldChar>
      </w:r>
      <w:r w:rsidR="003E660C" w:rsidRPr="00000849">
        <w:rPr>
          <w:rFonts w:asciiTheme="minorHAnsi" w:eastAsia="Times New Roman" w:hAnsiTheme="minorHAnsi" w:cstheme="minorHAnsi"/>
          <w:lang w:val="en-US"/>
        </w:rPr>
        <w:instrText xml:space="preserve"> ADDIN EN.CITE </w:instrText>
      </w:r>
      <w:r w:rsidR="003E660C" w:rsidRPr="00000849">
        <w:rPr>
          <w:rFonts w:asciiTheme="minorHAnsi" w:eastAsia="Times New Roman" w:hAnsiTheme="minorHAnsi" w:cstheme="minorHAnsi"/>
          <w:lang w:val="en-US"/>
        </w:rPr>
        <w:fldChar w:fldCharType="begin">
          <w:fldData xml:space="preserve">PEVuZE5vdGU+PENpdGU+PEF1dGhvcj5NaW5pY3VjaTwvQXV0aG9yPjxZZWFyPjIwMTk8L1llYXI+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</w:fldData>
        </w:fldChar>
      </w:r>
      <w:r w:rsidR="003E660C" w:rsidRPr="00000849">
        <w:rPr>
          <w:rFonts w:asciiTheme="minorHAnsi" w:eastAsia="Times New Roman" w:hAnsiTheme="minorHAnsi" w:cstheme="minorHAnsi"/>
          <w:lang w:val="en-US"/>
        </w:rPr>
        <w:instrText xml:space="preserve"> ADDIN EN.CITE.DATA </w:instrText>
      </w:r>
      <w:r w:rsidR="003E660C" w:rsidRPr="00000849">
        <w:rPr>
          <w:rFonts w:asciiTheme="minorHAnsi" w:eastAsia="Times New Roman" w:hAnsiTheme="minorHAnsi" w:cstheme="minorHAnsi"/>
          <w:lang w:val="en-US"/>
        </w:rPr>
      </w:r>
      <w:r w:rsidR="003E660C" w:rsidRPr="00000849">
        <w:rPr>
          <w:rFonts w:asciiTheme="minorHAnsi" w:eastAsia="Times New Roman" w:hAnsiTheme="minorHAnsi" w:cstheme="minorHAnsi"/>
          <w:lang w:val="en-US"/>
        </w:rPr>
        <w:fldChar w:fldCharType="end"/>
      </w:r>
      <w:r w:rsidR="00ED7F82" w:rsidRPr="00000849">
        <w:rPr>
          <w:rFonts w:asciiTheme="minorHAnsi" w:eastAsia="Times New Roman" w:hAnsiTheme="minorHAnsi" w:cstheme="minorHAnsi"/>
          <w:lang w:val="en-US"/>
        </w:rPr>
      </w:r>
      <w:r w:rsidR="00ED7F82" w:rsidRPr="00000849">
        <w:rPr>
          <w:rFonts w:asciiTheme="minorHAnsi" w:eastAsia="Times New Roman" w:hAnsiTheme="minorHAnsi" w:cstheme="minorHAnsi"/>
          <w:lang w:val="en-US"/>
        </w:rPr>
        <w:fldChar w:fldCharType="separate"/>
      </w:r>
      <w:r w:rsidR="00ED7F82" w:rsidRPr="00000849">
        <w:rPr>
          <w:rFonts w:asciiTheme="minorHAnsi" w:eastAsia="Times New Roman" w:hAnsiTheme="minorHAnsi" w:cstheme="minorHAnsi"/>
          <w:noProof/>
          <w:lang w:val="en-US"/>
        </w:rPr>
        <w:t>(Kowal et al., 2012; Minicuci et al., 2019)</w:t>
      </w:r>
      <w:r w:rsidR="00ED7F82" w:rsidRPr="00000849">
        <w:rPr>
          <w:rFonts w:asciiTheme="minorHAnsi" w:eastAsia="Times New Roman" w:hAnsiTheme="minorHAnsi" w:cstheme="minorHAnsi"/>
          <w:lang w:val="en-US"/>
        </w:rPr>
        <w:fldChar w:fldCharType="end"/>
      </w:r>
      <w:r w:rsidR="00CB29AC" w:rsidRPr="00000849">
        <w:rPr>
          <w:rFonts w:asciiTheme="minorHAnsi" w:eastAsia="Times New Roman" w:hAnsiTheme="minorHAnsi" w:cstheme="minorHAnsi"/>
          <w:lang w:val="en-US"/>
        </w:rPr>
        <w:t xml:space="preserve">.  </w:t>
      </w:r>
      <w:r w:rsidR="009A6C97" w:rsidRPr="00000849">
        <w:rPr>
          <w:rFonts w:asciiTheme="minorHAnsi" w:eastAsia="Times New Roman" w:hAnsiTheme="minorHAnsi" w:cstheme="minorHAnsi"/>
          <w:lang w:val="en-US"/>
        </w:rPr>
        <w:t>T</w:t>
      </w:r>
      <w:r w:rsidR="007C7C85" w:rsidRPr="00000849">
        <w:rPr>
          <w:rFonts w:asciiTheme="minorHAnsi" w:eastAsia="Times New Roman" w:hAnsiTheme="minorHAnsi" w:cstheme="minorHAnsi"/>
          <w:lang w:val="en-US"/>
        </w:rPr>
        <w:t>he anonymized datasets</w:t>
      </w:r>
      <w:r w:rsidR="009A6C97" w:rsidRPr="00000849">
        <w:rPr>
          <w:rFonts w:asciiTheme="minorHAnsi" w:eastAsia="Times New Roman" w:hAnsiTheme="minorHAnsi" w:cstheme="minorHAnsi"/>
          <w:lang w:val="en-US"/>
        </w:rPr>
        <w:t xml:space="preserve"> are released to interested researchers under a user agreement,</w:t>
      </w:r>
      <w:r w:rsidR="007C7C85" w:rsidRPr="00000849">
        <w:rPr>
          <w:rFonts w:asciiTheme="minorHAnsi" w:eastAsia="Times New Roman" w:hAnsiTheme="minorHAnsi" w:cstheme="minorHAnsi"/>
          <w:lang w:val="en-US"/>
        </w:rPr>
        <w:t xml:space="preserve"> </w:t>
      </w:r>
      <w:r w:rsidR="009A6C97" w:rsidRPr="00000849">
        <w:rPr>
          <w:rFonts w:asciiTheme="minorHAnsi" w:eastAsia="Times New Roman" w:hAnsiTheme="minorHAnsi" w:cstheme="minorHAnsi"/>
          <w:lang w:val="en-US"/>
        </w:rPr>
        <w:t xml:space="preserve">following approval of requests by the WHO SAGE team.  </w:t>
      </w:r>
      <w:r w:rsidR="009A6C97" w:rsidRPr="00000849">
        <w:rPr>
          <w:rFonts w:cstheme="minorHAnsi"/>
        </w:rPr>
        <w:t xml:space="preserve">SAGE is led by the </w:t>
      </w:r>
      <w:r w:rsidR="009A6C97" w:rsidRPr="00000849">
        <w:t>WHO Surveys, Measurement and Analysis Unit, Department of Information, Evidence and Research in Geneva and is</w:t>
      </w:r>
      <w:r w:rsidR="009A6C97" w:rsidRPr="00000849">
        <w:rPr>
          <w:rFonts w:cstheme="minorHAnsi"/>
        </w:rPr>
        <w:t xml:space="preserve"> supported by the National Department of Health and the United States National Institute on Aging.  SAGE Ghana Wave 2 also benefitted from financial support from t</w:t>
      </w:r>
      <w:r w:rsidR="009A6C97" w:rsidRPr="00000849">
        <w:t>he University of Ghana.</w:t>
      </w:r>
    </w:p>
    <w:p w14:paraId="578EE0D1" w14:textId="77777777" w:rsidR="00135D6C" w:rsidRPr="00000849" w:rsidRDefault="00135D6C" w:rsidP="00F86C09">
      <w:pPr>
        <w:pStyle w:val="Default"/>
        <w:spacing w:after="200" w:line="480" w:lineRule="auto"/>
        <w:jc w:val="both"/>
      </w:pPr>
    </w:p>
    <w:p w14:paraId="7D5F3EBB" w14:textId="6730F9DB" w:rsidR="00F51E5C" w:rsidRPr="00000849" w:rsidRDefault="00F51E5C" w:rsidP="00A61BAB">
      <w:pPr>
        <w:pStyle w:val="Heading2"/>
      </w:pPr>
      <w:bookmarkStart w:id="69" w:name="_Toc51472112"/>
      <w:r w:rsidRPr="00000849">
        <w:lastRenderedPageBreak/>
        <w:t>4.</w:t>
      </w:r>
      <w:r w:rsidR="00A53952" w:rsidRPr="00000849">
        <w:t>2</w:t>
      </w:r>
      <w:r w:rsidRPr="00000849">
        <w:tab/>
        <w:t>Sampling</w:t>
      </w:r>
      <w:bookmarkEnd w:id="69"/>
      <w:r w:rsidRPr="00000849">
        <w:t xml:space="preserve"> </w:t>
      </w:r>
    </w:p>
    <w:p w14:paraId="79639BDC" w14:textId="77777777" w:rsidR="00F51E5C" w:rsidRPr="00000849" w:rsidRDefault="00F51E5C" w:rsidP="00A53952">
      <w:pPr>
        <w:pStyle w:val="Default"/>
        <w:keepNext/>
        <w:keepLines/>
        <w:spacing w:after="200" w:line="480" w:lineRule="auto"/>
        <w:jc w:val="both"/>
        <w:rPr>
          <w:sz w:val="22"/>
          <w:szCs w:val="22"/>
        </w:rPr>
      </w:pPr>
    </w:p>
    <w:p w14:paraId="29C6BB67" w14:textId="3EB24C63" w:rsidR="001F6239" w:rsidRPr="00000849" w:rsidRDefault="00AE4637" w:rsidP="00A53952">
      <w:pPr>
        <w:pStyle w:val="Default"/>
        <w:keepNext/>
        <w:keepLines/>
        <w:spacing w:after="200" w:line="480" w:lineRule="auto"/>
        <w:jc w:val="both"/>
        <w:rPr>
          <w:szCs w:val="22"/>
        </w:rPr>
      </w:pPr>
      <w:r w:rsidRPr="00000849">
        <w:rPr>
          <w:szCs w:val="22"/>
        </w:rPr>
        <w:t>SAGE Ghana use</w:t>
      </w:r>
      <w:r w:rsidR="002C329D" w:rsidRPr="00000849">
        <w:rPr>
          <w:szCs w:val="22"/>
        </w:rPr>
        <w:t>d</w:t>
      </w:r>
      <w:r w:rsidRPr="00000849">
        <w:rPr>
          <w:szCs w:val="22"/>
        </w:rPr>
        <w:t xml:space="preserve"> a stratified, multistage cluster design to generate nationally representative and internationally comparable data </w:t>
      </w:r>
      <w:r w:rsidRPr="00000849">
        <w:rPr>
          <w:szCs w:val="22"/>
        </w:rPr>
        <w:fldChar w:fldCharType="begin"/>
      </w:r>
      <w:r w:rsidR="003E660C" w:rsidRPr="00000849">
        <w:rPr>
          <w:szCs w:val="22"/>
        </w:rPr>
        <w:instrText xml:space="preserve"> ADDIN EN.CITE &lt;EndNote&gt;&lt;Cite&gt;&lt;Author&gt;Kowal&lt;/Author&gt;&lt;Year&gt;2012&lt;/Year&gt;&lt;RecNum&gt;18&lt;/RecNum&gt;&lt;DisplayText&gt;(Kowal et al., 2012)&lt;/DisplayText&gt;&lt;record&gt;&lt;rec-number&gt;18&lt;/rec-number&gt;&lt;foreign-keys&gt;&lt;key app="EN" db-id="9tzf2rda8re2a9es5tuxart3swzx2zws2s02" timestamp="1463398606"&gt;18&lt;/key&gt;&lt;/foreign-keys&gt;&lt;ref-type name="Journal Article"&gt;17&lt;/ref-type&gt;&lt;contributors&gt;&lt;authors&gt;&lt;author&gt;Kowal, Paul&lt;/author&gt;&lt;author&gt;Chatterji, Somnath&lt;/author&gt;&lt;author&gt;Naidoo, Nirmala&lt;/author&gt;&lt;author&gt;Biritwum, Richard&lt;/author&gt;&lt;author&gt;Fan, Wu&lt;/author&gt;&lt;author&gt;Ridaura, Ruy Lopez&lt;/author&gt;&lt;author&gt;Maximova, Tamara&lt;/author&gt;&lt;author&gt;Arokiasamy, Perianayagam&lt;/author&gt;&lt;author&gt;Phaswana-Mafuya, Nancy&lt;/author&gt;&lt;author&gt;Williams, Sharon&lt;/author&gt;&lt;/authors&gt;&lt;/contributors&gt;&lt;titles&gt;&lt;title&gt;Data resource profile: the World Health Organization Study on global AGEing and adult health (SAGE)&lt;/title&gt;&lt;secondary-title&gt;International Journal of Epidemiology&lt;/secondary-title&gt;&lt;/titles&gt;&lt;periodical&gt;&lt;full-title&gt;International Journal of Epidemiology&lt;/full-title&gt;&lt;abbr-1&gt;Int J Epidemiol&lt;/abbr-1&gt;&lt;/periodical&gt;&lt;pages&gt;1639-1649&lt;/pages&gt;&lt;volume&gt;41&lt;/volume&gt;&lt;number&gt;6&lt;/number&gt;&lt;dates&gt;&lt;year&gt;2012&lt;/year&gt;&lt;/dates&gt;&lt;isbn&gt;0300-5771&lt;/isbn&gt;&lt;urls&gt;&lt;/urls&gt;&lt;/record&gt;&lt;/Cite&gt;&lt;/EndNote&gt;</w:instrText>
      </w:r>
      <w:r w:rsidRPr="00000849">
        <w:rPr>
          <w:szCs w:val="22"/>
        </w:rPr>
        <w:fldChar w:fldCharType="separate"/>
      </w:r>
      <w:r w:rsidR="001740AB" w:rsidRPr="00000849">
        <w:rPr>
          <w:noProof/>
          <w:szCs w:val="22"/>
        </w:rPr>
        <w:t>(Kowal et al., 2012)</w:t>
      </w:r>
      <w:r w:rsidRPr="00000849">
        <w:rPr>
          <w:szCs w:val="22"/>
        </w:rPr>
        <w:fldChar w:fldCharType="end"/>
      </w:r>
      <w:r w:rsidRPr="00000849">
        <w:rPr>
          <w:szCs w:val="22"/>
        </w:rPr>
        <w:t xml:space="preserve">.  The country was stratified into ten administrative regions and then, each region into urban and rural residence, to yield 20 strata (Figure </w:t>
      </w:r>
      <w:r w:rsidR="00702C75" w:rsidRPr="00000849">
        <w:rPr>
          <w:szCs w:val="22"/>
        </w:rPr>
        <w:t>9</w:t>
      </w:r>
      <w:r w:rsidRPr="00000849">
        <w:rPr>
          <w:szCs w:val="22"/>
        </w:rPr>
        <w:t xml:space="preserve">).  Each stratum </w:t>
      </w:r>
      <w:r w:rsidR="005F7F29" w:rsidRPr="00000849">
        <w:rPr>
          <w:szCs w:val="22"/>
        </w:rPr>
        <w:t xml:space="preserve">had </w:t>
      </w:r>
      <w:r w:rsidRPr="00000849">
        <w:rPr>
          <w:szCs w:val="22"/>
        </w:rPr>
        <w:t xml:space="preserve">a defined number of enumeration areas (EA) which are the smallest geographical areas delineated by the GSS for national censuses and surveys.  </w:t>
      </w:r>
    </w:p>
    <w:p w14:paraId="19DF3A25" w14:textId="7D3999E3" w:rsidR="00B21B0B" w:rsidRPr="00000849" w:rsidRDefault="00B21B0B" w:rsidP="00B21B0B">
      <w:pPr>
        <w:pStyle w:val="Default"/>
        <w:spacing w:after="200" w:line="480" w:lineRule="auto"/>
        <w:ind w:firstLine="567"/>
        <w:jc w:val="both"/>
        <w:rPr>
          <w:szCs w:val="22"/>
        </w:rPr>
      </w:pPr>
      <w:r w:rsidRPr="00000849">
        <w:rPr>
          <w:szCs w:val="22"/>
        </w:rPr>
        <w:t xml:space="preserve">Using </w:t>
      </w:r>
      <w:r w:rsidRPr="00000849">
        <w:t xml:space="preserve">probability </w:t>
      </w:r>
      <w:r w:rsidRPr="00000849">
        <w:rPr>
          <w:szCs w:val="22"/>
        </w:rPr>
        <w:t xml:space="preserve">proportional to size allocation, </w:t>
      </w:r>
      <w:r w:rsidRPr="00000849">
        <w:t>10-15 EAs per stratum were randomly selected to yield a total of 235 EAs</w:t>
      </w:r>
      <w:r w:rsidR="00654A9E" w:rsidRPr="00000849">
        <w:t xml:space="preserve"> </w:t>
      </w:r>
      <w:r w:rsidR="00654A9E" w:rsidRPr="00000849">
        <w:fldChar w:fldCharType="begin"/>
      </w:r>
      <w:r w:rsidR="00654A9E" w:rsidRPr="00000849">
        <w:instrText xml:space="preserve"> ADDIN EN.CITE &lt;EndNote&gt;&lt;Cite&gt;&lt;Author&gt;Cheung&lt;/Author&gt;&lt;Year&gt;2014&lt;/Year&gt;&lt;RecNum&gt;1656&lt;/RecNum&gt;&lt;DisplayText&gt;(Cheung, 2014)&lt;/DisplayText&gt;&lt;record&gt;&lt;rec-number&gt;1656&lt;/rec-number&gt;&lt;foreign-keys&gt;&lt;key app="EN" db-id="9tzf2rda8re2a9es5tuxart3swzx2zws2s02" timestamp="1594607019"&gt;1656&lt;/key&gt;&lt;/foreign-keys&gt;&lt;ref-type name="Book Section"&gt;5&lt;/ref-type&gt;&lt;contributors&gt;&lt;authors&gt;&lt;author&gt;Cheung, Adam Ka Lok&lt;/author&gt;&lt;/authors&gt;&lt;secondary-authors&gt;&lt;author&gt;Michalos, Alex C.&lt;/author&gt;&lt;/secondary-authors&gt;&lt;/contributors&gt;&lt;titles&gt;&lt;title&gt;Probability Proportional Sampling&lt;/title&gt;&lt;secondary-title&gt;Encyclopedia of Quality of Life and Well-Being Research&lt;/secondary-title&gt;&lt;/titles&gt;&lt;pages&gt;5069-5071&lt;/pages&gt;&lt;dates&gt;&lt;year&gt;2014&lt;/year&gt;&lt;pub-dates&gt;&lt;date&gt;2014//&lt;/date&gt;&lt;/pub-dates&gt;&lt;/dates&gt;&lt;pub-location&gt;Dordrecht&lt;/pub-location&gt;&lt;publisher&gt;Springer Netherlands&lt;/publisher&gt;&lt;isbn&gt;978-94-007-0753-5&lt;/isbn&gt;&lt;urls&gt;&lt;related-urls&gt;&lt;url&gt;https://doi.org/10.1007/978-94-007-0753-5_2269&lt;/url&gt;&lt;/related-urls&gt;&lt;/urls&gt;&lt;electronic-resource-num&gt;10.1007/978-94-007-0753-5_2269&lt;/electronic-resource-num&gt;&lt;/record&gt;&lt;/Cite&gt;&lt;/EndNote&gt;</w:instrText>
      </w:r>
      <w:r w:rsidR="00654A9E" w:rsidRPr="00000849">
        <w:fldChar w:fldCharType="separate"/>
      </w:r>
      <w:r w:rsidR="00654A9E" w:rsidRPr="00000849">
        <w:rPr>
          <w:noProof/>
        </w:rPr>
        <w:t>(Cheung, 2014)</w:t>
      </w:r>
      <w:r w:rsidR="00654A9E" w:rsidRPr="00000849">
        <w:fldChar w:fldCharType="end"/>
      </w:r>
      <w:r w:rsidRPr="00000849">
        <w:t xml:space="preserve">.  </w:t>
      </w:r>
      <w:r w:rsidRPr="00000849">
        <w:rPr>
          <w:szCs w:val="22"/>
        </w:rPr>
        <w:t xml:space="preserve">In each EA, about 22 households with at least one member aged ≥50 years per EA were randomly selected from a list of households </w:t>
      </w:r>
      <w:r w:rsidRPr="00000849">
        <w:t>to yield a total of 5,259 households in Wave 1.  I</w:t>
      </w:r>
      <w:r w:rsidRPr="00000849">
        <w:rPr>
          <w:szCs w:val="22"/>
        </w:rPr>
        <w:t xml:space="preserve">n addition, four households with persons aged 18-49 years were randomly selected for comparison purposes.  </w:t>
      </w:r>
      <w:r w:rsidRPr="00000849">
        <w:t xml:space="preserve">In each </w:t>
      </w:r>
      <w:r w:rsidR="00654A9E" w:rsidRPr="00000849">
        <w:t xml:space="preserve">selected </w:t>
      </w:r>
      <w:r w:rsidRPr="00000849">
        <w:t xml:space="preserve">household, all the individuals aged </w:t>
      </w:r>
      <w:r w:rsidRPr="00000849">
        <w:rPr>
          <w:rFonts w:cstheme="minorHAnsi"/>
        </w:rPr>
        <w:t>≥</w:t>
      </w:r>
      <w:r w:rsidRPr="00000849">
        <w:t>50 years</w:t>
      </w:r>
      <w:r w:rsidR="00654A9E" w:rsidRPr="00000849">
        <w:t xml:space="preserve"> </w:t>
      </w:r>
      <w:r w:rsidRPr="00000849">
        <w:t xml:space="preserve">were interviewed.  Overall, in Wave 1, a total of 5,571 persons were enrolled, of whom 4,724 were aged ≥50 years </w:t>
      </w:r>
      <w:r w:rsidRPr="00000849">
        <w:fldChar w:fldCharType="begin"/>
      </w:r>
      <w:r w:rsidRPr="00000849">
        <w:instrText xml:space="preserve"> ADDIN EN.CITE &lt;EndNote&gt;&lt;Cite&gt;&lt;Author&gt;Minicuci&lt;/Author&gt;&lt;Year&gt;2014&lt;/Year&gt;&lt;RecNum&gt;14&lt;/RecNum&gt;&lt;DisplayText&gt;(Minicuci et al., 2014)&lt;/DisplayText&gt;&lt;record&gt;&lt;rec-number&gt;14&lt;/rec-number&gt;&lt;foreign-keys&gt;&lt;key app="EN" db-id="9tzf2rda8re2a9es5tuxart3swzx2zws2s02" timestamp="1463396583"&gt;14&lt;/key&gt;&lt;/foreign-keys&gt;&lt;ref-type name="Journal Article"&gt;17&lt;/ref-type&gt;&lt;contributors&gt;&lt;authors&gt;&lt;author&gt;Minicuci, Nadia&lt;/author&gt;&lt;author&gt;Biritwum, Richard B&lt;/author&gt;&lt;author&gt;Mensah, George&lt;/author&gt;&lt;author&gt;Yawson, Alfred E&lt;/author&gt;&lt;author&gt;Naidoo, Nirmala&lt;/author&gt;&lt;author&gt;Chatterji, Somnath&lt;/author&gt;&lt;author&gt;Kowal, Paul&lt;/author&gt;&lt;/authors&gt;&lt;/contributors&gt;&lt;titles&gt;&lt;title&gt;Sociodemographic and socioeconomic patterns of chronic non-communicable disease among the older adult population in Ghana&lt;/title&gt;&lt;secondary-title&gt;Global Health Action&lt;/secondary-title&gt;&lt;/titles&gt;&lt;periodical&gt;&lt;full-title&gt;Global Health Action&lt;/full-title&gt;&lt;abbr-1&gt;Glob Health Action&lt;/abbr-1&gt;&lt;/periodical&gt;&lt;pages&gt;21292&lt;/pages&gt;&lt;volume&gt;7&lt;/volume&gt;&lt;dates&gt;&lt;year&gt;2014&lt;/year&gt;&lt;/dates&gt;&lt;isbn&gt;1654-9880&lt;/isbn&gt;&lt;urls&gt;&lt;/urls&gt;&lt;electronic-resource-num&gt;http://dx.doi.org/10.3402/gha.v7.21292&lt;/electronic-resource-num&gt;&lt;/record&gt;&lt;/Cite&gt;&lt;/EndNote&gt;</w:instrText>
      </w:r>
      <w:r w:rsidRPr="00000849">
        <w:fldChar w:fldCharType="separate"/>
      </w:r>
      <w:r w:rsidRPr="00000849">
        <w:rPr>
          <w:noProof/>
        </w:rPr>
        <w:t>(Minicuci et al., 2014)</w:t>
      </w:r>
      <w:r w:rsidRPr="00000849">
        <w:fldChar w:fldCharType="end"/>
      </w:r>
      <w:r w:rsidRPr="00000849">
        <w:t>.</w:t>
      </w:r>
    </w:p>
    <w:p w14:paraId="641956C0" w14:textId="19895FA1" w:rsidR="00B21B0B" w:rsidRPr="00000849" w:rsidRDefault="00B21B0B" w:rsidP="00B21B0B">
      <w:pPr>
        <w:pStyle w:val="Default"/>
        <w:spacing w:after="200" w:line="480" w:lineRule="auto"/>
        <w:ind w:firstLine="567"/>
        <w:jc w:val="both"/>
        <w:rPr>
          <w:rFonts w:asciiTheme="minorHAnsi" w:hAnsiTheme="minorHAnsi" w:cstheme="minorHAnsi"/>
          <w:color w:val="383838"/>
        </w:rPr>
      </w:pPr>
      <w:r w:rsidRPr="00000849">
        <w:rPr>
          <w:szCs w:val="22"/>
        </w:rPr>
        <w:t>The sampling procedure was similar for Wave 2, with Wave 1 participants being automatically recruited using Global Positioning System devices</w:t>
      </w:r>
      <w:r w:rsidRPr="00000849">
        <w:t xml:space="preserve"> to locate their households</w:t>
      </w:r>
      <w:r w:rsidRPr="00000849">
        <w:rPr>
          <w:szCs w:val="22"/>
        </w:rPr>
        <w:t xml:space="preserve">.  Additional participants were enrolled to compensate for attrition.  Overall, </w:t>
      </w:r>
      <w:r w:rsidRPr="00000849">
        <w:t xml:space="preserve">3,575 participants aged </w:t>
      </w:r>
      <w:r w:rsidRPr="00000849">
        <w:rPr>
          <w:rFonts w:cstheme="minorHAnsi"/>
        </w:rPr>
        <w:t>≥</w:t>
      </w:r>
      <w:r w:rsidRPr="00000849">
        <w:t xml:space="preserve">50 years were selected from 5,117 households in 216 EAs in Wave 2.  </w:t>
      </w:r>
    </w:p>
    <w:p w14:paraId="20BE2330" w14:textId="77777777" w:rsidR="00135D6C" w:rsidRPr="00000849" w:rsidRDefault="00135D6C" w:rsidP="009F3E10">
      <w:pPr>
        <w:pStyle w:val="NormalWeb"/>
        <w:shd w:val="clear" w:color="auto" w:fill="FFFFFF"/>
        <w:spacing w:before="0" w:beforeAutospacing="0" w:after="165" w:afterAutospacing="0" w:line="480" w:lineRule="auto"/>
        <w:rPr>
          <w:rFonts w:asciiTheme="minorHAnsi" w:hAnsiTheme="minorHAnsi" w:cstheme="minorHAnsi"/>
          <w:color w:val="383838"/>
        </w:rPr>
        <w:sectPr w:rsidR="00135D6C" w:rsidRPr="00000849" w:rsidSect="008D5ECD">
          <w:pgSz w:w="11906" w:h="16838"/>
          <w:pgMar w:top="1440" w:right="1440" w:bottom="1440" w:left="2155" w:header="708" w:footer="708" w:gutter="0"/>
          <w:cols w:space="708"/>
          <w:docGrid w:linePitch="360"/>
        </w:sectPr>
      </w:pPr>
    </w:p>
    <w:p w14:paraId="5E695E58" w14:textId="47A88671" w:rsidR="00875614" w:rsidRPr="00000849" w:rsidRDefault="00875614" w:rsidP="00875614">
      <w:pPr>
        <w:pStyle w:val="TableSAGE1"/>
        <w:keepNext/>
        <w:ind w:left="1276" w:hanging="992"/>
        <w:rPr>
          <w:szCs w:val="24"/>
        </w:rPr>
      </w:pPr>
      <w:bookmarkStart w:id="70" w:name="_Toc71153648"/>
      <w:r w:rsidRPr="00000849">
        <w:rPr>
          <w:szCs w:val="24"/>
        </w:rPr>
        <w:lastRenderedPageBreak/>
        <w:t xml:space="preserve">Figure </w:t>
      </w:r>
      <w:r w:rsidR="001D354F" w:rsidRPr="00000849">
        <w:rPr>
          <w:szCs w:val="24"/>
        </w:rPr>
        <w:fldChar w:fldCharType="begin"/>
      </w:r>
      <w:r w:rsidR="001D354F" w:rsidRPr="00000849">
        <w:rPr>
          <w:szCs w:val="24"/>
        </w:rPr>
        <w:instrText xml:space="preserve"> SEQ Figure \* ARABIC </w:instrText>
      </w:r>
      <w:r w:rsidR="001D354F" w:rsidRPr="00000849">
        <w:rPr>
          <w:szCs w:val="24"/>
        </w:rPr>
        <w:fldChar w:fldCharType="separate"/>
      </w:r>
      <w:r w:rsidR="00C0100F">
        <w:rPr>
          <w:noProof/>
          <w:szCs w:val="24"/>
        </w:rPr>
        <w:t>9</w:t>
      </w:r>
      <w:r w:rsidR="001D354F" w:rsidRPr="00000849">
        <w:rPr>
          <w:szCs w:val="24"/>
        </w:rPr>
        <w:fldChar w:fldCharType="end"/>
      </w:r>
      <w:r w:rsidR="00242147" w:rsidRPr="00000849">
        <w:rPr>
          <w:szCs w:val="24"/>
        </w:rPr>
        <w:t>:</w:t>
      </w:r>
      <w:r w:rsidR="00242147" w:rsidRPr="00000849">
        <w:rPr>
          <w:szCs w:val="24"/>
        </w:rPr>
        <w:tab/>
        <w:t xml:space="preserve">Schematic diagram </w:t>
      </w:r>
      <w:r w:rsidR="00B21B0B" w:rsidRPr="00000849">
        <w:rPr>
          <w:szCs w:val="24"/>
        </w:rPr>
        <w:t>illustrating the</w:t>
      </w:r>
      <w:r w:rsidR="00242147" w:rsidRPr="00000849">
        <w:rPr>
          <w:szCs w:val="24"/>
        </w:rPr>
        <w:t xml:space="preserve"> sampling process in Ghana SAGE Waves 1 and 2</w:t>
      </w:r>
      <w:bookmarkEnd w:id="70"/>
    </w:p>
    <w:p w14:paraId="5AC9DED1" w14:textId="77777777" w:rsidR="00135D6C" w:rsidRPr="00000849" w:rsidRDefault="00135D6C" w:rsidP="00135D6C">
      <w:pPr>
        <w:spacing w:line="360" w:lineRule="auto"/>
        <w:ind w:left="720" w:hanging="720"/>
        <w:rPr>
          <w:rFonts w:ascii="Times New Roman" w:hAnsi="Times New Roman" w:cs="Times New Roman"/>
          <w:lang w:val="en-US"/>
        </w:rPr>
      </w:pPr>
      <w:r w:rsidRPr="00000849">
        <w:rPr>
          <w:noProof/>
          <w:lang w:val="en-US"/>
        </w:rPr>
        <w:drawing>
          <wp:inline distT="0" distB="0" distL="0" distR="0" wp14:anchorId="7EAEFED5" wp14:editId="77F5FD55">
            <wp:extent cx="7346950" cy="4273550"/>
            <wp:effectExtent l="0" t="0" r="82550"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297DCEC9" w14:textId="7D74A736" w:rsidR="00B21B0B" w:rsidRPr="00000849" w:rsidRDefault="00B21B0B" w:rsidP="009F3E10">
      <w:pPr>
        <w:pStyle w:val="NormalWeb"/>
        <w:shd w:val="clear" w:color="auto" w:fill="FFFFFF"/>
        <w:spacing w:before="0" w:beforeAutospacing="0" w:after="165" w:afterAutospacing="0" w:line="480" w:lineRule="auto"/>
        <w:rPr>
          <w:rFonts w:asciiTheme="minorHAnsi" w:hAnsiTheme="minorHAnsi" w:cstheme="minorHAnsi"/>
          <w:color w:val="383838"/>
        </w:rPr>
      </w:pPr>
      <w:r w:rsidRPr="00000849">
        <w:rPr>
          <w:rFonts w:asciiTheme="minorHAnsi" w:hAnsiTheme="minorHAnsi" w:cstheme="minorHAnsi"/>
          <w:color w:val="383838"/>
          <w:sz w:val="20"/>
          <w:szCs w:val="20"/>
        </w:rPr>
        <w:t>Notes: Owing to space constraints, only three of Ghana’s ten regions are shown in this illustrative scheme</w:t>
      </w:r>
      <w:r w:rsidRPr="00000849">
        <w:rPr>
          <w:rFonts w:asciiTheme="minorHAnsi" w:hAnsiTheme="minorHAnsi" w:cstheme="minorHAnsi"/>
          <w:color w:val="383838"/>
          <w:sz w:val="20"/>
          <w:szCs w:val="20"/>
        </w:rPr>
        <w:tab/>
      </w:r>
    </w:p>
    <w:p w14:paraId="09F57DD5" w14:textId="77777777" w:rsidR="00135D6C" w:rsidRPr="00000849" w:rsidRDefault="00135D6C" w:rsidP="009F3E10">
      <w:pPr>
        <w:pStyle w:val="NormalWeb"/>
        <w:shd w:val="clear" w:color="auto" w:fill="FFFFFF"/>
        <w:spacing w:before="0" w:beforeAutospacing="0" w:after="165" w:afterAutospacing="0" w:line="480" w:lineRule="auto"/>
        <w:rPr>
          <w:rFonts w:asciiTheme="minorHAnsi" w:hAnsiTheme="minorHAnsi" w:cstheme="minorHAnsi"/>
          <w:color w:val="383838"/>
        </w:rPr>
        <w:sectPr w:rsidR="00135D6C" w:rsidRPr="00000849" w:rsidSect="00135D6C">
          <w:pgSz w:w="16838" w:h="11906" w:orient="landscape"/>
          <w:pgMar w:top="2155" w:right="1440" w:bottom="1440" w:left="1440" w:header="708" w:footer="708" w:gutter="0"/>
          <w:cols w:space="708"/>
          <w:docGrid w:linePitch="360"/>
        </w:sectPr>
      </w:pPr>
    </w:p>
    <w:p w14:paraId="615B4A41" w14:textId="642BB216" w:rsidR="005C5D96" w:rsidRPr="00000849" w:rsidRDefault="005C5D96" w:rsidP="005C5D96">
      <w:pPr>
        <w:pStyle w:val="Default"/>
        <w:spacing w:after="200" w:line="480" w:lineRule="auto"/>
        <w:jc w:val="both"/>
      </w:pPr>
    </w:p>
    <w:p w14:paraId="7B5BDA8B" w14:textId="3CA99939" w:rsidR="00B21B0B" w:rsidRPr="00000849" w:rsidRDefault="00B21B0B" w:rsidP="005C5D96">
      <w:pPr>
        <w:pStyle w:val="Default"/>
        <w:spacing w:after="200" w:line="480" w:lineRule="auto"/>
        <w:jc w:val="both"/>
        <w:rPr>
          <w:szCs w:val="22"/>
        </w:rPr>
      </w:pPr>
      <w:r w:rsidRPr="00000849">
        <w:t xml:space="preserve">Data collection took place from May 2007 to June 2008 for the Wave 1, and from September 2014 to June 2015 for Wave 2.  </w:t>
      </w:r>
      <w:r w:rsidRPr="00000849">
        <w:rPr>
          <w:szCs w:val="22"/>
        </w:rPr>
        <w:t xml:space="preserve">Data were collected through </w:t>
      </w:r>
      <w:r w:rsidRPr="00000849">
        <w:t>with computer-assisted face-to face personal interviews (CAPI)</w:t>
      </w:r>
      <w:r w:rsidRPr="00000849">
        <w:rPr>
          <w:szCs w:val="22"/>
        </w:rPr>
        <w:t xml:space="preserve"> by four field teams, each comprising of 3–5 field workers, who moved from region to region.</w:t>
      </w:r>
    </w:p>
    <w:p w14:paraId="5167EB75" w14:textId="77777777" w:rsidR="00E57A40" w:rsidRPr="00000849" w:rsidRDefault="00E57A40" w:rsidP="005C5D96">
      <w:pPr>
        <w:pStyle w:val="Default"/>
        <w:spacing w:after="200" w:line="480" w:lineRule="auto"/>
        <w:jc w:val="both"/>
      </w:pPr>
    </w:p>
    <w:p w14:paraId="481033EA" w14:textId="7E8F82EF" w:rsidR="002B0B4B" w:rsidRPr="00000849" w:rsidRDefault="00ED4D24" w:rsidP="00A61BAB">
      <w:pPr>
        <w:pStyle w:val="Heading2"/>
      </w:pPr>
      <w:bookmarkStart w:id="71" w:name="_Toc51472113"/>
      <w:r w:rsidRPr="00000849">
        <w:t>4</w:t>
      </w:r>
      <w:r w:rsidR="00F173E4" w:rsidRPr="00000849">
        <w:t>.</w:t>
      </w:r>
      <w:r w:rsidR="00F51E5C" w:rsidRPr="00000849">
        <w:t>4</w:t>
      </w:r>
      <w:r w:rsidR="0083769F" w:rsidRPr="00000849">
        <w:tab/>
      </w:r>
      <w:r w:rsidR="00751A7B" w:rsidRPr="00000849">
        <w:t>Data collection instrument</w:t>
      </w:r>
      <w:r w:rsidR="008C34BC" w:rsidRPr="00000849">
        <w:t>s</w:t>
      </w:r>
      <w:bookmarkEnd w:id="71"/>
    </w:p>
    <w:p w14:paraId="30A460A7" w14:textId="77777777" w:rsidR="000B77E4" w:rsidRPr="00000849" w:rsidRDefault="000B77E4"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492C1202" w14:textId="1270E14D" w:rsidR="00915D3E" w:rsidRPr="00000849" w:rsidRDefault="00AA0A34" w:rsidP="005C5D96">
      <w:pPr>
        <w:pStyle w:val="Default"/>
        <w:spacing w:after="200" w:line="480" w:lineRule="auto"/>
        <w:jc w:val="both"/>
      </w:pPr>
      <w:r w:rsidRPr="00000849">
        <w:t>The primary d</w:t>
      </w:r>
      <w:r w:rsidR="00AE4637" w:rsidRPr="00000849">
        <w:t>ata were collected</w:t>
      </w:r>
      <w:r w:rsidR="00812501" w:rsidRPr="00000849">
        <w:t xml:space="preserve"> by research assistants</w:t>
      </w:r>
      <w:r w:rsidR="00AE4637" w:rsidRPr="00000849">
        <w:t xml:space="preserve"> with two main questionnaire types – household and individual </w:t>
      </w:r>
      <w:r w:rsidR="00AE4637" w:rsidRPr="00000849">
        <w:fldChar w:fldCharType="begin"/>
      </w:r>
      <w:r w:rsidR="001740AB" w:rsidRPr="00000849">
        <w:instrText xml:space="preserve"> ADDIN EN.CITE &lt;EndNote&gt;&lt;Cite&gt;&lt;Author&gt;Biritwum&lt;/Author&gt;&lt;Year&gt;2013&lt;/Year&gt;&lt;RecNum&gt;6&lt;/RecNum&gt;&lt;DisplayText&gt;(Biritwum et al., 2013)&lt;/DisplayText&gt;&lt;record&gt;&lt;rec-number&gt;6&lt;/rec-number&gt;&lt;foreign-keys&gt;&lt;key app="EN" db-id="9tzf2rda8re2a9es5tuxart3swzx2zws2s02" timestamp="1463391711"&gt;6&lt;/key&gt;&lt;/foreign-keys&gt;&lt;ref-type name="Journal Article"&gt;17&lt;/ref-type&gt;&lt;contributors&gt;&lt;authors&gt;&lt;author&gt;Biritwum, Richard B&lt;/author&gt;&lt;author&gt;Mensah, George&lt;/author&gt;&lt;author&gt;Minicuci, Nadia&lt;/author&gt;&lt;author&gt;Yawson, Alfred E&lt;/author&gt;&lt;author&gt;Naidoo, Nirmala&lt;/author&gt;&lt;author&gt;Chatterji, Somnath&lt;/author&gt;&lt;author&gt;Kowal, Paul&lt;/author&gt;&lt;/authors&gt;&lt;/contributors&gt;&lt;titles&gt;&lt;title&gt;Household characteristics for older adults and study background from SAGE Ghana Wave 1&lt;/title&gt;&lt;secondary-title&gt;Global Health Action&lt;/secondary-title&gt;&lt;/titles&gt;&lt;periodical&gt;&lt;full-title&gt;Global Health Action&lt;/full-title&gt;&lt;abbr-1&gt;Glob Health Action&lt;/abbr-1&gt;&lt;/periodical&gt;&lt;pages&gt;20096&lt;/pages&gt;&lt;volume&gt;6&lt;/volume&gt;&lt;dates&gt;&lt;year&gt;2013&lt;/year&gt;&lt;/dates&gt;&lt;isbn&gt;1654-9880&lt;/isbn&gt;&lt;urls&gt;&lt;/urls&gt;&lt;electronic-resource-num&gt;20096 - http://dx.doi.org/10.3402/gha.v6i0.20096&lt;/electronic-resource-num&gt;&lt;/record&gt;&lt;/Cite&gt;&lt;/EndNote&gt;</w:instrText>
      </w:r>
      <w:r w:rsidR="00AE4637" w:rsidRPr="00000849">
        <w:fldChar w:fldCharType="separate"/>
      </w:r>
      <w:r w:rsidR="001740AB" w:rsidRPr="00000849">
        <w:rPr>
          <w:noProof/>
        </w:rPr>
        <w:t>(Biritwum et al., 2013)</w:t>
      </w:r>
      <w:r w:rsidR="00AE4637" w:rsidRPr="00000849">
        <w:fldChar w:fldCharType="end"/>
      </w:r>
      <w:r w:rsidR="00AE4637" w:rsidRPr="00000849">
        <w:t xml:space="preserve">.  The household questionnaire collected data </w:t>
      </w:r>
      <w:r w:rsidR="00502B6D" w:rsidRPr="00000849">
        <w:t>around</w:t>
      </w:r>
      <w:r w:rsidR="00AE4637" w:rsidRPr="00000849">
        <w:t xml:space="preserve"> assets, income</w:t>
      </w:r>
      <w:r w:rsidR="00502B6D" w:rsidRPr="00000849">
        <w:t xml:space="preserve">, </w:t>
      </w:r>
      <w:r w:rsidR="00AE4637" w:rsidRPr="00000849">
        <w:t>expenditure</w:t>
      </w:r>
      <w:r w:rsidR="00502B6D" w:rsidRPr="00000849">
        <w:t>s</w:t>
      </w:r>
      <w:r w:rsidR="00AE4637" w:rsidRPr="00000849">
        <w:t xml:space="preserve"> and health insurance coverage.  The individual questionnaire collected data </w:t>
      </w:r>
      <w:r w:rsidR="00502B6D" w:rsidRPr="00000849">
        <w:t>concerning</w:t>
      </w:r>
      <w:r w:rsidR="00AE4637" w:rsidRPr="00000849">
        <w:t xml:space="preserve"> demographic characteristics; socioeconomic factors (employment status, educational level, income); health stat</w:t>
      </w:r>
      <w:r w:rsidR="00502B6D" w:rsidRPr="00000849">
        <w:t>us</w:t>
      </w:r>
      <w:r w:rsidR="00AE4637" w:rsidRPr="00000849">
        <w:t>; behavioural risk factors such as daily fruit and vegetable intake</w:t>
      </w:r>
      <w:r w:rsidR="00502B6D" w:rsidRPr="00000849">
        <w:t>;</w:t>
      </w:r>
      <w:r w:rsidR="00AE4637" w:rsidRPr="00000849">
        <w:t xml:space="preserve"> physical activity</w:t>
      </w:r>
      <w:r w:rsidR="00502B6D" w:rsidRPr="00000849">
        <w:t>;</w:t>
      </w:r>
      <w:r w:rsidR="00AE4637" w:rsidRPr="00000849">
        <w:t xml:space="preserve"> tobacco and alcohol intake</w:t>
      </w:r>
      <w:r w:rsidR="00502B6D" w:rsidRPr="00000849">
        <w:t>;</w:t>
      </w:r>
      <w:r w:rsidR="00AE4637" w:rsidRPr="00000849">
        <w:t xml:space="preserve"> self-reported history of chronic illnesses; well-being and quality of life; and health care utilization.  </w:t>
      </w:r>
      <w:r w:rsidR="00090904" w:rsidRPr="00000849">
        <w:t xml:space="preserve">A </w:t>
      </w:r>
      <w:r w:rsidR="00F26A99" w:rsidRPr="00000849">
        <w:t xml:space="preserve">detailed </w:t>
      </w:r>
      <w:r w:rsidR="00090904" w:rsidRPr="00000849">
        <w:t xml:space="preserve">description of these variables can be found </w:t>
      </w:r>
      <w:r w:rsidR="00101978" w:rsidRPr="00000849">
        <w:t>in Appendix 5.</w:t>
      </w:r>
      <w:r w:rsidR="005C5D96" w:rsidRPr="00000849">
        <w:t xml:space="preserve">  </w:t>
      </w:r>
    </w:p>
    <w:p w14:paraId="18B121CB" w14:textId="77777777" w:rsidR="005C5D96" w:rsidRPr="00000849" w:rsidRDefault="005C5D96" w:rsidP="00915D3E">
      <w:pPr>
        <w:pStyle w:val="NormalWeb"/>
        <w:shd w:val="clear" w:color="auto" w:fill="FFFFFF"/>
        <w:spacing w:before="0" w:beforeAutospacing="0" w:after="165" w:afterAutospacing="0" w:line="480" w:lineRule="auto"/>
        <w:rPr>
          <w:rFonts w:asciiTheme="minorHAnsi" w:hAnsiTheme="minorHAnsi" w:cstheme="minorHAnsi"/>
          <w:color w:val="383838"/>
        </w:rPr>
      </w:pPr>
    </w:p>
    <w:p w14:paraId="3ABBA6AD" w14:textId="05C7F669" w:rsidR="00915D3E" w:rsidRPr="00000849" w:rsidRDefault="00915D3E" w:rsidP="00A61BAB">
      <w:pPr>
        <w:pStyle w:val="Heading2"/>
      </w:pPr>
      <w:bookmarkStart w:id="72" w:name="_Toc51472114"/>
      <w:r w:rsidRPr="00000849">
        <w:lastRenderedPageBreak/>
        <w:t>4.</w:t>
      </w:r>
      <w:r w:rsidR="00F51E5C" w:rsidRPr="00000849">
        <w:t>5</w:t>
      </w:r>
      <w:r w:rsidRPr="00000849">
        <w:tab/>
        <w:t xml:space="preserve">Definition of variables </w:t>
      </w:r>
      <w:r w:rsidR="00812501" w:rsidRPr="00000849">
        <w:t>used in the current analyses</w:t>
      </w:r>
      <w:bookmarkEnd w:id="72"/>
    </w:p>
    <w:p w14:paraId="2D0DD585" w14:textId="582FE76D" w:rsidR="0060706B" w:rsidRPr="00000849" w:rsidRDefault="0060706B" w:rsidP="004E2350">
      <w:pPr>
        <w:pStyle w:val="Heading3"/>
      </w:pPr>
      <w:bookmarkStart w:id="73" w:name="_Toc51472115"/>
      <w:r w:rsidRPr="00000849">
        <w:t>4.5.1</w:t>
      </w:r>
      <w:r w:rsidRPr="00000849">
        <w:tab/>
        <w:t>Coding of variables</w:t>
      </w:r>
      <w:bookmarkEnd w:id="73"/>
    </w:p>
    <w:p w14:paraId="5C82B6F8" w14:textId="77777777" w:rsidR="0060706B" w:rsidRPr="00000849" w:rsidRDefault="0060706B" w:rsidP="00E57A40">
      <w:pPr>
        <w:pStyle w:val="Default"/>
        <w:keepNext/>
        <w:keepLines/>
        <w:spacing w:after="200" w:line="480" w:lineRule="auto"/>
        <w:jc w:val="both"/>
      </w:pPr>
    </w:p>
    <w:p w14:paraId="4F91ACCF" w14:textId="61D6B002" w:rsidR="002E53EC" w:rsidRPr="00000849" w:rsidRDefault="00D32BB1" w:rsidP="00E57A40">
      <w:pPr>
        <w:pStyle w:val="Default"/>
        <w:keepNext/>
        <w:keepLines/>
        <w:spacing w:line="480" w:lineRule="auto"/>
        <w:jc w:val="both"/>
      </w:pPr>
      <w:r w:rsidRPr="00000849">
        <w:t xml:space="preserve">In line with the theoretical </w:t>
      </w:r>
      <w:r w:rsidR="00E57A40" w:rsidRPr="00000849">
        <w:t xml:space="preserve">framework adopted for this study, </w:t>
      </w:r>
      <w:r w:rsidR="00465323" w:rsidRPr="00000849">
        <w:t xml:space="preserve">two components of the </w:t>
      </w:r>
      <w:r w:rsidR="00E57A40" w:rsidRPr="00000849">
        <w:t>Rowe and Kahn model of successful ageing</w:t>
      </w:r>
      <w:r w:rsidR="00465323" w:rsidRPr="00000849">
        <w:t xml:space="preserve"> were examined – these being, the probability </w:t>
      </w:r>
      <w:r w:rsidR="009A21C4" w:rsidRPr="00000849">
        <w:t xml:space="preserve">of </w:t>
      </w:r>
      <w:r w:rsidR="00465323" w:rsidRPr="00000849">
        <w:t>disease represented by the prevalence of hypertension</w:t>
      </w:r>
      <w:r w:rsidR="00E57A40" w:rsidRPr="00000849">
        <w:t xml:space="preserve"> </w:t>
      </w:r>
      <w:r w:rsidRPr="00000849">
        <w:t>and</w:t>
      </w:r>
      <w:r w:rsidR="00465323" w:rsidRPr="00000849">
        <w:t xml:space="preserve"> physical function represented by lifestyle variables including level of physical activity</w:t>
      </w:r>
      <w:r w:rsidR="002E53EC" w:rsidRPr="00000849">
        <w:t xml:space="preserve"> </w:t>
      </w:r>
      <w:r w:rsidR="002E53EC" w:rsidRPr="00000849">
        <w:fldChar w:fldCharType="begin"/>
      </w:r>
      <w:r w:rsidR="002E53EC" w:rsidRPr="00000849">
        <w:instrText xml:space="preserve"> ADDIN EN.CITE &lt;EndNote&gt;&lt;Cite&gt;&lt;Author&gt;Rowe&lt;/Author&gt;&lt;Year&gt;1997&lt;/Year&gt;&lt;RecNum&gt;24&lt;/RecNum&gt;&lt;DisplayText&gt;(Rowe &amp;amp; Kahn, 1997)&lt;/DisplayText&gt;&lt;record&gt;&lt;rec-number&gt;24&lt;/rec-number&gt;&lt;foreign-keys&gt;&lt;key app="EN" db-id="9tzf2rda8re2a9es5tuxart3swzx2zws2s02" timestamp="1463942467"&gt;24&lt;/key&gt;&lt;/foreign-keys&gt;&lt;ref-type name="Journal Article"&gt;17&lt;/ref-type&gt;&lt;contributors&gt;&lt;authors&gt;&lt;author&gt;Rowe, John W&lt;/author&gt;&lt;author&gt;Kahn, Robert L&lt;/author&gt;&lt;/authors&gt;&lt;/contributors&gt;&lt;titles&gt;&lt;title&gt;Successful aging&lt;/title&gt;&lt;secondary-title&gt;The Gerontologist&lt;/secondary-title&gt;&lt;/titles&gt;&lt;periodical&gt;&lt;full-title&gt;The Gerontologist&lt;/full-title&gt;&lt;abbr-1&gt;Gerontologist&lt;/abbr-1&gt;&lt;/periodical&gt;&lt;pages&gt;433-440&lt;/pages&gt;&lt;volume&gt;37&lt;/volume&gt;&lt;number&gt;4&lt;/number&gt;&lt;dates&gt;&lt;year&gt;1997&lt;/year&gt;&lt;/dates&gt;&lt;isbn&gt;0016-9013&lt;/isbn&gt;&lt;urls&gt;&lt;/urls&gt;&lt;/record&gt;&lt;/Cite&gt;&lt;/EndNote&gt;</w:instrText>
      </w:r>
      <w:r w:rsidR="002E53EC" w:rsidRPr="00000849">
        <w:fldChar w:fldCharType="separate"/>
      </w:r>
      <w:r w:rsidR="002E53EC" w:rsidRPr="00000849">
        <w:rPr>
          <w:noProof/>
        </w:rPr>
        <w:t>(Rowe &amp; Kahn, 1997)</w:t>
      </w:r>
      <w:r w:rsidR="002E53EC" w:rsidRPr="00000849">
        <w:fldChar w:fldCharType="end"/>
      </w:r>
      <w:r w:rsidR="00465323" w:rsidRPr="00000849">
        <w:t>.  In line with the</w:t>
      </w:r>
      <w:r w:rsidRPr="00000849">
        <w:t xml:space="preserve"> conceptual framework, t</w:t>
      </w:r>
      <w:r w:rsidR="00DB0E1E" w:rsidRPr="00000849">
        <w:t xml:space="preserve">he explanatory variables </w:t>
      </w:r>
      <w:r w:rsidR="0082454E" w:rsidRPr="00000849">
        <w:t xml:space="preserve">in each study wave </w:t>
      </w:r>
      <w:r w:rsidR="00DB0E1E" w:rsidRPr="00000849">
        <w:t xml:space="preserve">were </w:t>
      </w:r>
      <w:r w:rsidR="00AE4181" w:rsidRPr="00000849">
        <w:t xml:space="preserve">categorised into three characteristics - </w:t>
      </w:r>
      <w:r w:rsidR="00DB0E1E" w:rsidRPr="00000849">
        <w:t xml:space="preserve">demographic, socio-economic, and risk behaviours </w:t>
      </w:r>
      <w:r w:rsidRPr="00000849">
        <w:t>associated with</w:t>
      </w:r>
      <w:r w:rsidR="00DB0E1E" w:rsidRPr="00000849">
        <w:t xml:space="preserve"> cardiovascular diseases.  </w:t>
      </w:r>
      <w:r w:rsidR="002E53EC" w:rsidRPr="00000849">
        <w:t>These set</w:t>
      </w:r>
      <w:r w:rsidR="00E6309E">
        <w:t>s</w:t>
      </w:r>
      <w:r w:rsidR="002E53EC" w:rsidRPr="00000849">
        <w:t xml:space="preserve"> of variables have been used in the application of the Rowe and Kahn model of successful ageing in a West African setting </w:t>
      </w:r>
      <w:r w:rsidR="003A490A" w:rsidRPr="00000849">
        <w:fldChar w:fldCharType="begin">
          <w:fldData xml:space="preserve">PEVuZE5vdGU+PENpdGU+PEF1dGhvcj5HdXJlamU8L0F1dGhvcj48WWVhcj4yMDE0PC9ZZWFyPjxS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=
</w:fldData>
        </w:fldChar>
      </w:r>
      <w:r w:rsidR="003A490A" w:rsidRPr="00000849">
        <w:instrText xml:space="preserve"> ADDIN EN.CITE </w:instrText>
      </w:r>
      <w:r w:rsidR="003A490A" w:rsidRPr="00000849">
        <w:fldChar w:fldCharType="begin">
          <w:fldData xml:space="preserve">PEVuZE5vdGU+PENpdGU+PEF1dGhvcj5HdXJlamU8L0F1dGhvcj48WWVhcj4yMDE0PC9ZZWFyPjxS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=
</w:fldData>
        </w:fldChar>
      </w:r>
      <w:r w:rsidR="003A490A" w:rsidRPr="00000849">
        <w:instrText xml:space="preserve"> ADDIN EN.CITE.DATA </w:instrText>
      </w:r>
      <w:r w:rsidR="003A490A" w:rsidRPr="00000849">
        <w:fldChar w:fldCharType="end"/>
      </w:r>
      <w:r w:rsidR="003A490A" w:rsidRPr="00000849">
        <w:fldChar w:fldCharType="separate"/>
      </w:r>
      <w:r w:rsidR="003A490A" w:rsidRPr="00000849">
        <w:rPr>
          <w:noProof/>
        </w:rPr>
        <w:t>(Gureje et al., 2014)</w:t>
      </w:r>
      <w:r w:rsidR="003A490A" w:rsidRPr="00000849">
        <w:fldChar w:fldCharType="end"/>
      </w:r>
      <w:r w:rsidR="003A490A" w:rsidRPr="00000849">
        <w:t xml:space="preserve"> </w:t>
      </w:r>
      <w:r w:rsidR="002E53EC" w:rsidRPr="00000849">
        <w:t xml:space="preserve">and have </w:t>
      </w:r>
      <w:r w:rsidR="003A490A" w:rsidRPr="00000849">
        <w:t xml:space="preserve">also emerged from the systematic review of determinants associated with hypertension in older adults in Africa </w:t>
      </w:r>
      <w:r w:rsidR="003A490A" w:rsidRPr="00000849">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instrText xml:space="preserve"> ADDIN EN.CITE </w:instrText>
      </w:r>
      <w:r w:rsidR="003E660C" w:rsidRPr="00000849">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instrText xml:space="preserve"> ADDIN EN.CITE.DATA </w:instrText>
      </w:r>
      <w:r w:rsidR="003E660C" w:rsidRPr="00000849">
        <w:fldChar w:fldCharType="end"/>
      </w:r>
      <w:r w:rsidR="003A490A" w:rsidRPr="00000849">
        <w:fldChar w:fldCharType="separate"/>
      </w:r>
      <w:r w:rsidR="003A490A" w:rsidRPr="00000849">
        <w:rPr>
          <w:noProof/>
        </w:rPr>
        <w:t>(Bosu et al., 2019a)</w:t>
      </w:r>
      <w:r w:rsidR="003A490A" w:rsidRPr="00000849">
        <w:fldChar w:fldCharType="end"/>
      </w:r>
      <w:r w:rsidR="003A490A" w:rsidRPr="00000849">
        <w:t>.</w:t>
      </w:r>
    </w:p>
    <w:p w14:paraId="3E129E1C" w14:textId="137B8AB3" w:rsidR="003F010C" w:rsidRPr="00000849" w:rsidRDefault="003F010C" w:rsidP="00B330A2">
      <w:pPr>
        <w:pStyle w:val="Default"/>
        <w:spacing w:line="480" w:lineRule="auto"/>
        <w:ind w:firstLine="567"/>
        <w:jc w:val="both"/>
      </w:pPr>
      <w:r w:rsidRPr="00000849">
        <w:t>As in s</w:t>
      </w:r>
      <w:r w:rsidR="006A0269" w:rsidRPr="00000849">
        <w:t>imilar studies in Ghana, a</w:t>
      </w:r>
      <w:r w:rsidR="00DB0E1E" w:rsidRPr="00000849">
        <w:t>ge was categorised into three groups</w:t>
      </w:r>
      <w:r w:rsidR="00AE4181" w:rsidRPr="00000849">
        <w:t xml:space="preserve"> for convenience</w:t>
      </w:r>
      <w:r w:rsidR="00DB0E1E" w:rsidRPr="00000849">
        <w:t>: 50-64 years, 65-74 years and ≥75 years</w:t>
      </w:r>
      <w:r w:rsidR="006A0269" w:rsidRPr="00000849">
        <w:t xml:space="preserve"> </w:t>
      </w:r>
      <w:r w:rsidR="006A0269" w:rsidRPr="00000849">
        <w:fldChar w:fldCharType="begin">
          <w:fldData xml:space="preserve">PEVuZE5vdGU+PENpdGU+PEF1dGhvcj5NaW5pY3VjaTwvQXV0aG9yPjxZZWFyPjIwMTQ8L1llYXI+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</w:fldData>
        </w:fldChar>
      </w:r>
      <w:r w:rsidR="00AC2BE6">
        <w:instrText xml:space="preserve"> ADDIN EN.CITE </w:instrText>
      </w:r>
      <w:r w:rsidR="00AC2BE6">
        <w:fldChar w:fldCharType="begin">
          <w:fldData xml:space="preserve">PEVuZE5vdGU+PENpdGU+PEF1dGhvcj5NaW5pY3VjaTwvQXV0aG9yPjxZZWFyPjIwMTQ8L1llYXI+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</w:fldData>
        </w:fldChar>
      </w:r>
      <w:r w:rsidR="00AC2BE6">
        <w:instrText xml:space="preserve"> ADDIN EN.CITE.DATA </w:instrText>
      </w:r>
      <w:r w:rsidR="00AC2BE6">
        <w:fldChar w:fldCharType="end"/>
      </w:r>
      <w:r w:rsidR="006A0269" w:rsidRPr="00000849">
        <w:fldChar w:fldCharType="separate"/>
      </w:r>
      <w:r w:rsidR="006A0269" w:rsidRPr="00000849">
        <w:rPr>
          <w:noProof/>
        </w:rPr>
        <w:t>(Minicuci et al., 2014; Osman, 2017)</w:t>
      </w:r>
      <w:r w:rsidR="006A0269" w:rsidRPr="00000849">
        <w:fldChar w:fldCharType="end"/>
      </w:r>
      <w:r w:rsidR="00DB0E1E" w:rsidRPr="00000849">
        <w:t xml:space="preserve">.  Educational </w:t>
      </w:r>
      <w:r w:rsidR="00D32BB1" w:rsidRPr="00000849">
        <w:t>level</w:t>
      </w:r>
      <w:r w:rsidR="00DB0E1E" w:rsidRPr="00000849">
        <w:t xml:space="preserve"> was </w:t>
      </w:r>
      <w:r w:rsidR="00D32BB1" w:rsidRPr="00000849">
        <w:t>categorized</w:t>
      </w:r>
      <w:r w:rsidR="00DB0E1E" w:rsidRPr="00000849">
        <w:t xml:space="preserve"> as nil for those who had never had formal education, primary level or less, secondary education or higher</w:t>
      </w:r>
      <w:r w:rsidRPr="00000849">
        <w:t xml:space="preserve"> as in previous SAGE studies</w:t>
      </w:r>
      <w:r w:rsidR="0060706B" w:rsidRPr="00000849">
        <w:t xml:space="preserve"> </w:t>
      </w:r>
      <w:r w:rsidR="0060706B" w:rsidRPr="00000849">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instrText xml:space="preserve"> ADDIN EN.CITE </w:instrText>
      </w:r>
      <w:r w:rsidR="00AC2BE6">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instrText xml:space="preserve"> ADDIN EN.CITE.DATA </w:instrText>
      </w:r>
      <w:r w:rsidR="00AC2BE6">
        <w:fldChar w:fldCharType="end"/>
      </w:r>
      <w:r w:rsidR="0060706B" w:rsidRPr="00000849">
        <w:fldChar w:fldCharType="separate"/>
      </w:r>
      <w:r w:rsidR="00CD7B29">
        <w:rPr>
          <w:noProof/>
        </w:rPr>
        <w:t>(Lloyd-Sherlock et al., 2014)</w:t>
      </w:r>
      <w:r w:rsidR="0060706B" w:rsidRPr="00000849">
        <w:fldChar w:fldCharType="end"/>
      </w:r>
      <w:r w:rsidR="00DB0E1E" w:rsidRPr="00000849">
        <w:t xml:space="preserve">.  </w:t>
      </w:r>
    </w:p>
    <w:p w14:paraId="44FDC22B" w14:textId="12E933C0" w:rsidR="00DB0E1E" w:rsidRPr="00000849" w:rsidRDefault="00DB0E1E" w:rsidP="00D32BB1">
      <w:pPr>
        <w:pStyle w:val="Default"/>
        <w:spacing w:line="480" w:lineRule="auto"/>
        <w:ind w:firstLine="567"/>
        <w:jc w:val="both"/>
      </w:pPr>
      <w:r w:rsidRPr="00000849">
        <w:t xml:space="preserve">The behavioural risk data collected were fruit and vegetable intake, alcohol intake, tobacco use and physical activity.  </w:t>
      </w:r>
      <w:r w:rsidR="00D05CE2" w:rsidRPr="00000849">
        <w:t xml:space="preserve">They were assessed using the WHO STEPwise protocol </w:t>
      </w:r>
      <w:r w:rsidR="00D05CE2" w:rsidRPr="00000849">
        <w:fldChar w:fldCharType="begin"/>
      </w:r>
      <w:r w:rsidR="00A12309">
        <w:instrText xml:space="preserve"> ADDIN EN.CITE &lt;EndNote&gt;&lt;Cite&gt;&lt;Author&gt;WHO&lt;/Author&gt;&lt;Year&gt;2008&lt;/Year&gt;&lt;RecNum&gt;19&lt;/RecNum&gt;&lt;DisplayText&gt;(WHO, 2008)&lt;/DisplayText&gt;&lt;record&gt;&lt;rec-number&gt;19&lt;/rec-number&gt;&lt;foreign-keys&gt;&lt;key app="EN" db-id="9tzf2rda8re2a9es5tuxart3swzx2zws2s02" timestamp="1463400106"&gt;19&lt;/key&gt;&lt;/foreign-keys&gt;&lt;ref-type name="Electronic Article"&gt;43&lt;/ref-type&gt;&lt;contributors&gt;&lt;authors&gt;&lt;author&gt;WHO,&lt;/author&gt;&lt;/authors&gt;&lt;/contributors&gt;&lt;titles&gt;&lt;title&gt;WHO STEPS Surveillance Manual&lt;/title&gt;&lt;/titles&gt;&lt;dates&gt;&lt;year&gt;2008&lt;/year&gt;&lt;pub-dates&gt;&lt;date&gt;16 May 2016&lt;/date&gt;&lt;/pub-dates&gt;&lt;/dates&gt;&lt;pub-location&gt;Geneva&lt;/pub-location&gt;&lt;publisher&gt;World Health Organization&lt;/publisher&gt;&lt;urls&gt;&lt;related-urls&gt;&lt;url&gt;http://www.who.int/chp/steps/manual/en/&lt;/url&gt;&lt;/related-urls&gt;&lt;/urls&gt;&lt;custom1&gt;2016&lt;/custom1&gt;&lt;custom2&gt;16 May&lt;/custom2&gt;&lt;/record&gt;&lt;/Cite&gt;&lt;/EndNote&gt;</w:instrText>
      </w:r>
      <w:r w:rsidR="00D05CE2" w:rsidRPr="00000849">
        <w:fldChar w:fldCharType="separate"/>
      </w:r>
      <w:r w:rsidR="00A12309">
        <w:rPr>
          <w:noProof/>
        </w:rPr>
        <w:t>(WHO, 2008)</w:t>
      </w:r>
      <w:r w:rsidR="00D05CE2" w:rsidRPr="00000849">
        <w:fldChar w:fldCharType="end"/>
      </w:r>
      <w:r w:rsidR="00D05CE2" w:rsidRPr="00000849">
        <w:t xml:space="preserve">.  </w:t>
      </w:r>
      <w:r w:rsidRPr="00000849">
        <w:t xml:space="preserve">The number of daily fruit and vegetable servings consumed by participants was estimated with each serving amounting to about 80 </w:t>
      </w:r>
      <w:r w:rsidRPr="00000849">
        <w:lastRenderedPageBreak/>
        <w:t xml:space="preserve">grams.  In line with WHO recommendations, a minimum of five daily fruit and vegetable servings (or 400g) was considered adequate </w:t>
      </w:r>
      <w:r w:rsidRPr="00000849">
        <w:fldChar w:fldCharType="begin"/>
      </w:r>
      <w:r w:rsidR="00D05CE2" w:rsidRPr="00000849">
        <w:instrText xml:space="preserve"> ADDIN EN.CITE &lt;EndNote&gt;&lt;Cite&gt;&lt;Author&gt;WHO&lt;/Author&gt;&lt;Year&gt;2003&lt;/Year&gt;&lt;RecNum&gt;997&lt;/RecNum&gt;&lt;DisplayText&gt;(WHO, 2003)&lt;/DisplayText&gt;&lt;record&gt;&lt;rec-number&gt;997&lt;/rec-number&gt;&lt;foreign-keys&gt;&lt;key app="EN" db-id="9tzf2rda8re2a9es5tuxart3swzx2zws2s02" timestamp="1554620417"&gt;997&lt;/key&gt;&lt;/foreign-keys&gt;&lt;ref-type name="Report"&gt;27&lt;/ref-type&gt;&lt;contributors&gt;&lt;authors&gt;&lt;author&gt;WHO,&lt;/author&gt;&lt;/authors&gt;&lt;tertiary-authors&gt;&lt;author&gt;WHO&lt;/author&gt;&lt;/tertiary-authors&gt;&lt;/contributors&gt;&lt;titles&gt;&lt;title&gt;Joint WHO/FAO Expert Consultation on Diet, Nutrition and the Prevention of Chronic Diseases&lt;/title&gt;&lt;secondary-title&gt;WHO Technical Report Series 916&lt;/secondary-title&gt;&lt;/titles&gt;&lt;dates&gt;&lt;year&gt;2003&lt;/year&gt;&lt;/dates&gt;&lt;pub-location&gt;Geneva&lt;/pub-location&gt;&lt;publisher&gt;WHO&lt;/publisher&gt;&lt;urls&gt;&lt;related-urls&gt;&lt;url&gt;www.who.int/entity/dietphysicalactivity/publications/trs916/en/gsfao_introduction.pdf&lt;/url&gt;&lt;/related-urls&gt;&lt;/urls&gt;&lt;/record&gt;&lt;/Cite&gt;&lt;/EndNote&gt;</w:instrText>
      </w:r>
      <w:r w:rsidRPr="00000849">
        <w:fldChar w:fldCharType="separate"/>
      </w:r>
      <w:r w:rsidR="00D05CE2" w:rsidRPr="00000849">
        <w:rPr>
          <w:noProof/>
        </w:rPr>
        <w:t>(WHO, 2003)</w:t>
      </w:r>
      <w:r w:rsidRPr="00000849">
        <w:fldChar w:fldCharType="end"/>
      </w:r>
      <w:r w:rsidRPr="00000849">
        <w:t>.</w:t>
      </w:r>
    </w:p>
    <w:p w14:paraId="0F809421" w14:textId="1A277706" w:rsidR="00DB0E1E" w:rsidRPr="00000849" w:rsidRDefault="00DB0E1E" w:rsidP="00D32BB1">
      <w:pPr>
        <w:pStyle w:val="Default"/>
        <w:spacing w:line="480" w:lineRule="auto"/>
        <w:ind w:firstLine="567"/>
        <w:jc w:val="both"/>
      </w:pPr>
      <w:r w:rsidRPr="00000849">
        <w:t xml:space="preserve">Alcohol consumption was categorised into three groups: lifetime abstainer, non-heavy drinker and heavy drinker.  Lifetime abstainers reported they had never consumed any alcohol-containing drink such as beer, wine or spirits.  Heavy alcohol consumption was categorised based on the sex of the participant and on the quantity of alcohol drank in the seven days preceding the survey.  Women who took four or more standard drinks and men who took five or more drinks on any day during the preceding seven days of the study were considered as heavy drinkers </w:t>
      </w:r>
      <w:r w:rsidRPr="00000849">
        <w:fldChar w:fldCharType="begin"/>
      </w:r>
      <w:r w:rsidR="00A12309">
        <w:instrText xml:space="preserve"> ADDIN EN.CITE &lt;EndNote&gt;&lt;Cite&gt;&lt;Author&gt;WHO&lt;/Author&gt;&lt;Year&gt;2008&lt;/Year&gt;&lt;RecNum&gt;19&lt;/RecNum&gt;&lt;DisplayText&gt;(WHO, 2008)&lt;/DisplayText&gt;&lt;record&gt;&lt;rec-number&gt;19&lt;/rec-number&gt;&lt;foreign-keys&gt;&lt;key app="EN" db-id="9tzf2rda8re2a9es5tuxart3swzx2zws2s02" timestamp="1463400106"&gt;19&lt;/key&gt;&lt;/foreign-keys&gt;&lt;ref-type name="Electronic Article"&gt;43&lt;/ref-type&gt;&lt;contributors&gt;&lt;authors&gt;&lt;author&gt;WHO,&lt;/author&gt;&lt;/authors&gt;&lt;/contributors&gt;&lt;titles&gt;&lt;title&gt;WHO STEPS Surveillance Manual&lt;/title&gt;&lt;/titles&gt;&lt;dates&gt;&lt;year&gt;2008&lt;/year&gt;&lt;pub-dates&gt;&lt;date&gt;16 May 2016&lt;/date&gt;&lt;/pub-dates&gt;&lt;/dates&gt;&lt;pub-location&gt;Geneva&lt;/pub-location&gt;&lt;publisher&gt;World Health Organization&lt;/publisher&gt;&lt;urls&gt;&lt;related-urls&gt;&lt;url&gt;http://www.who.int/chp/steps/manual/en/&lt;/url&gt;&lt;/related-urls&gt;&lt;/urls&gt;&lt;custom1&gt;2016&lt;/custom1&gt;&lt;custom2&gt;16 May&lt;/custom2&gt;&lt;/record&gt;&lt;/Cite&gt;&lt;/EndNote&gt;</w:instrText>
      </w:r>
      <w:r w:rsidRPr="00000849">
        <w:fldChar w:fldCharType="separate"/>
      </w:r>
      <w:r w:rsidR="00A12309">
        <w:rPr>
          <w:noProof/>
        </w:rPr>
        <w:t>(WHO, 2008)</w:t>
      </w:r>
      <w:r w:rsidRPr="00000849">
        <w:fldChar w:fldCharType="end"/>
      </w:r>
      <w:r w:rsidRPr="00000849">
        <w:t xml:space="preserve">.  One standard drink generally contains about 10g of ethanol.  Participants who consumed alcohol in fewer quantities or less frequently over the past 12 months were considered non-heavy drinkers. </w:t>
      </w:r>
    </w:p>
    <w:p w14:paraId="150702DA" w14:textId="70CF6CBD" w:rsidR="00DB0E1E" w:rsidRPr="00000849" w:rsidRDefault="00DB0E1E" w:rsidP="00D32BB1">
      <w:pPr>
        <w:pStyle w:val="Default"/>
        <w:spacing w:line="480" w:lineRule="auto"/>
        <w:ind w:firstLine="567"/>
        <w:jc w:val="both"/>
      </w:pPr>
      <w:r w:rsidRPr="00000849">
        <w:t>Tobacco users were categorised as current users if they smoked, sniffed or chewed any tobacco product, even if they did not use the product daily.  Participants who reported they had ever used tobacco products and were no longer using it were considered former tobacco users or more loosely as former smokers.  Those who had never used any tobacco product in whatever form were considered never tobacco users or more loosely as never smokers</w:t>
      </w:r>
      <w:r w:rsidR="00AE4181" w:rsidRPr="00000849">
        <w:t xml:space="preserve">, </w:t>
      </w:r>
      <w:r w:rsidR="008116A9" w:rsidRPr="00000849">
        <w:t>since</w:t>
      </w:r>
      <w:r w:rsidR="00AE4181" w:rsidRPr="00000849">
        <w:t xml:space="preserve"> smoking tends to be the most common way in which tobacco is used</w:t>
      </w:r>
      <w:r w:rsidRPr="00000849">
        <w:t>.</w:t>
      </w:r>
    </w:p>
    <w:p w14:paraId="6642311E" w14:textId="030FA919" w:rsidR="00DB0E1E" w:rsidRPr="00000849" w:rsidRDefault="00DB0E1E" w:rsidP="00D32BB1">
      <w:pPr>
        <w:pStyle w:val="Default"/>
        <w:spacing w:line="480" w:lineRule="auto"/>
        <w:ind w:firstLine="567"/>
        <w:jc w:val="both"/>
      </w:pPr>
      <w:r w:rsidRPr="00000849">
        <w:t xml:space="preserve">The level of physical activity was assessed based on the Global Physical Activity Questionnaire </w:t>
      </w:r>
      <w:r w:rsidRPr="00000849">
        <w:fldChar w:fldCharType="begin"/>
      </w:r>
      <w:r w:rsidR="00431DA0" w:rsidRPr="00000849">
        <w:instrText xml:space="preserve"> ADDIN EN.CITE &lt;EndNote&gt;&lt;Cite&gt;&lt;Author&gt;Bull&lt;/Author&gt;&lt;Year&gt;2009&lt;/Year&gt;&lt;RecNum&gt;40&lt;/RecNum&gt;&lt;DisplayText&gt;(Bull et al., 2009)&lt;/DisplayText&gt;&lt;record&gt;&lt;rec-number&gt;40&lt;/rec-number&gt;&lt;foreign-keys&gt;&lt;key app="EN" db-id="9tzf2rda8re2a9es5tuxart3swzx2zws2s02" timestamp="1464934157"&gt;40&lt;/key&gt;&lt;/foreign-keys&gt;&lt;ref-type name="Journal Article"&gt;17&lt;/ref-type&gt;&lt;contributors&gt;&lt;authors&gt;&lt;author&gt;Bull, Fiona C&lt;/author&gt;&lt;author&gt;Maslin, Tahlia S&lt;/author&gt;&lt;author&gt;Armstrong, Timothy&lt;/author&gt;&lt;/authors&gt;&lt;/contributors&gt;&lt;titles&gt;&lt;title&gt;Global physical activity questionnaire (GPAQ): nine country reliability and validity study&lt;/title&gt;&lt;secondary-title&gt;Journal of Physical Activity &amp;amp; Health&lt;/secondary-title&gt;&lt;/titles&gt;&lt;periodical&gt;&lt;full-title&gt;Journal of Physical Activity &amp;amp; Health&lt;/full-title&gt;&lt;abbr-1&gt;Journal of Physical Activity &amp;amp; Health&lt;/abbr-1&gt;&lt;/periodical&gt;&lt;pages&gt;790-804&lt;/pages&gt;&lt;volume&gt;6&lt;/volume&gt;&lt;number&gt;6&lt;/number&gt;&lt;dates&gt;&lt;year&gt;2009&lt;/year&gt;&lt;/dates&gt;&lt;isbn&gt;1543-3080&lt;/isbn&gt;&lt;urls&gt;&lt;/urls&gt;&lt;/record&gt;&lt;/Cite&gt;&lt;/EndNote&gt;</w:instrText>
      </w:r>
      <w:r w:rsidRPr="00000849">
        <w:fldChar w:fldCharType="separate"/>
      </w:r>
      <w:r w:rsidR="00431DA0" w:rsidRPr="00000849">
        <w:rPr>
          <w:noProof/>
        </w:rPr>
        <w:t>(Bull et al., 2009)</w:t>
      </w:r>
      <w:r w:rsidRPr="00000849">
        <w:fldChar w:fldCharType="end"/>
      </w:r>
      <w:r w:rsidRPr="00000849">
        <w:t>.  Participants were asked about frequency, duration and intensity of leisure, travel and work-related physical activity.  The resulting metabolic equivalent, or MET, describing the energy expenditure of a specific activity, was categorised into low-, moderate- and high-level of physical activity.</w:t>
      </w:r>
      <w:r w:rsidR="00D93889" w:rsidRPr="00000849">
        <w:t xml:space="preserve"> </w:t>
      </w:r>
    </w:p>
    <w:p w14:paraId="0C0607D3" w14:textId="5E66DB1A" w:rsidR="00F00714" w:rsidRPr="00000849" w:rsidRDefault="00F00714" w:rsidP="00D32BB1">
      <w:pPr>
        <w:pStyle w:val="Default"/>
        <w:spacing w:line="480" w:lineRule="auto"/>
        <w:ind w:firstLine="567"/>
        <w:jc w:val="both"/>
      </w:pPr>
    </w:p>
    <w:p w14:paraId="2AF07027" w14:textId="259F8919" w:rsidR="00F00714" w:rsidRPr="00000849" w:rsidRDefault="00F00714" w:rsidP="004E2350">
      <w:pPr>
        <w:pStyle w:val="Heading3"/>
      </w:pPr>
      <w:bookmarkStart w:id="74" w:name="_Toc51472116"/>
      <w:r w:rsidRPr="00000849">
        <w:t>4.5.2</w:t>
      </w:r>
      <w:r w:rsidRPr="00000849">
        <w:tab/>
        <w:t>Construction of wealth quintiles</w:t>
      </w:r>
      <w:bookmarkEnd w:id="74"/>
    </w:p>
    <w:p w14:paraId="010F9261" w14:textId="4D6F48F6" w:rsidR="00F00714" w:rsidRPr="00000849" w:rsidRDefault="00F00714" w:rsidP="00D93889">
      <w:pPr>
        <w:pStyle w:val="Default"/>
        <w:keepNext/>
        <w:keepLines/>
        <w:spacing w:line="480" w:lineRule="auto"/>
        <w:ind w:firstLine="567"/>
        <w:jc w:val="both"/>
      </w:pPr>
    </w:p>
    <w:p w14:paraId="745B5168" w14:textId="4792A2B3" w:rsidR="00F00714" w:rsidRPr="00000849" w:rsidRDefault="00D93889" w:rsidP="00D93889">
      <w:pPr>
        <w:pStyle w:val="Default"/>
        <w:keepNext/>
        <w:keepLines/>
        <w:spacing w:line="480" w:lineRule="auto"/>
        <w:jc w:val="both"/>
      </w:pPr>
      <w:r w:rsidRPr="00000849">
        <w:t>Wealth</w:t>
      </w:r>
      <w:r w:rsidR="00F00714" w:rsidRPr="00000849">
        <w:t xml:space="preserve"> quintiles were used as a proxy of overall economic status.  The</w:t>
      </w:r>
      <w:r w:rsidRPr="00000849">
        <w:t>y</w:t>
      </w:r>
      <w:r w:rsidR="00F00714" w:rsidRPr="00000849">
        <w:t xml:space="preserve"> were based on a set of household assets, dwelling characteristics (type of wall, roofing, floors and cooking stove), access to services (water, sanitation, cooking fuel) as used in the demographic and health surveys </w:t>
      </w:r>
      <w:r w:rsidR="00F00714" w:rsidRPr="00000849">
        <w:fldChar w:fldCharType="begin"/>
      </w:r>
      <w:r w:rsidR="00F00714" w:rsidRPr="00000849">
        <w:instrText xml:space="preserve"> ADDIN EN.CITE &lt;EndNote&gt;&lt;Cite&gt;&lt;Author&gt;Rutstein&lt;/Author&gt;&lt;Year&gt;2004&lt;/Year&gt;&lt;RecNum&gt;996&lt;/RecNum&gt;&lt;DisplayText&gt;(Rutstein &amp;amp; Johnson, 2004)&lt;/DisplayText&gt;&lt;record&gt;&lt;rec-number&gt;996&lt;/rec-number&gt;&lt;foreign-keys&gt;&lt;key app="EN" db-id="9tzf2rda8re2a9es5tuxart3swzx2zws2s02" timestamp="1554580609"&gt;996&lt;/key&gt;&lt;/foreign-keys&gt;&lt;ref-type name="Journal Article"&gt;17&lt;/ref-type&gt;&lt;contributors&gt;&lt;authors&gt;&lt;author&gt;Rutstein, Shea O&lt;/author&gt;&lt;author&gt;Johnson, Kiersten&lt;/author&gt;&lt;/authors&gt;&lt;/contributors&gt;&lt;titles&gt;&lt;title&gt;The DHS wealth index. DHS comparative reports no. 6&lt;/title&gt;&lt;secondary-title&gt;Calverton: ORC Macro&lt;/secondary-title&gt;&lt;/titles&gt;&lt;periodical&gt;&lt;full-title&gt;Calverton: ORC Macro&lt;/full-title&gt;&lt;/periodical&gt;&lt;dates&gt;&lt;year&gt;2004&lt;/year&gt;&lt;/dates&gt;&lt;urls&gt;&lt;/urls&gt;&lt;/record&gt;&lt;/Cite&gt;&lt;/EndNote&gt;</w:instrText>
      </w:r>
      <w:r w:rsidR="00F00714" w:rsidRPr="00000849">
        <w:fldChar w:fldCharType="separate"/>
      </w:r>
      <w:r w:rsidR="00F00714" w:rsidRPr="00000849">
        <w:rPr>
          <w:noProof/>
        </w:rPr>
        <w:t>(Rutstein &amp; Johnson, 2004)</w:t>
      </w:r>
      <w:r w:rsidR="00F00714" w:rsidRPr="00000849">
        <w:fldChar w:fldCharType="end"/>
      </w:r>
      <w:r w:rsidR="00F00714" w:rsidRPr="00000849">
        <w:t xml:space="preserve">.  These assets and amenities are thought to reflect household living standards in communities </w:t>
      </w:r>
      <w:r w:rsidR="00F00714" w:rsidRPr="00000849">
        <w:fldChar w:fldCharType="begin"/>
      </w:r>
      <w:r w:rsidR="00F00714" w:rsidRPr="00000849">
        <w:instrText xml:space="preserve"> ADDIN EN.CITE &lt;EndNote&gt;&lt;Cite&gt;&lt;Author&gt;Vyas&lt;/Author&gt;&lt;Year&gt;2006&lt;/Year&gt;&lt;RecNum&gt;1134&lt;/RecNum&gt;&lt;DisplayText&gt;(Vyas &amp;amp; Kumaranayake, 2006)&lt;/DisplayText&gt;&lt;record&gt;&lt;rec-number&gt;1134&lt;/rec-number&gt;&lt;foreign-keys&gt;&lt;key app="EN" db-id="9tzf2rda8re2a9es5tuxart3swzx2zws2s02" timestamp="1580377805"&gt;1134&lt;/key&gt;&lt;/foreign-keys&gt;&lt;ref-type name="Journal Article"&gt;17&lt;/ref-type&gt;&lt;contributors&gt;&lt;authors&gt;&lt;author&gt;Vyas, Seema&lt;/author&gt;&lt;author&gt;Kumaranayake, Lilani&lt;/author&gt;&lt;/authors&gt;&lt;/contributors&gt;&lt;titles&gt;&lt;title&gt;Constructing socio-economic status indices: how to use principal components analysis&lt;/title&gt;&lt;secondary-title&gt;Health Policy and Planning&lt;/secondary-title&gt;&lt;/titles&gt;&lt;periodical&gt;&lt;full-title&gt;Health Policy Plan&lt;/full-title&gt;&lt;abbr-1&gt;Health policy and planning&lt;/abbr-1&gt;&lt;/periodical&gt;&lt;pages&gt;459-468&lt;/pages&gt;&lt;volume&gt;21&lt;/volume&gt;&lt;number&gt;6&lt;/number&gt;&lt;dates&gt;&lt;year&gt;2006&lt;/year&gt;&lt;/dates&gt;&lt;isbn&gt;0268-1080&lt;/isbn&gt;&lt;urls&gt;&lt;/urls&gt;&lt;electronic-resource-num&gt;10.1093/heapol/czl029&lt;/electronic-resource-num&gt;&lt;/record&gt;&lt;/Cite&gt;&lt;/EndNote&gt;</w:instrText>
      </w:r>
      <w:r w:rsidR="00F00714" w:rsidRPr="00000849">
        <w:fldChar w:fldCharType="separate"/>
      </w:r>
      <w:r w:rsidR="00F00714" w:rsidRPr="00000849">
        <w:rPr>
          <w:noProof/>
        </w:rPr>
        <w:t>(Vyas &amp; Kumaranayake, 2006)</w:t>
      </w:r>
      <w:r w:rsidR="00F00714" w:rsidRPr="00000849">
        <w:fldChar w:fldCharType="end"/>
      </w:r>
      <w:r w:rsidR="00F00714" w:rsidRPr="00000849">
        <w:t xml:space="preserve">.  The household items differed between the two study waves with chairs, clock, bucket, sewing machine, tractor and ownership of a second home in Wave 1 replaced by microwave, hot water system, DVD, internet, air conditioner and heating in Wave 2.  The wealth index was computed using principal component analysis (PCA) conducted on 30 items with orthogonal rotation (varimax) </w:t>
      </w:r>
      <w:r w:rsidR="00F00714" w:rsidRPr="00000849">
        <w:fldChar w:fldCharType="begin"/>
      </w:r>
      <w:r w:rsidR="00F00714" w:rsidRPr="00000849">
        <w:instrText xml:space="preserve"> ADDIN EN.CITE &lt;EndNote&gt;&lt;Cite&gt;&lt;Author&gt;Vyas&lt;/Author&gt;&lt;Year&gt;2006&lt;/Year&gt;&lt;RecNum&gt;1134&lt;/RecNum&gt;&lt;DisplayText&gt;(Vyas &amp;amp; Kumaranayake, 2006)&lt;/DisplayText&gt;&lt;record&gt;&lt;rec-number&gt;1134&lt;/rec-number&gt;&lt;foreign-keys&gt;&lt;key app="EN" db-id="9tzf2rda8re2a9es5tuxart3swzx2zws2s02" timestamp="1580377805"&gt;1134&lt;/key&gt;&lt;/foreign-keys&gt;&lt;ref-type name="Journal Article"&gt;17&lt;/ref-type&gt;&lt;contributors&gt;&lt;authors&gt;&lt;author&gt;Vyas, Seema&lt;/author&gt;&lt;author&gt;Kumaranayake, Lilani&lt;/author&gt;&lt;/authors&gt;&lt;/contributors&gt;&lt;titles&gt;&lt;title&gt;Constructing socio-economic status indices: how to use principal components analysis&lt;/title&gt;&lt;secondary-title&gt;Health Policy and Planning&lt;/secondary-title&gt;&lt;/titles&gt;&lt;periodical&gt;&lt;full-title&gt;Health Policy Plan&lt;/full-title&gt;&lt;abbr-1&gt;Health policy and planning&lt;/abbr-1&gt;&lt;/periodical&gt;&lt;pages&gt;459-468&lt;/pages&gt;&lt;volume&gt;21&lt;/volume&gt;&lt;number&gt;6&lt;/number&gt;&lt;dates&gt;&lt;year&gt;2006&lt;/year&gt;&lt;/dates&gt;&lt;isbn&gt;0268-1080&lt;/isbn&gt;&lt;urls&gt;&lt;/urls&gt;&lt;electronic-resource-num&gt;10.1093/heapol/czl029&lt;/electronic-resource-num&gt;&lt;/record&gt;&lt;/Cite&gt;&lt;/EndNote&gt;</w:instrText>
      </w:r>
      <w:r w:rsidR="00F00714" w:rsidRPr="00000849">
        <w:fldChar w:fldCharType="separate"/>
      </w:r>
      <w:r w:rsidR="00F00714" w:rsidRPr="00000849">
        <w:rPr>
          <w:noProof/>
        </w:rPr>
        <w:t>(Vyas &amp; Kumaranayake, 2006)</w:t>
      </w:r>
      <w:r w:rsidR="00F00714" w:rsidRPr="00000849">
        <w:fldChar w:fldCharType="end"/>
      </w:r>
      <w:r w:rsidR="00F00714" w:rsidRPr="00000849">
        <w:t xml:space="preserve">.  </w:t>
      </w:r>
    </w:p>
    <w:p w14:paraId="31309663" w14:textId="2D74D93A" w:rsidR="00F00714" w:rsidRPr="00000849" w:rsidRDefault="00F00714" w:rsidP="00F00714">
      <w:pPr>
        <w:pStyle w:val="Default"/>
        <w:spacing w:line="480" w:lineRule="auto"/>
        <w:ind w:firstLine="567"/>
        <w:jc w:val="both"/>
      </w:pPr>
      <w:r w:rsidRPr="00000849">
        <w:t xml:space="preserve">PCA is a multivariate statistical technique to reduce the number of variables into a smaller group of variables called </w:t>
      </w:r>
      <w:r w:rsidRPr="00000849">
        <w:rPr>
          <w:i/>
          <w:iCs/>
        </w:rPr>
        <w:t>components</w:t>
      </w:r>
      <w:r w:rsidR="00CA46F3" w:rsidRPr="00000849">
        <w:rPr>
          <w:i/>
          <w:iCs/>
        </w:rPr>
        <w:t xml:space="preserve"> </w:t>
      </w:r>
      <w:r w:rsidRPr="00000849">
        <w:t xml:space="preserve">or </w:t>
      </w:r>
      <w:r w:rsidRPr="00000849">
        <w:rPr>
          <w:i/>
          <w:iCs/>
        </w:rPr>
        <w:t>dimensions</w:t>
      </w:r>
      <w:r w:rsidRPr="00000849">
        <w:t xml:space="preserve">, with the aim of explaining as much of the total variance in the variables as possible.  This is achieved by </w:t>
      </w:r>
      <w:r w:rsidR="001C0EF3" w:rsidRPr="00000849">
        <w:t>representing</w:t>
      </w:r>
      <w:r w:rsidR="007B4007" w:rsidRPr="00000849">
        <w:t xml:space="preserve"> the correlations among a set of observed va</w:t>
      </w:r>
      <w:r w:rsidRPr="00000849">
        <w:t xml:space="preserve">riables </w:t>
      </w:r>
      <w:r w:rsidR="007B4007" w:rsidRPr="00000849">
        <w:t>with a reduced set of variables</w:t>
      </w:r>
      <w:r w:rsidRPr="00000849">
        <w:t xml:space="preserve">.  </w:t>
      </w:r>
    </w:p>
    <w:p w14:paraId="4CD1A3BE" w14:textId="08C15AA1" w:rsidR="00F00714" w:rsidRPr="00000849" w:rsidRDefault="00F00714" w:rsidP="00F00714">
      <w:pPr>
        <w:pStyle w:val="Default"/>
        <w:spacing w:line="480" w:lineRule="auto"/>
        <w:ind w:firstLine="567"/>
        <w:jc w:val="both"/>
      </w:pPr>
      <w:r w:rsidRPr="00000849">
        <w:t xml:space="preserve">Mathematically, the components are a </w:t>
      </w:r>
      <w:r w:rsidR="004D3B7D" w:rsidRPr="00000849">
        <w:t xml:space="preserve">weighted </w:t>
      </w:r>
      <w:r w:rsidRPr="00000849">
        <w:t xml:space="preserve">linear combination of </w:t>
      </w:r>
      <w:r w:rsidR="007B4007" w:rsidRPr="00000849">
        <w:t xml:space="preserve">measured </w:t>
      </w:r>
      <w:r w:rsidRPr="00000849">
        <w:t>variables that can be expressed as:</w:t>
      </w:r>
    </w:p>
    <w:p w14:paraId="5DDCDE4A" w14:textId="18449605" w:rsidR="00F00714" w:rsidRPr="00000849" w:rsidRDefault="00F00714" w:rsidP="004B79FE">
      <w:pPr>
        <w:spacing w:before="100" w:beforeAutospacing="1" w:after="100" w:afterAutospacing="1" w:line="240" w:lineRule="auto"/>
        <w:jc w:val="center"/>
        <w:rPr>
          <w:rFonts w:eastAsia="Times New Roman" w:cstheme="minorHAnsi"/>
          <w:sz w:val="24"/>
          <w:szCs w:val="24"/>
          <w:lang w:val="fr-FR"/>
        </w:rPr>
      </w:pPr>
      <w:r w:rsidRPr="00000849">
        <w:rPr>
          <w:rFonts w:eastAsia="Times New Roman" w:cstheme="minorHAnsi"/>
          <w:sz w:val="24"/>
          <w:szCs w:val="24"/>
          <w:lang w:val="fr-FR"/>
        </w:rPr>
        <w:t>C = w</w:t>
      </w:r>
      <w:r w:rsidRPr="00000849">
        <w:rPr>
          <w:rFonts w:eastAsia="Times New Roman" w:cstheme="minorHAnsi"/>
          <w:sz w:val="24"/>
          <w:szCs w:val="24"/>
          <w:vertAlign w:val="subscript"/>
          <w:lang w:val="fr-FR"/>
        </w:rPr>
        <w:t>1</w:t>
      </w:r>
      <w:r w:rsidRPr="00000849">
        <w:rPr>
          <w:rFonts w:eastAsia="Times New Roman" w:cstheme="minorHAnsi"/>
          <w:sz w:val="24"/>
          <w:szCs w:val="24"/>
          <w:lang w:val="fr-FR"/>
        </w:rPr>
        <w:t>(Y</w:t>
      </w:r>
      <w:r w:rsidRPr="00000849">
        <w:rPr>
          <w:rFonts w:eastAsia="Times New Roman" w:cstheme="minorHAnsi"/>
          <w:sz w:val="24"/>
          <w:szCs w:val="24"/>
          <w:vertAlign w:val="subscript"/>
          <w:lang w:val="fr-FR"/>
        </w:rPr>
        <w:t>1</w:t>
      </w:r>
      <w:r w:rsidRPr="00000849">
        <w:rPr>
          <w:rFonts w:eastAsia="Times New Roman" w:cstheme="minorHAnsi"/>
          <w:sz w:val="24"/>
          <w:szCs w:val="24"/>
          <w:lang w:val="fr-FR"/>
        </w:rPr>
        <w:t>) + w</w:t>
      </w:r>
      <w:r w:rsidRPr="00000849">
        <w:rPr>
          <w:rFonts w:eastAsia="Times New Roman" w:cstheme="minorHAnsi"/>
          <w:sz w:val="24"/>
          <w:szCs w:val="24"/>
          <w:vertAlign w:val="subscript"/>
          <w:lang w:val="fr-FR"/>
        </w:rPr>
        <w:t>2</w:t>
      </w:r>
      <w:r w:rsidRPr="00000849">
        <w:rPr>
          <w:rFonts w:eastAsia="Times New Roman" w:cstheme="minorHAnsi"/>
          <w:sz w:val="24"/>
          <w:szCs w:val="24"/>
          <w:lang w:val="fr-FR"/>
        </w:rPr>
        <w:t>(Y</w:t>
      </w:r>
      <w:r w:rsidRPr="00000849">
        <w:rPr>
          <w:rFonts w:eastAsia="Times New Roman" w:cstheme="minorHAnsi"/>
          <w:sz w:val="24"/>
          <w:szCs w:val="24"/>
          <w:vertAlign w:val="subscript"/>
          <w:lang w:val="fr-FR"/>
        </w:rPr>
        <w:t>2</w:t>
      </w:r>
      <w:r w:rsidRPr="00000849">
        <w:rPr>
          <w:rFonts w:eastAsia="Times New Roman" w:cstheme="minorHAnsi"/>
          <w:sz w:val="24"/>
          <w:szCs w:val="24"/>
          <w:lang w:val="fr-FR"/>
        </w:rPr>
        <w:t>) + w</w:t>
      </w:r>
      <w:r w:rsidRPr="00000849">
        <w:rPr>
          <w:rFonts w:eastAsia="Times New Roman" w:cstheme="minorHAnsi"/>
          <w:sz w:val="24"/>
          <w:szCs w:val="24"/>
          <w:vertAlign w:val="subscript"/>
          <w:lang w:val="fr-FR"/>
        </w:rPr>
        <w:t>3</w:t>
      </w:r>
      <w:r w:rsidRPr="00000849">
        <w:rPr>
          <w:rFonts w:eastAsia="Times New Roman" w:cstheme="minorHAnsi"/>
          <w:sz w:val="24"/>
          <w:szCs w:val="24"/>
          <w:lang w:val="fr-FR"/>
        </w:rPr>
        <w:t>(Y</w:t>
      </w:r>
      <w:r w:rsidRPr="00000849">
        <w:rPr>
          <w:rFonts w:eastAsia="Times New Roman" w:cstheme="minorHAnsi"/>
          <w:sz w:val="24"/>
          <w:szCs w:val="24"/>
          <w:vertAlign w:val="subscript"/>
          <w:lang w:val="fr-FR"/>
        </w:rPr>
        <w:t>3</w:t>
      </w:r>
      <w:r w:rsidRPr="00000849">
        <w:rPr>
          <w:rFonts w:eastAsia="Times New Roman" w:cstheme="minorHAnsi"/>
          <w:sz w:val="24"/>
          <w:szCs w:val="24"/>
          <w:lang w:val="fr-FR"/>
        </w:rPr>
        <w:t>) + w</w:t>
      </w:r>
      <w:r w:rsidRPr="00000849">
        <w:rPr>
          <w:rFonts w:eastAsia="Times New Roman" w:cstheme="minorHAnsi"/>
          <w:sz w:val="24"/>
          <w:szCs w:val="24"/>
          <w:vertAlign w:val="subscript"/>
          <w:lang w:val="fr-FR"/>
        </w:rPr>
        <w:t>4</w:t>
      </w:r>
      <w:r w:rsidRPr="00000849">
        <w:rPr>
          <w:rFonts w:eastAsia="Times New Roman" w:cstheme="minorHAnsi"/>
          <w:sz w:val="24"/>
          <w:szCs w:val="24"/>
          <w:lang w:val="fr-FR"/>
        </w:rPr>
        <w:t>(Y</w:t>
      </w:r>
      <w:r w:rsidRPr="00000849">
        <w:rPr>
          <w:rFonts w:eastAsia="Times New Roman" w:cstheme="minorHAnsi"/>
          <w:sz w:val="24"/>
          <w:szCs w:val="24"/>
          <w:vertAlign w:val="subscript"/>
          <w:lang w:val="fr-FR"/>
        </w:rPr>
        <w:t>4</w:t>
      </w:r>
      <w:r w:rsidRPr="00000849">
        <w:rPr>
          <w:rFonts w:eastAsia="Times New Roman" w:cstheme="minorHAnsi"/>
          <w:sz w:val="24"/>
          <w:szCs w:val="24"/>
          <w:lang w:val="fr-FR"/>
        </w:rPr>
        <w:t>)</w:t>
      </w:r>
      <w:r w:rsidR="00947FE9" w:rsidRPr="00000849">
        <w:rPr>
          <w:rFonts w:eastAsia="Times New Roman" w:cstheme="minorHAnsi"/>
          <w:sz w:val="24"/>
          <w:szCs w:val="24"/>
          <w:lang w:val="fr-FR"/>
        </w:rPr>
        <w:tab/>
      </w:r>
      <w:r w:rsidR="00947FE9" w:rsidRPr="00000849">
        <w:rPr>
          <w:rFonts w:eastAsia="Times New Roman" w:cstheme="minorHAnsi"/>
          <w:sz w:val="24"/>
          <w:szCs w:val="24"/>
          <w:lang w:val="fr-FR"/>
        </w:rPr>
        <w:tab/>
      </w:r>
      <w:r w:rsidR="00947FE9" w:rsidRPr="00000849">
        <w:rPr>
          <w:rFonts w:eastAsia="Times New Roman" w:cstheme="minorHAnsi"/>
          <w:sz w:val="24"/>
          <w:szCs w:val="24"/>
          <w:lang w:val="fr-FR"/>
        </w:rPr>
        <w:tab/>
      </w:r>
      <w:r w:rsidR="00947FE9" w:rsidRPr="00000849">
        <w:rPr>
          <w:rFonts w:eastAsia="Times New Roman" w:cstheme="minorHAnsi"/>
          <w:sz w:val="24"/>
          <w:szCs w:val="24"/>
          <w:lang w:val="fr-FR"/>
        </w:rPr>
        <w:tab/>
      </w:r>
      <w:r w:rsidR="00947FE9" w:rsidRPr="00000849">
        <w:rPr>
          <w:rFonts w:eastAsia="Times New Roman" w:cstheme="minorHAnsi"/>
          <w:sz w:val="24"/>
          <w:szCs w:val="24"/>
          <w:lang w:val="fr-FR"/>
        </w:rPr>
        <w:tab/>
      </w:r>
      <w:r w:rsidR="00947FE9" w:rsidRPr="00000849">
        <w:rPr>
          <w:rFonts w:eastAsia="Times New Roman" w:cstheme="minorHAnsi"/>
          <w:sz w:val="24"/>
          <w:szCs w:val="24"/>
          <w:lang w:val="fr-FR"/>
        </w:rPr>
        <w:tab/>
        <w:t>(</w:t>
      </w:r>
      <w:r w:rsidR="00CB279F" w:rsidRPr="00000849">
        <w:rPr>
          <w:rFonts w:eastAsia="Times New Roman" w:cstheme="minorHAnsi"/>
          <w:sz w:val="24"/>
          <w:szCs w:val="24"/>
          <w:lang w:val="fr-FR"/>
        </w:rPr>
        <w:t>4.</w:t>
      </w:r>
      <w:r w:rsidR="00947FE9" w:rsidRPr="00000849">
        <w:rPr>
          <w:rFonts w:eastAsia="Times New Roman" w:cstheme="minorHAnsi"/>
          <w:sz w:val="24"/>
          <w:szCs w:val="24"/>
          <w:lang w:val="fr-FR"/>
        </w:rPr>
        <w:t>1)</w:t>
      </w:r>
    </w:p>
    <w:p w14:paraId="39CB22EC" w14:textId="41078416" w:rsidR="00F00714" w:rsidRPr="00000849" w:rsidRDefault="00F00714" w:rsidP="00F00714">
      <w:pPr>
        <w:pStyle w:val="Default"/>
        <w:spacing w:line="480" w:lineRule="auto"/>
        <w:ind w:firstLine="567"/>
        <w:jc w:val="both"/>
        <w:rPr>
          <w:lang w:val="fr-FR"/>
        </w:rPr>
      </w:pPr>
    </w:p>
    <w:p w14:paraId="58631D5A" w14:textId="3F5DFB1D" w:rsidR="00F00714" w:rsidRPr="00000849" w:rsidRDefault="007B4007" w:rsidP="00F00714">
      <w:pPr>
        <w:pStyle w:val="Default"/>
        <w:spacing w:line="480" w:lineRule="auto"/>
        <w:ind w:firstLine="567"/>
        <w:jc w:val="both"/>
        <w:rPr>
          <w:lang w:val="fr-FR"/>
        </w:rPr>
      </w:pPr>
      <w:r w:rsidRPr="00000849">
        <w:rPr>
          <w:lang w:val="fr-FR"/>
        </w:rPr>
        <w:lastRenderedPageBreak/>
        <w:t>w</w:t>
      </w:r>
      <w:r w:rsidR="00F00714" w:rsidRPr="00000849">
        <w:rPr>
          <w:lang w:val="fr-FR"/>
        </w:rPr>
        <w:t xml:space="preserve">here C = </w:t>
      </w:r>
      <w:r w:rsidRPr="00000849">
        <w:rPr>
          <w:lang w:val="fr-FR"/>
        </w:rPr>
        <w:t xml:space="preserve">a principal component score </w:t>
      </w:r>
    </w:p>
    <w:p w14:paraId="6DC07E86" w14:textId="64E9B64C" w:rsidR="00F00714" w:rsidRPr="00000849" w:rsidRDefault="00F00714" w:rsidP="00F00714">
      <w:pPr>
        <w:pStyle w:val="Default"/>
        <w:spacing w:line="480" w:lineRule="auto"/>
        <w:ind w:firstLine="567"/>
        <w:jc w:val="both"/>
        <w:rPr>
          <w:lang w:val="en-US"/>
        </w:rPr>
      </w:pPr>
      <w:r w:rsidRPr="00000849">
        <w:rPr>
          <w:lang w:val="en-US"/>
        </w:rPr>
        <w:t>Y</w:t>
      </w:r>
      <w:r w:rsidR="005F4348" w:rsidRPr="00000849">
        <w:rPr>
          <w:vertAlign w:val="subscript"/>
          <w:lang w:val="en-US"/>
        </w:rPr>
        <w:t>1</w:t>
      </w:r>
      <w:r w:rsidR="005F4348" w:rsidRPr="00000849">
        <w:rPr>
          <w:lang w:val="en-US"/>
        </w:rPr>
        <w:t>-Y</w:t>
      </w:r>
      <w:r w:rsidR="005F4348" w:rsidRPr="00000849">
        <w:rPr>
          <w:vertAlign w:val="subscript"/>
          <w:lang w:val="en-US"/>
        </w:rPr>
        <w:t>4</w:t>
      </w:r>
      <w:r w:rsidR="005F4348" w:rsidRPr="00000849">
        <w:rPr>
          <w:lang w:val="en-US"/>
        </w:rPr>
        <w:t xml:space="preserve"> are a set of variables whose number the researcher seeks to reduce</w:t>
      </w:r>
    </w:p>
    <w:p w14:paraId="75036A82" w14:textId="7EC3CAB4" w:rsidR="005F4348" w:rsidRPr="00000849" w:rsidRDefault="007B4007" w:rsidP="00F00714">
      <w:pPr>
        <w:pStyle w:val="Default"/>
        <w:spacing w:line="480" w:lineRule="auto"/>
        <w:ind w:firstLine="567"/>
        <w:jc w:val="both"/>
        <w:rPr>
          <w:lang w:val="en-US"/>
        </w:rPr>
      </w:pPr>
      <w:r w:rsidRPr="00000849">
        <w:rPr>
          <w:lang w:val="en-US"/>
        </w:rPr>
        <w:t>w</w:t>
      </w:r>
      <w:r w:rsidR="005F4348" w:rsidRPr="00000849">
        <w:rPr>
          <w:vertAlign w:val="subscript"/>
          <w:lang w:val="en-US"/>
        </w:rPr>
        <w:t>1</w:t>
      </w:r>
      <w:r w:rsidR="005F4348" w:rsidRPr="00000849">
        <w:rPr>
          <w:lang w:val="en-US"/>
        </w:rPr>
        <w:t>-w</w:t>
      </w:r>
      <w:r w:rsidR="005F4348" w:rsidRPr="00000849">
        <w:rPr>
          <w:vertAlign w:val="subscript"/>
          <w:lang w:val="en-US"/>
        </w:rPr>
        <w:t>4</w:t>
      </w:r>
      <w:r w:rsidR="005F4348" w:rsidRPr="00000849">
        <w:rPr>
          <w:lang w:val="en-US"/>
        </w:rPr>
        <w:t xml:space="preserve"> are weights that are </w:t>
      </w:r>
      <w:r w:rsidRPr="00000849">
        <w:rPr>
          <w:lang w:val="en-US"/>
        </w:rPr>
        <w:t>applied to the different variables</w:t>
      </w:r>
      <w:r w:rsidR="004C14B4" w:rsidRPr="00000849">
        <w:rPr>
          <w:lang w:val="en-US"/>
        </w:rPr>
        <w:t>; those with low standard deviations are assigned a low weight</w:t>
      </w:r>
      <w:r w:rsidR="00EA23CE" w:rsidRPr="00000849">
        <w:rPr>
          <w:lang w:val="en-US"/>
        </w:rPr>
        <w:t>.</w:t>
      </w:r>
    </w:p>
    <w:p w14:paraId="7DA03E50" w14:textId="50559101" w:rsidR="004C14B4" w:rsidRPr="00000849" w:rsidRDefault="00EA23CE" w:rsidP="00F00714">
      <w:pPr>
        <w:pStyle w:val="Default"/>
        <w:spacing w:line="480" w:lineRule="auto"/>
        <w:ind w:firstLine="567"/>
        <w:jc w:val="both"/>
      </w:pPr>
      <w:r w:rsidRPr="00000849">
        <w:t>The a</w:t>
      </w:r>
      <w:r w:rsidR="00AD4360" w:rsidRPr="00000849">
        <w:t>ssets and amenities were coded as binary variables</w:t>
      </w:r>
      <w:r w:rsidR="004C14B4" w:rsidRPr="00000849">
        <w:t xml:space="preserve"> and their frequencies, means and standard deviations analysed</w:t>
      </w:r>
      <w:r w:rsidR="00227DFC" w:rsidRPr="00000849">
        <w:t xml:space="preserve">, using SPSS software </w:t>
      </w:r>
      <w:r w:rsidR="00227DFC" w:rsidRPr="00000849">
        <w:fldChar w:fldCharType="begin"/>
      </w:r>
      <w:r w:rsidR="00227DFC" w:rsidRPr="00000849">
        <w:instrText xml:space="preserve"> ADDIN EN.CITE &lt;EndNote&gt;&lt;Cite&gt;&lt;Author&gt;IBM Corp.&lt;/Author&gt;&lt;Year&gt;2017&lt;/Year&gt;&lt;RecNum&gt;486&lt;/RecNum&gt;&lt;DisplayText&gt;(IBM Corp., 2017)&lt;/DisplayText&gt;&lt;record&gt;&lt;rec-number&gt;486&lt;/rec-number&gt;&lt;foreign-keys&gt;&lt;key app="EN" db-id="pzfw02x58peadyevdp8vswt40etp25t5ddp0" timestamp="1583819336"&gt;486&lt;/key&gt;&lt;/foreign-keys&gt;&lt;ref-type name="Generic"&gt;13&lt;/ref-type&gt;&lt;contributors&gt;&lt;authors&gt;&lt;author&gt;IBM Corp.,&lt;/author&gt;&lt;/authors&gt;&lt;/contributors&gt;&lt;titles&gt;&lt;title&gt;BM SPSS Statistics for Windows, Version 25.0.&lt;/title&gt;&lt;/titles&gt;&lt;dates&gt;&lt;year&gt;2017&lt;/year&gt;&lt;/dates&gt;&lt;pub-location&gt;Armonk, NY&lt;/pub-location&gt;&lt;publisher&gt;IBM Corp.&lt;/publisher&gt;&lt;urls&gt;&lt;/urls&gt;&lt;/record&gt;&lt;/Cite&gt;&lt;/EndNote&gt;</w:instrText>
      </w:r>
      <w:r w:rsidR="00227DFC" w:rsidRPr="00000849">
        <w:fldChar w:fldCharType="separate"/>
      </w:r>
      <w:r w:rsidR="00227DFC" w:rsidRPr="00000849">
        <w:rPr>
          <w:noProof/>
        </w:rPr>
        <w:t>(IBM Corp., 2017)</w:t>
      </w:r>
      <w:r w:rsidR="00227DFC" w:rsidRPr="00000849">
        <w:fldChar w:fldCharType="end"/>
      </w:r>
      <w:r w:rsidR="004C14B4" w:rsidRPr="00000849">
        <w:t xml:space="preserve">.  </w:t>
      </w:r>
      <w:r w:rsidR="00647EBD" w:rsidRPr="00000849">
        <w:t>The non-binary variable</w:t>
      </w:r>
      <w:r w:rsidR="004A42F7" w:rsidRPr="00000849">
        <w:t>s</w:t>
      </w:r>
      <w:r w:rsidR="00647EBD" w:rsidRPr="00000849">
        <w:t xml:space="preserve"> in the factor analysis </w:t>
      </w:r>
      <w:r w:rsidR="004A42F7" w:rsidRPr="00000849">
        <w:t xml:space="preserve">were </w:t>
      </w:r>
      <w:r w:rsidR="00647EBD" w:rsidRPr="00000849">
        <w:t>the number of members per sleeping room</w:t>
      </w:r>
      <w:r w:rsidR="004A42F7" w:rsidRPr="00000849">
        <w:t>, the monetary value of land owned, the value of jewellery and the number of chairs</w:t>
      </w:r>
      <w:r w:rsidR="001C0EF3" w:rsidRPr="00000849">
        <w:t xml:space="preserve"> </w:t>
      </w:r>
      <w:r w:rsidR="001C0EF3" w:rsidRPr="00000849">
        <w:fldChar w:fldCharType="begin"/>
      </w:r>
      <w:r w:rsidR="001C0EF3" w:rsidRPr="00000849">
        <w:instrText xml:space="preserve"> ADDIN EN.CITE &lt;EndNote&gt;&lt;Cite&gt;&lt;Author&gt;Rutstein&lt;/Author&gt;&lt;Year&gt;2015&lt;/Year&gt;&lt;RecNum&gt;1659&lt;/RecNum&gt;&lt;DisplayText&gt;(Rutstein, 2015)&lt;/DisplayText&gt;&lt;record&gt;&lt;rec-number&gt;1659&lt;/rec-number&gt;&lt;foreign-keys&gt;&lt;key app="EN" db-id="9tzf2rda8re2a9es5tuxart3swzx2zws2s02" timestamp="1596226256"&gt;1659&lt;/key&gt;&lt;/foreign-keys&gt;&lt;ref-type name="Journal Article"&gt;17&lt;/ref-type&gt;&lt;contributors&gt;&lt;authors&gt;&lt;author&gt;Rutstein, Shea O&lt;/author&gt;&lt;/authors&gt;&lt;/contributors&gt;&lt;titles&gt;&lt;title&gt;Steps to constructing the new DHS Wealth Index&lt;/title&gt;&lt;secondary-title&gt;Rockville, MD: ICF International&lt;/secondary-title&gt;&lt;/titles&gt;&lt;periodical&gt;&lt;full-title&gt;Rockville, MD: ICF International&lt;/full-title&gt;&lt;/periodical&gt;&lt;dates&gt;&lt;year&gt;2015&lt;/year&gt;&lt;/dates&gt;&lt;urls&gt;&lt;/urls&gt;&lt;/record&gt;&lt;/Cite&gt;&lt;/EndNote&gt;</w:instrText>
      </w:r>
      <w:r w:rsidR="001C0EF3" w:rsidRPr="00000849">
        <w:fldChar w:fldCharType="separate"/>
      </w:r>
      <w:r w:rsidR="001C0EF3" w:rsidRPr="00000849">
        <w:rPr>
          <w:noProof/>
        </w:rPr>
        <w:t>(Rutstein, 2015)</w:t>
      </w:r>
      <w:r w:rsidR="001C0EF3" w:rsidRPr="00000849">
        <w:fldChar w:fldCharType="end"/>
      </w:r>
      <w:r w:rsidR="00647EBD" w:rsidRPr="00000849">
        <w:t xml:space="preserve">. </w:t>
      </w:r>
      <w:r w:rsidR="00227DFC" w:rsidRPr="00000849">
        <w:t xml:space="preserve"> </w:t>
      </w:r>
      <w:r w:rsidR="00987D50" w:rsidRPr="00000849">
        <w:t>On average</w:t>
      </w:r>
      <w:r w:rsidR="00ED10E0" w:rsidRPr="00000849">
        <w:t xml:space="preserve">, </w:t>
      </w:r>
      <w:r w:rsidR="00987D50" w:rsidRPr="00000849">
        <w:t xml:space="preserve">2.1% of the assets </w:t>
      </w:r>
      <w:r w:rsidR="009A56DE" w:rsidRPr="00000849">
        <w:t xml:space="preserve">in W1 and nil in W2 </w:t>
      </w:r>
      <w:r w:rsidR="00987D50" w:rsidRPr="00000849">
        <w:t xml:space="preserve">had </w:t>
      </w:r>
      <w:r w:rsidR="00ED10E0" w:rsidRPr="00000849">
        <w:t xml:space="preserve">the missing values.  </w:t>
      </w:r>
      <w:r w:rsidR="009E76AC" w:rsidRPr="00000849">
        <w:t xml:space="preserve">The variables that </w:t>
      </w:r>
      <w:r w:rsidRPr="00000849">
        <w:t xml:space="preserve">had no correlation or </w:t>
      </w:r>
      <w:r w:rsidR="009E76AC" w:rsidRPr="00000849">
        <w:t>correlated too weakly (r&lt;0.3)</w:t>
      </w:r>
      <w:r w:rsidR="00EC50FD" w:rsidRPr="00000849">
        <w:rPr>
          <w:rStyle w:val="FootnoteReference"/>
        </w:rPr>
        <w:footnoteReference w:id="6"/>
      </w:r>
      <w:r w:rsidR="009E76AC" w:rsidRPr="00000849">
        <w:t xml:space="preserve"> </w:t>
      </w:r>
      <w:r w:rsidR="00987D50" w:rsidRPr="00000849">
        <w:t xml:space="preserve">to be discriminatory </w:t>
      </w:r>
      <w:r w:rsidR="009E76AC" w:rsidRPr="00000849">
        <w:t xml:space="preserve">or too highly (r&gt;0.8) </w:t>
      </w:r>
      <w:r w:rsidR="00987D50" w:rsidRPr="00000849">
        <w:t xml:space="preserve">correlated with the risk of extreme multicollinearity </w:t>
      </w:r>
      <w:r w:rsidR="009E76AC" w:rsidRPr="00000849">
        <w:t xml:space="preserve">were removed prior to the PCA </w:t>
      </w:r>
      <w:r w:rsidR="009E76AC" w:rsidRPr="00000849">
        <w:fldChar w:fldCharType="begin"/>
      </w:r>
      <w:r w:rsidR="009E76AC" w:rsidRPr="00000849">
        <w:instrText xml:space="preserve"> ADDIN EN.CITE &lt;EndNote&gt;&lt;Cite&gt;&lt;Author&gt;Field&lt;/Author&gt;&lt;Year&gt;2009&lt;/Year&gt;&lt;RecNum&gt;1065&lt;/RecNum&gt;&lt;DisplayText&gt;(Field, 2009)&lt;/DisplayText&gt;&lt;record&gt;&lt;rec-number&gt;1065&lt;/rec-number&gt;&lt;foreign-keys&gt;&lt;key app="EN" db-id="9tzf2rda8re2a9es5tuxart3swzx2zws2s02" timestamp="1578402758"&gt;1065&lt;/key&gt;&lt;/foreign-keys&gt;&lt;ref-type name="Book"&gt;6&lt;/ref-type&gt;&lt;contributors&gt;&lt;authors&gt;&lt;author&gt;Field, Andy&lt;/author&gt;&lt;/authors&gt;&lt;/contributors&gt;&lt;titles&gt;&lt;title&gt;Discovering Statistics Using SPSS&lt;/title&gt;&lt;/titles&gt;&lt;pages&gt;822&lt;/pages&gt;&lt;edition&gt;Third&lt;/edition&gt;&lt;dates&gt;&lt;year&gt;2009&lt;/year&gt;&lt;/dates&gt;&lt;pub-location&gt;London&lt;/pub-location&gt;&lt;publisher&gt;SAGE Publications Ltd&lt;/publisher&gt;&lt;isbn&gt;978-1-84787-906-6&lt;/isbn&gt;&lt;urls&gt;&lt;/urls&gt;&lt;/record&gt;&lt;/Cite&gt;&lt;/EndNote&gt;</w:instrText>
      </w:r>
      <w:r w:rsidR="009E76AC" w:rsidRPr="00000849">
        <w:fldChar w:fldCharType="separate"/>
      </w:r>
      <w:r w:rsidR="009E76AC" w:rsidRPr="00000849">
        <w:rPr>
          <w:noProof/>
        </w:rPr>
        <w:t>(Field, 2009)</w:t>
      </w:r>
      <w:r w:rsidR="009E76AC" w:rsidRPr="00000849">
        <w:fldChar w:fldCharType="end"/>
      </w:r>
      <w:r w:rsidR="009E76AC" w:rsidRPr="00000849">
        <w:t xml:space="preserve">.  Multicollinearity was </w:t>
      </w:r>
      <w:r w:rsidR="0015166D" w:rsidRPr="00000849">
        <w:t xml:space="preserve">also assessed by </w:t>
      </w:r>
      <w:r w:rsidR="003B564D" w:rsidRPr="00000849">
        <w:t>testing</w:t>
      </w:r>
      <w:r w:rsidR="0015166D" w:rsidRPr="00000849">
        <w:t xml:space="preserve"> </w:t>
      </w:r>
      <w:r w:rsidR="00987D50" w:rsidRPr="00000849">
        <w:t xml:space="preserve">whether </w:t>
      </w:r>
      <w:r w:rsidR="0015166D" w:rsidRPr="00000849">
        <w:t xml:space="preserve">the determinant </w:t>
      </w:r>
      <w:r w:rsidR="00BE5040" w:rsidRPr="00000849">
        <w:t xml:space="preserve">of the correlation matrix </w:t>
      </w:r>
      <w:r w:rsidR="0015166D" w:rsidRPr="00000849">
        <w:t xml:space="preserve">is zero – in other words, </w:t>
      </w:r>
      <w:r w:rsidR="003B564D" w:rsidRPr="00000849">
        <w:t xml:space="preserve">if </w:t>
      </w:r>
      <w:r w:rsidR="0015166D" w:rsidRPr="00000849">
        <w:t xml:space="preserve">the variables </w:t>
      </w:r>
      <w:r w:rsidR="00227DFC" w:rsidRPr="00000849">
        <w:t>we</w:t>
      </w:r>
      <w:r w:rsidR="0015166D" w:rsidRPr="00000849">
        <w:t xml:space="preserve">re perfectly correlated.  </w:t>
      </w:r>
      <w:r w:rsidR="00FB3955" w:rsidRPr="00000849">
        <w:t>Mathematically, a</w:t>
      </w:r>
      <w:r w:rsidR="0015166D" w:rsidRPr="00000849">
        <w:t xml:space="preserve"> value of the determinant </w:t>
      </w:r>
      <w:r w:rsidRPr="00000849">
        <w:t>&gt;</w:t>
      </w:r>
      <w:r w:rsidR="0015166D" w:rsidRPr="00000849">
        <w:t xml:space="preserve">0.00001 indicates that the correlation matrix is not singular or that there is no </w:t>
      </w:r>
      <w:r w:rsidR="00BE5040" w:rsidRPr="00000849">
        <w:t>extreme multicollinearity</w:t>
      </w:r>
      <w:r w:rsidR="00987D50" w:rsidRPr="00000849">
        <w:t xml:space="preserve"> whereas a value of zero</w:t>
      </w:r>
      <w:r w:rsidR="003B564D" w:rsidRPr="00000849">
        <w:t xml:space="preserve"> </w:t>
      </w:r>
      <w:r w:rsidR="00987D50" w:rsidRPr="00000849">
        <w:t xml:space="preserve">implies that there is no correlation between the variables </w:t>
      </w:r>
      <w:r w:rsidR="003B564D" w:rsidRPr="00000849">
        <w:fldChar w:fldCharType="begin"/>
      </w:r>
      <w:r w:rsidR="003B564D" w:rsidRPr="00000849">
        <w:instrText xml:space="preserve"> ADDIN EN.CITE &lt;EndNote&gt;&lt;Cite&gt;&lt;Author&gt;Field&lt;/Author&gt;&lt;Year&gt;2009&lt;/Year&gt;&lt;RecNum&gt;1065&lt;/RecNum&gt;&lt;DisplayText&gt;(Field, 2009)&lt;/DisplayText&gt;&lt;record&gt;&lt;rec-number&gt;1065&lt;/rec-number&gt;&lt;foreign-keys&gt;&lt;key app="EN" db-id="9tzf2rda8re2a9es5tuxart3swzx2zws2s02" timestamp="1578402758"&gt;1065&lt;/key&gt;&lt;/foreign-keys&gt;&lt;ref-type name="Book"&gt;6&lt;/ref-type&gt;&lt;contributors&gt;&lt;authors&gt;&lt;author&gt;Field, Andy&lt;/author&gt;&lt;/authors&gt;&lt;/contributors&gt;&lt;titles&gt;&lt;title&gt;Discovering Statistics Using SPSS&lt;/title&gt;&lt;/titles&gt;&lt;pages&gt;822&lt;/pages&gt;&lt;edition&gt;Third&lt;/edition&gt;&lt;dates&gt;&lt;year&gt;2009&lt;/year&gt;&lt;/dates&gt;&lt;pub-location&gt;London&lt;/pub-location&gt;&lt;publisher&gt;SAGE Publications Ltd&lt;/publisher&gt;&lt;isbn&gt;978-1-84787-906-6&lt;/isbn&gt;&lt;urls&gt;&lt;/urls&gt;&lt;/record&gt;&lt;/Cite&gt;&lt;/EndNote&gt;</w:instrText>
      </w:r>
      <w:r w:rsidR="003B564D" w:rsidRPr="00000849">
        <w:fldChar w:fldCharType="separate"/>
      </w:r>
      <w:r w:rsidR="003B564D" w:rsidRPr="00000849">
        <w:rPr>
          <w:noProof/>
        </w:rPr>
        <w:t>(Field, 2009)</w:t>
      </w:r>
      <w:r w:rsidR="003B564D" w:rsidRPr="00000849">
        <w:fldChar w:fldCharType="end"/>
      </w:r>
      <w:r w:rsidR="00BE5040" w:rsidRPr="00000849">
        <w:t>.</w:t>
      </w:r>
      <w:r w:rsidR="00EA708B" w:rsidRPr="00000849">
        <w:t xml:space="preserve">  </w:t>
      </w:r>
    </w:p>
    <w:p w14:paraId="4167361F" w14:textId="7CCA474F" w:rsidR="00EA23CE" w:rsidRPr="00000849" w:rsidRDefault="002639EB" w:rsidP="00EA23CE">
      <w:pPr>
        <w:pStyle w:val="Default"/>
        <w:spacing w:line="480" w:lineRule="auto"/>
        <w:ind w:firstLine="567"/>
        <w:jc w:val="both"/>
      </w:pPr>
      <w:r w:rsidRPr="00000849">
        <w:t xml:space="preserve">Using an iterative algorithm, </w:t>
      </w:r>
      <w:r w:rsidR="00EA23CE" w:rsidRPr="00000849">
        <w:t xml:space="preserve">PCA computes two sets of values – the eigenvectors which are </w:t>
      </w:r>
      <w:r w:rsidR="00B330A2" w:rsidRPr="00000849">
        <w:t xml:space="preserve">the </w:t>
      </w:r>
      <w:r w:rsidR="00EA23CE" w:rsidRPr="00000849">
        <w:t>weights applied to each variable</w:t>
      </w:r>
      <w:r w:rsidR="006942E5" w:rsidRPr="00000849">
        <w:t>,</w:t>
      </w:r>
      <w:r w:rsidR="00EA23CE" w:rsidRPr="00000849">
        <w:t xml:space="preserve"> and corresponding eigenvalues which represent the total variance explained by a component.  The </w:t>
      </w:r>
      <w:r w:rsidRPr="00000849">
        <w:t>aim is to generate an eigenvector which will explain the most variance in the set of variables</w:t>
      </w:r>
      <w:r w:rsidR="00EA23CE" w:rsidRPr="00000849">
        <w:t xml:space="preserve">.  </w:t>
      </w:r>
    </w:p>
    <w:p w14:paraId="06979B9F" w14:textId="1DCFB4CE" w:rsidR="00C84534" w:rsidRPr="00000849" w:rsidRDefault="000127C5" w:rsidP="00C84534">
      <w:pPr>
        <w:pStyle w:val="Default"/>
        <w:spacing w:line="480" w:lineRule="auto"/>
        <w:ind w:firstLine="567"/>
        <w:jc w:val="both"/>
      </w:pPr>
      <w:r w:rsidRPr="00000849">
        <w:lastRenderedPageBreak/>
        <w:t>The suitability of the data for</w:t>
      </w:r>
      <w:r w:rsidR="00C84534" w:rsidRPr="00000849">
        <w:t xml:space="preserve"> </w:t>
      </w:r>
      <w:r w:rsidR="00EA23CE" w:rsidRPr="00000849">
        <w:t>PCA</w:t>
      </w:r>
      <w:r w:rsidRPr="00000849">
        <w:t xml:space="preserve"> was assessed </w:t>
      </w:r>
      <w:r w:rsidR="005B0D14" w:rsidRPr="00000849">
        <w:t xml:space="preserve">primarily </w:t>
      </w:r>
      <w:r w:rsidRPr="00000849">
        <w:t>with the Kaiser–Meyer–Olkin (KMO) statistic and the Bartlett’s test of sphericity</w:t>
      </w:r>
      <w:r w:rsidR="00C84534" w:rsidRPr="00000849">
        <w:t xml:space="preserve"> </w:t>
      </w:r>
      <w:r w:rsidR="000852DF" w:rsidRPr="00000849">
        <w:fldChar w:fldCharType="begin"/>
      </w:r>
      <w:r w:rsidR="000852DF" w:rsidRPr="00000849">
        <w:instrText xml:space="preserve"> ADDIN EN.CITE &lt;EndNote&gt;&lt;Cite&gt;&lt;Author&gt;Kaiser&lt;/Author&gt;&lt;Year&gt;1974&lt;/Year&gt;&lt;RecNum&gt;1138&lt;/RecNum&gt;&lt;DisplayText&gt;(Kaiser, 1974)&lt;/DisplayText&gt;&lt;record&gt;&lt;rec-number&gt;1138&lt;/rec-number&gt;&lt;foreign-keys&gt;&lt;key app="EN" db-id="9tzf2rda8re2a9es5tuxart3swzx2zws2s02" timestamp="1580787004"&gt;1138&lt;/key&gt;&lt;/foreign-keys&gt;&lt;ref-type name="Journal Article"&gt;17&lt;/ref-type&gt;&lt;contributors&gt;&lt;authors&gt;&lt;author&gt;Kaiser, Henry F&lt;/author&gt;&lt;/authors&gt;&lt;/contributors&gt;&lt;titles&gt;&lt;title&gt;An index of factorial simplicity&lt;/title&gt;&lt;secondary-title&gt;Psychometrika&lt;/secondary-title&gt;&lt;/titles&gt;&lt;periodical&gt;&lt;full-title&gt;Psychometrika&lt;/full-title&gt;&lt;/periodical&gt;&lt;pages&gt;31-36&lt;/pages&gt;&lt;volume&gt;39&lt;/volume&gt;&lt;number&gt;1&lt;/number&gt;&lt;dates&gt;&lt;year&gt;1974&lt;/year&gt;&lt;/dates&gt;&lt;isbn&gt;0033-3123&lt;/isbn&gt;&lt;urls&gt;&lt;/urls&gt;&lt;/record&gt;&lt;/Cite&gt;&lt;/EndNote&gt;</w:instrText>
      </w:r>
      <w:r w:rsidR="000852DF" w:rsidRPr="00000849">
        <w:fldChar w:fldCharType="separate"/>
      </w:r>
      <w:r w:rsidR="000852DF" w:rsidRPr="00000849">
        <w:rPr>
          <w:noProof/>
        </w:rPr>
        <w:t>(Kaiser, 1974)</w:t>
      </w:r>
      <w:r w:rsidR="000852DF" w:rsidRPr="00000849">
        <w:fldChar w:fldCharType="end"/>
      </w:r>
      <w:r w:rsidR="000852DF" w:rsidRPr="00000849">
        <w:t xml:space="preserve">.  </w:t>
      </w:r>
      <w:r w:rsidRPr="00000849">
        <w:t xml:space="preserve">The KMO statistic, representing the ratio of the squared correlation between variables to the squared partial correlation between variables, indicates whether the partial correlations among the variables are small. </w:t>
      </w:r>
      <w:r w:rsidR="00C84534" w:rsidRPr="00000849">
        <w:t>A</w:t>
      </w:r>
      <w:r w:rsidR="00AB43DA" w:rsidRPr="00000849">
        <w:t xml:space="preserve"> KMO</w:t>
      </w:r>
      <w:r w:rsidR="00C84534" w:rsidRPr="00000849">
        <w:t xml:space="preserve"> threshold of 0.5 or 0.6</w:t>
      </w:r>
      <w:r w:rsidR="00AB43DA" w:rsidRPr="00000849">
        <w:t xml:space="preserve"> </w:t>
      </w:r>
      <w:r w:rsidR="00C84534" w:rsidRPr="00000849">
        <w:t xml:space="preserve">is typically recommended in the literature </w:t>
      </w:r>
      <w:r w:rsidR="00AB43DA" w:rsidRPr="00000849">
        <w:fldChar w:fldCharType="begin"/>
      </w:r>
      <w:r w:rsidR="00431DA0" w:rsidRPr="00000849">
        <w:instrText xml:space="preserve"> ADDIN EN.CITE &lt;EndNote&gt;&lt;Cite&gt;&lt;Author&gt;Hair&lt;/Author&gt;&lt;Year&gt;2014&lt;/Year&gt;&lt;RecNum&gt;1139&lt;/RecNum&gt;&lt;DisplayText&gt;(Hair et al., 2014)&lt;/DisplayText&gt;&lt;record&gt;&lt;rec-number&gt;1139&lt;/rec-number&gt;&lt;foreign-keys&gt;&lt;key app="EN" db-id="9tzf2rda8re2a9es5tuxart3swzx2zws2s02" timestamp="1580965077"&gt;1139&lt;/key&gt;&lt;/foreign-keys&gt;&lt;ref-type name="Book"&gt;6&lt;/ref-type&gt;&lt;contributors&gt;&lt;authors&gt;&lt;author&gt;Hair, J.F.&lt;/author&gt;&lt;author&gt;Black, W.C.&lt;/author&gt;&lt;author&gt;Babin, B.J.&lt;/author&gt;&lt;author&gt;Anderson, R.E.&lt;/author&gt;&lt;/authors&gt;&lt;/contributors&gt;&lt;titles&gt;&lt;title&gt;Multivariate Data Analysis&lt;/title&gt;&lt;/titles&gt;&lt;edition&gt;7th&lt;/edition&gt;&lt;section&gt;734&lt;/section&gt;&lt;dates&gt;&lt;year&gt;2014&lt;/year&gt;&lt;/dates&gt;&lt;pub-location&gt;Harlow, Essex, UK&lt;/pub-location&gt;&lt;publisher&gt;Pearson Education Limited&lt;/publisher&gt;&lt;isbn&gt; 1-292-02190-X&lt;/isbn&gt;&lt;urls&gt;&lt;related-urls&gt;&lt;url&gt;https://is.muni.cz/el/1423/podzim2017/PSY028/um/_Hair_-_Multivariate_data_analysis_7th_revised.pdf&lt;/url&gt;&lt;/related-urls&gt;&lt;/urls&gt;&lt;/record&gt;&lt;/Cite&gt;&lt;/EndNote&gt;</w:instrText>
      </w:r>
      <w:r w:rsidR="00AB43DA" w:rsidRPr="00000849">
        <w:fldChar w:fldCharType="separate"/>
      </w:r>
      <w:r w:rsidR="00431DA0" w:rsidRPr="00000849">
        <w:rPr>
          <w:noProof/>
        </w:rPr>
        <w:t>(Hair et al., 2014)</w:t>
      </w:r>
      <w:r w:rsidR="00AB43DA" w:rsidRPr="00000849">
        <w:fldChar w:fldCharType="end"/>
      </w:r>
      <w:r w:rsidR="00C84534" w:rsidRPr="00000849">
        <w:t>.</w:t>
      </w:r>
      <w:r w:rsidR="000550C5" w:rsidRPr="00000849">
        <w:t xml:space="preserve">  </w:t>
      </w:r>
      <w:r w:rsidR="00C84534" w:rsidRPr="00000849">
        <w:t>The Bartlett test of sphericity tests whether the correlation matrix is an identity matrix</w:t>
      </w:r>
      <w:r w:rsidR="00AB43DA" w:rsidRPr="00000849">
        <w:t xml:space="preserve"> with 1 on the diagonal and 0 on the off-diagonal.  It tests the overall significance of all the correlations within a correlation matrix.  A statistically significant result on the Bartlett test is </w:t>
      </w:r>
      <w:r w:rsidR="00D65CD9" w:rsidRPr="00000849">
        <w:t>essential</w:t>
      </w:r>
      <w:r w:rsidR="00AB43DA" w:rsidRPr="00000849">
        <w:t xml:space="preserve"> for factor analysis or PCA. </w:t>
      </w:r>
    </w:p>
    <w:p w14:paraId="7420148C" w14:textId="577DF384" w:rsidR="00122B7A" w:rsidRPr="00000849" w:rsidRDefault="00122B7A" w:rsidP="000550C5">
      <w:pPr>
        <w:pStyle w:val="Default"/>
        <w:spacing w:line="480" w:lineRule="auto"/>
        <w:ind w:firstLine="567"/>
        <w:jc w:val="both"/>
      </w:pPr>
      <w:r w:rsidRPr="00000849">
        <w:t xml:space="preserve">The </w:t>
      </w:r>
      <w:r w:rsidR="00F8715D" w:rsidRPr="00000849">
        <w:t xml:space="preserve">data met the criteria for suitability for </w:t>
      </w:r>
      <w:r w:rsidRPr="00000849">
        <w:t>PCA</w:t>
      </w:r>
      <w:r w:rsidR="00F8715D" w:rsidRPr="00000849">
        <w:t xml:space="preserve">, </w:t>
      </w:r>
      <w:r w:rsidRPr="00000849">
        <w:t>yield</w:t>
      </w:r>
      <w:r w:rsidR="00F8715D" w:rsidRPr="00000849">
        <w:t>ing</w:t>
      </w:r>
      <w:r w:rsidRPr="00000849">
        <w:t xml:space="preserve"> a KMO measure of sampling adequacy statistic of 0.84 for Wave 1 and 0.82 for Wave 2.  The Bartlett’s test of sphericity was statistically significant in each wave (χ2 = 53761.50, df = 465, p &lt; 0.001 for </w:t>
      </w:r>
      <w:r w:rsidR="009A56DE" w:rsidRPr="00000849">
        <w:t>W</w:t>
      </w:r>
      <w:r w:rsidRPr="00000849">
        <w:t xml:space="preserve">ave 1; χ2 = 51440.51, df = 435, p &lt; 0.001 for </w:t>
      </w:r>
      <w:r w:rsidR="009A56DE" w:rsidRPr="00000849">
        <w:t>W</w:t>
      </w:r>
      <w:r w:rsidRPr="00000849">
        <w:t xml:space="preserve">ave 2).  </w:t>
      </w:r>
      <w:r w:rsidR="00227DFC" w:rsidRPr="00000849">
        <w:t xml:space="preserve">The determinant statistics were </w:t>
      </w:r>
      <w:r w:rsidR="00227DFC" w:rsidRPr="00000849">
        <w:rPr>
          <w:rFonts w:eastAsia="Times New Roman"/>
        </w:rPr>
        <w:t>3.62E-05 and 4.21E-05 for Wave 1 and Wave 2 respectively.</w:t>
      </w:r>
      <w:r w:rsidR="000550C5" w:rsidRPr="00000849">
        <w:rPr>
          <w:rFonts w:eastAsia="Times New Roman"/>
        </w:rPr>
        <w:t xml:space="preserve">  </w:t>
      </w:r>
      <w:r w:rsidRPr="00000849">
        <w:t>Eight components had eigenvalues over Kaiser’s criterion of 1 and cumulatively explained 55.6% of the variance in Wave 1</w:t>
      </w:r>
      <w:r w:rsidR="00227DFC" w:rsidRPr="00000849">
        <w:t xml:space="preserve"> (Appendix 6)</w:t>
      </w:r>
      <w:r w:rsidRPr="00000849">
        <w:t>.  The corresponding figures for wave 2 were six components which cumulatively explained 51.9% of the variance.</w:t>
      </w:r>
      <w:r w:rsidR="009A56DE" w:rsidRPr="00000849">
        <w:t xml:space="preserve"> </w:t>
      </w:r>
      <w:r w:rsidR="00B330A2" w:rsidRPr="00000849">
        <w:t xml:space="preserve"> Using the </w:t>
      </w:r>
      <w:r w:rsidR="003D72F3" w:rsidRPr="00000849">
        <w:t>SPSS</w:t>
      </w:r>
      <w:r w:rsidR="00B330A2" w:rsidRPr="00000849">
        <w:t xml:space="preserve"> statistical software </w:t>
      </w:r>
      <w:r w:rsidR="00B330A2" w:rsidRPr="00000849">
        <w:fldChar w:fldCharType="begin"/>
      </w:r>
      <w:r w:rsidR="00B330A2" w:rsidRPr="00000849">
        <w:instrText xml:space="preserve"> ADDIN EN.CITE &lt;EndNote&gt;&lt;Cite&gt;&lt;Author&gt;IBM Corp.&lt;/Author&gt;&lt;Year&gt;2017&lt;/Year&gt;&lt;RecNum&gt;486&lt;/RecNum&gt;&lt;DisplayText&gt;(IBM Corp., 2017)&lt;/DisplayText&gt;&lt;record&gt;&lt;rec-number&gt;486&lt;/rec-number&gt;&lt;foreign-keys&gt;&lt;key app="EN" db-id="pzfw02x58peadyevdp8vswt40etp25t5ddp0" timestamp="1583819336"&gt;486&lt;/key&gt;&lt;/foreign-keys&gt;&lt;ref-type name="Generic"&gt;13&lt;/ref-type&gt;&lt;contributors&gt;&lt;authors&gt;&lt;author&gt;IBM Corp.,&lt;/author&gt;&lt;/authors&gt;&lt;/contributors&gt;&lt;titles&gt;&lt;title&gt;BM SPSS Statistics for Windows, Version 25.0.&lt;/title&gt;&lt;/titles&gt;&lt;dates&gt;&lt;year&gt;2017&lt;/year&gt;&lt;/dates&gt;&lt;pub-location&gt;Armonk, NY&lt;/pub-location&gt;&lt;publisher&gt;IBM Corp.&lt;/publisher&gt;&lt;urls&gt;&lt;/urls&gt;&lt;/record&gt;&lt;/Cite&gt;&lt;/EndNote&gt;</w:instrText>
      </w:r>
      <w:r w:rsidR="00B330A2" w:rsidRPr="00000849">
        <w:fldChar w:fldCharType="separate"/>
      </w:r>
      <w:r w:rsidR="00B330A2" w:rsidRPr="00000849">
        <w:rPr>
          <w:noProof/>
        </w:rPr>
        <w:t>(IBM Corp., 2017)</w:t>
      </w:r>
      <w:r w:rsidR="00B330A2" w:rsidRPr="00000849">
        <w:fldChar w:fldCharType="end"/>
      </w:r>
      <w:r w:rsidR="003D72F3" w:rsidRPr="00000849">
        <w:t xml:space="preserve">, </w:t>
      </w:r>
      <w:r w:rsidR="000550C5" w:rsidRPr="00000849">
        <w:t>t</w:t>
      </w:r>
      <w:r w:rsidR="009A56DE" w:rsidRPr="00000849">
        <w:t>he factor score obtained after the rotation w</w:t>
      </w:r>
      <w:r w:rsidR="000550C5" w:rsidRPr="00000849">
        <w:t>as</w:t>
      </w:r>
      <w:r w:rsidR="009A56DE" w:rsidRPr="00000849">
        <w:t xml:space="preserve"> weighted by household size and divided into quintiles.  Quintile 1 represented the poorest households while Quintile 5 represented the richest households.</w:t>
      </w:r>
    </w:p>
    <w:p w14:paraId="3169B04B" w14:textId="77777777" w:rsidR="00227DFC" w:rsidRPr="00000849" w:rsidRDefault="00227DFC" w:rsidP="00D32BB1">
      <w:pPr>
        <w:pStyle w:val="Default"/>
        <w:spacing w:line="480" w:lineRule="auto"/>
        <w:ind w:firstLine="567"/>
        <w:jc w:val="both"/>
      </w:pPr>
    </w:p>
    <w:p w14:paraId="0A16C779" w14:textId="449B0357" w:rsidR="00F00714" w:rsidRPr="00000849" w:rsidRDefault="00F00714" w:rsidP="00000849">
      <w:pPr>
        <w:pStyle w:val="Heading3"/>
      </w:pPr>
      <w:bookmarkStart w:id="75" w:name="_Toc51472117"/>
      <w:r w:rsidRPr="00000849">
        <w:lastRenderedPageBreak/>
        <w:t>4.5.3</w:t>
      </w:r>
      <w:r w:rsidRPr="00000849">
        <w:tab/>
        <w:t>Anthropometric measurements</w:t>
      </w:r>
      <w:bookmarkEnd w:id="75"/>
    </w:p>
    <w:p w14:paraId="102BBB36" w14:textId="77777777" w:rsidR="00F00714" w:rsidRPr="00000849" w:rsidRDefault="00F00714" w:rsidP="00000849">
      <w:pPr>
        <w:pStyle w:val="Default"/>
        <w:keepNext/>
        <w:keepLines/>
        <w:spacing w:line="480" w:lineRule="auto"/>
        <w:ind w:firstLine="567"/>
        <w:jc w:val="both"/>
      </w:pPr>
    </w:p>
    <w:p w14:paraId="7DD325C8" w14:textId="45378960" w:rsidR="00D05CE2" w:rsidRPr="00000849" w:rsidRDefault="00D05CE2" w:rsidP="00000849">
      <w:pPr>
        <w:pStyle w:val="Default"/>
        <w:keepNext/>
        <w:keepLines/>
        <w:spacing w:line="480" w:lineRule="auto"/>
        <w:ind w:firstLine="567"/>
        <w:jc w:val="both"/>
      </w:pPr>
      <w:r w:rsidRPr="00000849">
        <w:t>In line with standard protocols, h</w:t>
      </w:r>
      <w:r w:rsidR="00DB0E1E" w:rsidRPr="00000849">
        <w:t>eight was measured with the participant’s shoes removed, feet and heels close together in an upright position with his/her back, head and heels touching a vertical wall</w:t>
      </w:r>
      <w:r w:rsidRPr="00000849">
        <w:t xml:space="preserve"> </w:t>
      </w:r>
      <w:r w:rsidRPr="00000849">
        <w:fldChar w:fldCharType="begin"/>
      </w:r>
      <w:r w:rsidR="001740AB" w:rsidRPr="00000849">
        <w:instrText xml:space="preserve"> ADDIN EN.CITE &lt;EndNote&gt;&lt;Cite&gt;&lt;Author&gt;Riley&lt;/Author&gt;&lt;Year&gt;2016&lt;/Year&gt;&lt;RecNum&gt;155&lt;/RecNum&gt;&lt;DisplayText&gt;(Riley et al., 2016)&lt;/DisplayText&gt;&lt;record&gt;&lt;rec-number&gt;155&lt;/rec-number&gt;&lt;foreign-keys&gt;&lt;key app="EN" db-id="9tzf2rda8re2a9es5tuxart3swzx2zws2s02" timestamp="1479878595"&gt;155&lt;/key&gt;&lt;/foreign-keys&gt;&lt;ref-type name="Journal Article"&gt;17&lt;/ref-type&gt;&lt;contributors&gt;&lt;authors&gt;&lt;author&gt;Riley, Leanne&lt;/author&gt;&lt;author&gt;Guthold, Regina&lt;/author&gt;&lt;author&gt;Cowan, Melanie&lt;/author&gt;&lt;author&gt;Savin, Stefan&lt;/author&gt;&lt;author&gt;Bhatti, Lubna&lt;/author&gt;&lt;author&gt;Armstrong, Timothy&lt;/author&gt;&lt;author&gt;Bonita, Ruth&lt;/author&gt;&lt;/authors&gt;&lt;/contributors&gt;&lt;titles&gt;&lt;title&gt;The World Health Organization STEPwise approach to noncommunicable disease risk-factor surveillance: methods, challenges, and opportunities&lt;/title&gt;&lt;secondary-title&gt;American Journal of Public Health&lt;/secondary-title&gt;&lt;/titles&gt;&lt;periodical&gt;&lt;full-title&gt;American Journal of Public Health&lt;/full-title&gt;&lt;abbr-1&gt;American Journal of Public Health&lt;/abbr-1&gt;&lt;/periodical&gt;&lt;pages&gt;74-78&lt;/pages&gt;&lt;volume&gt;106&lt;/volume&gt;&lt;number&gt;1&lt;/number&gt;&lt;dates&gt;&lt;year&gt;2016&lt;/year&gt;&lt;/dates&gt;&lt;isbn&gt;1541-0048&lt;/isbn&gt;&lt;urls&gt;&lt;/urls&gt;&lt;/record&gt;&lt;/Cite&gt;&lt;/EndNote&gt;</w:instrText>
      </w:r>
      <w:r w:rsidRPr="00000849">
        <w:fldChar w:fldCharType="separate"/>
      </w:r>
      <w:r w:rsidR="001740AB" w:rsidRPr="00000849">
        <w:rPr>
          <w:noProof/>
        </w:rPr>
        <w:t>(Riley et al., 2016)</w:t>
      </w:r>
      <w:r w:rsidRPr="00000849">
        <w:fldChar w:fldCharType="end"/>
      </w:r>
      <w:r w:rsidR="00DB0E1E" w:rsidRPr="00000849">
        <w:t xml:space="preserve">.  </w:t>
      </w:r>
      <w:r w:rsidR="00030ADD" w:rsidRPr="00000849">
        <w:t>In line with WHO recommendations, v</w:t>
      </w:r>
      <w:r w:rsidR="00DB0E1E" w:rsidRPr="00000849">
        <w:t>alues ranging from 100.0 cm to 2</w:t>
      </w:r>
      <w:r w:rsidR="00030ADD" w:rsidRPr="00000849">
        <w:t>7</w:t>
      </w:r>
      <w:r w:rsidR="00DB0E1E" w:rsidRPr="00000849">
        <w:t>0.0 cm were considered plausible</w:t>
      </w:r>
      <w:r w:rsidR="00030ADD" w:rsidRPr="00000849">
        <w:t xml:space="preserve"> </w:t>
      </w:r>
      <w:r w:rsidR="00030ADD" w:rsidRPr="00000849">
        <w:fldChar w:fldCharType="begin"/>
      </w:r>
      <w:r w:rsidR="00A12309">
        <w:instrText xml:space="preserve"> ADDIN EN.CITE &lt;EndNote&gt;&lt;Cite&gt;&lt;Author&gt;WHO&lt;/Author&gt;&lt;Year&gt;2008&lt;/Year&gt;&lt;RecNum&gt;19&lt;/RecNum&gt;&lt;DisplayText&gt;(WHO, 2008)&lt;/DisplayText&gt;&lt;record&gt;&lt;rec-number&gt;19&lt;/rec-number&gt;&lt;foreign-keys&gt;&lt;key app="EN" db-id="9tzf2rda8re2a9es5tuxart3swzx2zws2s02" timestamp="1463400106"&gt;19&lt;/key&gt;&lt;/foreign-keys&gt;&lt;ref-type name="Electronic Article"&gt;43&lt;/ref-type&gt;&lt;contributors&gt;&lt;authors&gt;&lt;author&gt;WHO,&lt;/author&gt;&lt;/authors&gt;&lt;/contributors&gt;&lt;titles&gt;&lt;title&gt;WHO STEPS Surveillance Manual&lt;/title&gt;&lt;/titles&gt;&lt;dates&gt;&lt;year&gt;2008&lt;/year&gt;&lt;pub-dates&gt;&lt;date&gt;16 May 2016&lt;/date&gt;&lt;/pub-dates&gt;&lt;/dates&gt;&lt;pub-location&gt;Geneva&lt;/pub-location&gt;&lt;publisher&gt;World Health Organization&lt;/publisher&gt;&lt;urls&gt;&lt;related-urls&gt;&lt;url&gt;http://www.who.int/chp/steps/manual/en/&lt;/url&gt;&lt;/related-urls&gt;&lt;/urls&gt;&lt;custom1&gt;2016&lt;/custom1&gt;&lt;custom2&gt;16 May&lt;/custom2&gt;&lt;/record&gt;&lt;/Cite&gt;&lt;/EndNote&gt;</w:instrText>
      </w:r>
      <w:r w:rsidR="00030ADD" w:rsidRPr="00000849">
        <w:fldChar w:fldCharType="separate"/>
      </w:r>
      <w:r w:rsidR="00A12309">
        <w:rPr>
          <w:noProof/>
        </w:rPr>
        <w:t>(WHO, 2008)</w:t>
      </w:r>
      <w:r w:rsidR="00030ADD" w:rsidRPr="00000849">
        <w:fldChar w:fldCharType="end"/>
      </w:r>
      <w:r w:rsidR="00DB0E1E" w:rsidRPr="00000849">
        <w:t xml:space="preserve">.  The participant’s weight was similarly measured without his/her footwear. </w:t>
      </w:r>
      <w:r w:rsidR="00FB3955" w:rsidRPr="00000849">
        <w:t xml:space="preserve"> </w:t>
      </w:r>
      <w:r w:rsidR="00DB0E1E" w:rsidRPr="00000849">
        <w:t xml:space="preserve">The plausible weight values ranged from 30.0 to 200.0 kilograms.  </w:t>
      </w:r>
    </w:p>
    <w:p w14:paraId="3BDC47A0" w14:textId="303199E4" w:rsidR="00DB0E1E" w:rsidRPr="00000849" w:rsidRDefault="00DB0E1E" w:rsidP="00D05CE2">
      <w:pPr>
        <w:pStyle w:val="Default"/>
        <w:spacing w:line="480" w:lineRule="auto"/>
        <w:ind w:firstLine="567"/>
        <w:jc w:val="both"/>
      </w:pPr>
      <w:r w:rsidRPr="00000849">
        <w:t xml:space="preserve">BMI was calculated as weight of the subject in kilogrammes divided by the square of the height in metres.  In line with WHO criteria, the BMI </w:t>
      </w:r>
      <w:r w:rsidR="008116A9" w:rsidRPr="00000849">
        <w:t>(in kg/m</w:t>
      </w:r>
      <w:r w:rsidR="008116A9" w:rsidRPr="00000849">
        <w:rPr>
          <w:vertAlign w:val="superscript"/>
        </w:rPr>
        <w:t>2</w:t>
      </w:r>
      <w:r w:rsidR="008116A9" w:rsidRPr="00000849">
        <w:t xml:space="preserve">) </w:t>
      </w:r>
      <w:r w:rsidRPr="00000849">
        <w:t xml:space="preserve">was classified into the following nutritional status groups: &lt;18.5– underweight, 18.5-24.9– normal, 25.0-29.9– overweight and ≥30 – obese </w:t>
      </w:r>
      <w:r w:rsidRPr="00000849">
        <w:fldChar w:fldCharType="begin"/>
      </w:r>
      <w:r w:rsidRPr="00000849">
        <w:instrText xml:space="preserve"> ADDIN EN.CITE &lt;EndNote&gt;&lt;Cite&gt;&lt;Author&gt;WHO&lt;/Author&gt;&lt;Year&gt;2000&lt;/Year&gt;&lt;RecNum&gt;42&lt;/RecNum&gt;&lt;DisplayText&gt;(WHO, 2000)&lt;/DisplayText&gt;&lt;record&gt;&lt;rec-number&gt;42&lt;/rec-number&gt;&lt;foreign-keys&gt;&lt;key app="EN" db-id="9tzf2rda8re2a9es5tuxart3swzx2zws2s02" timestamp="1464935352"&gt;42&lt;/key&gt;&lt;/foreign-keys&gt;&lt;ref-type name="Book"&gt;6&lt;/ref-type&gt;&lt;contributors&gt;&lt;authors&gt;&lt;author&gt;WHO,&lt;/author&gt;&lt;/authors&gt;&lt;/contributors&gt;&lt;titles&gt;&lt;title&gt;Obesity: preventing and managing the global epidemic.  Technical Report No. 894.&lt;/title&gt;&lt;/titles&gt;&lt;number&gt;894&lt;/number&gt;&lt;dates&gt;&lt;year&gt;2000&lt;/year&gt;&lt;/dates&gt;&lt;pub-location&gt;Geneva&lt;/pub-location&gt;&lt;publisher&gt;World Health Organization&lt;/publisher&gt;&lt;isbn&gt;9241208945&lt;/isbn&gt;&lt;urls&gt;&lt;/urls&gt;&lt;/record&gt;&lt;/Cite&gt;&lt;/EndNote&gt;</w:instrText>
      </w:r>
      <w:r w:rsidRPr="00000849">
        <w:fldChar w:fldCharType="separate"/>
      </w:r>
      <w:r w:rsidRPr="00000849">
        <w:rPr>
          <w:noProof/>
        </w:rPr>
        <w:t>(WHO, 2000)</w:t>
      </w:r>
      <w:r w:rsidRPr="00000849">
        <w:fldChar w:fldCharType="end"/>
      </w:r>
      <w:r w:rsidR="008116A9" w:rsidRPr="00000849">
        <w:t xml:space="preserve">, with </w:t>
      </w:r>
      <w:r w:rsidRPr="00000849">
        <w:t xml:space="preserve">values of 11.0-75.0 </w:t>
      </w:r>
      <w:r w:rsidR="008116A9" w:rsidRPr="00000849">
        <w:t xml:space="preserve">being </w:t>
      </w:r>
      <w:r w:rsidRPr="00000849">
        <w:t>considered plausible</w:t>
      </w:r>
      <w:r w:rsidR="00030ADD" w:rsidRPr="00000849">
        <w:t xml:space="preserve"> </w:t>
      </w:r>
      <w:r w:rsidR="00030ADD" w:rsidRPr="00000849">
        <w:fldChar w:fldCharType="begin"/>
      </w:r>
      <w:r w:rsidR="00A12309">
        <w:instrText xml:space="preserve"> ADDIN EN.CITE &lt;EndNote&gt;&lt;Cite&gt;&lt;Author&gt;WHO&lt;/Author&gt;&lt;Year&gt;2008&lt;/Year&gt;&lt;RecNum&gt;19&lt;/RecNum&gt;&lt;DisplayText&gt;(WHO, 2008)&lt;/DisplayText&gt;&lt;record&gt;&lt;rec-number&gt;19&lt;/rec-number&gt;&lt;foreign-keys&gt;&lt;key app="EN" db-id="9tzf2rda8re2a9es5tuxart3swzx2zws2s02" timestamp="1463400106"&gt;19&lt;/key&gt;&lt;/foreign-keys&gt;&lt;ref-type name="Electronic Article"&gt;43&lt;/ref-type&gt;&lt;contributors&gt;&lt;authors&gt;&lt;author&gt;WHO,&lt;/author&gt;&lt;/authors&gt;&lt;/contributors&gt;&lt;titles&gt;&lt;title&gt;WHO STEPS Surveillance Manual&lt;/title&gt;&lt;/titles&gt;&lt;dates&gt;&lt;year&gt;2008&lt;/year&gt;&lt;pub-dates&gt;&lt;date&gt;16 May 2016&lt;/date&gt;&lt;/pub-dates&gt;&lt;/dates&gt;&lt;pub-location&gt;Geneva&lt;/pub-location&gt;&lt;publisher&gt;World Health Organization&lt;/publisher&gt;&lt;urls&gt;&lt;related-urls&gt;&lt;url&gt;http://www.who.int/chp/steps/manual/en/&lt;/url&gt;&lt;/related-urls&gt;&lt;/urls&gt;&lt;custom1&gt;2016&lt;/custom1&gt;&lt;custom2&gt;16 May&lt;/custom2&gt;&lt;/record&gt;&lt;/Cite&gt;&lt;/EndNote&gt;</w:instrText>
      </w:r>
      <w:r w:rsidR="00030ADD" w:rsidRPr="00000849">
        <w:fldChar w:fldCharType="separate"/>
      </w:r>
      <w:r w:rsidR="00A12309">
        <w:rPr>
          <w:noProof/>
        </w:rPr>
        <w:t>(WHO, 2008)</w:t>
      </w:r>
      <w:r w:rsidR="00030ADD" w:rsidRPr="00000849">
        <w:fldChar w:fldCharType="end"/>
      </w:r>
      <w:r w:rsidRPr="00000849">
        <w:t>.</w:t>
      </w:r>
    </w:p>
    <w:p w14:paraId="05F8D5CA" w14:textId="20123C79" w:rsidR="00DB0E1E" w:rsidRPr="00000849" w:rsidRDefault="00A77A78" w:rsidP="00D05CE2">
      <w:pPr>
        <w:pStyle w:val="Default"/>
        <w:spacing w:line="480" w:lineRule="auto"/>
        <w:ind w:firstLine="567"/>
        <w:jc w:val="both"/>
      </w:pPr>
      <w:r w:rsidRPr="00000849">
        <w:t>In the primary SAGE studies, h</w:t>
      </w:r>
      <w:r w:rsidR="00DB0E1E" w:rsidRPr="00000849">
        <w:t xml:space="preserve">ip and waist circumferences were measured with the subject in loose clothing according to standard protocols </w:t>
      </w:r>
      <w:r w:rsidR="00DB0E1E" w:rsidRPr="00000849">
        <w:fldChar w:fldCharType="begin"/>
      </w:r>
      <w:r w:rsidR="001740AB" w:rsidRPr="00000849">
        <w:instrText xml:space="preserve"> ADDIN EN.CITE &lt;EndNote&gt;&lt;Cite&gt;&lt;Author&gt;Riley&lt;/Author&gt;&lt;Year&gt;2016&lt;/Year&gt;&lt;RecNum&gt;155&lt;/RecNum&gt;&lt;DisplayText&gt;(Riley et al., 2016)&lt;/DisplayText&gt;&lt;record&gt;&lt;rec-number&gt;155&lt;/rec-number&gt;&lt;foreign-keys&gt;&lt;key app="EN" db-id="9tzf2rda8re2a9es5tuxart3swzx2zws2s02" timestamp="1479878595"&gt;155&lt;/key&gt;&lt;/foreign-keys&gt;&lt;ref-type name="Journal Article"&gt;17&lt;/ref-type&gt;&lt;contributors&gt;&lt;authors&gt;&lt;author&gt;Riley, Leanne&lt;/author&gt;&lt;author&gt;Guthold, Regina&lt;/author&gt;&lt;author&gt;Cowan, Melanie&lt;/author&gt;&lt;author&gt;Savin, Stefan&lt;/author&gt;&lt;author&gt;Bhatti, Lubna&lt;/author&gt;&lt;author&gt;Armstrong, Timothy&lt;/author&gt;&lt;author&gt;Bonita, Ruth&lt;/author&gt;&lt;/authors&gt;&lt;/contributors&gt;&lt;titles&gt;&lt;title&gt;The World Health Organization STEPwise approach to noncommunicable disease risk-factor surveillance: methods, challenges, and opportunities&lt;/title&gt;&lt;secondary-title&gt;American Journal of Public Health&lt;/secondary-title&gt;&lt;/titles&gt;&lt;periodical&gt;&lt;full-title&gt;American Journal of Public Health&lt;/full-title&gt;&lt;abbr-1&gt;American Journal of Public Health&lt;/abbr-1&gt;&lt;/periodical&gt;&lt;pages&gt;74-78&lt;/pages&gt;&lt;volume&gt;106&lt;/volume&gt;&lt;number&gt;1&lt;/number&gt;&lt;dates&gt;&lt;year&gt;2016&lt;/year&gt;&lt;/dates&gt;&lt;isbn&gt;1541-0048&lt;/isbn&gt;&lt;urls&gt;&lt;/urls&gt;&lt;/record&gt;&lt;/Cite&gt;&lt;/EndNote&gt;</w:instrText>
      </w:r>
      <w:r w:rsidR="00DB0E1E" w:rsidRPr="00000849">
        <w:fldChar w:fldCharType="separate"/>
      </w:r>
      <w:r w:rsidR="001740AB" w:rsidRPr="00000849">
        <w:rPr>
          <w:noProof/>
        </w:rPr>
        <w:t>(Riley et al., 2016)</w:t>
      </w:r>
      <w:r w:rsidR="00DB0E1E" w:rsidRPr="00000849">
        <w:fldChar w:fldCharType="end"/>
      </w:r>
      <w:r w:rsidR="00DB0E1E" w:rsidRPr="00000849">
        <w:t>.  The waist circumference</w:t>
      </w:r>
      <w:r w:rsidR="001109A4" w:rsidRPr="00000849">
        <w:t xml:space="preserve"> (WC)</w:t>
      </w:r>
      <w:r w:rsidR="00DB0E1E" w:rsidRPr="00000849">
        <w:t xml:space="preserve"> was measured with the tape measure around the top of the hip bone and parallel to the floor.  The hip </w:t>
      </w:r>
      <w:r w:rsidR="001109A4" w:rsidRPr="00000849">
        <w:t xml:space="preserve">circumference (HC) </w:t>
      </w:r>
      <w:r w:rsidR="00DB0E1E" w:rsidRPr="00000849">
        <w:t xml:space="preserve">was measured at the maximum at the maximum circumference over the buttocks.  </w:t>
      </w:r>
      <w:r w:rsidR="005828B2" w:rsidRPr="00000849">
        <w:t xml:space="preserve">There is evidence that WC is an independent </w:t>
      </w:r>
      <w:r w:rsidR="004D5568" w:rsidRPr="00000849">
        <w:t xml:space="preserve">predictor of cardiometabolic risk and may even be a better measure than BMI </w:t>
      </w:r>
      <w:r w:rsidR="004D5568" w:rsidRPr="00000849">
        <w:fldChar w:fldCharType="begin">
          <w:fldData xml:space="preserve">PEVuZE5vdGU+PENpdGU+PEF1dGhvcj5LbGVpbjwvQXV0aG9yPjxZZWFyPjIwMDc8L1llYXI+PFJl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</w:fldData>
        </w:fldChar>
      </w:r>
      <w:r w:rsidR="00431DA0" w:rsidRPr="00000849">
        <w:instrText xml:space="preserve"> ADDIN EN.CITE </w:instrText>
      </w:r>
      <w:r w:rsidR="00431DA0" w:rsidRPr="00000849">
        <w:fldChar w:fldCharType="begin">
          <w:fldData xml:space="preserve">PEVuZE5vdGU+PENpdGU+PEF1dGhvcj5LbGVpbjwvQXV0aG9yPjxZZWFyPjIwMDc8L1llYXI+PFJl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</w:fldData>
        </w:fldChar>
      </w:r>
      <w:r w:rsidR="00431DA0" w:rsidRPr="00000849">
        <w:instrText xml:space="preserve"> ADDIN EN.CITE.DATA </w:instrText>
      </w:r>
      <w:r w:rsidR="00431DA0" w:rsidRPr="00000849">
        <w:fldChar w:fldCharType="end"/>
      </w:r>
      <w:r w:rsidR="004D5568" w:rsidRPr="00000849">
        <w:fldChar w:fldCharType="separate"/>
      </w:r>
      <w:r w:rsidR="00431DA0" w:rsidRPr="00000849">
        <w:rPr>
          <w:noProof/>
        </w:rPr>
        <w:t>(Ashwell et al., 2012; Klein et al., 2007; Ononamadu et al., 2017)</w:t>
      </w:r>
      <w:r w:rsidR="004D5568" w:rsidRPr="00000849">
        <w:fldChar w:fldCharType="end"/>
      </w:r>
      <w:r w:rsidR="004D5568" w:rsidRPr="00000849">
        <w:t>.  Plausible values for the waist and hip circumferences were 30.0-200.0 cm and 45.0-300.0 cm respectively</w:t>
      </w:r>
      <w:r w:rsidRPr="00000849">
        <w:t xml:space="preserve"> </w:t>
      </w:r>
      <w:r w:rsidRPr="00000849">
        <w:fldChar w:fldCharType="begin"/>
      </w:r>
      <w:r w:rsidR="00A12309">
        <w:instrText xml:space="preserve"> ADDIN EN.CITE &lt;EndNote&gt;&lt;Cite&gt;&lt;Author&gt;WHO&lt;/Author&gt;&lt;Year&gt;2008&lt;/Year&gt;&lt;RecNum&gt;19&lt;/RecNum&gt;&lt;DisplayText&gt;(WHO, 2008)&lt;/DisplayText&gt;&lt;record&gt;&lt;rec-number&gt;19&lt;/rec-number&gt;&lt;foreign-keys&gt;&lt;key app="EN" db-id="9tzf2rda8re2a9es5tuxart3swzx2zws2s02" timestamp="1463400106"&gt;19&lt;/key&gt;&lt;/foreign-keys&gt;&lt;ref-type name="Electronic Article"&gt;43&lt;/ref-type&gt;&lt;contributors&gt;&lt;authors&gt;&lt;author&gt;WHO,&lt;/author&gt;&lt;/authors&gt;&lt;/contributors&gt;&lt;titles&gt;&lt;title&gt;WHO STEPS Surveillance Manual&lt;/title&gt;&lt;/titles&gt;&lt;dates&gt;&lt;year&gt;2008&lt;/year&gt;&lt;pub-dates&gt;&lt;date&gt;16 May 2016&lt;/date&gt;&lt;/pub-dates&gt;&lt;/dates&gt;&lt;pub-location&gt;Geneva&lt;/pub-location&gt;&lt;publisher&gt;World Health Organization&lt;/publisher&gt;&lt;urls&gt;&lt;related-urls&gt;&lt;url&gt;http://www.who.int/chp/steps/manual/en/&lt;/url&gt;&lt;/related-urls&gt;&lt;/urls&gt;&lt;custom1&gt;2016&lt;/custom1&gt;&lt;custom2&gt;16 May&lt;/custom2&gt;&lt;/record&gt;&lt;/Cite&gt;&lt;/EndNote&gt;</w:instrText>
      </w:r>
      <w:r w:rsidRPr="00000849">
        <w:fldChar w:fldCharType="separate"/>
      </w:r>
      <w:r w:rsidR="00A12309">
        <w:rPr>
          <w:noProof/>
        </w:rPr>
        <w:t>(WHO, 2008)</w:t>
      </w:r>
      <w:r w:rsidRPr="00000849">
        <w:fldChar w:fldCharType="end"/>
      </w:r>
      <w:r w:rsidR="004D5568" w:rsidRPr="00000849">
        <w:t xml:space="preserve">.  </w:t>
      </w:r>
    </w:p>
    <w:p w14:paraId="02897361" w14:textId="6E1BF746" w:rsidR="0038273B" w:rsidRPr="00000849" w:rsidRDefault="0038273B" w:rsidP="00D05CE2">
      <w:pPr>
        <w:pStyle w:val="Default"/>
        <w:spacing w:line="480" w:lineRule="auto"/>
        <w:ind w:firstLine="567"/>
        <w:jc w:val="both"/>
      </w:pPr>
    </w:p>
    <w:p w14:paraId="4F71FFC9" w14:textId="77C56FD2" w:rsidR="0038273B" w:rsidRPr="00000849" w:rsidRDefault="0038273B" w:rsidP="004E2350">
      <w:pPr>
        <w:pStyle w:val="Heading3"/>
      </w:pPr>
      <w:bookmarkStart w:id="76" w:name="_Toc51472118"/>
      <w:r w:rsidRPr="00000849">
        <w:lastRenderedPageBreak/>
        <w:t>4.5.4</w:t>
      </w:r>
      <w:r w:rsidRPr="00000849">
        <w:tab/>
        <w:t>Measurement of blood pressure and definitions of awareness, treatment and control of hypertension</w:t>
      </w:r>
      <w:bookmarkEnd w:id="76"/>
    </w:p>
    <w:p w14:paraId="41EA2A9F" w14:textId="77777777" w:rsidR="0038273B" w:rsidRPr="00000849" w:rsidRDefault="0038273B" w:rsidP="00A77A78">
      <w:pPr>
        <w:pStyle w:val="Default"/>
        <w:keepNext/>
        <w:keepLines/>
        <w:spacing w:line="480" w:lineRule="auto"/>
        <w:ind w:firstLine="567"/>
        <w:jc w:val="both"/>
      </w:pPr>
    </w:p>
    <w:p w14:paraId="38B55030" w14:textId="5BEB0439" w:rsidR="00AE4637" w:rsidRPr="00000849" w:rsidRDefault="0009465D" w:rsidP="00A77A78">
      <w:pPr>
        <w:pStyle w:val="Default"/>
        <w:keepNext/>
        <w:keepLines/>
        <w:spacing w:after="200" w:line="480" w:lineRule="auto"/>
        <w:jc w:val="both"/>
      </w:pPr>
      <w:r w:rsidRPr="00000849">
        <w:t>In the</w:t>
      </w:r>
      <w:r w:rsidR="006718B9" w:rsidRPr="00000849">
        <w:t xml:space="preserve"> SAGE</w:t>
      </w:r>
      <w:r w:rsidRPr="00000849">
        <w:t xml:space="preserve"> </w:t>
      </w:r>
      <w:r w:rsidR="00A77A78" w:rsidRPr="00000849">
        <w:t>studies</w:t>
      </w:r>
      <w:r w:rsidR="001A3104" w:rsidRPr="00000849">
        <w:t xml:space="preserve">, </w:t>
      </w:r>
      <w:r w:rsidR="00AE4637" w:rsidRPr="00000849">
        <w:t xml:space="preserve">BP was measured on the right wrist using an electronic wrist BP monitor according to standard protocols </w:t>
      </w:r>
      <w:r w:rsidR="00AE4637" w:rsidRPr="00000849">
        <w:fldChar w:fldCharType="begin"/>
      </w:r>
      <w:r w:rsidR="001740AB" w:rsidRPr="00000849">
        <w:instrText xml:space="preserve"> ADDIN EN.CITE &lt;EndNote&gt;&lt;Cite&gt;&lt;Author&gt;Riley&lt;/Author&gt;&lt;Year&gt;2016&lt;/Year&gt;&lt;RecNum&gt;155&lt;/RecNum&gt;&lt;DisplayText&gt;(Riley et al., 2016)&lt;/DisplayText&gt;&lt;record&gt;&lt;rec-number&gt;155&lt;/rec-number&gt;&lt;foreign-keys&gt;&lt;key app="EN" db-id="9tzf2rda8re2a9es5tuxart3swzx2zws2s02" timestamp="1479878595"&gt;155&lt;/key&gt;&lt;/foreign-keys&gt;&lt;ref-type name="Journal Article"&gt;17&lt;/ref-type&gt;&lt;contributors&gt;&lt;authors&gt;&lt;author&gt;Riley, Leanne&lt;/author&gt;&lt;author&gt;Guthold, Regina&lt;/author&gt;&lt;author&gt;Cowan, Melanie&lt;/author&gt;&lt;author&gt;Savin, Stefan&lt;/author&gt;&lt;author&gt;Bhatti, Lubna&lt;/author&gt;&lt;author&gt;Armstrong, Timothy&lt;/author&gt;&lt;author&gt;Bonita, Ruth&lt;/author&gt;&lt;/authors&gt;&lt;/contributors&gt;&lt;titles&gt;&lt;title&gt;The World Health Organization STEPwise approach to noncommunicable disease risk-factor surveillance: methods, challenges, and opportunities&lt;/title&gt;&lt;secondary-title&gt;American Journal of Public Health&lt;/secondary-title&gt;&lt;/titles&gt;&lt;periodical&gt;&lt;full-title&gt;American Journal of Public Health&lt;/full-title&gt;&lt;abbr-1&gt;American Journal of Public Health&lt;/abbr-1&gt;&lt;/periodical&gt;&lt;pages&gt;74-78&lt;/pages&gt;&lt;volume&gt;106&lt;/volume&gt;&lt;number&gt;1&lt;/number&gt;&lt;dates&gt;&lt;year&gt;2016&lt;/year&gt;&lt;/dates&gt;&lt;isbn&gt;1541-0048&lt;/isbn&gt;&lt;urls&gt;&lt;/urls&gt;&lt;/record&gt;&lt;/Cite&gt;&lt;/EndNote&gt;</w:instrText>
      </w:r>
      <w:r w:rsidR="00AE4637" w:rsidRPr="00000849">
        <w:fldChar w:fldCharType="separate"/>
      </w:r>
      <w:r w:rsidR="001740AB" w:rsidRPr="00000849">
        <w:rPr>
          <w:noProof/>
        </w:rPr>
        <w:t>(Riley et al., 2016)</w:t>
      </w:r>
      <w:r w:rsidR="00AE4637" w:rsidRPr="00000849">
        <w:fldChar w:fldCharType="end"/>
      </w:r>
      <w:r w:rsidR="00AE4637" w:rsidRPr="00000849">
        <w:t xml:space="preserve">.  Three systolic (SBP) and diastolic BP (DBP) readings were taken at </w:t>
      </w:r>
      <w:r w:rsidR="0060404B" w:rsidRPr="00000849">
        <w:t>one-minute</w:t>
      </w:r>
      <w:r w:rsidR="00AE4637" w:rsidRPr="00000849">
        <w:t xml:space="preserve"> intervals with the mean of the last two BP readings being used in the analysis.  </w:t>
      </w:r>
      <w:r w:rsidR="009E59D4">
        <w:t xml:space="preserve">In line with WHO recommendations, SBP readings of 40-300 mmHg and DBP readings of 30-200 mmHg were considered plausible </w:t>
      </w:r>
      <w:r w:rsidR="009E59D4">
        <w:fldChar w:fldCharType="begin"/>
      </w:r>
      <w:r w:rsidR="00A12309">
        <w:instrText xml:space="preserve"> ADDIN EN.CITE &lt;EndNote&gt;&lt;Cite&gt;&lt;Author&gt;WHO&lt;/Author&gt;&lt;Year&gt;2008&lt;/Year&gt;&lt;RecNum&gt;19&lt;/RecNum&gt;&lt;DisplayText&gt;(WHO, 2008)&lt;/DisplayText&gt;&lt;record&gt;&lt;rec-number&gt;19&lt;/rec-number&gt;&lt;foreign-keys&gt;&lt;key app="EN" db-id="9tzf2rda8re2a9es5tuxart3swzx2zws2s02" timestamp="1463400106"&gt;19&lt;/key&gt;&lt;/foreign-keys&gt;&lt;ref-type name="Electronic Article"&gt;43&lt;/ref-type&gt;&lt;contributors&gt;&lt;authors&gt;&lt;author&gt;WHO,&lt;/author&gt;&lt;/authors&gt;&lt;/contributors&gt;&lt;titles&gt;&lt;title&gt;WHO STEPS Surveillance Manual&lt;/title&gt;&lt;/titles&gt;&lt;dates&gt;&lt;year&gt;2008&lt;/year&gt;&lt;pub-dates&gt;&lt;date&gt;16 May 2016&lt;/date&gt;&lt;/pub-dates&gt;&lt;/dates&gt;&lt;pub-location&gt;Geneva&lt;/pub-location&gt;&lt;publisher&gt;World Health Organization&lt;/publisher&gt;&lt;urls&gt;&lt;related-urls&gt;&lt;url&gt;http://www.who.int/chp/steps/manual/en/&lt;/url&gt;&lt;/related-urls&gt;&lt;/urls&gt;&lt;custom1&gt;2016&lt;/custom1&gt;&lt;custom2&gt;16 May&lt;/custom2&gt;&lt;/record&gt;&lt;/Cite&gt;&lt;/EndNote&gt;</w:instrText>
      </w:r>
      <w:r w:rsidR="009E59D4">
        <w:fldChar w:fldCharType="separate"/>
      </w:r>
      <w:r w:rsidR="00A12309">
        <w:rPr>
          <w:noProof/>
        </w:rPr>
        <w:t>(WHO, 2008)</w:t>
      </w:r>
      <w:r w:rsidR="009E59D4">
        <w:fldChar w:fldCharType="end"/>
      </w:r>
      <w:r w:rsidR="009E59D4">
        <w:t xml:space="preserve">.  </w:t>
      </w:r>
      <w:r w:rsidR="00507F60">
        <w:t>Subjects</w:t>
      </w:r>
      <w:r w:rsidR="00507F60" w:rsidRPr="00000849">
        <w:t xml:space="preserve"> </w:t>
      </w:r>
      <w:r w:rsidR="00AE4637" w:rsidRPr="00000849">
        <w:t xml:space="preserve">with SBP ≥ 140 mmHg and/or diastolic BP ≥ 90 mmHg or on anti-hypertensive medication over the past two weeks were regarded as having hypertension </w:t>
      </w:r>
      <w:r w:rsidR="00AE4637" w:rsidRPr="00000849">
        <w:fldChar w:fldCharType="begin"/>
      </w:r>
      <w:r w:rsidR="00B45210" w:rsidRPr="00000849">
        <w:instrText xml:space="preserve"> ADDIN EN.CITE &lt;EndNote&gt;&lt;Cite&gt;&lt;Author&gt;Chobanian&lt;/Author&gt;&lt;Year&gt;2003&lt;/Year&gt;&lt;RecNum&gt;20&lt;/RecNum&gt;&lt;DisplayText&gt;(Chobanian et al., 2003b)&lt;/DisplayText&gt;&lt;record&gt;&lt;rec-number&gt;20&lt;/rec-number&gt;&lt;foreign-keys&gt;&lt;key app="EN" db-id="9tzf2rda8re2a9es5tuxart3swzx2zws2s02" timestamp="1463400601"&gt;20&lt;/key&gt;&lt;/foreign-keys&gt;&lt;ref-type name="Journal Article"&gt;17&lt;/ref-type&gt;&lt;contributors&gt;&lt;authors&gt;&lt;author&gt;Chobanian, Aram V&lt;/author&gt;&lt;author&gt;Bakris, George L&lt;/author&gt;&lt;author&gt;Black, Henry R&lt;/author&gt;&lt;author&gt;Cushman, William C&lt;/author&gt;&lt;author&gt;Green, Lee A&lt;/author&gt;&lt;author&gt;Izzo Jr, Joseph L&lt;/author&gt;&lt;author&gt;Jones, Daniel W&lt;/author&gt;&lt;author&gt;Materson, Barry J&lt;/author&gt;&lt;author&gt;Oparil, Suzanne&lt;/author&gt;&lt;author&gt;Wright Jr, Jackson T&lt;/author&gt;&lt;/authors&gt;&lt;/contributors&gt;&lt;titles&gt;&lt;title&gt;The seventh report of the joint national committee on prevention, detection, evaluation, and treatment of high blood pressure: the JNC 7 report&lt;/title&gt;&lt;secondary-title&gt;Journal of the American Medical Association&lt;/secondary-title&gt;&lt;/titles&gt;&lt;periodical&gt;&lt;full-title&gt;Journal of the American Medical Association&lt;/full-title&gt;&lt;/periodical&gt;&lt;pages&gt;2560-2571&lt;/pages&gt;&lt;volume&gt;289&lt;/volume&gt;&lt;number&gt;19&lt;/number&gt;&lt;dates&gt;&lt;year&gt;2003&lt;/year&gt;&lt;/dates&gt;&lt;isbn&gt;0098-7484&lt;/isbn&gt;&lt;urls&gt;&lt;/urls&gt;&lt;/record&gt;&lt;/Cite&gt;&lt;/EndNote&gt;</w:instrText>
      </w:r>
      <w:r w:rsidR="00AE4637" w:rsidRPr="00000849">
        <w:fldChar w:fldCharType="separate"/>
      </w:r>
      <w:r w:rsidR="00B45210" w:rsidRPr="00000849">
        <w:rPr>
          <w:noProof/>
        </w:rPr>
        <w:t>(Chobanian et al., 2003b)</w:t>
      </w:r>
      <w:r w:rsidR="00AE4637" w:rsidRPr="00000849">
        <w:fldChar w:fldCharType="end"/>
      </w:r>
      <w:r w:rsidR="00AE4637" w:rsidRPr="00000849">
        <w:t>.  Those who reported having previously been diagnosed by a health professional were considered to be aware of their diagnosis</w:t>
      </w:r>
      <w:r w:rsidR="00A77A78" w:rsidRPr="00000849">
        <w:t xml:space="preserve"> </w:t>
      </w:r>
      <w:r w:rsidR="00A77A78" w:rsidRPr="00000849">
        <w:fldChar w:fldCharType="begin"/>
      </w:r>
      <w:r w:rsidR="00A12309">
        <w:instrText xml:space="preserve"> ADDIN EN.CITE &lt;EndNote&gt;&lt;Cite&gt;&lt;Author&gt;WHO&lt;/Author&gt;&lt;Year&gt;2008&lt;/Year&gt;&lt;RecNum&gt;19&lt;/RecNum&gt;&lt;DisplayText&gt;(Addo et al., 2008; WHO, 2008)&lt;/DisplayText&gt;&lt;record&gt;&lt;rec-number&gt;19&lt;/rec-number&gt;&lt;foreign-keys&gt;&lt;key app="EN" db-id="9tzf2rda8re2a9es5tuxart3swzx2zws2s02" timestamp="1463400106"&gt;19&lt;/key&gt;&lt;/foreign-keys&gt;&lt;ref-type name="Electronic Article"&gt;43&lt;/ref-type&gt;&lt;contributors&gt;&lt;authors&gt;&lt;author&gt;WHO,&lt;/author&gt;&lt;/authors&gt;&lt;/contributors&gt;&lt;titles&gt;&lt;title&gt;WHO STEPS Surveillance Manual&lt;/title&gt;&lt;/titles&gt;&lt;dates&gt;&lt;year&gt;2008&lt;/year&gt;&lt;pub-dates&gt;&lt;date&gt;16 May 2016&lt;/date&gt;&lt;/pub-dates&gt;&lt;/dates&gt;&lt;pub-location&gt;Geneva&lt;/pub-location&gt;&lt;publisher&gt;World Health Organization&lt;/publisher&gt;&lt;urls&gt;&lt;related-urls&gt;&lt;url&gt;http://www.who.int/chp/steps/manual/en/&lt;/url&gt;&lt;/related-urls&gt;&lt;/urls&gt;&lt;custom1&gt;2016&lt;/custom1&gt;&lt;custom2&gt;16 May&lt;/custom2&gt;&lt;/record&gt;&lt;/Cite&gt;&lt;Cite&gt;&lt;Author&gt;Addo&lt;/Author&gt;&lt;Year&gt;2008&lt;/Year&gt;&lt;RecNum&gt;711&lt;/RecNum&gt;&lt;record&gt;&lt;rec-number&gt;711&lt;/rec-number&gt;&lt;foreign-keys&gt;&lt;key app="EN" db-id="9tzf2rda8re2a9es5tuxart3swzx2zws2s02" timestamp="1499325516"&gt;711&lt;/key&gt;&lt;/foreign-keys&gt;&lt;ref-type name="Journal Article"&gt;17&lt;/ref-type&gt;&lt;contributors&gt;&lt;authors&gt;&lt;author&gt;Addo, Juliet &lt;/author&gt;&lt;author&gt;Smeeth, Liam&lt;/author&gt;&lt;author&gt;Leon, David A&lt;/author&gt;&lt;/authors&gt;&lt;/contributors&gt;&lt;titles&gt;&lt;title&gt;Prevalence, detection, management, and control of hypertension in Ghanaian civil servants.&lt;/title&gt;&lt;secondary-title&gt;Ethnicity &amp;amp; Disease&lt;/secondary-title&gt;&lt;/titles&gt;&lt;periodical&gt;&lt;full-title&gt;Ethnicity &amp;amp; Disease&lt;/full-title&gt;&lt;/periodical&gt;&lt;pages&gt;505-11&lt;/pages&gt;&lt;volume&gt;18&lt;/volume&gt;&lt;dates&gt;&lt;year&gt;2008&lt;/year&gt;&lt;/dates&gt;&lt;urls&gt;&lt;/urls&gt;&lt;/record&gt;&lt;/Cite&gt;&lt;/EndNote&gt;</w:instrText>
      </w:r>
      <w:r w:rsidR="00A77A78" w:rsidRPr="00000849">
        <w:fldChar w:fldCharType="separate"/>
      </w:r>
      <w:r w:rsidR="00A12309">
        <w:rPr>
          <w:noProof/>
        </w:rPr>
        <w:t>(Addo et al., 2008; WHO, 2008)</w:t>
      </w:r>
      <w:r w:rsidR="00A77A78" w:rsidRPr="00000849">
        <w:fldChar w:fldCharType="end"/>
      </w:r>
      <w:r w:rsidR="00AE4637" w:rsidRPr="00000849">
        <w:t xml:space="preserve">.  </w:t>
      </w:r>
      <w:r w:rsidR="007F5ED5" w:rsidRPr="00000849">
        <w:rPr>
          <w:rFonts w:asciiTheme="minorHAnsi" w:hAnsiTheme="minorHAnsi" w:cstheme="minorHAnsi"/>
          <w:color w:val="383838"/>
        </w:rPr>
        <w:t xml:space="preserve">People with hypertension who reported taking antihypertensive pharmacological medication were considered to be on treatment.  </w:t>
      </w:r>
      <w:r w:rsidR="00AE4637" w:rsidRPr="00000849">
        <w:t xml:space="preserve">Those on treatment in the last two weeks and whose BP was less than 140/90 mmHg were considered to have controlled hypertension.  </w:t>
      </w:r>
      <w:r w:rsidR="004454C3" w:rsidRPr="00000849">
        <w:t xml:space="preserve">The proportion of those previously diagnosed who were on treatment was also assessed. </w:t>
      </w:r>
    </w:p>
    <w:p w14:paraId="7CEBF4D4" w14:textId="77777777" w:rsidR="007F5ED5" w:rsidRPr="00000849" w:rsidRDefault="007F5ED5"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79267174" w14:textId="48B710D2" w:rsidR="00D974E1" w:rsidRPr="00000849" w:rsidRDefault="00D974E1" w:rsidP="00A61BAB">
      <w:pPr>
        <w:pStyle w:val="Heading2"/>
      </w:pPr>
      <w:bookmarkStart w:id="77" w:name="_Toc51472119"/>
      <w:r w:rsidRPr="00000849">
        <w:t>4.</w:t>
      </w:r>
      <w:r w:rsidR="002006AA" w:rsidRPr="00000849">
        <w:t>6</w:t>
      </w:r>
      <w:r w:rsidRPr="00000849">
        <w:tab/>
        <w:t>Ensuring data quality during data collection</w:t>
      </w:r>
      <w:bookmarkEnd w:id="77"/>
    </w:p>
    <w:p w14:paraId="52DB7AF5" w14:textId="77777777" w:rsidR="00D974E1" w:rsidRPr="00000849" w:rsidRDefault="00D974E1" w:rsidP="00D974E1">
      <w:pPr>
        <w:pStyle w:val="NormalWeb"/>
        <w:shd w:val="clear" w:color="auto" w:fill="FFFFFF"/>
        <w:spacing w:before="0" w:beforeAutospacing="0" w:after="165" w:afterAutospacing="0" w:line="480" w:lineRule="auto"/>
        <w:rPr>
          <w:rFonts w:asciiTheme="minorHAnsi" w:hAnsiTheme="minorHAnsi" w:cstheme="minorHAnsi"/>
          <w:color w:val="383838"/>
        </w:rPr>
      </w:pPr>
    </w:p>
    <w:p w14:paraId="4908E0BF" w14:textId="5052050F" w:rsidR="00D974E1" w:rsidRPr="00000849" w:rsidRDefault="00D974E1" w:rsidP="00D974E1">
      <w:pPr>
        <w:pStyle w:val="Default"/>
        <w:spacing w:after="200" w:line="480" w:lineRule="auto"/>
        <w:jc w:val="both"/>
      </w:pPr>
      <w:r w:rsidRPr="00000849">
        <w:t xml:space="preserve">Several measures were undertaken by the SAGE Ghana Team </w:t>
      </w:r>
      <w:r w:rsidR="004454C3" w:rsidRPr="00000849">
        <w:t xml:space="preserve">in the primary studies </w:t>
      </w:r>
      <w:r w:rsidRPr="00000849">
        <w:t>to ensure high quality results.  The</w:t>
      </w:r>
      <w:r w:rsidR="000B6B1B" w:rsidRPr="00000849">
        <w:t xml:space="preserve">se </w:t>
      </w:r>
      <w:r w:rsidRPr="00000849">
        <w:t xml:space="preserve">included the use of experienced and well-trained </w:t>
      </w:r>
      <w:r w:rsidRPr="00000849">
        <w:lastRenderedPageBreak/>
        <w:t xml:space="preserve">field assistants and </w:t>
      </w:r>
      <w:r w:rsidR="000B6B1B" w:rsidRPr="00000849">
        <w:t>S</w:t>
      </w:r>
      <w:r w:rsidRPr="00000849">
        <w:t>upervisors; daily checks by Supervisors on the completeness of questionnaires and plausibility of responses; use of standardized questionnaires; translation of questionnaires into three local languages; repeat</w:t>
      </w:r>
      <w:r w:rsidR="000B6B1B" w:rsidRPr="00000849">
        <w:t>ed</w:t>
      </w:r>
      <w:r w:rsidRPr="00000849">
        <w:t xml:space="preserve"> visits to locate absentee respondents and use of calibrated digital equipment.  Fieldworkers were trained for ten days initially and then again just before fieldwork.  In order to validate completed questions, a random sample of households and individuals were re-tested on selected variables such as household assets, health status and anthropometrics.  High individual and household response rates of 94% and 98% respectively were achieved in Wave 1 </w:t>
      </w:r>
      <w:r w:rsidRPr="00000849">
        <w:fldChar w:fldCharType="begin"/>
      </w:r>
      <w:r w:rsidRPr="00000849">
        <w:instrText xml:space="preserve"> ADDIN EN.CITE &lt;EndNote&gt;&lt;Cite&gt;&lt;Author&gt;Biritwum&lt;/Author&gt;&lt;Year&gt;2013&lt;/Year&gt;&lt;RecNum&gt;6&lt;/RecNum&gt;&lt;DisplayText&gt;(Biritwum et al., 2013)&lt;/DisplayText&gt;&lt;record&gt;&lt;rec-number&gt;6&lt;/rec-number&gt;&lt;foreign-keys&gt;&lt;key app="EN" db-id="9tzf2rda8re2a9es5tuxart3swzx2zws2s02" timestamp="1463391711"&gt;6&lt;/key&gt;&lt;/foreign-keys&gt;&lt;ref-type name="Journal Article"&gt;17&lt;/ref-type&gt;&lt;contributors&gt;&lt;authors&gt;&lt;author&gt;Biritwum, Richard B&lt;/author&gt;&lt;author&gt;Mensah, George&lt;/author&gt;&lt;author&gt;Minicuci, Nadia&lt;/author&gt;&lt;author&gt;Yawson, Alfred E&lt;/author&gt;&lt;author&gt;Naidoo, Nirmala&lt;/author&gt;&lt;author&gt;Chatterji, Somnath&lt;/author&gt;&lt;author&gt;Kowal, Paul&lt;/author&gt;&lt;/authors&gt;&lt;/contributors&gt;&lt;titles&gt;&lt;title&gt;Household characteristics for older adults and study background from SAGE Ghana Wave 1&lt;/title&gt;&lt;secondary-title&gt;Global Health Action&lt;/secondary-title&gt;&lt;/titles&gt;&lt;periodical&gt;&lt;full-title&gt;Global Health Action&lt;/full-title&gt;&lt;abbr-1&gt;Glob Health Action&lt;/abbr-1&gt;&lt;/periodical&gt;&lt;pages&gt;20096&lt;/pages&gt;&lt;volume&gt;6&lt;/volume&gt;&lt;dates&gt;&lt;year&gt;2013&lt;/year&gt;&lt;/dates&gt;&lt;isbn&gt;1654-9880&lt;/isbn&gt;&lt;urls&gt;&lt;/urls&gt;&lt;electronic-resource-num&gt;20096 - http://dx.doi.org/10.3402/gha.v6i0.20096&lt;/electronic-resource-num&gt;&lt;/record&gt;&lt;/Cite&gt;&lt;/EndNote&gt;</w:instrText>
      </w:r>
      <w:r w:rsidRPr="00000849">
        <w:fldChar w:fldCharType="separate"/>
      </w:r>
      <w:r w:rsidRPr="00000849">
        <w:rPr>
          <w:noProof/>
        </w:rPr>
        <w:t>(Biritwum et al., 2013)</w:t>
      </w:r>
      <w:r w:rsidRPr="00000849">
        <w:fldChar w:fldCharType="end"/>
      </w:r>
      <w:r w:rsidRPr="00000849">
        <w:t>.</w:t>
      </w:r>
    </w:p>
    <w:p w14:paraId="74A2CDC2" w14:textId="77777777" w:rsidR="00D974E1" w:rsidRPr="00000849" w:rsidRDefault="00D974E1" w:rsidP="00D974E1">
      <w:pPr>
        <w:pStyle w:val="NormalWeb"/>
        <w:shd w:val="clear" w:color="auto" w:fill="FFFFFF"/>
        <w:spacing w:before="0" w:beforeAutospacing="0" w:after="165" w:afterAutospacing="0" w:line="480" w:lineRule="auto"/>
        <w:rPr>
          <w:rFonts w:asciiTheme="minorHAnsi" w:hAnsiTheme="minorHAnsi" w:cstheme="minorHAnsi"/>
          <w:color w:val="383838"/>
        </w:rPr>
      </w:pPr>
    </w:p>
    <w:p w14:paraId="24BC8B88" w14:textId="3DC91351" w:rsidR="00D974E1" w:rsidRPr="00000849" w:rsidRDefault="00D974E1" w:rsidP="00A61BAB">
      <w:pPr>
        <w:pStyle w:val="Heading2"/>
      </w:pPr>
      <w:bookmarkStart w:id="78" w:name="_Toc51472120"/>
      <w:r w:rsidRPr="00000849">
        <w:t>4.</w:t>
      </w:r>
      <w:r w:rsidR="002006AA" w:rsidRPr="00000849">
        <w:t>7</w:t>
      </w:r>
      <w:r w:rsidRPr="00000849">
        <w:tab/>
        <w:t>Ethical clearance</w:t>
      </w:r>
      <w:bookmarkEnd w:id="78"/>
    </w:p>
    <w:p w14:paraId="7041A437" w14:textId="77777777" w:rsidR="00D974E1" w:rsidRPr="00000849" w:rsidRDefault="00D974E1" w:rsidP="00D974E1">
      <w:pPr>
        <w:pStyle w:val="Default"/>
        <w:spacing w:after="200" w:line="480" w:lineRule="auto"/>
        <w:jc w:val="both"/>
      </w:pPr>
    </w:p>
    <w:p w14:paraId="2145BA95" w14:textId="265C9AAA" w:rsidR="00D974E1" w:rsidRPr="00000849" w:rsidRDefault="00D974E1" w:rsidP="00D974E1">
      <w:pPr>
        <w:pStyle w:val="Default"/>
        <w:spacing w:after="200" w:line="480" w:lineRule="auto"/>
        <w:jc w:val="both"/>
      </w:pPr>
      <w:r w:rsidRPr="00000849">
        <w:t xml:space="preserve">Ethical approval for the primary study was obtained from WHO’s Ethical Review Board as well as from the Ethical and Protocol Review Committee of the University of Ghana Medical School.  The approval for the current study which comprises secondary analysis of publicly-available anonymized datasets of two waves of the SAGE Ghana study was provided by the Faculty of Health and Medicine Research Ethics Committee (FHMREC) of Lancaster University (Appendix </w:t>
      </w:r>
      <w:r w:rsidR="002C5CEB" w:rsidRPr="00000849">
        <w:t>7</w:t>
      </w:r>
      <w:r w:rsidRPr="00000849">
        <w:t>).</w:t>
      </w:r>
    </w:p>
    <w:p w14:paraId="657FF6A8" w14:textId="77777777" w:rsidR="00D974E1" w:rsidRPr="00000849" w:rsidRDefault="00D974E1"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0E49959D" w14:textId="44ABC029" w:rsidR="002B0B4B" w:rsidRPr="00000849" w:rsidRDefault="00AD5934" w:rsidP="0046549F">
      <w:pPr>
        <w:pStyle w:val="Heading2"/>
      </w:pPr>
      <w:bookmarkStart w:id="79" w:name="_Toc51472121"/>
      <w:r w:rsidRPr="00000849">
        <w:lastRenderedPageBreak/>
        <w:t>4</w:t>
      </w:r>
      <w:r w:rsidR="002006AA" w:rsidRPr="00000849">
        <w:t>.8</w:t>
      </w:r>
      <w:r w:rsidR="0083769F" w:rsidRPr="00000849">
        <w:tab/>
      </w:r>
      <w:r w:rsidR="002B0B4B" w:rsidRPr="00000849">
        <w:t>Data Analysis</w:t>
      </w:r>
      <w:bookmarkEnd w:id="79"/>
      <w:r w:rsidR="002B0B4B" w:rsidRPr="00000849">
        <w:t xml:space="preserve"> </w:t>
      </w:r>
    </w:p>
    <w:p w14:paraId="37FD6028" w14:textId="57C7E5A9" w:rsidR="000B77E4" w:rsidRPr="00000849" w:rsidRDefault="000B77E4" w:rsidP="00920AA1">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p>
    <w:p w14:paraId="2AC25A30" w14:textId="7FD57B10" w:rsidR="00452B19" w:rsidRPr="00000849" w:rsidRDefault="00452B19" w:rsidP="00920AA1">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Descriptive statistics w</w:t>
      </w:r>
      <w:r w:rsidR="00BF204A" w:rsidRPr="00000849">
        <w:rPr>
          <w:rFonts w:asciiTheme="minorHAnsi" w:hAnsiTheme="minorHAnsi" w:cstheme="minorHAnsi"/>
          <w:color w:val="383838"/>
        </w:rPr>
        <w:t>ere</w:t>
      </w:r>
      <w:r w:rsidRPr="00000849">
        <w:rPr>
          <w:rFonts w:asciiTheme="minorHAnsi" w:hAnsiTheme="minorHAnsi" w:cstheme="minorHAnsi"/>
          <w:color w:val="383838"/>
        </w:rPr>
        <w:t xml:space="preserve"> employed to </w:t>
      </w:r>
      <w:r w:rsidR="002F6DA2" w:rsidRPr="00000849">
        <w:rPr>
          <w:rFonts w:asciiTheme="minorHAnsi" w:hAnsiTheme="minorHAnsi" w:cstheme="minorHAnsi"/>
          <w:color w:val="383838"/>
        </w:rPr>
        <w:t>summarize</w:t>
      </w:r>
      <w:r w:rsidRPr="00000849">
        <w:rPr>
          <w:rFonts w:asciiTheme="minorHAnsi" w:hAnsiTheme="minorHAnsi" w:cstheme="minorHAnsi"/>
          <w:color w:val="383838"/>
        </w:rPr>
        <w:t xml:space="preserve"> the background characteristics of the study samples in both waves.  </w:t>
      </w:r>
      <w:r w:rsidR="004454C3" w:rsidRPr="00000849">
        <w:rPr>
          <w:rFonts w:asciiTheme="minorHAnsi" w:hAnsiTheme="minorHAnsi" w:cstheme="minorHAnsi"/>
          <w:color w:val="383838"/>
        </w:rPr>
        <w:t xml:space="preserve">The </w:t>
      </w:r>
      <w:r w:rsidR="00E6132E" w:rsidRPr="00000849">
        <w:rPr>
          <w:rFonts w:asciiTheme="minorHAnsi" w:hAnsiTheme="minorHAnsi" w:cstheme="minorHAnsi"/>
          <w:color w:val="383838"/>
        </w:rPr>
        <w:t xml:space="preserve">association between the explanatory and the outcome variables </w:t>
      </w:r>
      <w:r w:rsidRPr="00000849">
        <w:rPr>
          <w:rFonts w:asciiTheme="minorHAnsi" w:hAnsiTheme="minorHAnsi" w:cstheme="minorHAnsi"/>
          <w:color w:val="383838"/>
        </w:rPr>
        <w:t xml:space="preserve">were tested </w:t>
      </w:r>
      <w:r w:rsidR="009E1F2C" w:rsidRPr="00000849">
        <w:rPr>
          <w:rFonts w:asciiTheme="minorHAnsi" w:hAnsiTheme="minorHAnsi" w:cstheme="minorHAnsi"/>
          <w:color w:val="383838"/>
        </w:rPr>
        <w:t>using</w:t>
      </w:r>
      <w:r w:rsidR="002F6DA2" w:rsidRPr="00000849">
        <w:rPr>
          <w:rFonts w:asciiTheme="minorHAnsi" w:hAnsiTheme="minorHAnsi" w:cstheme="minorHAnsi"/>
          <w:color w:val="383838"/>
        </w:rPr>
        <w:t xml:space="preserve"> Pearson</w:t>
      </w:r>
      <w:r w:rsidRPr="00000849">
        <w:rPr>
          <w:rFonts w:asciiTheme="minorHAnsi" w:hAnsiTheme="minorHAnsi" w:cstheme="minorHAnsi"/>
          <w:color w:val="383838"/>
        </w:rPr>
        <w:t xml:space="preserve"> chi-squared statistics.  </w:t>
      </w:r>
    </w:p>
    <w:p w14:paraId="424BA819" w14:textId="4C5E406B" w:rsidR="00452B19" w:rsidRPr="00000849" w:rsidRDefault="00452B19" w:rsidP="00452B1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56DA3298" w14:textId="50F232F6" w:rsidR="007E7A5B" w:rsidRPr="00000849" w:rsidRDefault="002006AA" w:rsidP="004E2350">
      <w:pPr>
        <w:pStyle w:val="Heading3"/>
      </w:pPr>
      <w:bookmarkStart w:id="80" w:name="_Toc51472122"/>
      <w:r w:rsidRPr="00000849">
        <w:t>4.8.</w:t>
      </w:r>
      <w:r w:rsidR="007E7A5B" w:rsidRPr="00000849">
        <w:t>1</w:t>
      </w:r>
      <w:r w:rsidR="007E7A5B" w:rsidRPr="00000849">
        <w:tab/>
      </w:r>
      <w:r w:rsidR="00F15269" w:rsidRPr="00000849">
        <w:t>L</w:t>
      </w:r>
      <w:r w:rsidR="007E7A5B" w:rsidRPr="00000849">
        <w:t>ogistic regression – single, multilevel, repeated measures</w:t>
      </w:r>
      <w:bookmarkEnd w:id="80"/>
    </w:p>
    <w:p w14:paraId="58D3DC97" w14:textId="77777777" w:rsidR="007E7A5B" w:rsidRPr="00000849" w:rsidRDefault="007E7A5B" w:rsidP="00452B1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1E5D89B" w14:textId="15655FD5" w:rsidR="00B75C34" w:rsidRPr="00000849" w:rsidRDefault="00452B19" w:rsidP="00452B19">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A series of regression analyses was performed to assess the demographic, socioeconomic and lifestyle</w:t>
      </w:r>
      <w:r w:rsidR="00813643" w:rsidRPr="00000849">
        <w:rPr>
          <w:rFonts w:asciiTheme="minorHAnsi" w:hAnsiTheme="minorHAnsi" w:cstheme="minorHAnsi"/>
          <w:color w:val="383838"/>
        </w:rPr>
        <w:t xml:space="preserve"> characteristics </w:t>
      </w:r>
      <w:r w:rsidRPr="00000849">
        <w:rPr>
          <w:rFonts w:asciiTheme="minorHAnsi" w:hAnsiTheme="minorHAnsi" w:cstheme="minorHAnsi"/>
          <w:color w:val="383838"/>
        </w:rPr>
        <w:t xml:space="preserve">associated with </w:t>
      </w:r>
      <w:r w:rsidR="00147661" w:rsidRPr="00000849">
        <w:rPr>
          <w:rFonts w:asciiTheme="minorHAnsi" w:hAnsiTheme="minorHAnsi" w:cstheme="minorHAnsi"/>
          <w:color w:val="383838"/>
        </w:rPr>
        <w:t xml:space="preserve">the prevalence of </w:t>
      </w:r>
      <w:r w:rsidRPr="00000849">
        <w:rPr>
          <w:rFonts w:asciiTheme="minorHAnsi" w:hAnsiTheme="minorHAnsi" w:cstheme="minorHAnsi"/>
          <w:color w:val="383838"/>
        </w:rPr>
        <w:t xml:space="preserve">hypertension </w:t>
      </w:r>
      <w:r w:rsidR="00813643" w:rsidRPr="00000849">
        <w:rPr>
          <w:rFonts w:asciiTheme="minorHAnsi" w:hAnsiTheme="minorHAnsi" w:cstheme="minorHAnsi"/>
          <w:color w:val="383838"/>
        </w:rPr>
        <w:t xml:space="preserve">defined </w:t>
      </w:r>
      <w:r w:rsidRPr="00000849">
        <w:rPr>
          <w:rFonts w:asciiTheme="minorHAnsi" w:hAnsiTheme="minorHAnsi" w:cstheme="minorHAnsi"/>
          <w:color w:val="383838"/>
        </w:rPr>
        <w:t>as a binary outcome.</w:t>
      </w:r>
      <w:r w:rsidR="0054772D" w:rsidRPr="00000849">
        <w:rPr>
          <w:rFonts w:asciiTheme="minorHAnsi" w:hAnsiTheme="minorHAnsi" w:cstheme="minorHAnsi"/>
          <w:color w:val="383838"/>
        </w:rPr>
        <w:t xml:space="preserve">  </w:t>
      </w:r>
      <w:r w:rsidR="00B316AD" w:rsidRPr="00000849">
        <w:rPr>
          <w:rFonts w:asciiTheme="minorHAnsi" w:hAnsiTheme="minorHAnsi" w:cstheme="minorHAnsi"/>
          <w:color w:val="383838"/>
        </w:rPr>
        <w:t>More specifically:</w:t>
      </w:r>
    </w:p>
    <w:p w14:paraId="189F910D" w14:textId="4F5856E9" w:rsidR="00B75C34" w:rsidRPr="00000849" w:rsidRDefault="004A4A38" w:rsidP="00B75C34">
      <w:pPr>
        <w:pStyle w:val="NormalWeb"/>
        <w:numPr>
          <w:ilvl w:val="0"/>
          <w:numId w:val="9"/>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Univariable</w:t>
      </w:r>
      <w:r w:rsidR="00787CC3" w:rsidRPr="00000849">
        <w:rPr>
          <w:rFonts w:asciiTheme="minorHAnsi" w:hAnsiTheme="minorHAnsi" w:cstheme="minorHAnsi"/>
          <w:color w:val="383838"/>
        </w:rPr>
        <w:t xml:space="preserve"> and standard </w:t>
      </w:r>
      <w:r w:rsidRPr="00000849">
        <w:rPr>
          <w:rFonts w:asciiTheme="minorHAnsi" w:hAnsiTheme="minorHAnsi" w:cstheme="minorHAnsi"/>
          <w:color w:val="383838"/>
        </w:rPr>
        <w:t>multivariable</w:t>
      </w:r>
      <w:r w:rsidR="00787CC3" w:rsidRPr="00000849">
        <w:rPr>
          <w:rFonts w:asciiTheme="minorHAnsi" w:hAnsiTheme="minorHAnsi" w:cstheme="minorHAnsi"/>
          <w:color w:val="383838"/>
        </w:rPr>
        <w:t xml:space="preserve"> logistic regression</w:t>
      </w:r>
      <w:r w:rsidR="00B316AD" w:rsidRPr="00000849">
        <w:rPr>
          <w:rFonts w:asciiTheme="minorHAnsi" w:hAnsiTheme="minorHAnsi" w:cstheme="minorHAnsi"/>
          <w:color w:val="383838"/>
        </w:rPr>
        <w:t>s</w:t>
      </w:r>
      <w:r w:rsidR="00787CC3" w:rsidRPr="00000849">
        <w:rPr>
          <w:rFonts w:asciiTheme="minorHAnsi" w:hAnsiTheme="minorHAnsi" w:cstheme="minorHAnsi"/>
          <w:color w:val="383838"/>
        </w:rPr>
        <w:t xml:space="preserve"> were run for each study wave.  </w:t>
      </w:r>
    </w:p>
    <w:p w14:paraId="24EEC9A9" w14:textId="0AC14797" w:rsidR="00452B19" w:rsidRPr="00000849" w:rsidRDefault="00787CC3" w:rsidP="00B75C34">
      <w:pPr>
        <w:pStyle w:val="NormalWeb"/>
        <w:numPr>
          <w:ilvl w:val="0"/>
          <w:numId w:val="9"/>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Then</w:t>
      </w:r>
      <w:r w:rsidR="00147661" w:rsidRPr="00000849">
        <w:rPr>
          <w:rFonts w:asciiTheme="minorHAnsi" w:hAnsiTheme="minorHAnsi" w:cstheme="minorHAnsi"/>
          <w:color w:val="383838"/>
        </w:rPr>
        <w:t>,</w:t>
      </w:r>
      <w:r w:rsidRPr="00000849">
        <w:rPr>
          <w:rFonts w:asciiTheme="minorHAnsi" w:hAnsiTheme="minorHAnsi" w:cstheme="minorHAnsi"/>
          <w:color w:val="383838"/>
        </w:rPr>
        <w:t xml:space="preserve"> multilevel </w:t>
      </w:r>
      <w:r w:rsidR="00147661" w:rsidRPr="00000849">
        <w:rPr>
          <w:rFonts w:asciiTheme="minorHAnsi" w:hAnsiTheme="minorHAnsi" w:cstheme="minorHAnsi"/>
          <w:color w:val="383838"/>
        </w:rPr>
        <w:t xml:space="preserve">(two- and three-level) random intercept </w:t>
      </w:r>
      <w:r w:rsidRPr="00000849">
        <w:rPr>
          <w:rFonts w:asciiTheme="minorHAnsi" w:hAnsiTheme="minorHAnsi" w:cstheme="minorHAnsi"/>
          <w:color w:val="383838"/>
        </w:rPr>
        <w:t xml:space="preserve">logistic regression </w:t>
      </w:r>
      <w:r w:rsidR="00147661" w:rsidRPr="00000849">
        <w:rPr>
          <w:rFonts w:asciiTheme="minorHAnsi" w:hAnsiTheme="minorHAnsi" w:cstheme="minorHAnsi"/>
          <w:color w:val="383838"/>
        </w:rPr>
        <w:t xml:space="preserve">models </w:t>
      </w:r>
      <w:r w:rsidRPr="00000849">
        <w:rPr>
          <w:rFonts w:asciiTheme="minorHAnsi" w:hAnsiTheme="minorHAnsi" w:cstheme="minorHAnsi"/>
          <w:color w:val="383838"/>
        </w:rPr>
        <w:t>w</w:t>
      </w:r>
      <w:r w:rsidR="00147661" w:rsidRPr="00000849">
        <w:rPr>
          <w:rFonts w:asciiTheme="minorHAnsi" w:hAnsiTheme="minorHAnsi" w:cstheme="minorHAnsi"/>
          <w:color w:val="383838"/>
        </w:rPr>
        <w:t>ere</w:t>
      </w:r>
      <w:r w:rsidRPr="00000849">
        <w:rPr>
          <w:rFonts w:asciiTheme="minorHAnsi" w:hAnsiTheme="minorHAnsi" w:cstheme="minorHAnsi"/>
          <w:color w:val="383838"/>
        </w:rPr>
        <w:t xml:space="preserve"> performed </w:t>
      </w:r>
      <w:r w:rsidR="00B75C34" w:rsidRPr="00000849">
        <w:rPr>
          <w:rFonts w:asciiTheme="minorHAnsi" w:hAnsiTheme="minorHAnsi" w:cstheme="minorHAnsi"/>
          <w:color w:val="383838"/>
        </w:rPr>
        <w:t>taking</w:t>
      </w:r>
      <w:r w:rsidRPr="00000849">
        <w:rPr>
          <w:rFonts w:asciiTheme="minorHAnsi" w:hAnsiTheme="minorHAnsi" w:cstheme="minorHAnsi"/>
          <w:color w:val="383838"/>
        </w:rPr>
        <w:t xml:space="preserve"> into account the hierarchical structure of the dataset with subjects (level 1) nested within households (level 2)</w:t>
      </w:r>
      <w:r w:rsidR="00147661" w:rsidRPr="00000849">
        <w:rPr>
          <w:rFonts w:asciiTheme="minorHAnsi" w:hAnsiTheme="minorHAnsi" w:cstheme="minorHAnsi"/>
          <w:color w:val="383838"/>
        </w:rPr>
        <w:t xml:space="preserve"> and the households nested within enumeration areas (level 3)</w:t>
      </w:r>
      <w:r w:rsidRPr="00000849">
        <w:rPr>
          <w:rFonts w:asciiTheme="minorHAnsi" w:hAnsiTheme="minorHAnsi" w:cstheme="minorHAnsi"/>
          <w:color w:val="383838"/>
        </w:rPr>
        <w:t xml:space="preserve">.  </w:t>
      </w:r>
    </w:p>
    <w:p w14:paraId="7A2652D3" w14:textId="7EDCACD4" w:rsidR="00C82F62" w:rsidRPr="00000849" w:rsidRDefault="00B75C34" w:rsidP="00CB279F">
      <w:pPr>
        <w:pStyle w:val="NormalWeb"/>
        <w:numPr>
          <w:ilvl w:val="0"/>
          <w:numId w:val="9"/>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Single level and multilevel </w:t>
      </w:r>
      <w:r w:rsidR="007E7A5B" w:rsidRPr="00000849">
        <w:rPr>
          <w:rFonts w:asciiTheme="minorHAnsi" w:hAnsiTheme="minorHAnsi" w:cstheme="minorHAnsi"/>
          <w:color w:val="383838"/>
        </w:rPr>
        <w:t>random effects</w:t>
      </w:r>
      <w:r w:rsidRPr="00000849">
        <w:rPr>
          <w:rFonts w:asciiTheme="minorHAnsi" w:hAnsiTheme="minorHAnsi" w:cstheme="minorHAnsi"/>
          <w:color w:val="383838"/>
        </w:rPr>
        <w:t xml:space="preserve"> analyses were performed with the study wave included as a </w:t>
      </w:r>
      <w:r w:rsidR="00147661" w:rsidRPr="00000849">
        <w:rPr>
          <w:rFonts w:asciiTheme="minorHAnsi" w:hAnsiTheme="minorHAnsi" w:cstheme="minorHAnsi"/>
          <w:color w:val="383838"/>
        </w:rPr>
        <w:t>categorical</w:t>
      </w:r>
      <w:r w:rsidRPr="00000849">
        <w:rPr>
          <w:rFonts w:asciiTheme="minorHAnsi" w:hAnsiTheme="minorHAnsi" w:cstheme="minorHAnsi"/>
          <w:color w:val="383838"/>
        </w:rPr>
        <w:t xml:space="preserve"> variable</w:t>
      </w:r>
      <w:r w:rsidR="00147661" w:rsidRPr="00000849">
        <w:rPr>
          <w:rFonts w:asciiTheme="minorHAnsi" w:hAnsiTheme="minorHAnsi" w:cstheme="minorHAnsi"/>
          <w:color w:val="383838"/>
        </w:rPr>
        <w:t xml:space="preserve"> to reflect time</w:t>
      </w:r>
      <w:r w:rsidRPr="00000849">
        <w:rPr>
          <w:rFonts w:asciiTheme="minorHAnsi" w:hAnsiTheme="minorHAnsi" w:cstheme="minorHAnsi"/>
          <w:color w:val="383838"/>
        </w:rPr>
        <w:t xml:space="preserve">.  </w:t>
      </w:r>
      <w:r w:rsidR="002F6DA2" w:rsidRPr="00000849">
        <w:rPr>
          <w:rFonts w:asciiTheme="minorHAnsi" w:hAnsiTheme="minorHAnsi" w:cstheme="minorHAnsi"/>
          <w:color w:val="383838"/>
        </w:rPr>
        <w:t xml:space="preserve">The aim was to assess the effects of household membership and not just individual level </w:t>
      </w:r>
      <w:r w:rsidR="002F6DA2" w:rsidRPr="00000849">
        <w:rPr>
          <w:rFonts w:asciiTheme="minorHAnsi" w:hAnsiTheme="minorHAnsi" w:cstheme="minorHAnsi"/>
          <w:color w:val="383838"/>
        </w:rPr>
        <w:lastRenderedPageBreak/>
        <w:t xml:space="preserve">differences </w:t>
      </w:r>
      <w:r w:rsidR="00C82F62" w:rsidRPr="00000849">
        <w:rPr>
          <w:rFonts w:asciiTheme="minorHAnsi" w:hAnsiTheme="minorHAnsi" w:cstheme="minorHAnsi"/>
          <w:color w:val="383838"/>
        </w:rPr>
        <w:t xml:space="preserve">as well as the effect of </w:t>
      </w:r>
      <w:r w:rsidR="0075255B" w:rsidRPr="00000849">
        <w:rPr>
          <w:rFonts w:asciiTheme="minorHAnsi" w:hAnsiTheme="minorHAnsi" w:cstheme="minorHAnsi"/>
          <w:color w:val="383838"/>
        </w:rPr>
        <w:t>the study wave</w:t>
      </w:r>
      <w:r w:rsidR="00C82F62" w:rsidRPr="00000849">
        <w:rPr>
          <w:rFonts w:asciiTheme="minorHAnsi" w:hAnsiTheme="minorHAnsi" w:cstheme="minorHAnsi"/>
          <w:color w:val="383838"/>
        </w:rPr>
        <w:t xml:space="preserve"> </w:t>
      </w:r>
      <w:r w:rsidR="002F6DA2" w:rsidRPr="00000849">
        <w:rPr>
          <w:rFonts w:asciiTheme="minorHAnsi" w:hAnsiTheme="minorHAnsi" w:cstheme="minorHAnsi"/>
          <w:color w:val="383838"/>
        </w:rPr>
        <w:t>on the prevalence of hypertension.</w:t>
      </w:r>
      <w:r w:rsidR="00CA17CB" w:rsidRPr="00000849">
        <w:rPr>
          <w:rFonts w:asciiTheme="minorHAnsi" w:hAnsiTheme="minorHAnsi" w:cstheme="minorHAnsi"/>
          <w:color w:val="383838"/>
        </w:rPr>
        <w:t xml:space="preserve">  </w:t>
      </w:r>
    </w:p>
    <w:p w14:paraId="28EB08EC" w14:textId="5CAB82A8" w:rsidR="00C82F62" w:rsidRPr="00000849" w:rsidRDefault="00C82F62" w:rsidP="00452B1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3AC04118" w14:textId="08A67CD3" w:rsidR="00333A43" w:rsidRPr="00000849" w:rsidRDefault="002006AA" w:rsidP="0075255B">
      <w:pPr>
        <w:pStyle w:val="Heading4"/>
      </w:pPr>
      <w:r w:rsidRPr="00000849">
        <w:t>4.8.</w:t>
      </w:r>
      <w:r w:rsidR="00333A43" w:rsidRPr="00000849">
        <w:t>1.1</w:t>
      </w:r>
      <w:r w:rsidR="00333A43" w:rsidRPr="00000849">
        <w:tab/>
        <w:t>Standard logistic regression</w:t>
      </w:r>
    </w:p>
    <w:p w14:paraId="680817C6" w14:textId="1984FA8C" w:rsidR="00333A43" w:rsidRPr="00000849" w:rsidRDefault="00333A43" w:rsidP="00452B1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31976867" w14:textId="35C10685" w:rsidR="00333A43" w:rsidRPr="00000849" w:rsidRDefault="002C2C53"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w:t>
      </w:r>
      <w:r w:rsidR="00333A43" w:rsidRPr="00000849">
        <w:rPr>
          <w:rFonts w:asciiTheme="minorHAnsi" w:hAnsiTheme="minorHAnsi" w:cstheme="minorHAnsi"/>
          <w:color w:val="383838"/>
        </w:rPr>
        <w:t xml:space="preserve">logistic regression model estimates the conditional probability that the outcome variable Y=1 </w:t>
      </w:r>
      <w:r w:rsidR="002E508A" w:rsidRPr="00000849">
        <w:rPr>
          <w:rFonts w:asciiTheme="minorHAnsi" w:hAnsiTheme="minorHAnsi" w:cstheme="minorHAnsi"/>
          <w:color w:val="383838"/>
        </w:rPr>
        <w:t xml:space="preserve">(in this case, Y=1 corresponds to having hypertension) </w:t>
      </w:r>
      <w:r w:rsidR="00333A43" w:rsidRPr="00000849">
        <w:rPr>
          <w:rFonts w:asciiTheme="minorHAnsi" w:hAnsiTheme="minorHAnsi" w:cstheme="minorHAnsi"/>
          <w:color w:val="383838"/>
        </w:rPr>
        <w:t>given a set of explanatory variables X</w:t>
      </w:r>
      <w:r w:rsidR="00333A43" w:rsidRPr="00000849">
        <w:rPr>
          <w:rFonts w:asciiTheme="minorHAnsi" w:hAnsiTheme="minorHAnsi" w:cstheme="minorHAnsi"/>
          <w:color w:val="383838"/>
          <w:vertAlign w:val="subscript"/>
        </w:rPr>
        <w:t>1</w:t>
      </w:r>
      <w:r w:rsidR="00333A43" w:rsidRPr="00000849">
        <w:rPr>
          <w:rFonts w:asciiTheme="minorHAnsi" w:hAnsiTheme="minorHAnsi" w:cstheme="minorHAnsi"/>
          <w:color w:val="383838"/>
        </w:rPr>
        <w:t>, X</w:t>
      </w:r>
      <w:r w:rsidR="00333A43" w:rsidRPr="00000849">
        <w:rPr>
          <w:rFonts w:asciiTheme="minorHAnsi" w:hAnsiTheme="minorHAnsi" w:cstheme="minorHAnsi"/>
          <w:color w:val="383838"/>
          <w:vertAlign w:val="subscript"/>
        </w:rPr>
        <w:t>2</w:t>
      </w:r>
      <w:r w:rsidR="00333A43" w:rsidRPr="00000849">
        <w:rPr>
          <w:rFonts w:asciiTheme="minorHAnsi" w:hAnsiTheme="minorHAnsi" w:cstheme="minorHAnsi"/>
          <w:color w:val="383838"/>
        </w:rPr>
        <w:t>, …, X</w:t>
      </w:r>
      <w:r w:rsidR="00333A43" w:rsidRPr="00000849">
        <w:rPr>
          <w:rFonts w:asciiTheme="minorHAnsi" w:hAnsiTheme="minorHAnsi" w:cstheme="minorHAnsi"/>
          <w:color w:val="383838"/>
          <w:vertAlign w:val="subscript"/>
        </w:rPr>
        <w:t>k</w:t>
      </w:r>
      <w:r w:rsidR="00333A43" w:rsidRPr="00000849">
        <w:rPr>
          <w:rFonts w:asciiTheme="minorHAnsi" w:hAnsiTheme="minorHAnsi" w:cstheme="minorHAnsi"/>
          <w:color w:val="383838"/>
        </w:rPr>
        <w:t xml:space="preserve">.  </w:t>
      </w:r>
      <w:r w:rsidR="00B14FD4" w:rsidRPr="00000849">
        <w:rPr>
          <w:rFonts w:asciiTheme="minorHAnsi" w:hAnsiTheme="minorHAnsi" w:cstheme="minorHAnsi"/>
          <w:color w:val="383838"/>
        </w:rPr>
        <w:t>Such</w:t>
      </w:r>
      <w:r w:rsidR="00333A43" w:rsidRPr="00000849">
        <w:rPr>
          <w:rFonts w:asciiTheme="minorHAnsi" w:hAnsiTheme="minorHAnsi" w:cstheme="minorHAnsi"/>
          <w:color w:val="383838"/>
        </w:rPr>
        <w:t xml:space="preserve"> probability is estimated using </w:t>
      </w:r>
      <w:r w:rsidR="00CB279F" w:rsidRPr="00000849">
        <w:rPr>
          <w:rFonts w:asciiTheme="minorHAnsi" w:hAnsiTheme="minorHAnsi" w:cstheme="minorHAnsi"/>
          <w:color w:val="383838"/>
        </w:rPr>
        <w:t>the</w:t>
      </w:r>
      <w:r w:rsidR="00333A43" w:rsidRPr="00000849">
        <w:rPr>
          <w:rFonts w:asciiTheme="minorHAnsi" w:hAnsiTheme="minorHAnsi" w:cstheme="minorHAnsi"/>
          <w:color w:val="383838"/>
        </w:rPr>
        <w:t xml:space="preserve"> logistic </w:t>
      </w:r>
      <w:r w:rsidR="00CB279F" w:rsidRPr="00000849">
        <w:rPr>
          <w:rFonts w:asciiTheme="minorHAnsi" w:hAnsiTheme="minorHAnsi" w:cstheme="minorHAnsi"/>
          <w:color w:val="383838"/>
        </w:rPr>
        <w:t xml:space="preserve">regression equation </w:t>
      </w:r>
      <w:r w:rsidR="00CB279F" w:rsidRPr="00000849">
        <w:rPr>
          <w:rFonts w:asciiTheme="minorHAnsi" w:hAnsiTheme="minorHAnsi" w:cstheme="minorHAnsi"/>
          <w:color w:val="383838"/>
        </w:rPr>
        <w:fldChar w:fldCharType="begin"/>
      </w:r>
      <w:r w:rsidR="00CB279F" w:rsidRPr="00000849">
        <w:rPr>
          <w:rFonts w:asciiTheme="minorHAnsi" w:hAnsiTheme="minorHAnsi" w:cstheme="minorHAnsi"/>
          <w:color w:val="383838"/>
        </w:rPr>
        <w:instrText xml:space="preserve"> ADDIN EN.CITE &lt;EndNote&gt;&lt;Cite&gt;&lt;Author&gt;Field&lt;/Author&gt;&lt;Year&gt;2009&lt;/Year&gt;&lt;RecNum&gt;1065&lt;/RecNum&gt;&lt;DisplayText&gt;(Field, 2009)&lt;/DisplayText&gt;&lt;record&gt;&lt;rec-number&gt;1065&lt;/rec-number&gt;&lt;foreign-keys&gt;&lt;key app="EN" db-id="9tzf2rda8re2a9es5tuxart3swzx2zws2s02" timestamp="1578402758"&gt;1065&lt;/key&gt;&lt;/foreign-keys&gt;&lt;ref-type name="Book"&gt;6&lt;/ref-type&gt;&lt;contributors&gt;&lt;authors&gt;&lt;author&gt;Field, Andy&lt;/author&gt;&lt;/authors&gt;&lt;/contributors&gt;&lt;titles&gt;&lt;title&gt;Discovering Statistics Using SPSS&lt;/title&gt;&lt;/titles&gt;&lt;pages&gt;822&lt;/pages&gt;&lt;edition&gt;Third&lt;/edition&gt;&lt;dates&gt;&lt;year&gt;2009&lt;/year&gt;&lt;/dates&gt;&lt;pub-location&gt;London&lt;/pub-location&gt;&lt;publisher&gt;SAGE Publications Ltd&lt;/publisher&gt;&lt;isbn&gt;978-1-84787-906-6&lt;/isbn&gt;&lt;urls&gt;&lt;/urls&gt;&lt;/record&gt;&lt;/Cite&gt;&lt;/EndNote&gt;</w:instrText>
      </w:r>
      <w:r w:rsidR="00CB279F" w:rsidRPr="00000849">
        <w:rPr>
          <w:rFonts w:asciiTheme="minorHAnsi" w:hAnsiTheme="minorHAnsi" w:cstheme="minorHAnsi"/>
          <w:color w:val="383838"/>
        </w:rPr>
        <w:fldChar w:fldCharType="separate"/>
      </w:r>
      <w:r w:rsidR="00CB279F" w:rsidRPr="00000849">
        <w:rPr>
          <w:rFonts w:asciiTheme="minorHAnsi" w:hAnsiTheme="minorHAnsi" w:cstheme="minorHAnsi"/>
          <w:noProof/>
          <w:color w:val="383838"/>
        </w:rPr>
        <w:t>(Field, 2009)</w:t>
      </w:r>
      <w:r w:rsidR="00CB279F" w:rsidRPr="00000849">
        <w:rPr>
          <w:rFonts w:asciiTheme="minorHAnsi" w:hAnsiTheme="minorHAnsi" w:cstheme="minorHAnsi"/>
          <w:color w:val="383838"/>
        </w:rPr>
        <w:fldChar w:fldCharType="end"/>
      </w:r>
      <w:r w:rsidR="00CB279F" w:rsidRPr="00000849">
        <w:rPr>
          <w:rFonts w:asciiTheme="minorHAnsi" w:hAnsiTheme="minorHAnsi" w:cstheme="minorHAnsi"/>
          <w:color w:val="383838"/>
        </w:rPr>
        <w:t>:</w:t>
      </w:r>
      <w:r w:rsidR="00333A43" w:rsidRPr="00000849">
        <w:rPr>
          <w:rFonts w:asciiTheme="minorHAnsi" w:hAnsiTheme="minorHAnsi" w:cstheme="minorHAnsi"/>
          <w:color w:val="383838"/>
        </w:rPr>
        <w:t xml:space="preserve">  </w:t>
      </w:r>
    </w:p>
    <w:p w14:paraId="188D01AD" w14:textId="77777777" w:rsidR="00333A43" w:rsidRPr="00000849" w:rsidRDefault="00333A43"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485FD8C" w14:textId="64F66E1E" w:rsidR="00333A43" w:rsidRPr="00000849" w:rsidRDefault="00F1750A" w:rsidP="00333A43">
      <w:pPr>
        <w:pStyle w:val="NormalWeb"/>
        <w:shd w:val="clear" w:color="auto" w:fill="FFFFFF"/>
        <w:spacing w:before="0" w:beforeAutospacing="0" w:after="165" w:afterAutospacing="0" w:line="480" w:lineRule="auto"/>
        <w:jc w:val="center"/>
        <w:rPr>
          <w:rFonts w:asciiTheme="minorHAnsi" w:hAnsiTheme="minorHAnsi" w:cstheme="minorHAnsi"/>
          <w:color w:val="383838"/>
        </w:rPr>
      </w:pPr>
      <w:r w:rsidRPr="00000849">
        <w:rPr>
          <w:rFonts w:asciiTheme="minorHAnsi" w:hAnsiTheme="minorHAnsi" w:cstheme="minorHAnsi"/>
          <w:noProof/>
          <w:color w:val="383838"/>
        </w:rPr>
        <w:object w:dxaOrig="4980" w:dyaOrig="620" w14:anchorId="54DA99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19.25pt;height:39.25pt;mso-width-percent:0;mso-height-percent:0;mso-width-percent:0;mso-height-percent:0" o:ole="" fillcolor="window">
            <v:imagedata r:id="rId23" o:title=""/>
          </v:shape>
          <o:OLEObject Type="Embed" ProgID="Equation.3" ShapeID="_x0000_i1025" DrawAspect="Content" ObjectID="_1682449254" r:id="rId24"/>
        </w:object>
      </w:r>
      <w:r w:rsidR="00CB279F" w:rsidRPr="00000849">
        <w:rPr>
          <w:rFonts w:asciiTheme="minorHAnsi" w:hAnsiTheme="minorHAnsi" w:cstheme="minorHAnsi"/>
          <w:noProof/>
          <w:color w:val="383838"/>
        </w:rPr>
        <w:tab/>
      </w:r>
      <w:r w:rsidR="00CB279F" w:rsidRPr="00000849">
        <w:rPr>
          <w:rFonts w:asciiTheme="minorHAnsi" w:hAnsiTheme="minorHAnsi" w:cstheme="minorHAnsi"/>
          <w:noProof/>
          <w:color w:val="383838"/>
        </w:rPr>
        <w:tab/>
        <w:t>(4.2)</w:t>
      </w:r>
    </w:p>
    <w:p w14:paraId="535CCA6F" w14:textId="5CEB5AF3" w:rsidR="00333A43" w:rsidRPr="00000849" w:rsidRDefault="00333A43"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4C0D0540" w14:textId="2726F04B" w:rsidR="00CB279F" w:rsidRPr="00000849" w:rsidRDefault="00CB279F"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Where</w:t>
      </w:r>
      <w:r w:rsidR="00523F6E" w:rsidRPr="00000849">
        <w:rPr>
          <w:rFonts w:asciiTheme="minorHAnsi" w:hAnsiTheme="minorHAnsi" w:cstheme="minorHAnsi"/>
          <w:color w:val="383838"/>
        </w:rPr>
        <w:t>:</w:t>
      </w:r>
    </w:p>
    <w:p w14:paraId="5DE6F261" w14:textId="779D30BA" w:rsidR="00CB279F" w:rsidRPr="00000849" w:rsidRDefault="00CB279F"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e = base of natural logarithm</w:t>
      </w:r>
    </w:p>
    <w:p w14:paraId="6463504C" w14:textId="168E481F" w:rsidR="00CB279F" w:rsidRPr="00000849" w:rsidRDefault="00523F6E"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β</w:t>
      </w:r>
      <w:r w:rsidRPr="00000849">
        <w:rPr>
          <w:rFonts w:asciiTheme="minorHAnsi" w:hAnsiTheme="minorHAnsi" w:cstheme="minorHAnsi"/>
          <w:color w:val="383838"/>
          <w:vertAlign w:val="subscript"/>
        </w:rPr>
        <w:t>0</w:t>
      </w:r>
      <w:r w:rsidRPr="00000849">
        <w:rPr>
          <w:rFonts w:asciiTheme="minorHAnsi" w:hAnsiTheme="minorHAnsi" w:cstheme="minorHAnsi"/>
          <w:color w:val="383838"/>
        </w:rPr>
        <w:t xml:space="preserve">  = intercept (constant)</w:t>
      </w:r>
    </w:p>
    <w:p w14:paraId="69211C00" w14:textId="119D916F" w:rsidR="00523F6E" w:rsidRPr="00000849" w:rsidRDefault="00523F6E"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β</w:t>
      </w:r>
      <w:r w:rsidRPr="00000849">
        <w:rPr>
          <w:rFonts w:asciiTheme="minorHAnsi" w:hAnsiTheme="minorHAnsi" w:cstheme="minorHAnsi"/>
          <w:color w:val="383838"/>
          <w:vertAlign w:val="subscript"/>
        </w:rPr>
        <w:t>1…k</w:t>
      </w:r>
      <w:r w:rsidRPr="00000849">
        <w:rPr>
          <w:rFonts w:asciiTheme="minorHAnsi" w:hAnsiTheme="minorHAnsi" w:cstheme="minorHAnsi"/>
          <w:color w:val="383838"/>
        </w:rPr>
        <w:t xml:space="preserve"> = </w:t>
      </w:r>
      <w:r w:rsidRPr="00920AA1">
        <w:rPr>
          <w:rFonts w:asciiTheme="minorHAnsi" w:hAnsiTheme="minorHAnsi" w:cstheme="minorHAnsi"/>
          <w:color w:val="383838"/>
        </w:rPr>
        <w:t>corresponding estimated coefficients of explanatory variables</w:t>
      </w:r>
      <w:r w:rsidRPr="00000849">
        <w:rPr>
          <w:rFonts w:asciiTheme="minorHAnsi" w:hAnsiTheme="minorHAnsi" w:cstheme="minorHAnsi"/>
        </w:rPr>
        <w:t xml:space="preserve"> X</w:t>
      </w:r>
      <w:r w:rsidRPr="00000849">
        <w:rPr>
          <w:rFonts w:asciiTheme="minorHAnsi" w:hAnsiTheme="minorHAnsi" w:cstheme="minorHAnsi"/>
          <w:vertAlign w:val="subscript"/>
        </w:rPr>
        <w:t>1</w:t>
      </w:r>
      <w:r w:rsidRPr="00000849">
        <w:rPr>
          <w:rFonts w:asciiTheme="minorHAnsi" w:hAnsiTheme="minorHAnsi" w:cstheme="minorHAnsi"/>
        </w:rPr>
        <w:t>…X</w:t>
      </w:r>
      <w:r w:rsidRPr="00000849">
        <w:rPr>
          <w:rFonts w:asciiTheme="minorHAnsi" w:hAnsiTheme="minorHAnsi" w:cstheme="minorHAnsi"/>
          <w:vertAlign w:val="subscript"/>
        </w:rPr>
        <w:t>k</w:t>
      </w:r>
    </w:p>
    <w:p w14:paraId="585A2BA4" w14:textId="77777777" w:rsidR="00CB279F" w:rsidRPr="00000849" w:rsidRDefault="00CB279F"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9CEF7CA" w14:textId="33F7B143" w:rsidR="00333A43" w:rsidRPr="00000849" w:rsidRDefault="00333A43"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A logit-transformation enables a linear relationship between the logs-odds of the outcome variable and the predictor variables.  The logit form</w:t>
      </w:r>
      <w:r w:rsidR="00523F6E" w:rsidRPr="00000849">
        <w:rPr>
          <w:rFonts w:asciiTheme="minorHAnsi" w:hAnsiTheme="minorHAnsi" w:cstheme="minorHAnsi"/>
          <w:color w:val="383838"/>
        </w:rPr>
        <w:t xml:space="preserve"> in equation 4.3</w:t>
      </w:r>
      <w:r w:rsidRPr="00000849">
        <w:rPr>
          <w:rFonts w:asciiTheme="minorHAnsi" w:hAnsiTheme="minorHAnsi" w:cstheme="minorHAnsi"/>
          <w:color w:val="383838"/>
        </w:rPr>
        <w:t xml:space="preserve"> shows the outcome variable Y as the logs odds equals 1:</w:t>
      </w:r>
    </w:p>
    <w:p w14:paraId="0404D6B4" w14:textId="77777777" w:rsidR="00333A43" w:rsidRPr="00000849" w:rsidRDefault="00333A43"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48AD7475" w14:textId="5C1042B7" w:rsidR="00333A43" w:rsidRPr="00000849" w:rsidRDefault="00F1750A" w:rsidP="00333A43">
      <w:pPr>
        <w:tabs>
          <w:tab w:val="left" w:pos="-1440"/>
          <w:tab w:val="left" w:pos="-720"/>
          <w:tab w:val="left" w:pos="0"/>
          <w:tab w:val="left" w:pos="144"/>
          <w:tab w:val="left" w:pos="288"/>
          <w:tab w:val="left" w:pos="432"/>
          <w:tab w:val="left" w:pos="576"/>
          <w:tab w:val="left" w:pos="720"/>
          <w:tab w:val="left" w:pos="864"/>
          <w:tab w:val="left" w:pos="1008"/>
          <w:tab w:val="left" w:pos="1152"/>
          <w:tab w:val="left" w:pos="1296"/>
          <w:tab w:val="left" w:pos="1440"/>
          <w:tab w:val="left" w:pos="1584"/>
          <w:tab w:val="left" w:pos="1728"/>
          <w:tab w:val="left" w:pos="1872"/>
        </w:tabs>
        <w:jc w:val="center"/>
      </w:pPr>
      <w:r w:rsidRPr="00000849">
        <w:rPr>
          <w:noProof/>
          <w:position w:val="-30"/>
        </w:rPr>
        <w:object w:dxaOrig="5420" w:dyaOrig="720" w14:anchorId="24079E67">
          <v:shape id="_x0000_i1026" type="#_x0000_t75" alt="" style="width:327pt;height:43pt;mso-width-percent:0;mso-height-percent:0;mso-width-percent:0;mso-height-percent:0" o:ole="" fillcolor="window">
            <v:imagedata r:id="rId25" o:title=""/>
          </v:shape>
          <o:OLEObject Type="Embed" ProgID="Equation.DSMT4" ShapeID="_x0000_i1026" DrawAspect="Content" ObjectID="_1682449255" r:id="rId26"/>
        </w:object>
      </w:r>
      <w:r w:rsidR="00523F6E" w:rsidRPr="00000849">
        <w:rPr>
          <w:noProof/>
        </w:rPr>
        <w:tab/>
        <w:t>(4.3)</w:t>
      </w:r>
    </w:p>
    <w:p w14:paraId="415987C4" w14:textId="77777777" w:rsidR="00333A43" w:rsidRPr="00000849" w:rsidRDefault="00333A43"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2BA4D2F" w14:textId="6842D42C" w:rsidR="00333A43" w:rsidRPr="00000849" w:rsidRDefault="00AC3909"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parameters</w:t>
      </w:r>
      <w:r w:rsidR="00333A43" w:rsidRPr="00000849">
        <w:rPr>
          <w:rFonts w:asciiTheme="minorHAnsi" w:hAnsiTheme="minorHAnsi" w:cstheme="minorHAnsi"/>
          <w:color w:val="383838"/>
        </w:rPr>
        <w:t>, the beta coefficients (</w:t>
      </w:r>
      <w:r w:rsidR="00333A43" w:rsidRPr="00000849">
        <w:rPr>
          <w:rFonts w:ascii="Symbol" w:hAnsi="Symbol"/>
        </w:rPr>
        <w:t></w:t>
      </w:r>
      <w:r w:rsidR="00333A43" w:rsidRPr="00000849">
        <w:rPr>
          <w:vertAlign w:val="subscript"/>
        </w:rPr>
        <w:t xml:space="preserve">0, </w:t>
      </w:r>
      <w:r w:rsidR="00333A43" w:rsidRPr="00000849">
        <w:rPr>
          <w:rFonts w:ascii="Symbol" w:hAnsi="Symbol"/>
        </w:rPr>
        <w:t></w:t>
      </w:r>
      <w:r w:rsidR="00333A43" w:rsidRPr="00000849">
        <w:rPr>
          <w:vertAlign w:val="subscript"/>
        </w:rPr>
        <w:t xml:space="preserve">1, …, </w:t>
      </w:r>
      <w:r w:rsidR="00333A43" w:rsidRPr="00000849">
        <w:rPr>
          <w:rFonts w:ascii="Symbol" w:hAnsi="Symbol"/>
        </w:rPr>
        <w:t></w:t>
      </w:r>
      <w:r w:rsidR="00333A43" w:rsidRPr="00000849">
        <w:rPr>
          <w:vertAlign w:val="subscript"/>
        </w:rPr>
        <w:t>k</w:t>
      </w:r>
      <w:r w:rsidR="00333A43" w:rsidRPr="00000849">
        <w:t xml:space="preserve">) </w:t>
      </w:r>
      <w:r w:rsidR="00333A43" w:rsidRPr="00000849">
        <w:rPr>
          <w:rFonts w:asciiTheme="minorHAnsi" w:hAnsiTheme="minorHAnsi" w:cstheme="minorHAnsi"/>
          <w:color w:val="383838"/>
        </w:rPr>
        <w:t xml:space="preserve">in </w:t>
      </w:r>
      <w:r w:rsidR="009964B2" w:rsidRPr="00000849">
        <w:rPr>
          <w:rFonts w:asciiTheme="minorHAnsi" w:hAnsiTheme="minorHAnsi" w:cstheme="minorHAnsi"/>
          <w:color w:val="383838"/>
        </w:rPr>
        <w:t xml:space="preserve">a </w:t>
      </w:r>
      <w:r w:rsidR="00333A43" w:rsidRPr="00000849">
        <w:rPr>
          <w:rFonts w:asciiTheme="minorHAnsi" w:hAnsiTheme="minorHAnsi" w:cstheme="minorHAnsi"/>
          <w:color w:val="383838"/>
        </w:rPr>
        <w:t>logistic regression</w:t>
      </w:r>
      <w:r w:rsidRPr="00000849">
        <w:rPr>
          <w:rFonts w:asciiTheme="minorHAnsi" w:hAnsiTheme="minorHAnsi" w:cstheme="minorHAnsi"/>
          <w:color w:val="383838"/>
        </w:rPr>
        <w:t xml:space="preserve">, </w:t>
      </w:r>
      <w:r w:rsidR="00333A43" w:rsidRPr="00000849">
        <w:rPr>
          <w:rFonts w:asciiTheme="minorHAnsi" w:hAnsiTheme="minorHAnsi" w:cstheme="minorHAnsi"/>
          <w:color w:val="383838"/>
        </w:rPr>
        <w:t xml:space="preserve">are estimated by maximum likelihood estimation methods.  </w:t>
      </w:r>
      <w:r w:rsidRPr="00000849">
        <w:rPr>
          <w:rFonts w:asciiTheme="minorHAnsi" w:hAnsiTheme="minorHAnsi" w:cstheme="minorHAnsi"/>
          <w:color w:val="383838"/>
        </w:rPr>
        <w:t>Th</w:t>
      </w:r>
      <w:r w:rsidR="001256F2" w:rsidRPr="00000849">
        <w:rPr>
          <w:rFonts w:asciiTheme="minorHAnsi" w:hAnsiTheme="minorHAnsi" w:cstheme="minorHAnsi"/>
          <w:color w:val="383838"/>
        </w:rPr>
        <w:t xml:space="preserve">ey represent </w:t>
      </w:r>
      <w:r w:rsidRPr="00000849">
        <w:rPr>
          <w:rFonts w:asciiTheme="minorHAnsi" w:hAnsiTheme="minorHAnsi" w:cstheme="minorHAnsi"/>
          <w:color w:val="383838"/>
        </w:rPr>
        <w:t xml:space="preserve">the </w:t>
      </w:r>
      <w:r w:rsidR="001256F2" w:rsidRPr="00000849">
        <w:rPr>
          <w:rFonts w:asciiTheme="minorHAnsi" w:hAnsiTheme="minorHAnsi" w:cstheme="minorHAnsi"/>
          <w:color w:val="383838"/>
        </w:rPr>
        <w:t>intercept (</w:t>
      </w:r>
      <w:r w:rsidR="001256F2" w:rsidRPr="00000849">
        <w:rPr>
          <w:rFonts w:ascii="Symbol" w:hAnsi="Symbol"/>
        </w:rPr>
        <w:t></w:t>
      </w:r>
      <w:r w:rsidR="001256F2" w:rsidRPr="00000849">
        <w:rPr>
          <w:vertAlign w:val="subscript"/>
        </w:rPr>
        <w:t>0</w:t>
      </w:r>
      <w:r w:rsidR="001256F2" w:rsidRPr="00000849">
        <w:t xml:space="preserve">) or </w:t>
      </w:r>
      <w:r w:rsidRPr="00000849">
        <w:rPr>
          <w:rFonts w:asciiTheme="minorHAnsi" w:hAnsiTheme="minorHAnsi" w:cstheme="minorHAnsi"/>
          <w:color w:val="383838"/>
        </w:rPr>
        <w:t>slope</w:t>
      </w:r>
      <w:r w:rsidR="001256F2" w:rsidRPr="00000849">
        <w:rPr>
          <w:rFonts w:asciiTheme="minorHAnsi" w:hAnsiTheme="minorHAnsi" w:cstheme="minorHAnsi"/>
          <w:color w:val="383838"/>
        </w:rPr>
        <w:t xml:space="preserve"> (e.g. </w:t>
      </w:r>
      <w:r w:rsidR="001256F2" w:rsidRPr="00000849">
        <w:rPr>
          <w:rFonts w:ascii="Symbol" w:hAnsi="Symbol"/>
        </w:rPr>
        <w:t></w:t>
      </w:r>
      <w:r w:rsidR="001256F2" w:rsidRPr="00000849">
        <w:rPr>
          <w:vertAlign w:val="subscript"/>
        </w:rPr>
        <w:t>1</w:t>
      </w:r>
      <w:r w:rsidRPr="00000849">
        <w:rPr>
          <w:rFonts w:asciiTheme="minorHAnsi" w:hAnsiTheme="minorHAnsi" w:cstheme="minorHAnsi"/>
          <w:color w:val="383838"/>
        </w:rPr>
        <w:t>)</w:t>
      </w:r>
      <w:r w:rsidR="001256F2" w:rsidRPr="00000849">
        <w:rPr>
          <w:rFonts w:asciiTheme="minorHAnsi" w:hAnsiTheme="minorHAnsi" w:cstheme="minorHAnsi"/>
          <w:color w:val="383838"/>
        </w:rPr>
        <w:t xml:space="preserve">.  </w:t>
      </w:r>
      <w:r w:rsidR="00333A43" w:rsidRPr="00000849">
        <w:rPr>
          <w:rFonts w:asciiTheme="minorHAnsi" w:hAnsiTheme="minorHAnsi" w:cstheme="minorHAnsi"/>
          <w:color w:val="383838"/>
        </w:rPr>
        <w:t xml:space="preserve">A </w:t>
      </w:r>
      <w:r w:rsidR="00333A43" w:rsidRPr="00000849">
        <w:rPr>
          <w:rFonts w:ascii="Symbol" w:hAnsi="Symbol"/>
        </w:rPr>
        <w:t></w:t>
      </w:r>
      <w:r w:rsidR="00333A43" w:rsidRPr="00000849">
        <w:rPr>
          <w:vertAlign w:val="subscript"/>
        </w:rPr>
        <w:t>1</w:t>
      </w:r>
      <w:r w:rsidR="00333A43" w:rsidRPr="00000849">
        <w:rPr>
          <w:rFonts w:asciiTheme="minorHAnsi" w:hAnsiTheme="minorHAnsi" w:cstheme="minorHAnsi"/>
          <w:color w:val="383838"/>
        </w:rPr>
        <w:t xml:space="preserve"> of 2.0 means that an increase of 2.0 in the log odds of the outcome occurring, holding all other variables in the model constant.  More intuitively, the exp(</w:t>
      </w:r>
      <w:r w:rsidR="00333A43" w:rsidRPr="00000849">
        <w:rPr>
          <w:rFonts w:ascii="Symbol" w:hAnsi="Symbol"/>
        </w:rPr>
        <w:t></w:t>
      </w:r>
      <w:r w:rsidR="00333A43" w:rsidRPr="00000849">
        <w:rPr>
          <w:vertAlign w:val="subscript"/>
        </w:rPr>
        <w:t>1</w:t>
      </w:r>
      <w:r w:rsidR="00333A43" w:rsidRPr="00000849">
        <w:rPr>
          <w:rFonts w:asciiTheme="minorHAnsi" w:hAnsiTheme="minorHAnsi" w:cstheme="minorHAnsi"/>
          <w:color w:val="383838"/>
        </w:rPr>
        <w:t>) or e</w:t>
      </w:r>
      <w:r w:rsidR="00333A43" w:rsidRPr="00000849">
        <w:rPr>
          <w:rFonts w:asciiTheme="minorHAnsi" w:hAnsiTheme="minorHAnsi" w:cstheme="minorHAnsi"/>
          <w:color w:val="383838"/>
          <w:vertAlign w:val="superscript"/>
        </w:rPr>
        <w:t>2.0</w:t>
      </w:r>
      <w:r w:rsidR="00333A43" w:rsidRPr="00000849">
        <w:rPr>
          <w:rFonts w:asciiTheme="minorHAnsi" w:hAnsiTheme="minorHAnsi" w:cstheme="minorHAnsi"/>
          <w:color w:val="383838"/>
        </w:rPr>
        <w:t xml:space="preserve"> = 7.39</w:t>
      </w:r>
      <w:r w:rsidR="00F15269" w:rsidRPr="00000849">
        <w:rPr>
          <w:rFonts w:asciiTheme="minorHAnsi" w:hAnsiTheme="minorHAnsi" w:cstheme="minorHAnsi"/>
          <w:color w:val="383838"/>
        </w:rPr>
        <w:t>,</w:t>
      </w:r>
      <w:r w:rsidR="00333A43" w:rsidRPr="00000849">
        <w:rPr>
          <w:rFonts w:asciiTheme="minorHAnsi" w:hAnsiTheme="minorHAnsi" w:cstheme="minorHAnsi"/>
          <w:color w:val="383838"/>
        </w:rPr>
        <w:t xml:space="preserve"> indicate</w:t>
      </w:r>
      <w:r w:rsidR="00F15269" w:rsidRPr="00000849">
        <w:rPr>
          <w:rFonts w:asciiTheme="minorHAnsi" w:hAnsiTheme="minorHAnsi" w:cstheme="minorHAnsi"/>
          <w:color w:val="383838"/>
        </w:rPr>
        <w:t>s</w:t>
      </w:r>
      <w:r w:rsidR="00333A43" w:rsidRPr="00000849">
        <w:rPr>
          <w:rFonts w:asciiTheme="minorHAnsi" w:hAnsiTheme="minorHAnsi" w:cstheme="minorHAnsi"/>
          <w:color w:val="383838"/>
        </w:rPr>
        <w:t xml:space="preserve"> that odds of the outcome occurring is 7.39 times the odds that it does not occur.  The odds ratio is also used to compare the odds that the event occurs when the explanatory variable has one value versus when it has a reference value.</w:t>
      </w:r>
    </w:p>
    <w:p w14:paraId="3BFDF506" w14:textId="77777777" w:rsidR="00F15269" w:rsidRPr="00000849" w:rsidRDefault="00F15269" w:rsidP="00F1526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18ADC212" w14:textId="48FC4E3E" w:rsidR="00F15269" w:rsidRPr="00000849" w:rsidRDefault="002006AA" w:rsidP="0075255B">
      <w:pPr>
        <w:pStyle w:val="Heading4"/>
      </w:pPr>
      <w:r w:rsidRPr="00000849">
        <w:t>4.8.</w:t>
      </w:r>
      <w:r w:rsidR="00F15269" w:rsidRPr="00000849">
        <w:t>1.2</w:t>
      </w:r>
      <w:r w:rsidR="00F15269" w:rsidRPr="00000849">
        <w:tab/>
        <w:t>Multilevel logistic regression model</w:t>
      </w:r>
      <w:r w:rsidR="00104786" w:rsidRPr="00000849">
        <w:t>s of the separate study waves</w:t>
      </w:r>
    </w:p>
    <w:p w14:paraId="5CFAECAD" w14:textId="77777777" w:rsidR="00F15269" w:rsidRPr="00000849" w:rsidRDefault="00F15269" w:rsidP="00F1526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5F7AE8F1" w14:textId="3371EC27" w:rsidR="006C3764" w:rsidRPr="00000849" w:rsidRDefault="006C3764" w:rsidP="006C3764">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Multilevel modelling (MLM) is variously known as hierarchical level modelling, random coefficient models, random effects models, random parameter models, nested models, mixed models or variance component models to reflect the multiple fields in which the statistical method was developed</w:t>
      </w:r>
      <w:r w:rsidR="00AC3909" w:rsidRPr="00000849">
        <w:rPr>
          <w:rFonts w:asciiTheme="minorHAnsi" w:hAnsiTheme="minorHAnsi" w:cstheme="minorHAnsi"/>
          <w:color w:val="383838"/>
        </w:rPr>
        <w:t xml:space="preserve"> </w:t>
      </w:r>
      <w:r w:rsidR="00AC3909" w:rsidRPr="00000849">
        <w:rPr>
          <w:rFonts w:asciiTheme="minorHAnsi" w:hAnsiTheme="minorHAnsi" w:cstheme="minorHAnsi"/>
          <w:color w:val="383838"/>
        </w:rPr>
        <w:fldChar w:fldCharType="begin"/>
      </w:r>
      <w:r w:rsidR="00AC3909" w:rsidRPr="00000849">
        <w:rPr>
          <w:rFonts w:asciiTheme="minorHAnsi" w:hAnsiTheme="minorHAnsi" w:cstheme="minorHAnsi"/>
          <w:color w:val="383838"/>
        </w:rPr>
        <w:instrText xml:space="preserve"> ADDIN EN.CITE &lt;EndNote&gt;&lt;Cite&gt;&lt;Author&gt;Garson&lt;/Author&gt;&lt;Year&gt;2013&lt;/Year&gt;&lt;RecNum&gt;1148&lt;/RecNum&gt;&lt;DisplayText&gt;(Garson, 2013)&lt;/DisplayText&gt;&lt;record&gt;&lt;rec-number&gt;1148&lt;/rec-number&gt;&lt;foreign-keys&gt;&lt;key app="EN" db-id="9tzf2rda8re2a9es5tuxart3swzx2zws2s02" timestamp="1581927638"&gt;1148&lt;/key&gt;&lt;/foreign-keys&gt;&lt;ref-type name="Book"&gt;6&lt;/ref-type&gt;&lt;contributors&gt;&lt;authors&gt;&lt;author&gt;Garson, G David&lt;/author&gt;&lt;/authors&gt;&lt;/contributors&gt;&lt;titles&gt;&lt;title&gt;Hierarchical linear modeling: Guide and applications&lt;/title&gt;&lt;/titles&gt;&lt;dates&gt;&lt;year&gt;2013&lt;/year&gt;&lt;/dates&gt;&lt;pub-location&gt;Thousand Oaks, California&lt;/pub-location&gt;&lt;publisher&gt;SAGE Publications Inc.&lt;/publisher&gt;&lt;isbn&gt;1412998859&lt;/isbn&gt;&lt;urls&gt;&lt;/urls&gt;&lt;/record&gt;&lt;/Cite&gt;&lt;/EndNote&gt;</w:instrText>
      </w:r>
      <w:r w:rsidR="00AC3909" w:rsidRPr="00000849">
        <w:rPr>
          <w:rFonts w:asciiTheme="minorHAnsi" w:hAnsiTheme="minorHAnsi" w:cstheme="minorHAnsi"/>
          <w:color w:val="383838"/>
        </w:rPr>
        <w:fldChar w:fldCharType="separate"/>
      </w:r>
      <w:r w:rsidR="00AC3909" w:rsidRPr="00000849">
        <w:rPr>
          <w:rFonts w:asciiTheme="minorHAnsi" w:hAnsiTheme="minorHAnsi" w:cstheme="minorHAnsi"/>
          <w:noProof/>
          <w:color w:val="383838"/>
        </w:rPr>
        <w:t>(Garson, 2013)</w:t>
      </w:r>
      <w:r w:rsidR="00AC3909"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It takes into account the nested or hierarchical structure of the data.  For example, students are nested within classrooms which are in turn, nested within schools.  This example represents a three-level nesting, with the students at Level 1, classrooms at Level 2 and schools at Level 3.  </w:t>
      </w:r>
      <w:r w:rsidR="001256F2" w:rsidRPr="00000849">
        <w:rPr>
          <w:rFonts w:asciiTheme="minorHAnsi" w:hAnsiTheme="minorHAnsi" w:cstheme="minorHAnsi"/>
          <w:color w:val="383838"/>
        </w:rPr>
        <w:t xml:space="preserve">In the health setting, the patients are at Level 1, consulting doctors at Level 2 and </w:t>
      </w:r>
      <w:r w:rsidR="001256F2" w:rsidRPr="00000849">
        <w:rPr>
          <w:rFonts w:asciiTheme="minorHAnsi" w:hAnsiTheme="minorHAnsi" w:cstheme="minorHAnsi"/>
          <w:color w:val="383838"/>
        </w:rPr>
        <w:lastRenderedPageBreak/>
        <w:t xml:space="preserve">hospitals at Level 3.  </w:t>
      </w:r>
      <w:r w:rsidRPr="00000849">
        <w:rPr>
          <w:rFonts w:asciiTheme="minorHAnsi" w:hAnsiTheme="minorHAnsi" w:cstheme="minorHAnsi"/>
          <w:color w:val="383838"/>
        </w:rPr>
        <w:t xml:space="preserve">Longitudinal data </w:t>
      </w:r>
      <w:r w:rsidR="00F93997" w:rsidRPr="00000849">
        <w:rPr>
          <w:rFonts w:asciiTheme="minorHAnsi" w:hAnsiTheme="minorHAnsi" w:cstheme="minorHAnsi"/>
          <w:color w:val="383838"/>
        </w:rPr>
        <w:t>could also be considered</w:t>
      </w:r>
      <w:r w:rsidRPr="00000849">
        <w:rPr>
          <w:rFonts w:asciiTheme="minorHAnsi" w:hAnsiTheme="minorHAnsi" w:cstheme="minorHAnsi"/>
          <w:color w:val="383838"/>
        </w:rPr>
        <w:t xml:space="preserve"> another type of multilevel data in which the measurement occasions (Level 1) are nested in the individual (Level 2)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&lt;EndNote&gt;&lt;Cite&gt;&lt;Author&gt;Robson&lt;/Author&gt;&lt;Year&gt;2016&lt;/Year&gt;&lt;RecNum&gt;1053&lt;/RecNum&gt;&lt;DisplayText&gt;(Robson &amp;amp; Pevalin, 2016)&lt;/DisplayText&gt;&lt;record&gt;&lt;rec-number&gt;1053&lt;/rec-number&gt;&lt;foreign-keys&gt;&lt;key app="EN" db-id="9tzf2rda8re2a9es5tuxart3swzx2zws2s02" timestamp="1577366305"&gt;1053&lt;/key&gt;&lt;/foreign-keys&gt;&lt;ref-type name="Book"&gt;6&lt;/ref-type&gt;&lt;contributors&gt;&lt;authors&gt;&lt;author&gt;Robson, Karen&lt;/author&gt;&lt;author&gt;Pevalin, David&lt;/author&gt;&lt;/authors&gt;&lt;/contributors&gt;&lt;titles&gt;&lt;title&gt;Multilevel modeling in plain language&lt;/title&gt;&lt;/titles&gt;&lt;dates&gt;&lt;year&gt;2016&lt;/year&gt;&lt;/dates&gt;&lt;pub-location&gt;London&lt;/pub-location&gt;&lt;publisher&gt;SAGE Publicaitons Ltd&lt;/publisher&gt;&lt;isbn&gt;1473934311&lt;/isbn&gt;&lt;urls&gt;&lt;/urls&gt;&lt;/record&gt;&lt;/Cite&gt;&lt;/EndNote&gt;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(Robson &amp; Pevalin, 2016)</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p>
    <w:p w14:paraId="00AF7BC6" w14:textId="7116D44F" w:rsidR="003E7B21" w:rsidRPr="00000849" w:rsidRDefault="003E7B21" w:rsidP="006C3764">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Without considering the nested structure of the data, the assumption of independence will be violated since there is dependence among the observations.  Individuals belonging to a cluster such as a household tend to share measured and unmeasured characteristics or behaviour that are related to the outcome.  Thus, the model assesses variation between individuals (Level 1) as well as between the households (Level 2).  Ignoring the nested structure leads to incorrect estimation of the standard errors and a tendency to find statistically significant associations where none exist (Type I error)</w:t>
      </w:r>
      <w:r w:rsidR="00915302" w:rsidRPr="00000849">
        <w:rPr>
          <w:rFonts w:asciiTheme="minorHAnsi" w:hAnsiTheme="minorHAnsi" w:cstheme="minorHAnsi"/>
          <w:color w:val="383838"/>
        </w:rPr>
        <w:t xml:space="preserve"> </w:t>
      </w:r>
      <w:r w:rsidR="00915302" w:rsidRPr="00000849">
        <w:rPr>
          <w:rFonts w:asciiTheme="minorHAnsi" w:hAnsiTheme="minorHAnsi" w:cstheme="minorHAnsi"/>
          <w:color w:val="383838"/>
        </w:rPr>
        <w:fldChar w:fldCharType="begin"/>
      </w:r>
      <w:r w:rsidR="00915302" w:rsidRPr="00000849">
        <w:rPr>
          <w:rFonts w:asciiTheme="minorHAnsi" w:hAnsiTheme="minorHAnsi" w:cstheme="minorHAnsi"/>
          <w:color w:val="383838"/>
        </w:rPr>
        <w:instrText xml:space="preserve"> ADDIN EN.CITE &lt;EndNote&gt;&lt;Cite&gt;&lt;Author&gt;Steele&lt;/Author&gt;&lt;Year&gt;2008&lt;/Year&gt;&lt;RecNum&gt;1661&lt;/RecNum&gt;&lt;DisplayText&gt;(Steele, 2008)&lt;/DisplayText&gt;&lt;record&gt;&lt;rec-number&gt;1661&lt;/rec-number&gt;&lt;foreign-keys&gt;&lt;key app="EN" db-id="9tzf2rda8re2a9es5tuxart3swzx2zws2s02" timestamp="1596302298"&gt;1661&lt;/key&gt;&lt;/foreign-keys&gt;&lt;ref-type name="Report"&gt;27&lt;/ref-type&gt;&lt;contributors&gt;&lt;authors&gt;&lt;author&gt;Steele, F&lt;/author&gt;&lt;/authors&gt;&lt;/contributors&gt;&lt;titles&gt;&lt;title&gt;Module 5: Introduction to Multilevel modelling concepts&lt;/title&gt;&lt;/titles&gt;&lt;dates&gt;&lt;year&gt;2008&lt;/year&gt;&lt;/dates&gt;&lt;pub-location&gt;Bristol&lt;/pub-location&gt;&lt;publisher&gt;Center for multilevel modelling, University of Bristol&lt;/publisher&gt;&lt;urls&gt;&lt;related-urls&gt;&lt;url&gt;https://www.cmm.bris.ac.uk/lemma/mod/resource/view.php?id=193&lt;/url&gt;&lt;/related-urls&gt;&lt;/urls&gt;&lt;access-date&gt;01 August 2020&lt;/access-date&gt;&lt;/record&gt;&lt;/Cite&gt;&lt;/EndNote&gt;</w:instrText>
      </w:r>
      <w:r w:rsidR="00915302" w:rsidRPr="00000849">
        <w:rPr>
          <w:rFonts w:asciiTheme="minorHAnsi" w:hAnsiTheme="minorHAnsi" w:cstheme="minorHAnsi"/>
          <w:color w:val="383838"/>
        </w:rPr>
        <w:fldChar w:fldCharType="separate"/>
      </w:r>
      <w:r w:rsidR="00915302" w:rsidRPr="00000849">
        <w:rPr>
          <w:rFonts w:asciiTheme="minorHAnsi" w:hAnsiTheme="minorHAnsi" w:cstheme="minorHAnsi"/>
          <w:noProof/>
          <w:color w:val="383838"/>
        </w:rPr>
        <w:t>(Steele, 2008)</w:t>
      </w:r>
      <w:r w:rsidR="00915302"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Conclusions arising from such spurious analyses may have major policy implications.  That said, nested datasets do not automatically require MLM as there may not significant variation between the level 2 units in relation to the outcome variable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&lt;EndNote&gt;&lt;Cite&gt;&lt;Author&gt;Peugh&lt;/Author&gt;&lt;Year&gt;2010&lt;/Year&gt;&lt;RecNum&gt;1049&lt;/RecNum&gt;&lt;DisplayText&gt;(Peugh, 2010)&lt;/DisplayText&gt;&lt;record&gt;&lt;rec-number&gt;1049&lt;/rec-number&gt;&lt;foreign-keys&gt;&lt;key app="EN" db-id="9tzf2rda8re2a9es5tuxart3swzx2zws2s02" timestamp="1577304730"&gt;1049&lt;/key&gt;&lt;/foreign-keys&gt;&lt;ref-type name="Journal Article"&gt;17&lt;/ref-type&gt;&lt;contributors&gt;&lt;authors&gt;&lt;author&gt;Peugh, James L&lt;/author&gt;&lt;/authors&gt;&lt;/contributors&gt;&lt;titles&gt;&lt;title&gt;A practical guide to multilevel modeling&lt;/title&gt;&lt;secondary-title&gt;Journal of Shool Psychology&lt;/secondary-title&gt;&lt;/titles&gt;&lt;periodical&gt;&lt;full-title&gt;Journal of Shool Psychology&lt;/full-title&gt;&lt;/periodical&gt;&lt;pages&gt;85-112&lt;/pages&gt;&lt;volume&gt;48&lt;/volume&gt;&lt;number&gt;1&lt;/number&gt;&lt;dates&gt;&lt;year&gt;2010&lt;/year&gt;&lt;/dates&gt;&lt;isbn&gt;0022-4405&lt;/isbn&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(Peugh, 2010)</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p>
    <w:p w14:paraId="10B87862" w14:textId="0E5B0C80" w:rsidR="00104786" w:rsidRPr="00000849" w:rsidRDefault="00104786" w:rsidP="006C3764">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MLM allows for between- and within-group effects to be studied, can accommodate non-independence of observations, missing data, absence of a balanced design or equally spaced measurements, and heterogeneity of variance across repeated measures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&lt;EndNote&gt;&lt;Cite&gt;&lt;Author&gt;Woltman&lt;/Author&gt;&lt;Year&gt;2012&lt;/Year&gt;&lt;RecNum&gt;1051&lt;/RecNum&gt;&lt;DisplayText&gt;(Field, 2009; Woltman et al., 2012)&lt;/DisplayText&gt;&lt;record&gt;&lt;rec-number&gt;1051&lt;/rec-number&gt;&lt;foreign-keys&gt;&lt;key app="EN" db-id="9tzf2rda8re2a9es5tuxart3swzx2zws2s02" timestamp="1577363595"&gt;1051&lt;/key&gt;&lt;/foreign-keys&gt;&lt;ref-type name="Journal Article"&gt;17&lt;/ref-type&gt;&lt;contributors&gt;&lt;authors&gt;&lt;author&gt;Woltman, Heather&lt;/author&gt;&lt;author&gt;Feldstain, Andrea&lt;/author&gt;&lt;author&gt;MacKay, J Christine&lt;/author&gt;&lt;author&gt;Rocchi, Meredith&lt;/author&gt;&lt;/authors&gt;&lt;/contributors&gt;&lt;titles&gt;&lt;title&gt;An introduction to hierarchical linear modeling&lt;/title&gt;&lt;secondary-title&gt;Tutorials in Quantitative Methods for Psychology&lt;/secondary-title&gt;&lt;/titles&gt;&lt;periodical&gt;&lt;full-title&gt;Tutorials in Quantitative Methods for Psychology&lt;/full-title&gt;&lt;/periodical&gt;&lt;pages&gt;52-69&lt;/pages&gt;&lt;volume&gt;8&lt;/volume&gt;&lt;number&gt;1&lt;/number&gt;&lt;dates&gt;&lt;year&gt;2012&lt;/year&gt;&lt;/dates&gt;&lt;urls&gt;&lt;/urls&gt;&lt;/record&gt;&lt;/Cite&gt;&lt;Cite&gt;&lt;Author&gt;Field&lt;/Author&gt;&lt;Year&gt;2009&lt;/Year&gt;&lt;RecNum&gt;1065&lt;/RecNum&gt;&lt;record&gt;&lt;rec-number&gt;1065&lt;/rec-number&gt;&lt;foreign-keys&gt;&lt;key app="EN" db-id="9tzf2rda8re2a9es5tuxart3swzx2zws2s02" timestamp="1578402758"&gt;1065&lt;/key&gt;&lt;/foreign-keys&gt;&lt;ref-type name="Book"&gt;6&lt;/ref-type&gt;&lt;contributors&gt;&lt;authors&gt;&lt;author&gt;Field, Andy&lt;/author&gt;&lt;/authors&gt;&lt;/contributors&gt;&lt;titles&gt;&lt;title&gt;Discovering Statistics Using SPSS&lt;/title&gt;&lt;/titles&gt;&lt;pages&gt;822&lt;/pages&gt;&lt;edition&gt;Third&lt;/edition&gt;&lt;dates&gt;&lt;year&gt;2009&lt;/year&gt;&lt;/dates&gt;&lt;pub-location&gt;London&lt;/pub-location&gt;&lt;publisher&gt;SAGE Publications Ltd&lt;/publisher&gt;&lt;isbn&gt;978-1-84787-906-6&lt;/isbn&gt;&lt;urls&gt;&lt;/urls&gt;&lt;/record&gt;&lt;/Cite&gt;&lt;/EndNote&gt;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(Field, 2009; Woltman et al., 2012)</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It provides accurate estimates of regression coefficients and standard errors.  </w:t>
      </w:r>
    </w:p>
    <w:p w14:paraId="401351E0" w14:textId="5FA7A80F" w:rsidR="002006FA" w:rsidRPr="00000849" w:rsidRDefault="001256F2" w:rsidP="002006FA">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Unlike the standard (single level) logistic regression, in MLM, the intercept or slope or both are allowed to vary </w:t>
      </w:r>
      <w:r w:rsidR="002006FA" w:rsidRPr="00000849">
        <w:rPr>
          <w:rFonts w:asciiTheme="minorHAnsi" w:hAnsiTheme="minorHAnsi" w:cstheme="minorHAnsi"/>
          <w:color w:val="383838"/>
        </w:rPr>
        <w:t xml:space="preserve">according to a distribution.  The random </w:t>
      </w:r>
      <w:r w:rsidR="00333A43" w:rsidRPr="00000849">
        <w:rPr>
          <w:rFonts w:asciiTheme="minorHAnsi" w:hAnsiTheme="minorHAnsi" w:cstheme="minorHAnsi"/>
          <w:color w:val="383838"/>
        </w:rPr>
        <w:t>intercept multilevel model</w:t>
      </w:r>
      <w:r w:rsidR="002006FA" w:rsidRPr="00000849">
        <w:rPr>
          <w:rFonts w:asciiTheme="minorHAnsi" w:hAnsiTheme="minorHAnsi" w:cstheme="minorHAnsi"/>
          <w:color w:val="383838"/>
        </w:rPr>
        <w:t xml:space="preserve"> </w:t>
      </w:r>
      <w:r w:rsidR="00E2006E" w:rsidRPr="00000849">
        <w:rPr>
          <w:rFonts w:asciiTheme="minorHAnsi" w:hAnsiTheme="minorHAnsi" w:cstheme="minorHAnsi"/>
          <w:color w:val="383838"/>
        </w:rPr>
        <w:t>takes the form</w:t>
      </w:r>
      <w:r w:rsidR="002006FA" w:rsidRPr="00000849">
        <w:rPr>
          <w:rFonts w:asciiTheme="minorHAnsi" w:hAnsiTheme="minorHAnsi" w:cstheme="minorHAnsi"/>
          <w:color w:val="383838"/>
        </w:rPr>
        <w:t>:</w:t>
      </w:r>
    </w:p>
    <w:p w14:paraId="27138F2C" w14:textId="7291DB1F" w:rsidR="00333A43" w:rsidRPr="00000849" w:rsidRDefault="00333A43"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028F508" w14:textId="093328BD" w:rsidR="00F05525" w:rsidRPr="00000849" w:rsidRDefault="00F1750A" w:rsidP="00065A8C">
      <w:pPr>
        <w:pStyle w:val="NormalWeb"/>
        <w:shd w:val="clear" w:color="auto" w:fill="FFFFFF"/>
        <w:spacing w:before="0" w:beforeAutospacing="0" w:after="165" w:afterAutospacing="0" w:line="480" w:lineRule="auto"/>
        <w:jc w:val="center"/>
        <w:rPr>
          <w:rFonts w:asciiTheme="minorHAnsi" w:hAnsiTheme="minorHAnsi" w:cstheme="minorHAnsi"/>
          <w:color w:val="383838"/>
          <w:lang w:val="en-US"/>
        </w:rPr>
      </w:pPr>
      <w:r w:rsidRPr="00000849">
        <w:rPr>
          <w:noProof/>
          <w:position w:val="-38"/>
        </w:rPr>
        <w:object w:dxaOrig="4459" w:dyaOrig="880" w14:anchorId="331B553F">
          <v:shape id="_x0000_i1027" type="#_x0000_t75" alt="" style="width:295pt;height:58.75pt;mso-width-percent:0;mso-height-percent:0;mso-width-percent:0;mso-height-percent:0" o:ole="">
            <v:imagedata r:id="rId27" o:title=""/>
          </v:shape>
          <o:OLEObject Type="Embed" ProgID="Equation.DSMT4" ShapeID="_x0000_i1027" DrawAspect="Content" ObjectID="_1682449256" r:id="rId28"/>
        </w:object>
      </w:r>
      <w:r w:rsidR="00BF0A1A" w:rsidRPr="00000849">
        <w:rPr>
          <w:noProof/>
        </w:rPr>
        <w:tab/>
      </w:r>
      <w:r w:rsidR="00BF0A1A" w:rsidRPr="00000849">
        <w:rPr>
          <w:rFonts w:asciiTheme="minorHAnsi" w:hAnsiTheme="minorHAnsi" w:cstheme="minorHAnsi"/>
          <w:noProof/>
        </w:rPr>
        <w:tab/>
        <w:t>(4.4)</w:t>
      </w:r>
    </w:p>
    <w:p w14:paraId="2300060E" w14:textId="19F4A64C" w:rsidR="00F05525" w:rsidRPr="00000849" w:rsidRDefault="00F05525" w:rsidP="00333A43">
      <w:pPr>
        <w:pStyle w:val="NormalWeb"/>
        <w:shd w:val="clear" w:color="auto" w:fill="FFFFFF"/>
        <w:spacing w:before="0" w:beforeAutospacing="0" w:after="165" w:afterAutospacing="0" w:line="480" w:lineRule="auto"/>
        <w:jc w:val="both"/>
        <w:rPr>
          <w:rFonts w:asciiTheme="minorHAnsi" w:hAnsiTheme="minorHAnsi" w:cstheme="minorHAnsi"/>
          <w:color w:val="383838"/>
          <w:lang w:val="en-US"/>
        </w:rPr>
      </w:pPr>
    </w:p>
    <w:p w14:paraId="6CDDB1FC" w14:textId="5243D90A" w:rsidR="0022144E" w:rsidRPr="00000849" w:rsidRDefault="0003600E" w:rsidP="0022144E">
      <w:pPr>
        <w:tabs>
          <w:tab w:val="left" w:pos="-1008"/>
          <w:tab w:val="left" w:pos="-288"/>
          <w:tab w:val="left" w:pos="0"/>
          <w:tab w:val="left" w:pos="360"/>
          <w:tab w:val="left" w:pos="432"/>
          <w:tab w:val="left" w:pos="720"/>
          <w:tab w:val="left" w:pos="1080"/>
          <w:tab w:val="left" w:pos="1152"/>
          <w:tab w:val="left" w:pos="1440"/>
          <w:tab w:val="left" w:pos="1800"/>
          <w:tab w:val="left" w:pos="1872"/>
          <w:tab w:val="left" w:pos="2160"/>
          <w:tab w:val="left" w:pos="2520"/>
          <w:tab w:val="left" w:pos="2592"/>
          <w:tab w:val="left" w:pos="2880"/>
          <w:tab w:val="left" w:pos="3240"/>
          <w:tab w:val="left" w:pos="3312"/>
          <w:tab w:val="left" w:pos="3600"/>
          <w:tab w:val="left" w:pos="4032"/>
          <w:tab w:val="left" w:pos="4752"/>
          <w:tab w:val="left" w:pos="5472"/>
          <w:tab w:val="left" w:pos="6192"/>
          <w:tab w:val="left" w:pos="6912"/>
          <w:tab w:val="left" w:pos="7632"/>
          <w:tab w:val="left" w:pos="8352"/>
          <w:tab w:val="left" w:pos="9072"/>
          <w:tab w:val="left" w:pos="9792"/>
        </w:tabs>
        <w:spacing w:line="480" w:lineRule="auto"/>
        <w:ind w:left="360"/>
        <w:rPr>
          <w:sz w:val="24"/>
          <w:szCs w:val="24"/>
        </w:rPr>
      </w:pPr>
      <w:r w:rsidRPr="00000849">
        <w:rPr>
          <w:sz w:val="24"/>
          <w:szCs w:val="24"/>
        </w:rPr>
        <w:t>w</w:t>
      </w:r>
      <w:r w:rsidR="0022144E" w:rsidRPr="00000849">
        <w:rPr>
          <w:sz w:val="24"/>
          <w:szCs w:val="24"/>
        </w:rPr>
        <w:t>here</w:t>
      </w:r>
    </w:p>
    <w:p w14:paraId="04CA6BC6" w14:textId="0FEA2C01" w:rsidR="0022144E" w:rsidRPr="00000849" w:rsidRDefault="0022144E" w:rsidP="0022144E">
      <w:pPr>
        <w:tabs>
          <w:tab w:val="left" w:pos="-1008"/>
          <w:tab w:val="left" w:pos="-288"/>
          <w:tab w:val="left" w:pos="0"/>
          <w:tab w:val="left" w:pos="360"/>
          <w:tab w:val="left" w:pos="432"/>
          <w:tab w:val="left" w:pos="720"/>
          <w:tab w:val="left" w:pos="1080"/>
          <w:tab w:val="left" w:pos="1152"/>
          <w:tab w:val="left" w:pos="1440"/>
          <w:tab w:val="left" w:pos="1800"/>
          <w:tab w:val="left" w:pos="1872"/>
          <w:tab w:val="left" w:pos="2160"/>
          <w:tab w:val="left" w:pos="2520"/>
          <w:tab w:val="left" w:pos="2592"/>
          <w:tab w:val="left" w:pos="2880"/>
          <w:tab w:val="left" w:pos="3240"/>
          <w:tab w:val="left" w:pos="3312"/>
          <w:tab w:val="left" w:pos="3600"/>
          <w:tab w:val="left" w:pos="4032"/>
          <w:tab w:val="left" w:pos="4752"/>
          <w:tab w:val="left" w:pos="5472"/>
          <w:tab w:val="left" w:pos="6192"/>
          <w:tab w:val="left" w:pos="6912"/>
          <w:tab w:val="left" w:pos="7632"/>
          <w:tab w:val="left" w:pos="8352"/>
          <w:tab w:val="left" w:pos="9072"/>
          <w:tab w:val="left" w:pos="9792"/>
        </w:tabs>
        <w:spacing w:line="480" w:lineRule="auto"/>
        <w:ind w:left="360"/>
        <w:rPr>
          <w:sz w:val="24"/>
          <w:szCs w:val="24"/>
        </w:rPr>
      </w:pPr>
      <w:r w:rsidRPr="00000849">
        <w:t>log</w:t>
      </w:r>
      <w:r w:rsidR="00F1750A" w:rsidRPr="00000849">
        <w:rPr>
          <w:noProof/>
          <w:position w:val="-38"/>
        </w:rPr>
        <w:object w:dxaOrig="880" w:dyaOrig="880" w14:anchorId="0428DE29">
          <v:shape id="_x0000_i1028" type="#_x0000_t75" alt="" style="width:44.5pt;height:44.5pt;mso-width-percent:0;mso-height-percent:0;mso-width-percent:0;mso-height-percent:0" o:ole="">
            <v:imagedata r:id="rId29" o:title=""/>
          </v:shape>
          <o:OLEObject Type="Embed" ProgID="Equation.DSMT4" ShapeID="_x0000_i1028" DrawAspect="Content" ObjectID="_1682449257" r:id="rId30"/>
        </w:object>
      </w:r>
      <w:r w:rsidRPr="00000849">
        <w:t xml:space="preserve"> = log odds of the outcome =1 or in this study; or that an </w:t>
      </w:r>
      <w:r w:rsidRPr="00000849">
        <w:rPr>
          <w:i/>
          <w:iCs/>
        </w:rPr>
        <w:t>i</w:t>
      </w:r>
      <w:r w:rsidRPr="00000849">
        <w:t xml:space="preserve">th individual </w:t>
      </w:r>
      <w:r w:rsidRPr="00000849">
        <w:rPr>
          <w:sz w:val="24"/>
          <w:szCs w:val="24"/>
        </w:rPr>
        <w:t xml:space="preserve">Level 1 unit) </w:t>
      </w:r>
      <w:r w:rsidRPr="00000849">
        <w:t xml:space="preserve">in household </w:t>
      </w:r>
      <w:r w:rsidRPr="00000849">
        <w:rPr>
          <w:i/>
          <w:iCs/>
        </w:rPr>
        <w:t>j</w:t>
      </w:r>
      <w:r w:rsidRPr="00000849">
        <w:t xml:space="preserve"> </w:t>
      </w:r>
      <w:r w:rsidRPr="00000849">
        <w:rPr>
          <w:sz w:val="24"/>
          <w:szCs w:val="24"/>
        </w:rPr>
        <w:t xml:space="preserve">(Level 2 unit) </w:t>
      </w:r>
      <w:r w:rsidRPr="00000849">
        <w:t>has hypertension</w:t>
      </w:r>
    </w:p>
    <w:p w14:paraId="3DDD6257" w14:textId="277D541A" w:rsidR="0022144E" w:rsidRPr="00000849" w:rsidRDefault="0022144E" w:rsidP="0003600E">
      <w:pPr>
        <w:tabs>
          <w:tab w:val="left" w:pos="-1008"/>
          <w:tab w:val="left" w:pos="-288"/>
          <w:tab w:val="left" w:pos="0"/>
          <w:tab w:val="left" w:pos="360"/>
          <w:tab w:val="left" w:pos="432"/>
          <w:tab w:val="left" w:pos="720"/>
          <w:tab w:val="left" w:pos="1080"/>
          <w:tab w:val="left" w:pos="1152"/>
          <w:tab w:val="left" w:pos="1440"/>
          <w:tab w:val="left" w:pos="1800"/>
          <w:tab w:val="left" w:pos="1872"/>
          <w:tab w:val="left" w:pos="2160"/>
          <w:tab w:val="left" w:pos="2520"/>
          <w:tab w:val="left" w:pos="2592"/>
          <w:tab w:val="left" w:pos="2880"/>
          <w:tab w:val="left" w:pos="3240"/>
          <w:tab w:val="left" w:pos="3312"/>
          <w:tab w:val="left" w:pos="3600"/>
          <w:tab w:val="left" w:pos="4032"/>
          <w:tab w:val="left" w:pos="4752"/>
          <w:tab w:val="left" w:pos="5472"/>
          <w:tab w:val="left" w:pos="6192"/>
          <w:tab w:val="left" w:pos="6912"/>
          <w:tab w:val="left" w:pos="7632"/>
          <w:tab w:val="left" w:pos="8352"/>
          <w:tab w:val="left" w:pos="9072"/>
          <w:tab w:val="left" w:pos="9792"/>
        </w:tabs>
        <w:spacing w:line="480" w:lineRule="auto"/>
        <w:ind w:left="360"/>
        <w:jc w:val="both"/>
        <w:rPr>
          <w:sz w:val="24"/>
          <w:szCs w:val="24"/>
        </w:rPr>
      </w:pPr>
      <w:r w:rsidRPr="00000849">
        <w:rPr>
          <w:rFonts w:ascii="Symbol" w:hAnsi="Symbol"/>
          <w:sz w:val="24"/>
          <w:szCs w:val="24"/>
        </w:rPr>
        <w:t></w:t>
      </w:r>
      <w:r w:rsidRPr="00000849">
        <w:rPr>
          <w:sz w:val="24"/>
          <w:szCs w:val="24"/>
          <w:vertAlign w:val="subscript"/>
        </w:rPr>
        <w:t>0</w:t>
      </w:r>
      <w:r w:rsidRPr="00000849">
        <w:rPr>
          <w:sz w:val="24"/>
          <w:szCs w:val="24"/>
        </w:rPr>
        <w:t xml:space="preserve">  = intercept or the overall mean of Y across all groups</w:t>
      </w:r>
      <w:r w:rsidR="002F0F35" w:rsidRPr="00000849">
        <w:rPr>
          <w:sz w:val="24"/>
          <w:szCs w:val="24"/>
        </w:rPr>
        <w:t xml:space="preserve">; the log odds that </w:t>
      </w:r>
      <w:r w:rsidR="005E0BEC" w:rsidRPr="00000849">
        <w:rPr>
          <w:sz w:val="24"/>
          <w:szCs w:val="24"/>
        </w:rPr>
        <w:t>Y</w:t>
      </w:r>
      <w:r w:rsidR="002F0F35" w:rsidRPr="00000849">
        <w:rPr>
          <w:sz w:val="24"/>
          <w:szCs w:val="24"/>
        </w:rPr>
        <w:t xml:space="preserve">=1 when </w:t>
      </w:r>
      <w:r w:rsidR="005E0BEC" w:rsidRPr="00000849">
        <w:rPr>
          <w:sz w:val="24"/>
          <w:szCs w:val="24"/>
        </w:rPr>
        <w:t>X</w:t>
      </w:r>
      <w:r w:rsidR="002F0F35" w:rsidRPr="00000849">
        <w:rPr>
          <w:sz w:val="24"/>
          <w:szCs w:val="24"/>
        </w:rPr>
        <w:t xml:space="preserve">=0 and </w:t>
      </w:r>
      <w:r w:rsidR="002F0F35" w:rsidRPr="00000849">
        <w:rPr>
          <w:rFonts w:cstheme="minorHAnsi"/>
          <w:sz w:val="24"/>
          <w:szCs w:val="24"/>
        </w:rPr>
        <w:t>µ</w:t>
      </w:r>
      <w:r w:rsidRPr="00000849">
        <w:rPr>
          <w:sz w:val="24"/>
          <w:szCs w:val="24"/>
        </w:rPr>
        <w:t xml:space="preserve"> </w:t>
      </w:r>
      <w:r w:rsidR="002F0F35" w:rsidRPr="00000849">
        <w:rPr>
          <w:sz w:val="24"/>
          <w:szCs w:val="24"/>
        </w:rPr>
        <w:t>=0</w:t>
      </w:r>
      <w:r w:rsidR="003E2E0B" w:rsidRPr="00000849">
        <w:rPr>
          <w:sz w:val="24"/>
          <w:szCs w:val="24"/>
        </w:rPr>
        <w:t xml:space="preserve"> (overall prevalence of hypertension in the absence of any predictor variables )</w:t>
      </w:r>
    </w:p>
    <w:p w14:paraId="0FDB5179" w14:textId="5857CCD0" w:rsidR="002F0F35" w:rsidRPr="00000849" w:rsidRDefault="002F0F35" w:rsidP="0003600E">
      <w:pPr>
        <w:tabs>
          <w:tab w:val="left" w:pos="-1008"/>
          <w:tab w:val="left" w:pos="-288"/>
          <w:tab w:val="left" w:pos="0"/>
          <w:tab w:val="left" w:pos="360"/>
          <w:tab w:val="left" w:pos="432"/>
          <w:tab w:val="left" w:pos="720"/>
          <w:tab w:val="left" w:pos="1080"/>
          <w:tab w:val="left" w:pos="1152"/>
          <w:tab w:val="left" w:pos="1440"/>
          <w:tab w:val="left" w:pos="1800"/>
          <w:tab w:val="left" w:pos="1872"/>
          <w:tab w:val="left" w:pos="2160"/>
          <w:tab w:val="left" w:pos="2520"/>
          <w:tab w:val="left" w:pos="2592"/>
          <w:tab w:val="left" w:pos="2880"/>
          <w:tab w:val="left" w:pos="3240"/>
          <w:tab w:val="left" w:pos="3312"/>
          <w:tab w:val="left" w:pos="3600"/>
          <w:tab w:val="left" w:pos="4032"/>
          <w:tab w:val="left" w:pos="4752"/>
          <w:tab w:val="left" w:pos="5472"/>
          <w:tab w:val="left" w:pos="6192"/>
          <w:tab w:val="left" w:pos="6912"/>
          <w:tab w:val="left" w:pos="7632"/>
          <w:tab w:val="left" w:pos="8352"/>
          <w:tab w:val="left" w:pos="9072"/>
          <w:tab w:val="left" w:pos="9792"/>
        </w:tabs>
        <w:spacing w:line="480" w:lineRule="auto"/>
        <w:ind w:left="360"/>
        <w:jc w:val="both"/>
        <w:rPr>
          <w:sz w:val="24"/>
          <w:szCs w:val="24"/>
        </w:rPr>
      </w:pPr>
      <w:r w:rsidRPr="00000849">
        <w:rPr>
          <w:rFonts w:ascii="Symbol" w:hAnsi="Symbol"/>
          <w:sz w:val="24"/>
          <w:szCs w:val="24"/>
        </w:rPr>
        <w:t></w:t>
      </w:r>
      <w:r w:rsidRPr="00000849">
        <w:rPr>
          <w:sz w:val="24"/>
          <w:szCs w:val="24"/>
          <w:vertAlign w:val="subscript"/>
        </w:rPr>
        <w:t>1</w:t>
      </w:r>
      <w:r w:rsidRPr="00000849">
        <w:rPr>
          <w:sz w:val="24"/>
          <w:szCs w:val="24"/>
        </w:rPr>
        <w:t xml:space="preserve"> = coefficient for </w:t>
      </w:r>
      <w:r w:rsidR="009E3766" w:rsidRPr="00000849">
        <w:rPr>
          <w:sz w:val="24"/>
          <w:szCs w:val="24"/>
        </w:rPr>
        <w:t xml:space="preserve">the corresponding explanatory </w:t>
      </w:r>
      <w:r w:rsidRPr="00000849">
        <w:rPr>
          <w:sz w:val="24"/>
          <w:szCs w:val="24"/>
        </w:rPr>
        <w:t>variable X</w:t>
      </w:r>
      <w:r w:rsidRPr="00000849">
        <w:rPr>
          <w:sz w:val="24"/>
          <w:szCs w:val="24"/>
          <w:vertAlign w:val="subscript"/>
        </w:rPr>
        <w:t>1</w:t>
      </w:r>
      <w:r w:rsidR="00726BD2" w:rsidRPr="00000849">
        <w:rPr>
          <w:sz w:val="24"/>
          <w:szCs w:val="24"/>
        </w:rPr>
        <w:t xml:space="preserve">.  It represents the log odds </w:t>
      </w:r>
      <w:r w:rsidR="00BD5E01" w:rsidRPr="00000849">
        <w:rPr>
          <w:sz w:val="24"/>
          <w:szCs w:val="24"/>
        </w:rPr>
        <w:t xml:space="preserve">that </w:t>
      </w:r>
      <w:r w:rsidR="009B4356" w:rsidRPr="00000849">
        <w:rPr>
          <w:sz w:val="24"/>
          <w:szCs w:val="24"/>
        </w:rPr>
        <w:t>Y</w:t>
      </w:r>
      <w:r w:rsidR="00BD5E01" w:rsidRPr="00000849">
        <w:rPr>
          <w:sz w:val="24"/>
          <w:szCs w:val="24"/>
        </w:rPr>
        <w:t xml:space="preserve">=1 </w:t>
      </w:r>
      <w:r w:rsidR="00726BD2" w:rsidRPr="00000849">
        <w:rPr>
          <w:sz w:val="24"/>
          <w:szCs w:val="24"/>
        </w:rPr>
        <w:t xml:space="preserve">when x increases by 1 unit among individuals in the same group </w:t>
      </w:r>
      <w:r w:rsidR="003E2E0B" w:rsidRPr="00000849">
        <w:rPr>
          <w:sz w:val="24"/>
          <w:szCs w:val="24"/>
        </w:rPr>
        <w:t xml:space="preserve">(that is, household) </w:t>
      </w:r>
      <w:r w:rsidR="00726BD2" w:rsidRPr="00000849">
        <w:rPr>
          <w:i/>
          <w:iCs/>
          <w:sz w:val="24"/>
          <w:szCs w:val="24"/>
        </w:rPr>
        <w:t>j</w:t>
      </w:r>
      <w:r w:rsidR="00BD5E01" w:rsidRPr="00000849">
        <w:rPr>
          <w:i/>
          <w:iCs/>
          <w:sz w:val="24"/>
          <w:szCs w:val="24"/>
        </w:rPr>
        <w:t xml:space="preserve"> </w:t>
      </w:r>
      <w:r w:rsidR="00BD5E01" w:rsidRPr="00000849">
        <w:rPr>
          <w:sz w:val="24"/>
          <w:szCs w:val="24"/>
        </w:rPr>
        <w:t>(</w:t>
      </w:r>
      <w:r w:rsidR="00726BD2" w:rsidRPr="00000849">
        <w:rPr>
          <w:sz w:val="24"/>
          <w:szCs w:val="24"/>
        </w:rPr>
        <w:t>cluster-specific effect of x</w:t>
      </w:r>
      <w:r w:rsidR="00BD5E01" w:rsidRPr="00000849">
        <w:rPr>
          <w:sz w:val="24"/>
          <w:szCs w:val="24"/>
        </w:rPr>
        <w:t>)</w:t>
      </w:r>
      <w:r w:rsidR="00726BD2" w:rsidRPr="00000849">
        <w:rPr>
          <w:sz w:val="24"/>
          <w:szCs w:val="24"/>
        </w:rPr>
        <w:t>.</w:t>
      </w:r>
    </w:p>
    <w:p w14:paraId="6BD14787" w14:textId="741B94AD" w:rsidR="002F0F35" w:rsidRPr="00000849" w:rsidRDefault="00726BD2" w:rsidP="0003600E">
      <w:pPr>
        <w:tabs>
          <w:tab w:val="left" w:pos="-1008"/>
          <w:tab w:val="left" w:pos="-288"/>
          <w:tab w:val="left" w:pos="0"/>
          <w:tab w:val="left" w:pos="360"/>
          <w:tab w:val="left" w:pos="432"/>
          <w:tab w:val="left" w:pos="720"/>
          <w:tab w:val="left" w:pos="1080"/>
          <w:tab w:val="left" w:pos="1152"/>
          <w:tab w:val="left" w:pos="1440"/>
          <w:tab w:val="left" w:pos="1800"/>
          <w:tab w:val="left" w:pos="1872"/>
          <w:tab w:val="left" w:pos="2160"/>
          <w:tab w:val="left" w:pos="2520"/>
          <w:tab w:val="left" w:pos="2592"/>
          <w:tab w:val="left" w:pos="2880"/>
          <w:tab w:val="left" w:pos="3240"/>
          <w:tab w:val="left" w:pos="3312"/>
          <w:tab w:val="left" w:pos="3600"/>
          <w:tab w:val="left" w:pos="4032"/>
          <w:tab w:val="left" w:pos="4752"/>
          <w:tab w:val="left" w:pos="5472"/>
          <w:tab w:val="left" w:pos="6192"/>
          <w:tab w:val="left" w:pos="6912"/>
          <w:tab w:val="left" w:pos="7632"/>
          <w:tab w:val="left" w:pos="8352"/>
          <w:tab w:val="left" w:pos="9072"/>
          <w:tab w:val="left" w:pos="9792"/>
        </w:tabs>
        <w:spacing w:line="480" w:lineRule="auto"/>
        <w:ind w:left="360"/>
        <w:jc w:val="both"/>
        <w:rPr>
          <w:sz w:val="24"/>
          <w:szCs w:val="24"/>
        </w:rPr>
      </w:pPr>
      <w:r w:rsidRPr="00000849">
        <w:rPr>
          <w:rFonts w:cstheme="minorHAnsi"/>
          <w:sz w:val="24"/>
          <w:szCs w:val="24"/>
        </w:rPr>
        <w:t>µ</w:t>
      </w:r>
      <w:r w:rsidRPr="00000849">
        <w:rPr>
          <w:rFonts w:cstheme="minorHAnsi"/>
          <w:sz w:val="24"/>
          <w:szCs w:val="24"/>
          <w:vertAlign w:val="subscript"/>
        </w:rPr>
        <w:t>j</w:t>
      </w:r>
      <w:r w:rsidR="002F0F35" w:rsidRPr="00000849">
        <w:rPr>
          <w:sz w:val="24"/>
          <w:szCs w:val="24"/>
        </w:rPr>
        <w:t xml:space="preserve"> = </w:t>
      </w:r>
      <w:r w:rsidR="00CF5A27" w:rsidRPr="00000849">
        <w:rPr>
          <w:sz w:val="24"/>
          <w:szCs w:val="24"/>
        </w:rPr>
        <w:t xml:space="preserve">random intercept for the </w:t>
      </w:r>
      <w:r w:rsidR="00CF5A27" w:rsidRPr="00000849">
        <w:rPr>
          <w:i/>
          <w:sz w:val="24"/>
          <w:szCs w:val="24"/>
        </w:rPr>
        <w:t>j</w:t>
      </w:r>
      <w:r w:rsidR="00CF5A27" w:rsidRPr="00000849">
        <w:rPr>
          <w:sz w:val="24"/>
          <w:szCs w:val="24"/>
        </w:rPr>
        <w:t>th group</w:t>
      </w:r>
      <w:r w:rsidR="002A2A21" w:rsidRPr="00000849">
        <w:rPr>
          <w:sz w:val="24"/>
          <w:szCs w:val="24"/>
        </w:rPr>
        <w:t xml:space="preserve"> or the group-level (Level 2) residual</w:t>
      </w:r>
      <w:r w:rsidR="00CF5A27" w:rsidRPr="00000849">
        <w:rPr>
          <w:sz w:val="24"/>
          <w:szCs w:val="24"/>
        </w:rPr>
        <w:t>.  Thus, µ</w:t>
      </w:r>
      <w:r w:rsidR="00CF5A27" w:rsidRPr="00000849">
        <w:rPr>
          <w:sz w:val="24"/>
          <w:szCs w:val="24"/>
          <w:vertAlign w:val="subscript"/>
        </w:rPr>
        <w:t>1</w:t>
      </w:r>
      <w:r w:rsidR="00CF5A27" w:rsidRPr="00000849">
        <w:rPr>
          <w:sz w:val="24"/>
          <w:szCs w:val="24"/>
        </w:rPr>
        <w:t xml:space="preserve"> </w:t>
      </w:r>
      <w:r w:rsidR="003E2E0B" w:rsidRPr="00000849">
        <w:rPr>
          <w:sz w:val="24"/>
          <w:szCs w:val="24"/>
        </w:rPr>
        <w:t>represent</w:t>
      </w:r>
      <w:r w:rsidR="00831102" w:rsidRPr="00000849">
        <w:rPr>
          <w:sz w:val="24"/>
          <w:szCs w:val="24"/>
        </w:rPr>
        <w:t>s</w:t>
      </w:r>
      <w:r w:rsidR="003E2E0B" w:rsidRPr="00000849">
        <w:rPr>
          <w:sz w:val="24"/>
          <w:szCs w:val="24"/>
        </w:rPr>
        <w:t xml:space="preserve"> the prevalence of hypertension in household 1;</w:t>
      </w:r>
      <w:r w:rsidR="00CF5A27" w:rsidRPr="00000849">
        <w:rPr>
          <w:sz w:val="24"/>
          <w:szCs w:val="24"/>
        </w:rPr>
        <w:t xml:space="preserve"> µ</w:t>
      </w:r>
      <w:r w:rsidR="00CF5A27" w:rsidRPr="00000849">
        <w:rPr>
          <w:sz w:val="24"/>
          <w:szCs w:val="24"/>
          <w:vertAlign w:val="subscript"/>
        </w:rPr>
        <w:t>2</w:t>
      </w:r>
      <w:r w:rsidR="00CF5A27" w:rsidRPr="00000849">
        <w:rPr>
          <w:sz w:val="24"/>
          <w:szCs w:val="24"/>
        </w:rPr>
        <w:t xml:space="preserve"> </w:t>
      </w:r>
      <w:r w:rsidR="003E2E0B" w:rsidRPr="00000849">
        <w:rPr>
          <w:sz w:val="24"/>
          <w:szCs w:val="24"/>
        </w:rPr>
        <w:t>represent</w:t>
      </w:r>
      <w:r w:rsidR="00831102" w:rsidRPr="00000849">
        <w:rPr>
          <w:sz w:val="24"/>
          <w:szCs w:val="24"/>
        </w:rPr>
        <w:t>s</w:t>
      </w:r>
      <w:r w:rsidR="003E2E0B" w:rsidRPr="00000849">
        <w:rPr>
          <w:sz w:val="24"/>
          <w:szCs w:val="24"/>
        </w:rPr>
        <w:t xml:space="preserve"> the prevalence of hypertension in household 2</w:t>
      </w:r>
      <w:r w:rsidR="00CF5A27" w:rsidRPr="00000849">
        <w:rPr>
          <w:sz w:val="24"/>
          <w:szCs w:val="24"/>
        </w:rPr>
        <w:t>.  It is</w:t>
      </w:r>
      <w:r w:rsidR="002F0F35" w:rsidRPr="00000849">
        <w:rPr>
          <w:sz w:val="24"/>
          <w:szCs w:val="24"/>
        </w:rPr>
        <w:t xml:space="preserve"> assumed to follow a normal distribution with mean 0 and variance </w:t>
      </w:r>
      <w:r w:rsidR="002F0F35" w:rsidRPr="00000849">
        <w:rPr>
          <w:sz w:val="24"/>
          <w:szCs w:val="24"/>
        </w:rPr>
        <w:sym w:font="Symbol" w:char="F073"/>
      </w:r>
      <w:r w:rsidR="00F27A71" w:rsidRPr="00000849">
        <w:rPr>
          <w:sz w:val="24"/>
          <w:szCs w:val="24"/>
          <w:vertAlign w:val="subscript"/>
        </w:rPr>
        <w:t>µ</w:t>
      </w:r>
      <w:r w:rsidR="00F27A71" w:rsidRPr="00000849">
        <w:rPr>
          <w:sz w:val="24"/>
          <w:szCs w:val="24"/>
          <w:vertAlign w:val="superscript"/>
        </w:rPr>
        <w:t xml:space="preserve"> </w:t>
      </w:r>
      <w:r w:rsidR="002F0F35" w:rsidRPr="00000849">
        <w:rPr>
          <w:sz w:val="24"/>
          <w:szCs w:val="24"/>
          <w:vertAlign w:val="superscript"/>
        </w:rPr>
        <w:t>2</w:t>
      </w:r>
      <w:r w:rsidR="002F0F35" w:rsidRPr="00000849">
        <w:rPr>
          <w:sz w:val="24"/>
          <w:szCs w:val="24"/>
        </w:rPr>
        <w:t xml:space="preserve"> (</w:t>
      </w:r>
      <w:r w:rsidRPr="00000849">
        <w:rPr>
          <w:rFonts w:cstheme="minorHAnsi"/>
          <w:sz w:val="24"/>
          <w:szCs w:val="24"/>
        </w:rPr>
        <w:t>µ</w:t>
      </w:r>
      <w:r w:rsidRPr="00000849">
        <w:rPr>
          <w:rFonts w:cstheme="minorHAnsi"/>
          <w:sz w:val="24"/>
          <w:szCs w:val="24"/>
          <w:vertAlign w:val="subscript"/>
        </w:rPr>
        <w:t>j</w:t>
      </w:r>
      <w:r w:rsidRPr="00000849">
        <w:rPr>
          <w:sz w:val="24"/>
          <w:szCs w:val="24"/>
          <w:vertAlign w:val="subscript"/>
        </w:rPr>
        <w:t xml:space="preserve"> </w:t>
      </w:r>
      <w:r w:rsidR="002F0F35" w:rsidRPr="00000849">
        <w:rPr>
          <w:sz w:val="24"/>
          <w:szCs w:val="24"/>
          <w:vertAlign w:val="subscript"/>
        </w:rPr>
        <w:t>~</w:t>
      </w:r>
      <w:r w:rsidR="002F0F35" w:rsidRPr="00000849">
        <w:rPr>
          <w:sz w:val="24"/>
          <w:szCs w:val="24"/>
        </w:rPr>
        <w:t xml:space="preserve"> N(0, </w:t>
      </w:r>
      <w:r w:rsidR="002F0F35" w:rsidRPr="00000849">
        <w:rPr>
          <w:sz w:val="24"/>
          <w:szCs w:val="24"/>
        </w:rPr>
        <w:sym w:font="Symbol" w:char="F073"/>
      </w:r>
      <w:r w:rsidRPr="00000849">
        <w:rPr>
          <w:rFonts w:cstheme="minorHAnsi"/>
          <w:sz w:val="24"/>
          <w:szCs w:val="24"/>
          <w:vertAlign w:val="subscript"/>
        </w:rPr>
        <w:t>µ</w:t>
      </w:r>
      <w:r w:rsidR="002F0F35" w:rsidRPr="00000849">
        <w:rPr>
          <w:sz w:val="24"/>
          <w:szCs w:val="24"/>
          <w:vertAlign w:val="superscript"/>
        </w:rPr>
        <w:t>2</w:t>
      </w:r>
      <w:r w:rsidR="002F0F35" w:rsidRPr="00000849">
        <w:rPr>
          <w:sz w:val="24"/>
          <w:szCs w:val="24"/>
        </w:rPr>
        <w:t>))</w:t>
      </w:r>
      <w:r w:rsidRPr="00000849">
        <w:rPr>
          <w:sz w:val="24"/>
          <w:szCs w:val="24"/>
        </w:rPr>
        <w:t xml:space="preserve">.  </w:t>
      </w:r>
      <w:r w:rsidR="00A30AB8" w:rsidRPr="00000849">
        <w:rPr>
          <w:sz w:val="24"/>
          <w:szCs w:val="24"/>
        </w:rPr>
        <w:t xml:space="preserve">It is the effect of membership of group </w:t>
      </w:r>
      <w:r w:rsidR="00A30AB8" w:rsidRPr="00000849">
        <w:rPr>
          <w:i/>
          <w:iCs/>
          <w:sz w:val="24"/>
          <w:szCs w:val="24"/>
        </w:rPr>
        <w:t>j</w:t>
      </w:r>
      <w:r w:rsidR="00A30AB8" w:rsidRPr="00000849">
        <w:rPr>
          <w:sz w:val="24"/>
          <w:szCs w:val="24"/>
        </w:rPr>
        <w:t xml:space="preserve"> on the log-odds that the outcome variable, y = 1.</w:t>
      </w:r>
      <w:r w:rsidR="007C7878" w:rsidRPr="00000849">
        <w:rPr>
          <w:sz w:val="24"/>
          <w:szCs w:val="24"/>
        </w:rPr>
        <w:t xml:space="preserve">  It represents the difference in the prevalence of hypertension between two different households.</w:t>
      </w:r>
    </w:p>
    <w:p w14:paraId="77C10F60" w14:textId="4266E3D1" w:rsidR="00104786" w:rsidRPr="00000849" w:rsidRDefault="00104786" w:rsidP="00C463D1">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003E9715" w14:textId="4633E01E" w:rsidR="00F27A71" w:rsidRPr="00000849" w:rsidRDefault="00F27A71" w:rsidP="00C463D1">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lastRenderedPageBreak/>
        <w:t>In effect, the model explores the extent of variation in the prevalence of hypertension between household</w:t>
      </w:r>
      <w:r w:rsidR="001E0EAB" w:rsidRPr="00000849">
        <w:rPr>
          <w:rFonts w:asciiTheme="minorHAnsi" w:hAnsiTheme="minorHAnsi" w:cstheme="minorHAnsi"/>
          <w:color w:val="383838"/>
        </w:rPr>
        <w:t>s</w:t>
      </w:r>
      <w:r w:rsidRPr="00000849">
        <w:rPr>
          <w:rFonts w:asciiTheme="minorHAnsi" w:hAnsiTheme="minorHAnsi" w:cstheme="minorHAnsi"/>
          <w:color w:val="383838"/>
        </w:rPr>
        <w:t xml:space="preserve"> </w:t>
      </w:r>
      <w:r w:rsidR="001E0EAB" w:rsidRPr="00000849">
        <w:rPr>
          <w:rFonts w:asciiTheme="minorHAnsi" w:hAnsiTheme="minorHAnsi" w:cstheme="minorHAnsi"/>
          <w:color w:val="383838"/>
        </w:rPr>
        <w:t xml:space="preserve">while at the same time identifying </w:t>
      </w:r>
      <w:r w:rsidRPr="00000849">
        <w:rPr>
          <w:rFonts w:asciiTheme="minorHAnsi" w:hAnsiTheme="minorHAnsi" w:cstheme="minorHAnsi"/>
          <w:color w:val="383838"/>
        </w:rPr>
        <w:t xml:space="preserve">individual-level </w:t>
      </w:r>
      <w:r w:rsidR="001E0EAB" w:rsidRPr="00000849">
        <w:rPr>
          <w:rFonts w:asciiTheme="minorHAnsi" w:hAnsiTheme="minorHAnsi" w:cstheme="minorHAnsi"/>
          <w:color w:val="383838"/>
        </w:rPr>
        <w:t xml:space="preserve">or household-level </w:t>
      </w:r>
      <w:r w:rsidRPr="00000849">
        <w:rPr>
          <w:rFonts w:asciiTheme="minorHAnsi" w:hAnsiTheme="minorHAnsi" w:cstheme="minorHAnsi"/>
          <w:color w:val="383838"/>
        </w:rPr>
        <w:t xml:space="preserve">explanatory variables </w:t>
      </w:r>
      <w:r w:rsidR="001E0EAB" w:rsidRPr="00000849">
        <w:rPr>
          <w:rFonts w:asciiTheme="minorHAnsi" w:hAnsiTheme="minorHAnsi" w:cstheme="minorHAnsi"/>
          <w:color w:val="383838"/>
        </w:rPr>
        <w:t>associated with hypertension</w:t>
      </w:r>
      <w:r w:rsidR="00797470" w:rsidRPr="00000849">
        <w:rPr>
          <w:rFonts w:asciiTheme="minorHAnsi" w:hAnsiTheme="minorHAnsi" w:cstheme="minorHAnsi"/>
          <w:color w:val="383838"/>
        </w:rPr>
        <w:t>.</w:t>
      </w:r>
    </w:p>
    <w:p w14:paraId="76BD78FD" w14:textId="6C1E3D08" w:rsidR="00C463D1" w:rsidRPr="00000849" w:rsidRDefault="00C463D1" w:rsidP="00920AA1">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lang w:val="en-US"/>
        </w:rPr>
        <w:t xml:space="preserve">Unlike the single level logistic regression in which </w:t>
      </w:r>
      <w:r w:rsidRPr="00000849">
        <w:rPr>
          <w:rFonts w:asciiTheme="minorHAnsi" w:hAnsiTheme="minorHAnsi" w:cstheme="minorHAnsi"/>
        </w:rPr>
        <w:t>the intercept was represented by</w:t>
      </w:r>
      <w:r w:rsidRPr="00000849">
        <w:t xml:space="preserve"> </w:t>
      </w:r>
      <w:r w:rsidRPr="00000849">
        <w:rPr>
          <w:rFonts w:ascii="Symbol" w:hAnsi="Symbol"/>
        </w:rPr>
        <w:t></w:t>
      </w:r>
      <w:r w:rsidRPr="00000849">
        <w:rPr>
          <w:vertAlign w:val="subscript"/>
        </w:rPr>
        <w:t>0</w:t>
      </w:r>
      <w:r w:rsidRPr="00000849">
        <w:rPr>
          <w:rFonts w:asciiTheme="minorHAnsi" w:hAnsiTheme="minorHAnsi" w:cstheme="minorHAnsi"/>
        </w:rPr>
        <w:t xml:space="preserve">, in the random intercept model, the </w:t>
      </w:r>
      <w:r w:rsidR="00A30AB8" w:rsidRPr="00000849">
        <w:rPr>
          <w:rFonts w:asciiTheme="minorHAnsi" w:hAnsiTheme="minorHAnsi" w:cstheme="minorHAnsi"/>
        </w:rPr>
        <w:t xml:space="preserve">group-level </w:t>
      </w:r>
      <w:r w:rsidRPr="00000849">
        <w:rPr>
          <w:rFonts w:asciiTheme="minorHAnsi" w:hAnsiTheme="minorHAnsi" w:cstheme="minorHAnsi"/>
        </w:rPr>
        <w:t xml:space="preserve">intercept is represented by </w:t>
      </w:r>
      <w:r w:rsidRPr="00000849">
        <w:rPr>
          <w:rFonts w:asciiTheme="minorHAnsi" w:hAnsiTheme="minorHAnsi" w:cstheme="minorHAnsi"/>
          <w:color w:val="383838"/>
        </w:rPr>
        <w:t>(</w:t>
      </w:r>
      <w:r w:rsidRPr="00000849">
        <w:rPr>
          <w:rFonts w:ascii="Symbol" w:hAnsi="Symbol"/>
        </w:rPr>
        <w:t></w:t>
      </w:r>
      <w:r w:rsidRPr="00000849">
        <w:rPr>
          <w:vertAlign w:val="subscript"/>
        </w:rPr>
        <w:t>0</w:t>
      </w:r>
      <w:r w:rsidRPr="00000849">
        <w:t xml:space="preserve"> + µ</w:t>
      </w:r>
      <w:r w:rsidRPr="00000849">
        <w:rPr>
          <w:vertAlign w:val="subscript"/>
        </w:rPr>
        <w:t>j</w:t>
      </w:r>
      <w:r w:rsidRPr="00000849">
        <w:rPr>
          <w:rFonts w:asciiTheme="minorHAnsi" w:hAnsiTheme="minorHAnsi" w:cstheme="minorHAnsi"/>
          <w:color w:val="383838"/>
        </w:rPr>
        <w:t>)</w:t>
      </w:r>
      <w:r w:rsidRPr="00000849">
        <w:t xml:space="preserve">.  </w:t>
      </w:r>
      <w:r w:rsidRPr="00000849">
        <w:rPr>
          <w:rFonts w:asciiTheme="minorHAnsi" w:hAnsiTheme="minorHAnsi" w:cstheme="minorHAnsi"/>
          <w:color w:val="383838"/>
        </w:rPr>
        <w:t xml:space="preserve">The addition of </w:t>
      </w:r>
      <w:r w:rsidRPr="00000849">
        <w:t>µ</w:t>
      </w:r>
      <w:r w:rsidRPr="00000849">
        <w:rPr>
          <w:vertAlign w:val="subscript"/>
        </w:rPr>
        <w:t>j</w:t>
      </w:r>
      <w:r w:rsidRPr="00000849">
        <w:rPr>
          <w:rFonts w:asciiTheme="minorHAnsi" w:hAnsiTheme="minorHAnsi" w:cstheme="minorHAnsi"/>
          <w:color w:val="383838"/>
        </w:rPr>
        <w:t xml:space="preserve"> allows the group means or the intercept to vary across the groups – hence, ‘random intercept’ model.  Thus, the different groups could have the same slope </w:t>
      </w:r>
      <w:r w:rsidR="00A30AB8" w:rsidRPr="00000849">
        <w:rPr>
          <w:rFonts w:asciiTheme="minorHAnsi" w:hAnsiTheme="minorHAnsi" w:cstheme="minorHAnsi"/>
          <w:color w:val="383838"/>
        </w:rPr>
        <w:t>but</w:t>
      </w:r>
      <w:r w:rsidRPr="00000849">
        <w:rPr>
          <w:rFonts w:asciiTheme="minorHAnsi" w:hAnsiTheme="minorHAnsi" w:cstheme="minorHAnsi"/>
          <w:color w:val="383838"/>
        </w:rPr>
        <w:t xml:space="preserve"> a random</w:t>
      </w:r>
      <w:r w:rsidR="00A30AB8" w:rsidRPr="00000849">
        <w:rPr>
          <w:rFonts w:asciiTheme="minorHAnsi" w:hAnsiTheme="minorHAnsi" w:cstheme="minorHAnsi"/>
          <w:color w:val="383838"/>
        </w:rPr>
        <w:t xml:space="preserve"> (varying)</w:t>
      </w:r>
      <w:r w:rsidR="00797470" w:rsidRPr="00000849">
        <w:rPr>
          <w:rFonts w:asciiTheme="minorHAnsi" w:hAnsiTheme="minorHAnsi" w:cstheme="minorHAnsi"/>
          <w:color w:val="383838"/>
        </w:rPr>
        <w:t xml:space="preserve"> group-level</w:t>
      </w:r>
      <w:r w:rsidRPr="00000849">
        <w:rPr>
          <w:rFonts w:asciiTheme="minorHAnsi" w:hAnsiTheme="minorHAnsi" w:cstheme="minorHAnsi"/>
          <w:color w:val="383838"/>
        </w:rPr>
        <w:t xml:space="preserve"> intercept.</w:t>
      </w:r>
      <w:r w:rsidR="002170A6" w:rsidRPr="00000849">
        <w:rPr>
          <w:rFonts w:asciiTheme="minorHAnsi" w:hAnsiTheme="minorHAnsi" w:cstheme="minorHAnsi"/>
          <w:color w:val="383838"/>
        </w:rPr>
        <w:t xml:space="preserve">  </w:t>
      </w:r>
      <w:r w:rsidR="00022635" w:rsidRPr="00000849">
        <w:rPr>
          <w:rFonts w:asciiTheme="minorHAnsi" w:hAnsiTheme="minorHAnsi" w:cstheme="minorHAnsi"/>
          <w:color w:val="383838"/>
        </w:rPr>
        <w:t xml:space="preserve">In </w:t>
      </w:r>
      <w:r w:rsidR="002170A6" w:rsidRPr="00000849">
        <w:rPr>
          <w:rFonts w:asciiTheme="minorHAnsi" w:hAnsiTheme="minorHAnsi" w:cstheme="minorHAnsi"/>
          <w:color w:val="383838"/>
        </w:rPr>
        <w:t xml:space="preserve">the current analysis, the model sought to assess </w:t>
      </w:r>
      <w:r w:rsidR="007C7878" w:rsidRPr="00000849">
        <w:rPr>
          <w:rFonts w:asciiTheme="minorHAnsi" w:hAnsiTheme="minorHAnsi" w:cstheme="minorHAnsi"/>
          <w:color w:val="383838"/>
        </w:rPr>
        <w:t xml:space="preserve">if group level differences (at the household or </w:t>
      </w:r>
      <w:r w:rsidR="00797470" w:rsidRPr="00000849">
        <w:rPr>
          <w:rFonts w:asciiTheme="minorHAnsi" w:hAnsiTheme="minorHAnsi" w:cstheme="minorHAnsi"/>
          <w:color w:val="383838"/>
        </w:rPr>
        <w:t>enumeration area</w:t>
      </w:r>
      <w:r w:rsidR="007C7878" w:rsidRPr="00000849">
        <w:rPr>
          <w:rFonts w:asciiTheme="minorHAnsi" w:hAnsiTheme="minorHAnsi" w:cstheme="minorHAnsi"/>
          <w:color w:val="383838"/>
        </w:rPr>
        <w:t xml:space="preserve"> levels) were important in explaining the variability in the prevalence of </w:t>
      </w:r>
      <w:r w:rsidR="002170A6" w:rsidRPr="00000849">
        <w:rPr>
          <w:rFonts w:asciiTheme="minorHAnsi" w:hAnsiTheme="minorHAnsi" w:cstheme="minorHAnsi"/>
          <w:color w:val="383838"/>
        </w:rPr>
        <w:t>hypertension</w:t>
      </w:r>
      <w:r w:rsidR="007C7878" w:rsidRPr="00000849">
        <w:rPr>
          <w:rFonts w:asciiTheme="minorHAnsi" w:hAnsiTheme="minorHAnsi" w:cstheme="minorHAnsi"/>
          <w:color w:val="383838"/>
        </w:rPr>
        <w:t>.</w:t>
      </w:r>
    </w:p>
    <w:p w14:paraId="056F9424" w14:textId="57B15EDF" w:rsidR="00F96CC2" w:rsidRPr="00000849" w:rsidRDefault="00726BD2" w:rsidP="007C7878">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lang w:val="en-US"/>
        </w:rPr>
      </w:pPr>
      <w:r w:rsidRPr="00000849">
        <w:rPr>
          <w:rFonts w:asciiTheme="minorHAnsi" w:hAnsiTheme="minorHAnsi" w:cstheme="minorHAnsi"/>
          <w:color w:val="383838"/>
        </w:rPr>
        <w:t xml:space="preserve">The </w:t>
      </w:r>
      <w:r w:rsidR="0003600E" w:rsidRPr="00000849">
        <w:rPr>
          <w:rFonts w:asciiTheme="minorHAnsi" w:hAnsiTheme="minorHAnsi" w:cstheme="minorHAnsi"/>
          <w:color w:val="383838"/>
          <w:lang w:val="en-US"/>
        </w:rPr>
        <w:t xml:space="preserve">estimated </w:t>
      </w:r>
      <w:r w:rsidR="00E2006E" w:rsidRPr="00000849">
        <w:rPr>
          <w:rFonts w:asciiTheme="minorHAnsi" w:hAnsiTheme="minorHAnsi" w:cstheme="minorHAnsi"/>
          <w:color w:val="383838"/>
          <w:lang w:val="en-US"/>
        </w:rPr>
        <w:t xml:space="preserve">model </w:t>
      </w:r>
      <w:r w:rsidR="00733E98" w:rsidRPr="00000849">
        <w:rPr>
          <w:rFonts w:asciiTheme="minorHAnsi" w:hAnsiTheme="minorHAnsi" w:cstheme="minorHAnsi"/>
          <w:color w:val="383838"/>
          <w:lang w:val="en-US"/>
        </w:rPr>
        <w:t xml:space="preserve">used </w:t>
      </w:r>
      <w:r w:rsidR="0003600E" w:rsidRPr="00000849">
        <w:rPr>
          <w:rFonts w:asciiTheme="minorHAnsi" w:hAnsiTheme="minorHAnsi" w:cstheme="minorHAnsi"/>
          <w:color w:val="383838"/>
          <w:lang w:val="en-US"/>
        </w:rPr>
        <w:t>for predicting th</w:t>
      </w:r>
      <w:r w:rsidR="00022635" w:rsidRPr="00000849">
        <w:rPr>
          <w:rFonts w:asciiTheme="minorHAnsi" w:hAnsiTheme="minorHAnsi" w:cstheme="minorHAnsi"/>
          <w:color w:val="383838"/>
          <w:lang w:val="en-US"/>
        </w:rPr>
        <w:t xml:space="preserve">e </w:t>
      </w:r>
      <w:r w:rsidR="00C17391" w:rsidRPr="00000849">
        <w:rPr>
          <w:rFonts w:asciiTheme="minorHAnsi" w:hAnsiTheme="minorHAnsi" w:cstheme="minorHAnsi"/>
          <w:color w:val="383838"/>
          <w:lang w:val="en-US"/>
        </w:rPr>
        <w:t>o</w:t>
      </w:r>
      <w:r w:rsidR="00022635" w:rsidRPr="00000849">
        <w:rPr>
          <w:rFonts w:asciiTheme="minorHAnsi" w:hAnsiTheme="minorHAnsi" w:cstheme="minorHAnsi"/>
          <w:color w:val="383838"/>
          <w:lang w:val="en-US"/>
        </w:rPr>
        <w:t xml:space="preserve">dds </w:t>
      </w:r>
      <w:r w:rsidR="00C17391" w:rsidRPr="00000849">
        <w:rPr>
          <w:rFonts w:asciiTheme="minorHAnsi" w:hAnsiTheme="minorHAnsi" w:cstheme="minorHAnsi"/>
          <w:color w:val="383838"/>
          <w:lang w:val="en-US"/>
        </w:rPr>
        <w:t>that</w:t>
      </w:r>
      <w:r w:rsidR="0003600E" w:rsidRPr="00000849">
        <w:rPr>
          <w:rFonts w:asciiTheme="minorHAnsi" w:hAnsiTheme="minorHAnsi" w:cstheme="minorHAnsi"/>
          <w:color w:val="383838"/>
          <w:lang w:val="en-US"/>
        </w:rPr>
        <w:t xml:space="preserve"> </w:t>
      </w:r>
      <w:r w:rsidR="0003600E" w:rsidRPr="00000849">
        <w:rPr>
          <w:rFonts w:asciiTheme="minorHAnsi" w:hAnsiTheme="minorHAnsi" w:cstheme="minorHAnsi"/>
          <w:i/>
          <w:iCs/>
          <w:color w:val="383838"/>
          <w:lang w:val="en-US"/>
        </w:rPr>
        <w:t>i</w:t>
      </w:r>
      <w:r w:rsidR="0003600E" w:rsidRPr="00000849">
        <w:rPr>
          <w:rFonts w:asciiTheme="minorHAnsi" w:hAnsiTheme="minorHAnsi" w:cstheme="minorHAnsi"/>
          <w:color w:val="383838"/>
          <w:lang w:val="en-US"/>
        </w:rPr>
        <w:t xml:space="preserve">th individual in household or group j has </w:t>
      </w:r>
      <w:r w:rsidR="00CF5A27" w:rsidRPr="00000849">
        <w:rPr>
          <w:rFonts w:asciiTheme="minorHAnsi" w:hAnsiTheme="minorHAnsi" w:cstheme="minorHAnsi"/>
          <w:color w:val="383838"/>
          <w:lang w:val="en-US"/>
        </w:rPr>
        <w:t>hypertension</w:t>
      </w:r>
      <w:r w:rsidR="0003600E" w:rsidRPr="00000849">
        <w:rPr>
          <w:rFonts w:asciiTheme="minorHAnsi" w:hAnsiTheme="minorHAnsi" w:cstheme="minorHAnsi"/>
          <w:color w:val="383838"/>
          <w:lang w:val="en-US"/>
        </w:rPr>
        <w:t xml:space="preserve"> </w:t>
      </w:r>
      <w:r w:rsidR="00C17391" w:rsidRPr="00000849">
        <w:rPr>
          <w:rFonts w:asciiTheme="minorHAnsi" w:hAnsiTheme="minorHAnsi" w:cstheme="minorHAnsi"/>
          <w:color w:val="383838"/>
          <w:lang w:val="en-US"/>
        </w:rPr>
        <w:t xml:space="preserve">(on a log scale) </w:t>
      </w:r>
      <w:r w:rsidR="0003600E" w:rsidRPr="00000849">
        <w:rPr>
          <w:rFonts w:asciiTheme="minorHAnsi" w:hAnsiTheme="minorHAnsi" w:cstheme="minorHAnsi"/>
          <w:color w:val="383838"/>
          <w:lang w:val="en-US"/>
        </w:rPr>
        <w:t>is</w:t>
      </w:r>
      <w:r w:rsidR="00E2006E" w:rsidRPr="00000849">
        <w:rPr>
          <w:rFonts w:asciiTheme="minorHAnsi" w:hAnsiTheme="minorHAnsi" w:cstheme="minorHAnsi"/>
          <w:color w:val="383838"/>
          <w:lang w:val="en-US"/>
        </w:rPr>
        <w:t xml:space="preserve"> as</w:t>
      </w:r>
      <w:r w:rsidRPr="00000849">
        <w:rPr>
          <w:rFonts w:asciiTheme="minorHAnsi" w:hAnsiTheme="minorHAnsi" w:cstheme="minorHAnsi"/>
          <w:color w:val="383838"/>
          <w:lang w:val="en-US"/>
        </w:rPr>
        <w:t xml:space="preserve"> follows</w:t>
      </w:r>
      <w:r w:rsidR="00E2006E" w:rsidRPr="00000849">
        <w:rPr>
          <w:rFonts w:asciiTheme="minorHAnsi" w:hAnsiTheme="minorHAnsi" w:cstheme="minorHAnsi"/>
          <w:color w:val="383838"/>
          <w:lang w:val="en-US"/>
        </w:rPr>
        <w:t>:</w:t>
      </w:r>
    </w:p>
    <w:p w14:paraId="0FACA40E" w14:textId="412B7708" w:rsidR="00E2006E" w:rsidRPr="00000849" w:rsidRDefault="00F1750A" w:rsidP="008472B1">
      <w:pPr>
        <w:pStyle w:val="NormalWeb"/>
        <w:shd w:val="clear" w:color="auto" w:fill="FFFFFF"/>
        <w:spacing w:before="0" w:beforeAutospacing="0" w:after="165" w:afterAutospacing="0" w:line="480" w:lineRule="auto"/>
        <w:jc w:val="center"/>
        <w:rPr>
          <w:rFonts w:asciiTheme="minorHAnsi" w:hAnsiTheme="minorHAnsi" w:cstheme="minorHAnsi"/>
          <w:color w:val="383838"/>
          <w:lang w:val="en-US"/>
        </w:rPr>
      </w:pPr>
      <w:r w:rsidRPr="00000849">
        <w:rPr>
          <w:noProof/>
          <w:position w:val="-34"/>
        </w:rPr>
        <w:object w:dxaOrig="3300" w:dyaOrig="800" w14:anchorId="419EC7EF">
          <v:shape id="_x0000_i1029" type="#_x0000_t75" alt="" style="width:229.25pt;height:54.75pt;mso-width-percent:0;mso-height-percent:0;mso-width-percent:0;mso-height-percent:0" o:ole="">
            <v:imagedata r:id="rId31" o:title=""/>
          </v:shape>
          <o:OLEObject Type="Embed" ProgID="Equation.DSMT4" ShapeID="_x0000_i1029" DrawAspect="Content" ObjectID="_1682449258" r:id="rId32"/>
        </w:object>
      </w:r>
      <w:r w:rsidR="00F625E7" w:rsidRPr="00000849">
        <w:rPr>
          <w:noProof/>
        </w:rPr>
        <w:tab/>
      </w:r>
      <w:r w:rsidR="00F625E7" w:rsidRPr="00000849">
        <w:rPr>
          <w:noProof/>
        </w:rPr>
        <w:tab/>
      </w:r>
      <w:r w:rsidR="00806201" w:rsidRPr="00000849">
        <w:rPr>
          <w:rFonts w:asciiTheme="minorHAnsi" w:hAnsiTheme="minorHAnsi" w:cstheme="minorHAnsi"/>
          <w:noProof/>
        </w:rPr>
        <w:tab/>
      </w:r>
      <w:r w:rsidR="00F625E7" w:rsidRPr="00000849">
        <w:rPr>
          <w:rFonts w:asciiTheme="minorHAnsi" w:hAnsiTheme="minorHAnsi" w:cstheme="minorHAnsi"/>
          <w:noProof/>
        </w:rPr>
        <w:tab/>
        <w:t>(4.5)</w:t>
      </w:r>
    </w:p>
    <w:p w14:paraId="6B46D97C" w14:textId="26A8FFFF" w:rsidR="00867AE2" w:rsidRPr="00000849" w:rsidRDefault="007C7878" w:rsidP="00C17391">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terms in the estimated </w:t>
      </w:r>
      <w:r w:rsidR="00C17391" w:rsidRPr="00000849">
        <w:rPr>
          <w:rFonts w:asciiTheme="minorHAnsi" w:hAnsiTheme="minorHAnsi" w:cstheme="minorHAnsi"/>
          <w:color w:val="383838"/>
        </w:rPr>
        <w:t xml:space="preserve">model </w:t>
      </w:r>
      <w:r w:rsidRPr="00000849">
        <w:rPr>
          <w:rFonts w:asciiTheme="minorHAnsi" w:hAnsiTheme="minorHAnsi" w:cstheme="minorHAnsi"/>
          <w:color w:val="383838"/>
        </w:rPr>
        <w:t>are defined as for the observed</w:t>
      </w:r>
      <w:r w:rsidR="00C17391" w:rsidRPr="00000849">
        <w:rPr>
          <w:rFonts w:asciiTheme="minorHAnsi" w:hAnsiTheme="minorHAnsi" w:cstheme="minorHAnsi"/>
          <w:color w:val="383838"/>
        </w:rPr>
        <w:t xml:space="preserve">-data </w:t>
      </w:r>
      <w:r w:rsidRPr="00000849">
        <w:rPr>
          <w:rFonts w:asciiTheme="minorHAnsi" w:hAnsiTheme="minorHAnsi" w:cstheme="minorHAnsi"/>
          <w:color w:val="383838"/>
        </w:rPr>
        <w:t>model.  For example, the beta-zero-hat is the predicted estimate of the overall intercept across all groups generated by the model</w:t>
      </w:r>
      <w:r w:rsidR="00806201" w:rsidRPr="00000849">
        <w:rPr>
          <w:rFonts w:asciiTheme="minorHAnsi" w:hAnsiTheme="minorHAnsi" w:cstheme="minorHAnsi"/>
          <w:color w:val="383838"/>
        </w:rPr>
        <w:t>.</w:t>
      </w:r>
      <w:r w:rsidR="009B6D09" w:rsidRPr="00000849">
        <w:rPr>
          <w:rFonts w:asciiTheme="minorHAnsi" w:hAnsiTheme="minorHAnsi" w:cstheme="minorHAnsi"/>
          <w:color w:val="383838"/>
        </w:rPr>
        <w:t xml:space="preserve"> </w:t>
      </w:r>
    </w:p>
    <w:p w14:paraId="6F297941" w14:textId="7773C694" w:rsidR="00C712F3" w:rsidRPr="00000849" w:rsidRDefault="004305F2" w:rsidP="004305F2">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In t</w:t>
      </w:r>
      <w:r w:rsidR="007334A6" w:rsidRPr="00000849">
        <w:rPr>
          <w:rFonts w:asciiTheme="minorHAnsi" w:hAnsiTheme="minorHAnsi" w:cstheme="minorHAnsi"/>
          <w:color w:val="383838"/>
        </w:rPr>
        <w:t>he random slope model</w:t>
      </w:r>
      <w:r w:rsidRPr="00000849">
        <w:rPr>
          <w:rFonts w:asciiTheme="minorHAnsi" w:hAnsiTheme="minorHAnsi" w:cstheme="minorHAnsi"/>
          <w:color w:val="383838"/>
        </w:rPr>
        <w:t xml:space="preserve">, the group-level random component </w:t>
      </w:r>
      <w:r w:rsidR="00C17391" w:rsidRPr="00000849">
        <w:rPr>
          <w:rFonts w:asciiTheme="minorHAnsi" w:hAnsiTheme="minorHAnsi" w:cstheme="minorHAnsi"/>
          <w:color w:val="383838"/>
        </w:rPr>
        <w:t>(</w:t>
      </w:r>
      <w:r w:rsidR="00C17391" w:rsidRPr="00000849">
        <w:rPr>
          <w:rFonts w:ascii="Symbol" w:hAnsi="Symbol"/>
        </w:rPr>
        <w:t></w:t>
      </w:r>
      <w:r w:rsidR="00C17391" w:rsidRPr="00000849">
        <w:rPr>
          <w:vertAlign w:val="subscript"/>
        </w:rPr>
        <w:t>1</w:t>
      </w:r>
      <w:r w:rsidR="00C17391" w:rsidRPr="00000849">
        <w:t xml:space="preserve"> + µ</w:t>
      </w:r>
      <w:r w:rsidR="00C17391" w:rsidRPr="00000849">
        <w:rPr>
          <w:vertAlign w:val="subscript"/>
        </w:rPr>
        <w:t>1j</w:t>
      </w:r>
      <w:r w:rsidR="00C17391" w:rsidRPr="00000849">
        <w:rPr>
          <w:rFonts w:asciiTheme="minorHAnsi" w:hAnsiTheme="minorHAnsi" w:cstheme="minorHAnsi"/>
          <w:color w:val="383838"/>
        </w:rPr>
        <w:t>)</w:t>
      </w:r>
      <w:r w:rsidR="00C17391" w:rsidRPr="00000849">
        <w:t xml:space="preserve"> </w:t>
      </w:r>
      <w:r w:rsidRPr="00000849">
        <w:rPr>
          <w:rFonts w:asciiTheme="minorHAnsi" w:hAnsiTheme="minorHAnsi" w:cstheme="minorHAnsi"/>
          <w:color w:val="383838"/>
        </w:rPr>
        <w:t>is added to the slope coefficient as follows</w:t>
      </w:r>
      <w:r w:rsidR="00C17391" w:rsidRPr="00000849">
        <w:rPr>
          <w:rFonts w:asciiTheme="minorHAnsi" w:hAnsiTheme="minorHAnsi" w:cstheme="minorHAnsi"/>
          <w:color w:val="383838"/>
        </w:rPr>
        <w:t>:</w:t>
      </w:r>
    </w:p>
    <w:p w14:paraId="7D5C64F3" w14:textId="77777777" w:rsidR="00C712F3" w:rsidRPr="00000849" w:rsidRDefault="00C712F3" w:rsidP="007C7878">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C9F00BA" w14:textId="4B6A4960" w:rsidR="00C712F3" w:rsidRPr="00000849" w:rsidRDefault="00F1750A" w:rsidP="00C712F3">
      <w:pPr>
        <w:pStyle w:val="NormalWeb"/>
        <w:shd w:val="clear" w:color="auto" w:fill="FFFFFF"/>
        <w:spacing w:before="0" w:beforeAutospacing="0" w:after="165" w:afterAutospacing="0" w:line="480" w:lineRule="auto"/>
        <w:jc w:val="center"/>
        <w:rPr>
          <w:rFonts w:asciiTheme="minorHAnsi" w:hAnsiTheme="minorHAnsi" w:cstheme="minorHAnsi"/>
          <w:color w:val="383838"/>
          <w:lang w:val="en-US"/>
        </w:rPr>
      </w:pPr>
      <w:r w:rsidRPr="00000849">
        <w:rPr>
          <w:noProof/>
          <w:position w:val="-38"/>
        </w:rPr>
        <w:object w:dxaOrig="7660" w:dyaOrig="880" w14:anchorId="38A7B1C9">
          <v:shape id="_x0000_i1030" type="#_x0000_t75" alt="" style="width:383.5pt;height:44.5pt;mso-width-percent:0;mso-height-percent:0;mso-width-percent:0;mso-height-percent:0" o:ole="">
            <v:imagedata r:id="rId33" o:title=""/>
          </v:shape>
          <o:OLEObject Type="Embed" ProgID="Equation.DSMT4" ShapeID="_x0000_i1030" DrawAspect="Content" ObjectID="_1682449259" r:id="rId34"/>
        </w:object>
      </w:r>
      <w:r w:rsidR="00806201" w:rsidRPr="00000849">
        <w:rPr>
          <w:noProof/>
        </w:rPr>
        <w:t xml:space="preserve">   </w:t>
      </w:r>
      <w:r w:rsidR="00797470" w:rsidRPr="00000849">
        <w:rPr>
          <w:rFonts w:asciiTheme="minorHAnsi" w:hAnsiTheme="minorHAnsi" w:cstheme="minorHAnsi"/>
          <w:noProof/>
        </w:rPr>
        <w:t>(4.6</w:t>
      </w:r>
      <w:r w:rsidR="00806201" w:rsidRPr="00000849">
        <w:rPr>
          <w:rFonts w:asciiTheme="minorHAnsi" w:hAnsiTheme="minorHAnsi" w:cstheme="minorHAnsi"/>
          <w:noProof/>
        </w:rPr>
        <w:t>)</w:t>
      </w:r>
    </w:p>
    <w:p w14:paraId="1702AD84" w14:textId="5CC76BA8" w:rsidR="002128DE" w:rsidRPr="00000849" w:rsidRDefault="002128DE" w:rsidP="00333A43">
      <w:pPr>
        <w:pStyle w:val="NormalWeb"/>
        <w:shd w:val="clear" w:color="auto" w:fill="FFFFFF"/>
        <w:spacing w:before="0" w:beforeAutospacing="0" w:after="165" w:afterAutospacing="0" w:line="480" w:lineRule="auto"/>
        <w:jc w:val="both"/>
        <w:rPr>
          <w:rFonts w:asciiTheme="minorHAnsi" w:hAnsiTheme="minorHAnsi" w:cstheme="minorHAnsi"/>
          <w:color w:val="383838"/>
          <w:lang w:val="en-US"/>
        </w:rPr>
      </w:pPr>
    </w:p>
    <w:p w14:paraId="1D1AF09C" w14:textId="0ABEEDFB" w:rsidR="002128DE" w:rsidRPr="00000849" w:rsidRDefault="00F70237"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rPr>
        <w:t>The random effects</w:t>
      </w:r>
      <w:r w:rsidR="009B6D09" w:rsidRPr="00000849">
        <w:rPr>
          <w:rFonts w:asciiTheme="minorHAnsi" w:hAnsiTheme="minorHAnsi" w:cstheme="minorHAnsi"/>
        </w:rPr>
        <w:t>,</w:t>
      </w:r>
      <w:r w:rsidRPr="00000849">
        <w:rPr>
          <w:rFonts w:asciiTheme="minorHAnsi" w:hAnsiTheme="minorHAnsi" w:cstheme="minorHAnsi"/>
        </w:rPr>
        <w:t xml:space="preserve"> </w:t>
      </w:r>
      <w:r w:rsidR="009B6D09" w:rsidRPr="00000849">
        <w:t>µ</w:t>
      </w:r>
      <w:r w:rsidRPr="00000849">
        <w:rPr>
          <w:rStyle w:val="mn"/>
          <w:rFonts w:asciiTheme="minorHAnsi" w:hAnsiTheme="minorHAnsi" w:cstheme="minorHAnsi"/>
          <w:vertAlign w:val="subscript"/>
        </w:rPr>
        <w:t>0</w:t>
      </w:r>
      <w:r w:rsidRPr="00000849">
        <w:rPr>
          <w:rStyle w:val="mi"/>
          <w:rFonts w:asciiTheme="minorHAnsi" w:hAnsiTheme="minorHAnsi" w:cstheme="minorHAnsi"/>
          <w:i/>
          <w:iCs/>
          <w:vertAlign w:val="subscript"/>
        </w:rPr>
        <w:t>j</w:t>
      </w:r>
      <w:r w:rsidRPr="00000849">
        <w:rPr>
          <w:rFonts w:asciiTheme="minorHAnsi" w:hAnsiTheme="minorHAnsi" w:cstheme="minorHAnsi"/>
        </w:rPr>
        <w:t xml:space="preserve"> and </w:t>
      </w:r>
      <w:r w:rsidR="009B6D09" w:rsidRPr="00000849">
        <w:t>µ</w:t>
      </w:r>
      <w:r w:rsidRPr="00000849">
        <w:rPr>
          <w:rStyle w:val="mn"/>
          <w:rFonts w:asciiTheme="minorHAnsi" w:hAnsiTheme="minorHAnsi" w:cstheme="minorHAnsi"/>
          <w:vertAlign w:val="subscript"/>
        </w:rPr>
        <w:t>1</w:t>
      </w:r>
      <w:r w:rsidRPr="00000849">
        <w:rPr>
          <w:rStyle w:val="mi"/>
          <w:rFonts w:asciiTheme="minorHAnsi" w:hAnsiTheme="minorHAnsi" w:cstheme="minorHAnsi"/>
          <w:i/>
          <w:iCs/>
          <w:vertAlign w:val="subscript"/>
        </w:rPr>
        <w:t>j</w:t>
      </w:r>
      <w:r w:rsidRPr="00000849">
        <w:rPr>
          <w:rFonts w:asciiTheme="minorHAnsi" w:hAnsiTheme="minorHAnsi" w:cstheme="minorHAnsi"/>
        </w:rPr>
        <w:t xml:space="preserve"> are assumed to follow normal distributions with zero means, variances </w:t>
      </w:r>
      <w:r w:rsidR="009B6D09" w:rsidRPr="00000849">
        <w:rPr>
          <w:rFonts w:asciiTheme="minorHAnsi" w:hAnsiTheme="minorHAnsi" w:cstheme="minorHAnsi"/>
          <w:color w:val="383838"/>
        </w:rPr>
        <w:sym w:font="Symbol" w:char="F073"/>
      </w:r>
      <w:r w:rsidR="009B6D09" w:rsidRPr="00000849">
        <w:rPr>
          <w:vertAlign w:val="subscript"/>
        </w:rPr>
        <w:t>µ0</w:t>
      </w:r>
      <w:r w:rsidR="009B6D09" w:rsidRPr="00000849">
        <w:rPr>
          <w:rFonts w:asciiTheme="minorHAnsi" w:hAnsiTheme="minorHAnsi" w:cstheme="minorHAnsi"/>
          <w:color w:val="383838"/>
          <w:vertAlign w:val="superscript"/>
        </w:rPr>
        <w:t>2</w:t>
      </w:r>
      <w:r w:rsidRPr="00000849">
        <w:rPr>
          <w:rFonts w:asciiTheme="minorHAnsi" w:hAnsiTheme="minorHAnsi" w:cstheme="minorHAnsi"/>
        </w:rPr>
        <w:t xml:space="preserve"> and </w:t>
      </w:r>
      <w:r w:rsidR="009B6D09" w:rsidRPr="00000849">
        <w:rPr>
          <w:rFonts w:asciiTheme="minorHAnsi" w:hAnsiTheme="minorHAnsi" w:cstheme="minorHAnsi"/>
          <w:color w:val="383838"/>
        </w:rPr>
        <w:sym w:font="Symbol" w:char="F073"/>
      </w:r>
      <w:r w:rsidR="009B6D09" w:rsidRPr="00000849">
        <w:rPr>
          <w:vertAlign w:val="subscript"/>
        </w:rPr>
        <w:t>µ1</w:t>
      </w:r>
      <w:r w:rsidR="009B6D09" w:rsidRPr="00000849">
        <w:rPr>
          <w:rFonts w:asciiTheme="minorHAnsi" w:hAnsiTheme="minorHAnsi" w:cstheme="minorHAnsi"/>
          <w:color w:val="383838"/>
          <w:vertAlign w:val="superscript"/>
        </w:rPr>
        <w:t>2</w:t>
      </w:r>
      <w:r w:rsidRPr="00000849">
        <w:rPr>
          <w:rFonts w:asciiTheme="minorHAnsi" w:hAnsiTheme="minorHAnsi" w:cstheme="minorHAnsi"/>
        </w:rPr>
        <w:t xml:space="preserve"> respectively, and covariance </w:t>
      </w:r>
      <w:r w:rsidR="009B6D09" w:rsidRPr="00000849">
        <w:rPr>
          <w:rFonts w:asciiTheme="minorHAnsi" w:hAnsiTheme="minorHAnsi" w:cstheme="minorHAnsi"/>
          <w:color w:val="383838"/>
        </w:rPr>
        <w:sym w:font="Symbol" w:char="F073"/>
      </w:r>
      <w:r w:rsidR="009B6D09" w:rsidRPr="00000849">
        <w:rPr>
          <w:vertAlign w:val="subscript"/>
        </w:rPr>
        <w:t>µ0</w:t>
      </w:r>
      <w:r w:rsidR="009B6D09" w:rsidRPr="00000849">
        <w:rPr>
          <w:rFonts w:asciiTheme="minorHAnsi" w:hAnsiTheme="minorHAnsi" w:cstheme="minorHAnsi"/>
          <w:color w:val="383838"/>
        </w:rPr>
        <w:sym w:font="Symbol" w:char="F073"/>
      </w:r>
      <w:r w:rsidR="009B6D09" w:rsidRPr="00000849">
        <w:rPr>
          <w:vertAlign w:val="subscript"/>
        </w:rPr>
        <w:t>µ1</w:t>
      </w:r>
      <w:r w:rsidRPr="00000849">
        <w:rPr>
          <w:rFonts w:asciiTheme="minorHAnsi" w:hAnsiTheme="minorHAnsi" w:cstheme="minorHAnsi"/>
        </w:rPr>
        <w:t xml:space="preserve">. </w:t>
      </w:r>
      <w:r w:rsidR="009B6D09" w:rsidRPr="00000849">
        <w:rPr>
          <w:rFonts w:asciiTheme="minorHAnsi" w:hAnsiTheme="minorHAnsi" w:cstheme="minorHAnsi"/>
        </w:rPr>
        <w:t xml:space="preserve"> The random slope model </w:t>
      </w:r>
      <w:r w:rsidR="004305F2" w:rsidRPr="00000849">
        <w:rPr>
          <w:rFonts w:asciiTheme="minorHAnsi" w:hAnsiTheme="minorHAnsi" w:cstheme="minorHAnsi"/>
          <w:color w:val="383838"/>
        </w:rPr>
        <w:t xml:space="preserve">assesses how the effect of a predictor variable on hypertension differs from </w:t>
      </w:r>
      <w:r w:rsidR="00FE3E12" w:rsidRPr="00000849">
        <w:rPr>
          <w:rFonts w:asciiTheme="minorHAnsi" w:hAnsiTheme="minorHAnsi" w:cstheme="minorHAnsi"/>
          <w:color w:val="383838"/>
        </w:rPr>
        <w:t xml:space="preserve">between </w:t>
      </w:r>
      <w:r w:rsidR="004305F2" w:rsidRPr="00000849">
        <w:rPr>
          <w:rFonts w:asciiTheme="minorHAnsi" w:hAnsiTheme="minorHAnsi" w:cstheme="minorHAnsi"/>
          <w:color w:val="383838"/>
        </w:rPr>
        <w:t>household</w:t>
      </w:r>
      <w:r w:rsidR="00FE3E12" w:rsidRPr="00000849">
        <w:rPr>
          <w:rFonts w:asciiTheme="minorHAnsi" w:hAnsiTheme="minorHAnsi" w:cstheme="minorHAnsi"/>
          <w:color w:val="383838"/>
        </w:rPr>
        <w:t>s</w:t>
      </w:r>
      <w:r w:rsidR="004305F2" w:rsidRPr="00000849">
        <w:rPr>
          <w:rFonts w:asciiTheme="minorHAnsi" w:hAnsiTheme="minorHAnsi" w:cstheme="minorHAnsi"/>
          <w:color w:val="383838"/>
        </w:rPr>
        <w:t xml:space="preserve"> (the higher level)</w:t>
      </w:r>
      <w:r w:rsidR="009B6D09" w:rsidRPr="00000849">
        <w:rPr>
          <w:rFonts w:asciiTheme="minorHAnsi" w:hAnsiTheme="minorHAnsi" w:cstheme="minorHAnsi"/>
          <w:color w:val="383838"/>
        </w:rPr>
        <w:t xml:space="preserve">.  </w:t>
      </w:r>
    </w:p>
    <w:p w14:paraId="79508AA8" w14:textId="21E43B9B" w:rsidR="00E56E0B" w:rsidRPr="00000849" w:rsidRDefault="00E56E0B"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07CA0849" w14:textId="3A1860AA" w:rsidR="00E56E0B" w:rsidRPr="00000849" w:rsidRDefault="002006AA" w:rsidP="00433E5A">
      <w:pPr>
        <w:pStyle w:val="Heading5"/>
      </w:pPr>
      <w:r w:rsidRPr="00000849">
        <w:t>4.8.</w:t>
      </w:r>
      <w:r w:rsidR="00E56E0B" w:rsidRPr="00000849">
        <w:t>1.2.1</w:t>
      </w:r>
      <w:r w:rsidR="00E56E0B" w:rsidRPr="00000849">
        <w:tab/>
        <w:t>Model assumptions</w:t>
      </w:r>
      <w:r w:rsidR="003A4985" w:rsidRPr="00000849">
        <w:t xml:space="preserve"> and diagnostics</w:t>
      </w:r>
    </w:p>
    <w:p w14:paraId="4BCF646D" w14:textId="6E4C8F7F" w:rsidR="00E56E0B" w:rsidRPr="00000849" w:rsidRDefault="00E56E0B"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03BA93BF" w14:textId="77777777" w:rsidR="00E56E0B" w:rsidRPr="00000849" w:rsidRDefault="00E56E0B" w:rsidP="00E56E0B">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assumptions relating to logistic regression model estimation are that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&lt;EndNote&gt;&lt;Cite&gt;&lt;Author&gt;O’Halloran&lt;/Author&gt;&lt;Year&gt;2005&lt;/Year&gt;&lt;RecNum&gt;1062&lt;/RecNum&gt;&lt;DisplayText&gt;(O’Halloran, 2005)&lt;/DisplayText&gt;&lt;record&gt;&lt;rec-number&gt;1062&lt;/rec-number&gt;&lt;foreign-keys&gt;&lt;key app="EN" db-id="9tzf2rda8re2a9es5tuxart3swzx2zws2s02" timestamp="1578229515"&gt;1062&lt;/key&gt;&lt;/foreign-keys&gt;&lt;ref-type name="Report"&gt;27&lt;/ref-type&gt;&lt;contributors&gt;&lt;authors&gt;&lt;author&gt;O’Halloran, Sharyn&lt;/author&gt;&lt;/authors&gt;&lt;/contributors&gt;&lt;titles&gt;&lt;title&gt;Econometrics II Lecture 10: logistical regression II—multinomial data.&lt;/title&gt;&lt;secondary-title&gt;Sustainable Development U9611&lt;/secondary-title&gt;&lt;/titles&gt;&lt;pages&gt;1-73&lt;/pages&gt;&lt;dates&gt;&lt;year&gt;2005&lt;/year&gt;&lt;/dates&gt;&lt;pub-location&gt;New York&lt;/pub-location&gt;&lt;publisher&gt;Columbia University&lt;/publisher&gt;&lt;urls&gt;&lt;related-urls&gt;&lt;url&gt;http://www.columbia.edu/~so33/SusDev/Lecture_10.pdf&lt;/url&gt;&lt;/related-urls&gt;&lt;/urls&gt;&lt;/record&gt;&lt;/Cite&gt;&lt;/EndNote&gt;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(O’Halloran, 2005)</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p>
    <w:p w14:paraId="18D295B9" w14:textId="596AA0B7" w:rsidR="00E56E0B" w:rsidRPr="00000849" w:rsidRDefault="00E56E0B" w:rsidP="0040375E">
      <w:pPr>
        <w:pStyle w:val="NormalWeb"/>
        <w:numPr>
          <w:ilvl w:val="0"/>
          <w:numId w:val="26"/>
        </w:numPr>
        <w:shd w:val="clear" w:color="auto" w:fill="FFFFFF"/>
        <w:spacing w:before="0" w:beforeAutospacing="0" w:after="165" w:afterAutospacing="0" w:line="480" w:lineRule="auto"/>
        <w:jc w:val="both"/>
        <w:rPr>
          <w:rFonts w:ascii="Calibri" w:eastAsia="Calibri" w:hAnsi="Calibri" w:cs="Calibri"/>
          <w:color w:val="383838"/>
        </w:rPr>
      </w:pPr>
      <w:r w:rsidRPr="00000849">
        <w:rPr>
          <w:rFonts w:asciiTheme="minorHAnsi" w:hAnsiTheme="minorHAnsi" w:cstheme="minorHAnsi"/>
          <w:color w:val="383838"/>
        </w:rPr>
        <w:t xml:space="preserve">The model is correctly specified, </w:t>
      </w:r>
      <w:r w:rsidR="0019235D" w:rsidRPr="00000849">
        <w:rPr>
          <w:rFonts w:asciiTheme="minorHAnsi" w:hAnsiTheme="minorHAnsi" w:cstheme="minorHAnsi"/>
          <w:color w:val="383838"/>
        </w:rPr>
        <w:t>with t</w:t>
      </w:r>
      <w:r w:rsidRPr="00000849">
        <w:rPr>
          <w:rFonts w:asciiTheme="minorHAnsi" w:hAnsiTheme="minorHAnsi" w:cstheme="minorHAnsi"/>
          <w:color w:val="383838"/>
        </w:rPr>
        <w:t xml:space="preserve">he true conditional probabilities </w:t>
      </w:r>
      <w:r w:rsidR="0019235D" w:rsidRPr="00000849">
        <w:rPr>
          <w:rFonts w:asciiTheme="minorHAnsi" w:hAnsiTheme="minorHAnsi" w:cstheme="minorHAnsi"/>
          <w:color w:val="383838"/>
        </w:rPr>
        <w:t>being a</w:t>
      </w:r>
      <w:r w:rsidRPr="00000849">
        <w:rPr>
          <w:rFonts w:asciiTheme="minorHAnsi" w:hAnsiTheme="minorHAnsi" w:cstheme="minorHAnsi"/>
          <w:color w:val="383838"/>
        </w:rPr>
        <w:t xml:space="preserve"> logistic function of the independent variables;</w:t>
      </w:r>
      <w:r w:rsidR="0019235D" w:rsidRPr="00000849">
        <w:rPr>
          <w:rFonts w:asciiTheme="minorHAnsi" w:hAnsiTheme="minorHAnsi" w:cstheme="minorHAnsi"/>
          <w:color w:val="383838"/>
        </w:rPr>
        <w:t xml:space="preserve"> n</w:t>
      </w:r>
      <w:r w:rsidRPr="00000849">
        <w:rPr>
          <w:rFonts w:asciiTheme="minorHAnsi" w:hAnsiTheme="minorHAnsi" w:cstheme="minorHAnsi"/>
          <w:color w:val="383838"/>
        </w:rPr>
        <w:t xml:space="preserve">o important variables </w:t>
      </w:r>
      <w:r w:rsidR="0019235D" w:rsidRPr="00000849">
        <w:rPr>
          <w:rFonts w:asciiTheme="minorHAnsi" w:hAnsiTheme="minorHAnsi" w:cstheme="minorHAnsi"/>
          <w:color w:val="383838"/>
        </w:rPr>
        <w:t>being</w:t>
      </w:r>
      <w:r w:rsidRPr="00000849">
        <w:rPr>
          <w:rFonts w:asciiTheme="minorHAnsi" w:hAnsiTheme="minorHAnsi" w:cstheme="minorHAnsi"/>
          <w:color w:val="383838"/>
        </w:rPr>
        <w:t xml:space="preserve"> omitted;</w:t>
      </w:r>
      <w:r w:rsidR="0019235D" w:rsidRPr="00000849">
        <w:rPr>
          <w:rFonts w:asciiTheme="minorHAnsi" w:hAnsiTheme="minorHAnsi" w:cstheme="minorHAnsi"/>
          <w:color w:val="383838"/>
        </w:rPr>
        <w:t xml:space="preserve"> </w:t>
      </w:r>
      <w:r w:rsidRPr="00000849">
        <w:rPr>
          <w:rFonts w:asciiTheme="minorHAnsi" w:hAnsiTheme="minorHAnsi" w:cstheme="minorHAnsi"/>
          <w:color w:val="383838"/>
        </w:rPr>
        <w:t>and</w:t>
      </w:r>
      <w:r w:rsidR="0019235D" w:rsidRPr="00000849">
        <w:rPr>
          <w:rFonts w:asciiTheme="minorHAnsi" w:hAnsiTheme="minorHAnsi" w:cstheme="minorHAnsi"/>
          <w:color w:val="383838"/>
        </w:rPr>
        <w:t xml:space="preserve"> t</w:t>
      </w:r>
      <w:r w:rsidRPr="00000849">
        <w:rPr>
          <w:rFonts w:ascii="Calibri" w:eastAsia="Calibri" w:hAnsi="Calibri" w:cs="Calibri"/>
          <w:color w:val="383838"/>
        </w:rPr>
        <w:t xml:space="preserve">he independent variables </w:t>
      </w:r>
      <w:r w:rsidR="0019235D" w:rsidRPr="00000849">
        <w:rPr>
          <w:rFonts w:ascii="Calibri" w:eastAsia="Calibri" w:hAnsi="Calibri" w:cs="Calibri"/>
          <w:color w:val="383838"/>
        </w:rPr>
        <w:t>being</w:t>
      </w:r>
      <w:r w:rsidRPr="00000849">
        <w:rPr>
          <w:rFonts w:ascii="Calibri" w:eastAsia="Calibri" w:hAnsi="Calibri" w:cs="Calibri"/>
          <w:color w:val="383838"/>
        </w:rPr>
        <w:t xml:space="preserve"> measured without error.</w:t>
      </w:r>
    </w:p>
    <w:p w14:paraId="61C68CA2" w14:textId="08834C35" w:rsidR="00E56E0B" w:rsidRPr="00000849" w:rsidRDefault="00E56E0B" w:rsidP="00E56E0B">
      <w:pPr>
        <w:pStyle w:val="NormalWeb"/>
        <w:numPr>
          <w:ilvl w:val="0"/>
          <w:numId w:val="26"/>
        </w:numPr>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w:t>
      </w:r>
      <w:r w:rsidR="00613B19" w:rsidRPr="00000849">
        <w:rPr>
          <w:rFonts w:asciiTheme="minorHAnsi" w:hAnsiTheme="minorHAnsi" w:cstheme="minorHAnsi"/>
          <w:color w:val="383838"/>
        </w:rPr>
        <w:t>observations</w:t>
      </w:r>
      <w:r w:rsidRPr="00000849">
        <w:rPr>
          <w:rFonts w:asciiTheme="minorHAnsi" w:hAnsiTheme="minorHAnsi" w:cstheme="minorHAnsi"/>
          <w:color w:val="383838"/>
        </w:rPr>
        <w:t xml:space="preserve"> are independent</w:t>
      </w:r>
      <w:r w:rsidR="008E0C2F" w:rsidRPr="00000849">
        <w:rPr>
          <w:rFonts w:asciiTheme="minorHAnsi" w:hAnsiTheme="minorHAnsi" w:cstheme="minorHAnsi"/>
          <w:color w:val="383838"/>
        </w:rPr>
        <w:t xml:space="preserve"> of each other</w:t>
      </w:r>
      <w:r w:rsidRPr="00000849">
        <w:rPr>
          <w:rFonts w:asciiTheme="minorHAnsi" w:hAnsiTheme="minorHAnsi" w:cstheme="minorHAnsi"/>
          <w:color w:val="383838"/>
        </w:rPr>
        <w:t>.</w:t>
      </w:r>
    </w:p>
    <w:p w14:paraId="2ACF552E" w14:textId="01C3E147" w:rsidR="00E56E0B" w:rsidRPr="00000849" w:rsidRDefault="00E56E0B" w:rsidP="0040375E">
      <w:pPr>
        <w:pStyle w:val="NormalWeb"/>
        <w:numPr>
          <w:ilvl w:val="0"/>
          <w:numId w:val="26"/>
        </w:numPr>
        <w:shd w:val="clear" w:color="auto" w:fill="FFFFFF"/>
        <w:spacing w:before="0" w:beforeAutospacing="0" w:after="165" w:afterAutospacing="0" w:line="480" w:lineRule="auto"/>
        <w:jc w:val="both"/>
        <w:rPr>
          <w:rFonts w:ascii="Calibri" w:eastAsia="Calibri" w:hAnsi="Calibri" w:cs="Calibri"/>
          <w:color w:val="383838"/>
        </w:rPr>
      </w:pPr>
      <w:r w:rsidRPr="00000849">
        <w:rPr>
          <w:rFonts w:asciiTheme="minorHAnsi" w:hAnsiTheme="minorHAnsi" w:cstheme="minorHAnsi"/>
          <w:color w:val="383838"/>
        </w:rPr>
        <w:t>The independent variables are not linear combinations of each other</w:t>
      </w:r>
      <w:r w:rsidR="0019235D" w:rsidRPr="00000849">
        <w:rPr>
          <w:rFonts w:asciiTheme="minorHAnsi" w:hAnsiTheme="minorHAnsi" w:cstheme="minorHAnsi"/>
          <w:color w:val="383838"/>
        </w:rPr>
        <w:t xml:space="preserve"> (no s</w:t>
      </w:r>
      <w:r w:rsidRPr="00000849">
        <w:rPr>
          <w:rFonts w:ascii="Calibri" w:eastAsia="Calibri" w:hAnsi="Calibri" w:cs="Calibri"/>
          <w:color w:val="383838"/>
        </w:rPr>
        <w:t>trong multicollinearity</w:t>
      </w:r>
      <w:r w:rsidR="0019235D" w:rsidRPr="00000849">
        <w:rPr>
          <w:rFonts w:ascii="Calibri" w:eastAsia="Calibri" w:hAnsi="Calibri" w:cs="Calibri"/>
          <w:color w:val="383838"/>
        </w:rPr>
        <w:t>)</w:t>
      </w:r>
      <w:r w:rsidRPr="00000849">
        <w:rPr>
          <w:rFonts w:ascii="Calibri" w:eastAsia="Calibri" w:hAnsi="Calibri" w:cs="Calibri"/>
          <w:color w:val="383838"/>
        </w:rPr>
        <w:t>.</w:t>
      </w:r>
    </w:p>
    <w:p w14:paraId="24EC436F" w14:textId="77777777" w:rsidR="00121684" w:rsidRPr="00000849" w:rsidRDefault="00121684" w:rsidP="00E56E0B">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893FB53" w14:textId="68707092" w:rsidR="00E56E0B" w:rsidRPr="00000849" w:rsidRDefault="00E56E0B" w:rsidP="00E56E0B">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Stata command </w:t>
      </w:r>
      <w:r w:rsidRPr="00000849">
        <w:rPr>
          <w:rFonts w:asciiTheme="minorHAnsi" w:hAnsiTheme="minorHAnsi" w:cstheme="minorHAnsi"/>
          <w:i/>
          <w:color w:val="383838"/>
        </w:rPr>
        <w:t>linktest</w:t>
      </w:r>
      <w:r w:rsidRPr="00000849">
        <w:rPr>
          <w:rFonts w:asciiTheme="minorHAnsi" w:hAnsiTheme="minorHAnsi" w:cstheme="minorHAnsi"/>
          <w:color w:val="383838"/>
        </w:rPr>
        <w:t xml:space="preserve"> checks if the model is properly specified by looking for any additional predictors that are statistically significant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&lt;EndNote&gt;&lt;Cite&gt;&lt;Author&gt;Statistical Consulting Group&lt;/Author&gt;&lt;Year&gt;2020&lt;/Year&gt;&lt;RecNum&gt;1063&lt;/RecNum&gt;&lt;DisplayText&gt;(Statistical Consulting Group, 2020)&lt;/DisplayText&gt;&lt;record&gt;&lt;rec-number&gt;1063&lt;/rec-number&gt;&lt;foreign-keys&gt;&lt;key app="EN" db-id="9tzf2rda8re2a9es5tuxart3swzx2zws2s02" timestamp="1578278277"&gt;1063&lt;/key&gt;&lt;/foreign-keys&gt;&lt;ref-type name="Web Page"&gt;12&lt;/ref-type&gt;&lt;contributors&gt;&lt;authors&gt;&lt;author&gt;Statistical Consulting Group,&lt;/author&gt;&lt;/authors&gt;&lt;/contributors&gt;&lt;titles&gt;&lt;title&gt;Lesson 3 Logistic Regression Diagnostics&lt;/title&gt;&lt;/titles&gt;&lt;volume&gt;2020&lt;/volume&gt;&lt;number&gt;6 January&lt;/number&gt;&lt;dates&gt;&lt;year&gt;2020&lt;/year&gt;&lt;/dates&gt;&lt;pub-location&gt;Los Angeles, CA, USA&lt;/pub-location&gt;&lt;publisher&gt;UCLA&lt;/publisher&gt;&lt;urls&gt;&lt;related-urls&gt;&lt;url&gt;https://stats.idre.ucla.edu/stata/webbooks/logistic/chapter3/lesson-3-logistic-regression-diagnostics/&lt;/url&gt;&lt;/related-urls&gt;&lt;/urls&gt;&lt;custom1&gt;2020&lt;/custom1&gt;&lt;custom2&gt;6 January&lt;/custom2&gt;&lt;/record&gt;&lt;/Cite&gt;&lt;/EndNote&gt;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 xml:space="preserve">(Statistical Consulting Group, </w:t>
      </w:r>
      <w:r w:rsidRPr="00000849">
        <w:rPr>
          <w:rFonts w:asciiTheme="minorHAnsi" w:hAnsiTheme="minorHAnsi" w:cstheme="minorHAnsi"/>
          <w:noProof/>
          <w:color w:val="383838"/>
        </w:rPr>
        <w:lastRenderedPageBreak/>
        <w:t>2020)</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It includes the predicted value </w:t>
      </w:r>
      <w:r w:rsidRPr="00000849">
        <w:rPr>
          <w:rFonts w:asciiTheme="minorHAnsi" w:hAnsiTheme="minorHAnsi" w:cstheme="minorHAnsi"/>
          <w:i/>
          <w:color w:val="383838"/>
        </w:rPr>
        <w:t>(_hat)</w:t>
      </w:r>
      <w:r w:rsidRPr="00000849">
        <w:rPr>
          <w:rFonts w:asciiTheme="minorHAnsi" w:hAnsiTheme="minorHAnsi" w:cstheme="minorHAnsi"/>
          <w:color w:val="383838"/>
        </w:rPr>
        <w:t xml:space="preserve"> and linear predicted value squared </w:t>
      </w:r>
      <w:r w:rsidRPr="00000849">
        <w:rPr>
          <w:rFonts w:asciiTheme="minorHAnsi" w:hAnsiTheme="minorHAnsi" w:cstheme="minorHAnsi"/>
          <w:i/>
          <w:color w:val="383838"/>
        </w:rPr>
        <w:t>(_hatsq)</w:t>
      </w:r>
      <w:r w:rsidRPr="00000849">
        <w:rPr>
          <w:rFonts w:asciiTheme="minorHAnsi" w:hAnsiTheme="minorHAnsi" w:cstheme="minorHAnsi"/>
          <w:color w:val="383838"/>
        </w:rPr>
        <w:t xml:space="preserve"> as predictors in the model.  The variable </w:t>
      </w:r>
      <w:r w:rsidRPr="00000849">
        <w:rPr>
          <w:rFonts w:asciiTheme="minorHAnsi" w:hAnsiTheme="minorHAnsi" w:cstheme="minorHAnsi"/>
          <w:i/>
          <w:color w:val="383838"/>
        </w:rPr>
        <w:t xml:space="preserve">_hat </w:t>
      </w:r>
      <w:r w:rsidRPr="00000849">
        <w:rPr>
          <w:rFonts w:asciiTheme="minorHAnsi" w:hAnsiTheme="minorHAnsi" w:cstheme="minorHAnsi"/>
          <w:color w:val="383838"/>
        </w:rPr>
        <w:t xml:space="preserve">should be a statistically significant predictor </w:t>
      </w:r>
      <w:r w:rsidR="00806201" w:rsidRPr="00000849">
        <w:rPr>
          <w:rFonts w:asciiTheme="minorHAnsi" w:hAnsiTheme="minorHAnsi" w:cstheme="minorHAnsi"/>
          <w:color w:val="383838"/>
        </w:rPr>
        <w:t xml:space="preserve"> of hypertension (the outcome of interest), </w:t>
      </w:r>
      <w:r w:rsidRPr="00000849">
        <w:rPr>
          <w:rFonts w:asciiTheme="minorHAnsi" w:hAnsiTheme="minorHAnsi" w:cstheme="minorHAnsi"/>
          <w:color w:val="383838"/>
        </w:rPr>
        <w:t xml:space="preserve">while </w:t>
      </w:r>
      <w:r w:rsidRPr="00000849">
        <w:rPr>
          <w:rFonts w:asciiTheme="minorHAnsi" w:hAnsiTheme="minorHAnsi" w:cstheme="minorHAnsi"/>
          <w:i/>
          <w:color w:val="383838"/>
        </w:rPr>
        <w:t>_hatsq</w:t>
      </w:r>
      <w:r w:rsidRPr="00000849">
        <w:rPr>
          <w:rFonts w:asciiTheme="minorHAnsi" w:hAnsiTheme="minorHAnsi" w:cstheme="minorHAnsi"/>
          <w:color w:val="383838"/>
        </w:rPr>
        <w:t xml:space="preserve"> should not be statistically significant if the model is correctly specified.</w:t>
      </w:r>
    </w:p>
    <w:p w14:paraId="601D8C2C" w14:textId="1046E4A9" w:rsidR="00E56E0B" w:rsidRPr="00000849" w:rsidRDefault="00276573" w:rsidP="00E56E0B">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Goodness-of-fit test was conducted to indicate how well the model fitted the observed data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&lt;EndNote&gt;&lt;Cite&gt;&lt;Author&gt;Archer&lt;/Author&gt;&lt;Year&gt;2006&lt;/Year&gt;&lt;RecNum&gt;500&lt;/RecNum&gt;&lt;DisplayText&gt;(Archer &amp;amp; Lemeshow, 2006)&lt;/DisplayText&gt;&lt;record&gt;&lt;rec-number&gt;500&lt;/rec-number&gt;&lt;foreign-keys&gt;&lt;key app="EN" db-id="pzfw02x58peadyevdp8vswt40etp25t5ddp0" timestamp="1598195119"&gt;500&lt;/key&gt;&lt;/foreign-keys&gt;&lt;ref-type name="Journal Article"&gt;17&lt;/ref-type&gt;&lt;contributors&gt;&lt;authors&gt;&lt;author&gt;Archer, Kellie J&lt;/author&gt;&lt;author&gt;Lemeshow, Stanley&lt;/author&gt;&lt;/authors&gt;&lt;/contributors&gt;&lt;titles&gt;&lt;title&gt;Goodness-of-fit test for a logistic regression model fitted using survey sample data&lt;/title&gt;&lt;secondary-title&gt;The Stata Journal&lt;/secondary-title&gt;&lt;/titles&gt;&lt;periodical&gt;&lt;full-title&gt;The Stata Journal&lt;/full-title&gt;&lt;/periodical&gt;&lt;pages&gt;97-105&lt;/pages&gt;&lt;volume&gt;6&lt;/volume&gt;&lt;number&gt;1&lt;/number&gt;&lt;dates&gt;&lt;year&gt;2006&lt;/year&gt;&lt;/dates&gt;&lt;isbn&gt;1536-867X&lt;/isbn&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(Archer &amp; Lemeshow, 2006)</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A p value of &gt;0.05 indicated no evidence of lack of fit.  </w:t>
      </w:r>
      <w:r w:rsidR="00E56E0B" w:rsidRPr="00000849">
        <w:rPr>
          <w:rFonts w:asciiTheme="minorHAnsi" w:hAnsiTheme="minorHAnsi" w:cstheme="minorHAnsi"/>
          <w:color w:val="383838"/>
        </w:rPr>
        <w:t>The two-level random intercept model assume</w:t>
      </w:r>
      <w:r w:rsidRPr="00000849">
        <w:rPr>
          <w:rFonts w:asciiTheme="minorHAnsi" w:hAnsiTheme="minorHAnsi" w:cstheme="minorHAnsi"/>
          <w:color w:val="383838"/>
        </w:rPr>
        <w:t>d</w:t>
      </w:r>
      <w:r w:rsidR="00E56E0B" w:rsidRPr="00000849">
        <w:rPr>
          <w:rFonts w:asciiTheme="minorHAnsi" w:hAnsiTheme="minorHAnsi" w:cstheme="minorHAnsi"/>
          <w:color w:val="383838"/>
        </w:rPr>
        <w:t xml:space="preserve"> that Level 2 residuals for different groups are uncorrelated</w:t>
      </w:r>
      <w:r w:rsidRPr="00000849">
        <w:rPr>
          <w:rFonts w:asciiTheme="minorHAnsi" w:hAnsiTheme="minorHAnsi" w:cstheme="minorHAnsi"/>
          <w:color w:val="383838"/>
        </w:rPr>
        <w:t xml:space="preserve"> </w:t>
      </w:r>
      <w:r w:rsidR="001130C1" w:rsidRPr="00000849">
        <w:rPr>
          <w:rFonts w:asciiTheme="minorHAnsi" w:hAnsiTheme="minorHAnsi" w:cstheme="minorHAnsi"/>
          <w:color w:val="383838"/>
        </w:rPr>
        <w:t xml:space="preserve">and are normally distributed </w:t>
      </w:r>
      <w:r w:rsidR="00E56E0B" w:rsidRPr="00000849">
        <w:rPr>
          <w:rFonts w:asciiTheme="minorHAnsi" w:hAnsiTheme="minorHAnsi" w:cstheme="minorHAnsi"/>
          <w:color w:val="383838"/>
        </w:rPr>
        <w:fldChar w:fldCharType="begin"/>
      </w:r>
      <w:r w:rsidR="00E56E0B" w:rsidRPr="00000849">
        <w:rPr>
          <w:rFonts w:asciiTheme="minorHAnsi" w:hAnsiTheme="minorHAnsi" w:cstheme="minorHAnsi"/>
          <w:color w:val="383838"/>
        </w:rPr>
        <w:instrText xml:space="preserve"> ADDIN EN.CITE &lt;EndNote&gt;&lt;Cite&gt;&lt;Author&gt;Pillinger&lt;/Author&gt;&lt;Year&gt;2011&lt;/Year&gt;&lt;RecNum&gt;1064&lt;/RecNum&gt;&lt;DisplayText&gt;(Pillinger, 2011)&lt;/DisplayText&gt;&lt;record&gt;&lt;rec-number&gt;1064&lt;/rec-number&gt;&lt;foreign-keys&gt;&lt;key app="EN" db-id="9tzf2rda8re2a9es5tuxart3swzx2zws2s02" timestamp="1578279133"&gt;1064&lt;/key&gt;&lt;/foreign-keys&gt;&lt;ref-type name="Web Page"&gt;12&lt;/ref-type&gt;&lt;contributors&gt;&lt;authors&gt;&lt;author&gt;Pillinger, Rebecca&lt;/author&gt;&lt;/authors&gt;&lt;/contributors&gt;&lt;titles&gt;&lt;title&gt;Random Intercept Models&lt;/title&gt;&lt;/titles&gt;&lt;volume&gt;2020&lt;/volume&gt;&lt;number&gt;6 January&lt;/number&gt;&lt;dates&gt;&lt;year&gt;2011&lt;/year&gt;&lt;/dates&gt;&lt;pub-location&gt;Bristol, UK&lt;/pub-location&gt;&lt;publisher&gt;Centre for Multilevel Modelling, University of Bristol&lt;/publisher&gt;&lt;urls&gt;&lt;related-urls&gt;&lt;url&gt;http://www.bristol.ac.uk/cmm/learning/videos/random-intercepts.html &lt;/url&gt;&lt;/related-urls&gt;&lt;/urls&gt;&lt;/record&gt;&lt;/Cite&gt;&lt;/EndNote&gt;</w:instrText>
      </w:r>
      <w:r w:rsidR="00E56E0B" w:rsidRPr="00000849">
        <w:rPr>
          <w:rFonts w:asciiTheme="minorHAnsi" w:hAnsiTheme="minorHAnsi" w:cstheme="minorHAnsi"/>
          <w:color w:val="383838"/>
        </w:rPr>
        <w:fldChar w:fldCharType="separate"/>
      </w:r>
      <w:r w:rsidR="00E56E0B" w:rsidRPr="00000849">
        <w:rPr>
          <w:rFonts w:asciiTheme="minorHAnsi" w:hAnsiTheme="minorHAnsi" w:cstheme="minorHAnsi"/>
          <w:noProof/>
          <w:color w:val="383838"/>
        </w:rPr>
        <w:t>(Pillinger, 2011)</w:t>
      </w:r>
      <w:r w:rsidR="00E56E0B" w:rsidRPr="00000849">
        <w:rPr>
          <w:rFonts w:asciiTheme="minorHAnsi" w:hAnsiTheme="minorHAnsi" w:cstheme="minorHAnsi"/>
          <w:color w:val="383838"/>
        </w:rPr>
        <w:fldChar w:fldCharType="end"/>
      </w:r>
      <w:r w:rsidR="00E56E0B" w:rsidRPr="00000849">
        <w:rPr>
          <w:rFonts w:asciiTheme="minorHAnsi" w:hAnsiTheme="minorHAnsi" w:cstheme="minorHAnsi"/>
          <w:color w:val="383838"/>
        </w:rPr>
        <w:t>.</w:t>
      </w:r>
    </w:p>
    <w:p w14:paraId="1B4230EB" w14:textId="555B5813" w:rsidR="005E10F2" w:rsidRPr="00000849" w:rsidRDefault="005E10F2" w:rsidP="00333A43">
      <w:pPr>
        <w:pStyle w:val="NormalWeb"/>
        <w:shd w:val="clear" w:color="auto" w:fill="FFFFFF"/>
        <w:spacing w:before="0" w:beforeAutospacing="0" w:after="165" w:afterAutospacing="0" w:line="480" w:lineRule="auto"/>
        <w:jc w:val="both"/>
        <w:rPr>
          <w:rFonts w:asciiTheme="minorHAnsi" w:hAnsiTheme="minorHAnsi" w:cstheme="minorHAnsi"/>
          <w:color w:val="383838"/>
          <w:lang w:val="en-US"/>
        </w:rPr>
      </w:pPr>
    </w:p>
    <w:p w14:paraId="7AC0854A" w14:textId="496C5E21" w:rsidR="00104786" w:rsidRPr="00000849" w:rsidRDefault="002006AA" w:rsidP="00433E5A">
      <w:pPr>
        <w:pStyle w:val="Heading5"/>
      </w:pPr>
      <w:r w:rsidRPr="00000849">
        <w:t>4.8.</w:t>
      </w:r>
      <w:r w:rsidR="00104786" w:rsidRPr="00000849">
        <w:t>1.</w:t>
      </w:r>
      <w:r w:rsidR="00E56E0B" w:rsidRPr="00000849">
        <w:t>2.</w:t>
      </w:r>
      <w:r w:rsidR="0019235D" w:rsidRPr="00000849">
        <w:t>2</w:t>
      </w:r>
      <w:r w:rsidR="00104786" w:rsidRPr="00000849">
        <w:tab/>
        <w:t>Intraclass coefficient</w:t>
      </w:r>
    </w:p>
    <w:p w14:paraId="5C4F1A9F" w14:textId="77777777" w:rsidR="002006FA" w:rsidRPr="00000849" w:rsidRDefault="002006FA" w:rsidP="00333A43">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39F0880C" w14:textId="7BB3C844" w:rsidR="00333A43" w:rsidRPr="00000849" w:rsidRDefault="00C712F3" w:rsidP="009155C9">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In the random intercept model</w:t>
      </w:r>
      <w:r w:rsidR="00333A43" w:rsidRPr="00000849">
        <w:rPr>
          <w:rFonts w:asciiTheme="minorHAnsi" w:hAnsiTheme="minorHAnsi" w:cstheme="minorHAnsi"/>
          <w:color w:val="383838"/>
        </w:rPr>
        <w:t xml:space="preserve">, the variability in the outcome is partitioned between the individual and </w:t>
      </w:r>
      <w:r w:rsidR="001130C1" w:rsidRPr="00000849">
        <w:rPr>
          <w:rFonts w:asciiTheme="minorHAnsi" w:hAnsiTheme="minorHAnsi" w:cstheme="minorHAnsi"/>
          <w:color w:val="383838"/>
        </w:rPr>
        <w:t xml:space="preserve">the </w:t>
      </w:r>
      <w:r w:rsidR="00333A43" w:rsidRPr="00000849">
        <w:rPr>
          <w:rFonts w:asciiTheme="minorHAnsi" w:hAnsiTheme="minorHAnsi" w:cstheme="minorHAnsi"/>
          <w:color w:val="383838"/>
        </w:rPr>
        <w:t>group-levels</w:t>
      </w:r>
      <w:r w:rsidR="001130C1" w:rsidRPr="00000849">
        <w:rPr>
          <w:rFonts w:asciiTheme="minorHAnsi" w:hAnsiTheme="minorHAnsi" w:cstheme="minorHAnsi"/>
          <w:color w:val="383838"/>
        </w:rPr>
        <w:t xml:space="preserve"> (that is, the household level)</w:t>
      </w:r>
      <w:r w:rsidR="00333A43" w:rsidRPr="00000849">
        <w:rPr>
          <w:rFonts w:asciiTheme="minorHAnsi" w:hAnsiTheme="minorHAnsi" w:cstheme="minorHAnsi"/>
          <w:color w:val="383838"/>
        </w:rPr>
        <w:t>.  I</w:t>
      </w:r>
      <w:r w:rsidR="000B4FD0" w:rsidRPr="00000849">
        <w:rPr>
          <w:rFonts w:asciiTheme="minorHAnsi" w:hAnsiTheme="minorHAnsi" w:cstheme="minorHAnsi"/>
          <w:color w:val="383838"/>
        </w:rPr>
        <w:t xml:space="preserve">n the random-intercept model, </w:t>
      </w:r>
      <w:r w:rsidR="007A3839" w:rsidRPr="00000849">
        <w:rPr>
          <w:rFonts w:asciiTheme="minorHAnsi" w:hAnsiTheme="minorHAnsi" w:cstheme="minorHAnsi"/>
          <w:color w:val="383838"/>
        </w:rPr>
        <w:t>i</w:t>
      </w:r>
      <w:r w:rsidR="00333A43" w:rsidRPr="00000849">
        <w:rPr>
          <w:rFonts w:asciiTheme="minorHAnsi" w:hAnsiTheme="minorHAnsi" w:cstheme="minorHAnsi"/>
          <w:color w:val="383838"/>
        </w:rPr>
        <w:t>t is expressed a</w:t>
      </w:r>
      <w:r w:rsidR="00AA4C97" w:rsidRPr="00000849">
        <w:rPr>
          <w:rFonts w:asciiTheme="minorHAnsi" w:hAnsiTheme="minorHAnsi" w:cstheme="minorHAnsi"/>
          <w:color w:val="383838"/>
        </w:rPr>
        <w:t>s</w:t>
      </w:r>
      <w:r w:rsidR="00333A43" w:rsidRPr="00000849">
        <w:rPr>
          <w:rFonts w:asciiTheme="minorHAnsi" w:hAnsiTheme="minorHAnsi" w:cstheme="minorHAnsi"/>
          <w:color w:val="383838"/>
        </w:rPr>
        <w:t xml:space="preserve"> the intra-class coefficient, </w:t>
      </w:r>
      <w:r w:rsidR="001130C1" w:rsidRPr="00000849">
        <w:rPr>
          <w:rFonts w:asciiTheme="minorHAnsi" w:hAnsiTheme="minorHAnsi" w:cstheme="minorHAnsi"/>
          <w:color w:val="383838"/>
        </w:rPr>
        <w:t>ρ (</w:t>
      </w:r>
      <w:r w:rsidR="00333A43" w:rsidRPr="00000849">
        <w:rPr>
          <w:rFonts w:asciiTheme="minorHAnsi" w:hAnsiTheme="minorHAnsi" w:cstheme="minorHAnsi"/>
          <w:color w:val="383838"/>
        </w:rPr>
        <w:t>rho</w:t>
      </w:r>
      <w:r w:rsidR="001130C1" w:rsidRPr="00000849">
        <w:rPr>
          <w:rFonts w:asciiTheme="minorHAnsi" w:hAnsiTheme="minorHAnsi" w:cstheme="minorHAnsi"/>
          <w:color w:val="383838"/>
        </w:rPr>
        <w:t>)</w:t>
      </w:r>
      <w:r w:rsidR="00333A43" w:rsidRPr="00000849">
        <w:rPr>
          <w:rFonts w:asciiTheme="minorHAnsi" w:hAnsiTheme="minorHAnsi" w:cstheme="minorHAnsi"/>
          <w:color w:val="383838"/>
        </w:rPr>
        <w:t>, and calculated as follows:</w:t>
      </w:r>
    </w:p>
    <w:p w14:paraId="5BA00F19" w14:textId="77777777" w:rsidR="00333A43" w:rsidRPr="00000849" w:rsidRDefault="00333A43" w:rsidP="00333A43">
      <w:pPr>
        <w:pStyle w:val="NormalWeb"/>
        <w:shd w:val="clear" w:color="auto" w:fill="FFFFFF"/>
        <w:spacing w:before="0" w:beforeAutospacing="0" w:after="165" w:afterAutospacing="0" w:line="480" w:lineRule="auto"/>
        <w:rPr>
          <w:rFonts w:asciiTheme="minorHAnsi" w:hAnsiTheme="minorHAnsi" w:cstheme="minorHAnsi"/>
          <w:color w:val="383838"/>
        </w:rPr>
      </w:pPr>
    </w:p>
    <w:p w14:paraId="26700AA6" w14:textId="55D89295" w:rsidR="00333A43" w:rsidRPr="00000849" w:rsidRDefault="008116A9" w:rsidP="00333A43">
      <w:pPr>
        <w:pStyle w:val="NormalWeb"/>
        <w:shd w:val="clear" w:color="auto" w:fill="FFFFFF"/>
        <w:spacing w:before="0" w:beforeAutospacing="0" w:after="165" w:afterAutospacing="0" w:line="480" w:lineRule="auto"/>
        <w:jc w:val="center"/>
        <w:rPr>
          <w:rFonts w:asciiTheme="minorHAnsi" w:hAnsiTheme="minorHAnsi" w:cstheme="minorHAnsi"/>
          <w:color w:val="383838"/>
        </w:rPr>
      </w:pPr>
      <w:r w:rsidRPr="00000849">
        <w:rPr>
          <w:rFonts w:asciiTheme="minorHAnsi" w:hAnsiTheme="minorHAnsi" w:cstheme="minorHAnsi"/>
          <w:noProof/>
          <w:position w:val="-30"/>
        </w:rPr>
        <w:object w:dxaOrig="6860" w:dyaOrig="680" w14:anchorId="1AED2966">
          <v:shape id="_x0000_i1031" type="#_x0000_t75" alt="" style="width:358.5pt;height:35.25pt;mso-width-percent:0;mso-height-percent:0;mso-width-percent:0;mso-height-percent:0" o:ole="" fillcolor="window">
            <v:imagedata r:id="rId35" o:title=""/>
          </v:shape>
          <o:OLEObject Type="Embed" ProgID="Equation.DSMT4" ShapeID="_x0000_i1031" DrawAspect="Content" ObjectID="_1682449260" r:id="rId36"/>
        </w:object>
      </w:r>
      <w:r w:rsidRPr="00000849">
        <w:rPr>
          <w:rFonts w:asciiTheme="minorHAnsi" w:hAnsiTheme="minorHAnsi" w:cstheme="minorHAnsi"/>
          <w:noProof/>
        </w:rPr>
        <w:t xml:space="preserve">          </w:t>
      </w:r>
      <w:r w:rsidR="00125E47" w:rsidRPr="00000849">
        <w:rPr>
          <w:rFonts w:asciiTheme="minorHAnsi" w:hAnsiTheme="minorHAnsi" w:cstheme="minorHAnsi"/>
          <w:noProof/>
        </w:rPr>
        <w:t>(4.7)</w:t>
      </w:r>
    </w:p>
    <w:p w14:paraId="3355509B" w14:textId="77777777" w:rsidR="00333A43" w:rsidRPr="00000849" w:rsidRDefault="00333A43"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6B021D07" w14:textId="6123CE3C" w:rsidR="00333A43" w:rsidRPr="00000849" w:rsidRDefault="00333A43" w:rsidP="00333A4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In a multilevel logit model, the level-1 error variance is assumed </w:t>
      </w:r>
      <w:r w:rsidR="003166BF" w:rsidRPr="00000849">
        <w:rPr>
          <w:rFonts w:asciiTheme="minorHAnsi" w:hAnsiTheme="minorHAnsi" w:cstheme="minorHAnsi"/>
          <w:color w:val="383838"/>
        </w:rPr>
        <w:t>to have a logistic cumulative density function given x,</w:t>
      </w:r>
      <w:r w:rsidRPr="00000849">
        <w:rPr>
          <w:rFonts w:asciiTheme="minorHAnsi" w:hAnsiTheme="minorHAnsi" w:cstheme="minorHAnsi"/>
          <w:color w:val="383838"/>
        </w:rPr>
        <w:t xml:space="preserve"> σ</w:t>
      </w:r>
      <w:r w:rsidRPr="00000849">
        <w:rPr>
          <w:rFonts w:asciiTheme="minorHAnsi" w:hAnsiTheme="minorHAnsi" w:cstheme="minorHAnsi"/>
          <w:color w:val="383838"/>
          <w:vertAlign w:val="superscript"/>
        </w:rPr>
        <w:t>2</w:t>
      </w:r>
      <w:r w:rsidRPr="00000849">
        <w:rPr>
          <w:rFonts w:asciiTheme="minorHAnsi" w:hAnsiTheme="minorHAnsi" w:cstheme="minorHAnsi"/>
          <w:color w:val="383838"/>
        </w:rPr>
        <w:t xml:space="preserve"> = π</w:t>
      </w:r>
      <w:r w:rsidRPr="00000849">
        <w:rPr>
          <w:rFonts w:asciiTheme="minorHAnsi" w:hAnsiTheme="minorHAnsi" w:cstheme="minorHAnsi"/>
          <w:color w:val="383838"/>
          <w:vertAlign w:val="superscript"/>
        </w:rPr>
        <w:t>2</w:t>
      </w:r>
      <w:r w:rsidRPr="00000849">
        <w:rPr>
          <w:rFonts w:asciiTheme="minorHAnsi" w:hAnsiTheme="minorHAnsi" w:cstheme="minorHAnsi"/>
          <w:color w:val="383838"/>
        </w:rPr>
        <w:t>/3 =3.29 and so the ICC is computed as:</w:t>
      </w:r>
    </w:p>
    <w:p w14:paraId="22BDA2A4" w14:textId="77777777" w:rsidR="003166BF" w:rsidRPr="00000849" w:rsidRDefault="003166BF" w:rsidP="00333A43">
      <w:pPr>
        <w:pStyle w:val="NormalWeb"/>
        <w:shd w:val="clear" w:color="auto" w:fill="FFFFFF"/>
        <w:spacing w:before="0" w:beforeAutospacing="0" w:after="165" w:afterAutospacing="0" w:line="480" w:lineRule="auto"/>
        <w:rPr>
          <w:rFonts w:asciiTheme="minorHAnsi" w:hAnsiTheme="minorHAnsi" w:cstheme="minorHAnsi"/>
          <w:color w:val="383838"/>
        </w:rPr>
      </w:pPr>
    </w:p>
    <w:p w14:paraId="396BB12C" w14:textId="6F553919" w:rsidR="00333A43" w:rsidRPr="00000849" w:rsidRDefault="00F1750A" w:rsidP="00333A43">
      <w:pPr>
        <w:pStyle w:val="NormalWeb"/>
        <w:shd w:val="clear" w:color="auto" w:fill="FFFFFF"/>
        <w:spacing w:before="0" w:beforeAutospacing="0" w:after="165" w:afterAutospacing="0" w:line="480" w:lineRule="auto"/>
        <w:jc w:val="center"/>
        <w:rPr>
          <w:rFonts w:asciiTheme="minorHAnsi" w:hAnsiTheme="minorHAnsi" w:cstheme="minorHAnsi"/>
          <w:color w:val="383838"/>
        </w:rPr>
      </w:pPr>
      <w:r w:rsidRPr="00000849">
        <w:rPr>
          <w:noProof/>
          <w:position w:val="-56"/>
        </w:rPr>
        <w:object w:dxaOrig="2960" w:dyaOrig="940" w14:anchorId="410E9287">
          <v:shape id="_x0000_i1032" type="#_x0000_t75" alt="" style="width:170.75pt;height:54.75pt;mso-width-percent:0;mso-height-percent:0;mso-width-percent:0;mso-height-percent:0" o:ole="" fillcolor="window">
            <v:imagedata r:id="rId37" o:title=""/>
          </v:shape>
          <o:OLEObject Type="Embed" ProgID="Equation.DSMT4" ShapeID="_x0000_i1032" DrawAspect="Content" ObjectID="_1682449261" r:id="rId38"/>
        </w:object>
      </w:r>
      <w:r w:rsidR="00125E47" w:rsidRPr="00000849">
        <w:rPr>
          <w:noProof/>
        </w:rPr>
        <w:tab/>
      </w:r>
      <w:r w:rsidR="00125E47" w:rsidRPr="00000849">
        <w:rPr>
          <w:noProof/>
        </w:rPr>
        <w:tab/>
      </w:r>
      <w:r w:rsidR="00125E47" w:rsidRPr="00000849">
        <w:rPr>
          <w:noProof/>
        </w:rPr>
        <w:tab/>
      </w:r>
      <w:r w:rsidR="00125E47" w:rsidRPr="00000849">
        <w:rPr>
          <w:noProof/>
        </w:rPr>
        <w:tab/>
      </w:r>
      <w:r w:rsidR="00125E47" w:rsidRPr="00000849">
        <w:rPr>
          <w:rFonts w:asciiTheme="minorHAnsi" w:hAnsiTheme="minorHAnsi" w:cstheme="minorHAnsi"/>
          <w:noProof/>
        </w:rPr>
        <w:tab/>
      </w:r>
      <w:r w:rsidR="00125E47" w:rsidRPr="00000849">
        <w:rPr>
          <w:rFonts w:asciiTheme="minorHAnsi" w:hAnsiTheme="minorHAnsi" w:cstheme="minorHAnsi"/>
          <w:noProof/>
        </w:rPr>
        <w:tab/>
        <w:t>(4.8)</w:t>
      </w:r>
    </w:p>
    <w:p w14:paraId="7378BCF3" w14:textId="77777777" w:rsidR="00333A43" w:rsidRPr="00000849" w:rsidRDefault="00333A43" w:rsidP="00333A43">
      <w:pPr>
        <w:pStyle w:val="NormalWeb"/>
        <w:shd w:val="clear" w:color="auto" w:fill="FFFFFF"/>
        <w:spacing w:before="0" w:beforeAutospacing="0" w:after="165" w:afterAutospacing="0" w:line="480" w:lineRule="auto"/>
        <w:rPr>
          <w:rFonts w:asciiTheme="minorHAnsi" w:hAnsiTheme="minorHAnsi" w:cstheme="minorHAnsi"/>
          <w:color w:val="383838"/>
        </w:rPr>
      </w:pPr>
    </w:p>
    <w:p w14:paraId="79F5998E" w14:textId="3932CD22" w:rsidR="00333A43" w:rsidRPr="00000849" w:rsidRDefault="00333A43" w:rsidP="00F14E8E">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In the context of the current study, the ICC </w:t>
      </w:r>
      <w:r w:rsidR="009155C9" w:rsidRPr="00000849">
        <w:rPr>
          <w:rFonts w:asciiTheme="minorHAnsi" w:hAnsiTheme="minorHAnsi" w:cstheme="minorHAnsi"/>
          <w:color w:val="383838"/>
        </w:rPr>
        <w:t>is interpreted as</w:t>
      </w:r>
      <w:r w:rsidRPr="00000849">
        <w:rPr>
          <w:rFonts w:asciiTheme="minorHAnsi" w:hAnsiTheme="minorHAnsi" w:cstheme="minorHAnsi"/>
          <w:color w:val="383838"/>
        </w:rPr>
        <w:t xml:space="preserve"> the variability in the prevalence of hypertension due to differences between households (Level 2).</w:t>
      </w:r>
      <w:r w:rsidR="009155C9" w:rsidRPr="00000849">
        <w:rPr>
          <w:rFonts w:asciiTheme="minorHAnsi" w:hAnsiTheme="minorHAnsi" w:cstheme="minorHAnsi"/>
          <w:color w:val="383838"/>
        </w:rPr>
        <w:t xml:space="preserve">  </w:t>
      </w:r>
      <w:r w:rsidR="00DC456F" w:rsidRPr="00000849">
        <w:rPr>
          <w:rFonts w:asciiTheme="minorHAnsi" w:hAnsiTheme="minorHAnsi" w:cstheme="minorHAnsi"/>
          <w:color w:val="383838"/>
        </w:rPr>
        <w:t xml:space="preserve">It reflects the unobserved household-level effects on the prevalence of hypertension.  </w:t>
      </w:r>
      <w:r w:rsidR="009155C9" w:rsidRPr="00000849">
        <w:rPr>
          <w:rFonts w:asciiTheme="minorHAnsi" w:hAnsiTheme="minorHAnsi" w:cstheme="minorHAnsi"/>
          <w:color w:val="383838"/>
        </w:rPr>
        <w:t>It measures how similar the prevalence of hypertension is among individuals in the same household.</w:t>
      </w:r>
    </w:p>
    <w:p w14:paraId="562BFAD3" w14:textId="771EAC9D" w:rsidR="009975E2" w:rsidRPr="00000849" w:rsidRDefault="009975E2" w:rsidP="00F14E8E">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In the three-level model, the </w:t>
      </w:r>
      <w:r w:rsidR="0058490D" w:rsidRPr="00000849">
        <w:rPr>
          <w:rFonts w:asciiTheme="minorHAnsi" w:hAnsiTheme="minorHAnsi" w:cstheme="minorHAnsi"/>
          <w:color w:val="383838"/>
        </w:rPr>
        <w:t xml:space="preserve">total variance (the denominator) is </w:t>
      </w:r>
      <w:r w:rsidR="007A3839" w:rsidRPr="00000849">
        <w:rPr>
          <w:rFonts w:asciiTheme="minorHAnsi" w:hAnsiTheme="minorHAnsi" w:cstheme="minorHAnsi"/>
          <w:color w:val="383838"/>
        </w:rPr>
        <w:t xml:space="preserve">partitioned between </w:t>
      </w:r>
      <w:r w:rsidR="0058490D" w:rsidRPr="00000849">
        <w:rPr>
          <w:rFonts w:asciiTheme="minorHAnsi" w:hAnsiTheme="minorHAnsi" w:cstheme="minorHAnsi"/>
          <w:color w:val="383838"/>
        </w:rPr>
        <w:t>the household (HH)</w:t>
      </w:r>
      <w:r w:rsidR="007A3839" w:rsidRPr="00000849">
        <w:rPr>
          <w:rFonts w:asciiTheme="minorHAnsi" w:hAnsiTheme="minorHAnsi" w:cstheme="minorHAnsi"/>
          <w:color w:val="383838"/>
        </w:rPr>
        <w:t xml:space="preserve"> level (v2),</w:t>
      </w:r>
      <w:r w:rsidR="0058490D" w:rsidRPr="00000849">
        <w:rPr>
          <w:rFonts w:asciiTheme="minorHAnsi" w:hAnsiTheme="minorHAnsi" w:cstheme="minorHAnsi"/>
          <w:color w:val="383838"/>
        </w:rPr>
        <w:t xml:space="preserve"> enumeration area (EA) level</w:t>
      </w:r>
      <w:r w:rsidR="007A3839" w:rsidRPr="00000849">
        <w:rPr>
          <w:rFonts w:asciiTheme="minorHAnsi" w:hAnsiTheme="minorHAnsi" w:cstheme="minorHAnsi"/>
          <w:color w:val="383838"/>
        </w:rPr>
        <w:t xml:space="preserve"> (v3)</w:t>
      </w:r>
      <w:r w:rsidR="0058490D" w:rsidRPr="00000849">
        <w:rPr>
          <w:rFonts w:asciiTheme="minorHAnsi" w:hAnsiTheme="minorHAnsi" w:cstheme="minorHAnsi"/>
          <w:color w:val="383838"/>
        </w:rPr>
        <w:t xml:space="preserve"> as well as the within-subject variance</w:t>
      </w:r>
      <w:r w:rsidR="007A3839" w:rsidRPr="00000849">
        <w:rPr>
          <w:rFonts w:asciiTheme="minorHAnsi" w:hAnsiTheme="minorHAnsi" w:cstheme="minorHAnsi"/>
          <w:color w:val="383838"/>
        </w:rPr>
        <w:t xml:space="preserve"> (v1)</w:t>
      </w:r>
      <w:r w:rsidR="0058490D" w:rsidRPr="00000849">
        <w:rPr>
          <w:rFonts w:asciiTheme="minorHAnsi" w:hAnsiTheme="minorHAnsi" w:cstheme="minorHAnsi"/>
          <w:color w:val="383838"/>
        </w:rPr>
        <w:t>, which in the logit model is fixed at π</w:t>
      </w:r>
      <w:r w:rsidR="0058490D" w:rsidRPr="00000849">
        <w:rPr>
          <w:rFonts w:asciiTheme="minorHAnsi" w:hAnsiTheme="minorHAnsi" w:cstheme="minorHAnsi"/>
          <w:color w:val="383838"/>
          <w:vertAlign w:val="superscript"/>
        </w:rPr>
        <w:t>2</w:t>
      </w:r>
      <w:r w:rsidR="0058490D" w:rsidRPr="00000849">
        <w:rPr>
          <w:rFonts w:asciiTheme="minorHAnsi" w:hAnsiTheme="minorHAnsi" w:cstheme="minorHAnsi"/>
          <w:color w:val="383838"/>
        </w:rPr>
        <w:t xml:space="preserve">/3 (equation 4.9).  The </w:t>
      </w:r>
      <w:r w:rsidRPr="00000849">
        <w:rPr>
          <w:rFonts w:asciiTheme="minorHAnsi" w:hAnsiTheme="minorHAnsi" w:cstheme="minorHAnsi"/>
          <w:color w:val="383838"/>
        </w:rPr>
        <w:t xml:space="preserve">proportion of the </w:t>
      </w:r>
      <w:r w:rsidR="0058490D" w:rsidRPr="00000849">
        <w:rPr>
          <w:rFonts w:asciiTheme="minorHAnsi" w:hAnsiTheme="minorHAnsi" w:cstheme="minorHAnsi"/>
          <w:color w:val="383838"/>
        </w:rPr>
        <w:t xml:space="preserve">total </w:t>
      </w:r>
      <w:r w:rsidRPr="00000849">
        <w:rPr>
          <w:rFonts w:asciiTheme="minorHAnsi" w:hAnsiTheme="minorHAnsi" w:cstheme="minorHAnsi"/>
          <w:color w:val="383838"/>
        </w:rPr>
        <w:t>variance</w:t>
      </w:r>
      <w:r w:rsidR="0058490D" w:rsidRPr="00000849">
        <w:rPr>
          <w:rFonts w:asciiTheme="minorHAnsi" w:hAnsiTheme="minorHAnsi" w:cstheme="minorHAnsi"/>
          <w:color w:val="383838"/>
        </w:rPr>
        <w:t xml:space="preserve"> in hypertension attributable to between-household and between-enumeration area differences is expressed </w:t>
      </w:r>
      <w:r w:rsidR="007A3839" w:rsidRPr="00000849">
        <w:rPr>
          <w:rFonts w:asciiTheme="minorHAnsi" w:hAnsiTheme="minorHAnsi" w:cstheme="minorHAnsi"/>
          <w:color w:val="383838"/>
        </w:rPr>
        <w:t>in terms of</w:t>
      </w:r>
      <w:r w:rsidR="0058490D" w:rsidRPr="00000849">
        <w:rPr>
          <w:rFonts w:asciiTheme="minorHAnsi" w:hAnsiTheme="minorHAnsi" w:cstheme="minorHAnsi"/>
          <w:color w:val="383838"/>
        </w:rPr>
        <w:t xml:space="preserve"> the</w:t>
      </w:r>
      <w:r w:rsidR="007A3839" w:rsidRPr="00000849">
        <w:rPr>
          <w:rFonts w:asciiTheme="minorHAnsi" w:hAnsiTheme="minorHAnsi" w:cstheme="minorHAnsi"/>
          <w:color w:val="383838"/>
        </w:rPr>
        <w:t xml:space="preserve"> variance partition coefficient (VPC).  It is the </w:t>
      </w:r>
      <w:r w:rsidR="0058490D" w:rsidRPr="00000849">
        <w:rPr>
          <w:rFonts w:asciiTheme="minorHAnsi" w:hAnsiTheme="minorHAnsi" w:cstheme="minorHAnsi"/>
          <w:color w:val="383838"/>
        </w:rPr>
        <w:t xml:space="preserve">ratio of </w:t>
      </w:r>
      <w:r w:rsidR="007A3839" w:rsidRPr="00000849">
        <w:rPr>
          <w:rFonts w:asciiTheme="minorHAnsi" w:hAnsiTheme="minorHAnsi" w:cstheme="minorHAnsi"/>
          <w:color w:val="383838"/>
        </w:rPr>
        <w:t xml:space="preserve">the sum of the household and enumeration area random effects </w:t>
      </w:r>
      <w:r w:rsidR="0058490D" w:rsidRPr="00000849">
        <w:rPr>
          <w:rFonts w:asciiTheme="minorHAnsi" w:hAnsiTheme="minorHAnsi" w:cstheme="minorHAnsi"/>
          <w:color w:val="383838"/>
        </w:rPr>
        <w:t xml:space="preserve">variance </w:t>
      </w:r>
      <w:r w:rsidR="007A3839" w:rsidRPr="00000849">
        <w:rPr>
          <w:rFonts w:asciiTheme="minorHAnsi" w:hAnsiTheme="minorHAnsi" w:cstheme="minorHAnsi"/>
          <w:color w:val="383838"/>
        </w:rPr>
        <w:t>(v2+v3)</w:t>
      </w:r>
      <w:r w:rsidR="0058490D" w:rsidRPr="00000849">
        <w:rPr>
          <w:rFonts w:asciiTheme="minorHAnsi" w:hAnsiTheme="minorHAnsi" w:cstheme="minorHAnsi"/>
          <w:color w:val="383838"/>
        </w:rPr>
        <w:t xml:space="preserve"> and the overall total variance</w:t>
      </w:r>
      <w:r w:rsidR="007A3839" w:rsidRPr="00000849">
        <w:rPr>
          <w:rFonts w:asciiTheme="minorHAnsi" w:hAnsiTheme="minorHAnsi" w:cstheme="minorHAnsi"/>
          <w:color w:val="383838"/>
        </w:rPr>
        <w:t xml:space="preserve"> (v1+v2+v3)</w:t>
      </w:r>
      <w:r w:rsidR="0058490D" w:rsidRPr="00000849">
        <w:rPr>
          <w:rFonts w:asciiTheme="minorHAnsi" w:hAnsiTheme="minorHAnsi" w:cstheme="minorHAnsi"/>
          <w:color w:val="383838"/>
        </w:rPr>
        <w:t xml:space="preserve"> (equation 4.10).  The proportion of variation in hypertension at either the household</w:t>
      </w:r>
      <w:r w:rsidR="007A3839" w:rsidRPr="00000849">
        <w:rPr>
          <w:rFonts w:asciiTheme="minorHAnsi" w:hAnsiTheme="minorHAnsi" w:cstheme="minorHAnsi"/>
          <w:color w:val="383838"/>
        </w:rPr>
        <w:t xml:space="preserve"> (v2)</w:t>
      </w:r>
      <w:r w:rsidR="0058490D" w:rsidRPr="00000849">
        <w:rPr>
          <w:rFonts w:asciiTheme="minorHAnsi" w:hAnsiTheme="minorHAnsi" w:cstheme="minorHAnsi"/>
          <w:color w:val="383838"/>
        </w:rPr>
        <w:t xml:space="preserve"> or enumeration level</w:t>
      </w:r>
      <w:r w:rsidR="007A3839" w:rsidRPr="00000849">
        <w:rPr>
          <w:rFonts w:asciiTheme="minorHAnsi" w:hAnsiTheme="minorHAnsi" w:cstheme="minorHAnsi"/>
          <w:color w:val="383838"/>
        </w:rPr>
        <w:t xml:space="preserve"> (v3)</w:t>
      </w:r>
      <w:r w:rsidR="0058490D" w:rsidRPr="00000849">
        <w:rPr>
          <w:rFonts w:asciiTheme="minorHAnsi" w:hAnsiTheme="minorHAnsi" w:cstheme="minorHAnsi"/>
          <w:color w:val="383838"/>
        </w:rPr>
        <w:t xml:space="preserve"> is the ratio of the variance at the respective level and the overall variance</w:t>
      </w:r>
      <w:r w:rsidR="007A3839" w:rsidRPr="00000849">
        <w:rPr>
          <w:rFonts w:asciiTheme="minorHAnsi" w:hAnsiTheme="minorHAnsi" w:cstheme="minorHAnsi"/>
          <w:color w:val="383838"/>
        </w:rPr>
        <w:t xml:space="preserve"> (v1+v2+v3)</w:t>
      </w:r>
      <w:r w:rsidR="0058490D" w:rsidRPr="00000849">
        <w:rPr>
          <w:rFonts w:asciiTheme="minorHAnsi" w:hAnsiTheme="minorHAnsi" w:cstheme="minorHAnsi"/>
          <w:color w:val="383838"/>
        </w:rPr>
        <w:t>.</w:t>
      </w:r>
    </w:p>
    <w:p w14:paraId="3A5313E5" w14:textId="77777777" w:rsidR="009975E2" w:rsidRPr="00000849" w:rsidRDefault="009975E2" w:rsidP="00F14E8E">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6CF4644B" w14:textId="5BB8CBA7" w:rsidR="009975E2" w:rsidRPr="00000849" w:rsidRDefault="00F1750A" w:rsidP="00333A43">
      <w:pPr>
        <w:pStyle w:val="NormalWeb"/>
        <w:shd w:val="clear" w:color="auto" w:fill="FFFFFF"/>
        <w:spacing w:before="0" w:beforeAutospacing="0" w:after="165" w:afterAutospacing="0" w:line="480" w:lineRule="auto"/>
        <w:rPr>
          <w:rFonts w:asciiTheme="minorHAnsi" w:hAnsiTheme="minorHAnsi" w:cstheme="minorHAnsi"/>
          <w:color w:val="383838"/>
        </w:rPr>
      </w:pPr>
      <w:r w:rsidRPr="00000849">
        <w:rPr>
          <w:rFonts w:asciiTheme="minorHAnsi" w:hAnsiTheme="minorHAnsi" w:cstheme="minorHAnsi"/>
          <w:noProof/>
          <w:position w:val="-28"/>
        </w:rPr>
        <w:object w:dxaOrig="7160" w:dyaOrig="660" w14:anchorId="0D3EE162">
          <v:shape id="_x0000_i1033" type="#_x0000_t75" alt="" style="width:386.75pt;height:34.5pt;mso-width-percent:0;mso-height-percent:0;mso-width-percent:0;mso-height-percent:0" o:ole="" fillcolor="window">
            <v:imagedata r:id="rId39" o:title=""/>
          </v:shape>
          <o:OLEObject Type="Embed" ProgID="Equation.DSMT4" ShapeID="_x0000_i1033" DrawAspect="Content" ObjectID="_1682449262" r:id="rId40"/>
        </w:object>
      </w:r>
      <w:r w:rsidR="0058490D" w:rsidRPr="00000849">
        <w:rPr>
          <w:rFonts w:asciiTheme="minorHAnsi" w:hAnsiTheme="minorHAnsi" w:cstheme="minorHAnsi"/>
          <w:noProof/>
        </w:rPr>
        <w:t xml:space="preserve">  (4.9)</w:t>
      </w:r>
    </w:p>
    <w:p w14:paraId="445428BD" w14:textId="2D122455" w:rsidR="000B4FD0" w:rsidRPr="00000849" w:rsidRDefault="00F1750A" w:rsidP="00333A43">
      <w:pPr>
        <w:pStyle w:val="NormalWeb"/>
        <w:shd w:val="clear" w:color="auto" w:fill="FFFFFF"/>
        <w:spacing w:before="0" w:beforeAutospacing="0" w:after="165" w:afterAutospacing="0" w:line="480" w:lineRule="auto"/>
        <w:rPr>
          <w:rFonts w:asciiTheme="minorHAnsi" w:hAnsiTheme="minorHAnsi" w:cstheme="minorHAnsi"/>
          <w:color w:val="383838"/>
        </w:rPr>
      </w:pPr>
      <w:r w:rsidRPr="00000849">
        <w:rPr>
          <w:rFonts w:asciiTheme="minorHAnsi" w:hAnsiTheme="minorHAnsi" w:cstheme="minorHAnsi"/>
          <w:noProof/>
          <w:position w:val="-28"/>
        </w:rPr>
        <w:object w:dxaOrig="3180" w:dyaOrig="700" w14:anchorId="42515DD2">
          <v:shape id="_x0000_i1034" type="#_x0000_t75" alt="" style="width:184pt;height:40pt;mso-width-percent:0;mso-height-percent:0;mso-width-percent:0;mso-height-percent:0" o:ole="" fillcolor="window">
            <v:imagedata r:id="rId41" o:title=""/>
          </v:shape>
          <o:OLEObject Type="Embed" ProgID="Equation.DSMT4" ShapeID="_x0000_i1034" DrawAspect="Content" ObjectID="_1682449263" r:id="rId42"/>
        </w:object>
      </w:r>
      <w:r w:rsidR="0058490D" w:rsidRPr="00000849">
        <w:rPr>
          <w:rFonts w:asciiTheme="minorHAnsi" w:hAnsiTheme="minorHAnsi" w:cstheme="minorHAnsi"/>
          <w:noProof/>
        </w:rPr>
        <w:tab/>
      </w:r>
      <w:r w:rsidR="0058490D" w:rsidRPr="00000849">
        <w:rPr>
          <w:rFonts w:asciiTheme="minorHAnsi" w:hAnsiTheme="minorHAnsi" w:cstheme="minorHAnsi"/>
          <w:noProof/>
        </w:rPr>
        <w:tab/>
      </w:r>
      <w:r w:rsidR="0058490D" w:rsidRPr="00000849">
        <w:rPr>
          <w:rFonts w:asciiTheme="minorHAnsi" w:hAnsiTheme="minorHAnsi" w:cstheme="minorHAnsi"/>
          <w:noProof/>
        </w:rPr>
        <w:tab/>
      </w:r>
      <w:r w:rsidR="0058490D" w:rsidRPr="00000849">
        <w:rPr>
          <w:rFonts w:asciiTheme="minorHAnsi" w:hAnsiTheme="minorHAnsi" w:cstheme="minorHAnsi"/>
          <w:noProof/>
        </w:rPr>
        <w:tab/>
      </w:r>
      <w:r w:rsidR="0058490D" w:rsidRPr="00000849">
        <w:rPr>
          <w:rFonts w:asciiTheme="minorHAnsi" w:hAnsiTheme="minorHAnsi" w:cstheme="minorHAnsi"/>
          <w:noProof/>
        </w:rPr>
        <w:tab/>
        <w:t>(4.10)</w:t>
      </w:r>
    </w:p>
    <w:p w14:paraId="37888988" w14:textId="0C10FADB" w:rsidR="000B4FD0" w:rsidRPr="00000849" w:rsidRDefault="000B4FD0" w:rsidP="00333A43">
      <w:pPr>
        <w:pStyle w:val="NormalWeb"/>
        <w:shd w:val="clear" w:color="auto" w:fill="FFFFFF"/>
        <w:spacing w:before="0" w:beforeAutospacing="0" w:after="165" w:afterAutospacing="0" w:line="480" w:lineRule="auto"/>
        <w:rPr>
          <w:rFonts w:asciiTheme="minorHAnsi" w:hAnsiTheme="minorHAnsi" w:cstheme="minorHAnsi"/>
          <w:color w:val="383838"/>
        </w:rPr>
      </w:pPr>
    </w:p>
    <w:p w14:paraId="3D96AB5A" w14:textId="5DFC26CA" w:rsidR="0019235D" w:rsidRPr="00000849" w:rsidRDefault="002006AA" w:rsidP="00E93D4C">
      <w:pPr>
        <w:pStyle w:val="Heading5"/>
      </w:pPr>
      <w:r w:rsidRPr="00000849">
        <w:t>4.8.</w:t>
      </w:r>
      <w:r w:rsidR="0019235D" w:rsidRPr="00000849">
        <w:t>1.2.3</w:t>
      </w:r>
      <w:r w:rsidR="0019235D" w:rsidRPr="00000849">
        <w:tab/>
        <w:t>Fitting the models</w:t>
      </w:r>
    </w:p>
    <w:p w14:paraId="117AD8BA" w14:textId="77777777" w:rsidR="0019235D" w:rsidRPr="00000849" w:rsidRDefault="0019235D" w:rsidP="00000849">
      <w:pPr>
        <w:pStyle w:val="NormalWeb"/>
        <w:keepNext/>
        <w:keepLines/>
        <w:shd w:val="clear" w:color="auto" w:fill="FFFFFF"/>
        <w:spacing w:before="0" w:beforeAutospacing="0" w:after="165" w:afterAutospacing="0" w:line="480" w:lineRule="auto"/>
        <w:rPr>
          <w:rFonts w:asciiTheme="minorHAnsi" w:hAnsiTheme="minorHAnsi" w:cstheme="minorHAnsi"/>
          <w:color w:val="383838"/>
        </w:rPr>
      </w:pPr>
    </w:p>
    <w:p w14:paraId="39EF85DF" w14:textId="0D5DFAB6" w:rsidR="00EE4A93" w:rsidRPr="00000849" w:rsidRDefault="00BD6631" w:rsidP="00000849">
      <w:pPr>
        <w:keepNext/>
        <w:keepLines/>
        <w:spacing w:after="0" w:line="480" w:lineRule="auto"/>
        <w:jc w:val="both"/>
        <w:rPr>
          <w:sz w:val="24"/>
          <w:szCs w:val="24"/>
        </w:rPr>
      </w:pPr>
      <w:r w:rsidRPr="00000849">
        <w:rPr>
          <w:sz w:val="24"/>
          <w:szCs w:val="24"/>
        </w:rPr>
        <w:t xml:space="preserve">Two broad groups of statistical analyses were conducted – first, separate analysis was run for waves 1 and 2 and secondly, by pooling waves 1 and 2 data together for the </w:t>
      </w:r>
      <w:r w:rsidR="004D3768" w:rsidRPr="00000849">
        <w:rPr>
          <w:sz w:val="24"/>
          <w:szCs w:val="24"/>
        </w:rPr>
        <w:t>longitudinal data analysis</w:t>
      </w:r>
      <w:r w:rsidRPr="00000849">
        <w:rPr>
          <w:sz w:val="24"/>
          <w:szCs w:val="24"/>
        </w:rPr>
        <w:t xml:space="preserve">.  </w:t>
      </w:r>
      <w:r w:rsidR="00446D02" w:rsidRPr="00000849">
        <w:rPr>
          <w:sz w:val="24"/>
          <w:szCs w:val="24"/>
        </w:rPr>
        <w:t>In the separate analysis of the study waves, t</w:t>
      </w:r>
      <w:r w:rsidR="00EE4A93" w:rsidRPr="00000849">
        <w:rPr>
          <w:sz w:val="24"/>
          <w:szCs w:val="24"/>
        </w:rPr>
        <w:t xml:space="preserve">he models were fitted to the data systematically starting with the null models </w:t>
      </w:r>
      <w:r w:rsidR="003E27CD" w:rsidRPr="00000849">
        <w:rPr>
          <w:sz w:val="24"/>
          <w:szCs w:val="24"/>
        </w:rPr>
        <w:t xml:space="preserve">with no explanatory variables </w:t>
      </w:r>
      <w:r w:rsidR="00EE4A93" w:rsidRPr="00000849">
        <w:rPr>
          <w:sz w:val="24"/>
          <w:szCs w:val="24"/>
        </w:rPr>
        <w:t xml:space="preserve">in the single level logistic regression models through to the two- and three-level models.  In the single level standard logistic regression model, the set of demographic, socio-economic and lifestyle explanatory variables were cumulatively added to the model to establish which </w:t>
      </w:r>
      <w:r w:rsidR="00E71CD5" w:rsidRPr="00000849">
        <w:rPr>
          <w:sz w:val="24"/>
          <w:szCs w:val="24"/>
        </w:rPr>
        <w:t xml:space="preserve">one </w:t>
      </w:r>
      <w:r w:rsidR="00EE4A93" w:rsidRPr="00000849">
        <w:rPr>
          <w:sz w:val="24"/>
          <w:szCs w:val="24"/>
        </w:rPr>
        <w:t xml:space="preserve">provided the optimal fit to the data.  </w:t>
      </w:r>
      <w:r w:rsidR="007E760E" w:rsidRPr="00000849">
        <w:rPr>
          <w:sz w:val="24"/>
          <w:szCs w:val="24"/>
        </w:rPr>
        <w:t>The optimal model at the single level was then extended to the multilevel models with t</w:t>
      </w:r>
      <w:r w:rsidR="00EE4A93" w:rsidRPr="00000849">
        <w:rPr>
          <w:sz w:val="24"/>
          <w:szCs w:val="24"/>
        </w:rPr>
        <w:t>he same set of explanatory variables.</w:t>
      </w:r>
    </w:p>
    <w:p w14:paraId="647DBEDA" w14:textId="19B3295B" w:rsidR="00EE4A93" w:rsidRPr="00000849" w:rsidRDefault="00EE4A93" w:rsidP="00EE4A93">
      <w:pPr>
        <w:spacing w:after="0" w:line="480" w:lineRule="auto"/>
        <w:ind w:firstLine="567"/>
        <w:jc w:val="both"/>
        <w:rPr>
          <w:sz w:val="24"/>
          <w:szCs w:val="24"/>
        </w:rPr>
      </w:pPr>
      <w:r w:rsidRPr="00000849">
        <w:rPr>
          <w:sz w:val="24"/>
          <w:szCs w:val="24"/>
        </w:rPr>
        <w:t xml:space="preserve">Using the selection probabilities at each stage of selection, individual and household weights were calculated, and then post-stratified by region and locality, sex according to the 2010 Ghana Statistical Service projected population estimates </w:t>
      </w:r>
      <w:r w:rsidRPr="00000849">
        <w:rPr>
          <w:sz w:val="24"/>
          <w:szCs w:val="24"/>
        </w:rPr>
        <w:fldChar w:fldCharType="begin"/>
      </w:r>
      <w:r w:rsidRPr="00000849">
        <w:rPr>
          <w:sz w:val="24"/>
          <w:szCs w:val="24"/>
        </w:rPr>
        <w:instrText xml:space="preserve"> ADDIN EN.CITE &lt;EndNote&gt;&lt;Cite&gt;&lt;Author&gt;Biritwum&lt;/Author&gt;&lt;Year&gt;2013&lt;/Year&gt;&lt;RecNum&gt;6&lt;/RecNum&gt;&lt;DisplayText&gt;(Biritwum et al., 2013)&lt;/DisplayText&gt;&lt;record&gt;&lt;rec-number&gt;6&lt;/rec-number&gt;&lt;foreign-keys&gt;&lt;key app="EN" db-id="9tzf2rda8re2a9es5tuxart3swzx2zws2s02" timestamp="1463391711"&gt;6&lt;/key&gt;&lt;/foreign-keys&gt;&lt;ref-type name="Journal Article"&gt;17&lt;/ref-type&gt;&lt;contributors&gt;&lt;authors&gt;&lt;author&gt;Biritwum, Richard B&lt;/author&gt;&lt;author&gt;Mensah, George&lt;/author&gt;&lt;author&gt;Minicuci, Nadia&lt;/author&gt;&lt;author&gt;Yawson, Alfred E&lt;/author&gt;&lt;author&gt;Naidoo, Nirmala&lt;/author&gt;&lt;author&gt;Chatterji, Somnath&lt;/author&gt;&lt;author&gt;Kowal, Paul&lt;/author&gt;&lt;/authors&gt;&lt;/contributors&gt;&lt;titles&gt;&lt;title&gt;Household characteristics for older adults and study background from SAGE Ghana Wave 1&lt;/title&gt;&lt;secondary-title&gt;Global Health Action&lt;/secondary-title&gt;&lt;/titles&gt;&lt;periodical&gt;&lt;full-title&gt;Global Health Action&lt;/full-title&gt;&lt;abbr-1&gt;Glob Health Action&lt;/abbr-1&gt;&lt;/periodical&gt;&lt;pages&gt;20096&lt;/pages&gt;&lt;volume&gt;6&lt;/volume&gt;&lt;dates&gt;&lt;year&gt;2013&lt;/year&gt;&lt;/dates&gt;&lt;isbn&gt;1654-9880&lt;/isbn&gt;&lt;urls&gt;&lt;/urls&gt;&lt;electronic-resource-num&gt;20096 - http://dx.doi.org/10.3402/gha.v6i0.20096&lt;/electronic-resource-num&gt;&lt;/record&gt;&lt;/Cite&gt;&lt;/EndNote&gt;</w:instrText>
      </w:r>
      <w:r w:rsidRPr="00000849">
        <w:rPr>
          <w:sz w:val="24"/>
          <w:szCs w:val="24"/>
        </w:rPr>
        <w:fldChar w:fldCharType="separate"/>
      </w:r>
      <w:r w:rsidRPr="00000849">
        <w:rPr>
          <w:noProof/>
          <w:sz w:val="24"/>
          <w:szCs w:val="24"/>
        </w:rPr>
        <w:t>(Biritwum et al., 2013)</w:t>
      </w:r>
      <w:r w:rsidRPr="00000849">
        <w:rPr>
          <w:sz w:val="24"/>
          <w:szCs w:val="24"/>
        </w:rPr>
        <w:fldChar w:fldCharType="end"/>
      </w:r>
      <w:r w:rsidRPr="00000849">
        <w:rPr>
          <w:sz w:val="24"/>
          <w:szCs w:val="24"/>
        </w:rPr>
        <w:t>.  The models took account of the complex survey design</w:t>
      </w:r>
      <w:r w:rsidR="00955AFF" w:rsidRPr="00000849">
        <w:rPr>
          <w:sz w:val="24"/>
          <w:szCs w:val="24"/>
        </w:rPr>
        <w:t xml:space="preserve">, using Stata’s </w:t>
      </w:r>
      <w:r w:rsidR="00955AFF" w:rsidRPr="00000849">
        <w:rPr>
          <w:i/>
          <w:iCs/>
          <w:sz w:val="24"/>
          <w:szCs w:val="24"/>
        </w:rPr>
        <w:t>svy</w:t>
      </w:r>
      <w:r w:rsidR="00955AFF" w:rsidRPr="00000849">
        <w:rPr>
          <w:sz w:val="24"/>
          <w:szCs w:val="24"/>
        </w:rPr>
        <w:t xml:space="preserve"> command</w:t>
      </w:r>
      <w:r w:rsidR="002C261A" w:rsidRPr="00000849">
        <w:rPr>
          <w:sz w:val="24"/>
          <w:szCs w:val="24"/>
        </w:rPr>
        <w:t xml:space="preserve"> with data on sampling weights, clustering and stratification</w:t>
      </w:r>
      <w:r w:rsidR="00955AFF" w:rsidRPr="00000849">
        <w:rPr>
          <w:sz w:val="24"/>
          <w:szCs w:val="24"/>
        </w:rPr>
        <w:t>,</w:t>
      </w:r>
      <w:r w:rsidRPr="00000849">
        <w:rPr>
          <w:sz w:val="24"/>
          <w:szCs w:val="24"/>
        </w:rPr>
        <w:t xml:space="preserve"> in order to compute unbiased standard errors and parameter estimates</w:t>
      </w:r>
      <w:r w:rsidR="00425259" w:rsidRPr="00000849">
        <w:rPr>
          <w:sz w:val="24"/>
          <w:szCs w:val="24"/>
        </w:rPr>
        <w:t xml:space="preserve"> </w:t>
      </w:r>
      <w:r w:rsidR="00425259" w:rsidRPr="00000849">
        <w:rPr>
          <w:sz w:val="24"/>
          <w:szCs w:val="24"/>
        </w:rPr>
        <w:fldChar w:fldCharType="begin"/>
      </w:r>
      <w:r w:rsidR="00425259" w:rsidRPr="00000849">
        <w:rPr>
          <w:sz w:val="24"/>
          <w:szCs w:val="24"/>
        </w:rPr>
        <w:instrText xml:space="preserve"> ADDIN EN.CITE &lt;EndNote&gt;&lt;Cite&gt;&lt;Author&gt;Kreuter&lt;/Author&gt;&lt;Year&gt;2007&lt;/Year&gt;&lt;RecNum&gt;501&lt;/RecNum&gt;&lt;DisplayText&gt;(Kreuter &amp;amp; Valliant, 2007)&lt;/DisplayText&gt;&lt;record&gt;&lt;rec-number&gt;501&lt;/rec-number&gt;&lt;foreign-keys&gt;&lt;key app="EN" db-id="pzfw02x58peadyevdp8vswt40etp25t5ddp0" timestamp="1598204547"&gt;501&lt;/key&gt;&lt;/foreign-keys&gt;&lt;ref-type name="Journal Article"&gt;17&lt;/ref-type&gt;&lt;contributors&gt;&lt;authors&gt;&lt;author&gt;Kreuter, Fraucke&lt;/author&gt;&lt;author&gt;Valliant, Richard&lt;/author&gt;&lt;/authors&gt;&lt;/contributors&gt;&lt;titles&gt;&lt;title&gt;A survey on survey statistics: What is done and can be done in Stata&lt;/title&gt;&lt;secondary-title&gt;The Stata Journal&lt;/secondary-title&gt;&lt;/titles&gt;&lt;periodical&gt;&lt;full-title&gt;The Stata Journal&lt;/full-title&gt;&lt;/periodical&gt;&lt;pages&gt;1–21&lt;/pages&gt;&lt;volume&gt;7&lt;/volume&gt;&lt;number&gt;1&lt;/number&gt;&lt;section&gt;The Stata Journal (2007)&amp;#xD;7, Number 1, pp. &lt;/section&gt;&lt;dates&gt;&lt;year&gt;2007&lt;/year&gt;&lt;/dates&gt;&lt;urls&gt;&lt;/urls&gt;&lt;/record&gt;&lt;/Cite&gt;&lt;/EndNote&gt;</w:instrText>
      </w:r>
      <w:r w:rsidR="00425259" w:rsidRPr="00000849">
        <w:rPr>
          <w:sz w:val="24"/>
          <w:szCs w:val="24"/>
        </w:rPr>
        <w:fldChar w:fldCharType="separate"/>
      </w:r>
      <w:r w:rsidR="00425259" w:rsidRPr="00000849">
        <w:rPr>
          <w:noProof/>
          <w:sz w:val="24"/>
          <w:szCs w:val="24"/>
        </w:rPr>
        <w:t>(Kreuter &amp; Valliant, 2007)</w:t>
      </w:r>
      <w:r w:rsidR="00425259" w:rsidRPr="00000849">
        <w:rPr>
          <w:sz w:val="24"/>
          <w:szCs w:val="24"/>
        </w:rPr>
        <w:fldChar w:fldCharType="end"/>
      </w:r>
      <w:r w:rsidRPr="00000849">
        <w:rPr>
          <w:sz w:val="24"/>
          <w:szCs w:val="24"/>
        </w:rPr>
        <w:t>.</w:t>
      </w:r>
    </w:p>
    <w:p w14:paraId="6C355D98" w14:textId="1D435FAF" w:rsidR="0019235D" w:rsidRPr="00000849" w:rsidRDefault="00787CC3" w:rsidP="00EE4A93">
      <w:pPr>
        <w:spacing w:after="0" w:line="480" w:lineRule="auto"/>
        <w:ind w:firstLine="567"/>
        <w:jc w:val="both"/>
        <w:rPr>
          <w:sz w:val="24"/>
          <w:szCs w:val="24"/>
        </w:rPr>
      </w:pPr>
      <w:r w:rsidRPr="00000849">
        <w:rPr>
          <w:sz w:val="24"/>
          <w:szCs w:val="24"/>
        </w:rPr>
        <w:t xml:space="preserve">The measures of effect were crude and adjusted </w:t>
      </w:r>
      <w:r w:rsidR="00466D06" w:rsidRPr="00000849">
        <w:rPr>
          <w:sz w:val="24"/>
          <w:szCs w:val="24"/>
        </w:rPr>
        <w:t>OR</w:t>
      </w:r>
      <w:r w:rsidRPr="00000849">
        <w:rPr>
          <w:sz w:val="24"/>
          <w:szCs w:val="24"/>
        </w:rPr>
        <w:t xml:space="preserve">s, reported with their 95% confidence intervals. </w:t>
      </w:r>
      <w:r w:rsidR="00423EA6" w:rsidRPr="00000849">
        <w:rPr>
          <w:sz w:val="24"/>
          <w:szCs w:val="24"/>
        </w:rPr>
        <w:t xml:space="preserve">Standard errors were obtained that were robust to </w:t>
      </w:r>
      <w:r w:rsidR="00423EA6" w:rsidRPr="00000849">
        <w:rPr>
          <w:sz w:val="24"/>
          <w:szCs w:val="24"/>
        </w:rPr>
        <w:lastRenderedPageBreak/>
        <w:t>misspecification of the model</w:t>
      </w:r>
      <w:r w:rsidR="00643734" w:rsidRPr="00000849">
        <w:rPr>
          <w:sz w:val="24"/>
          <w:szCs w:val="24"/>
        </w:rPr>
        <w:t xml:space="preserve"> </w:t>
      </w:r>
      <w:r w:rsidR="00AF0320" w:rsidRPr="00000849">
        <w:rPr>
          <w:sz w:val="24"/>
          <w:szCs w:val="24"/>
        </w:rPr>
        <w:fldChar w:fldCharType="begin"/>
      </w:r>
      <w:r w:rsidR="00AF0320" w:rsidRPr="00000849">
        <w:rPr>
          <w:sz w:val="24"/>
          <w:szCs w:val="24"/>
        </w:rPr>
        <w:instrText xml:space="preserve"> ADDIN EN.CITE &lt;EndNote&gt;&lt;Cite&gt;&lt;Author&gt;Royall&lt;/Author&gt;&lt;Year&gt;1986&lt;/Year&gt;&lt;RecNum&gt;1158&lt;/RecNum&gt;&lt;DisplayText&gt;(Royall, 1986)&lt;/DisplayText&gt;&lt;record&gt;&lt;rec-number&gt;1158&lt;/rec-number&gt;&lt;foreign-keys&gt;&lt;key app="EN" db-id="9tzf2rda8re2a9es5tuxart3swzx2zws2s02" timestamp="1583681556"&gt;1158&lt;/key&gt;&lt;/foreign-keys&gt;&lt;ref-type name="Journal Article"&gt;17&lt;/ref-type&gt;&lt;contributors&gt;&lt;authors&gt;&lt;author&gt;Royall, Richard M&lt;/author&gt;&lt;/authors&gt;&lt;/contributors&gt;&lt;titles&gt;&lt;title&gt;Model robust confidence intervals using maximum likelihood estimators&lt;/title&gt;&lt;secondary-title&gt;International Statistical Review/Revue Internationale de Statistique&lt;/secondary-title&gt;&lt;/titles&gt;&lt;periodical&gt;&lt;full-title&gt;International Statistical Review/Revue Internationale de Statistique&lt;/full-title&gt;&lt;/periodical&gt;&lt;pages&gt;221-226&lt;/pages&gt;&lt;volume&gt;54&lt;/volume&gt;&lt;number&gt;2&lt;/number&gt;&lt;dates&gt;&lt;year&gt;1986&lt;/year&gt;&lt;/dates&gt;&lt;isbn&gt;0306-7734&lt;/isbn&gt;&lt;urls&gt;&lt;/urls&gt;&lt;/record&gt;&lt;/Cite&gt;&lt;/EndNote&gt;</w:instrText>
      </w:r>
      <w:r w:rsidR="00AF0320" w:rsidRPr="00000849">
        <w:rPr>
          <w:sz w:val="24"/>
          <w:szCs w:val="24"/>
        </w:rPr>
        <w:fldChar w:fldCharType="separate"/>
      </w:r>
      <w:r w:rsidR="00AF0320" w:rsidRPr="00000849">
        <w:rPr>
          <w:noProof/>
          <w:sz w:val="24"/>
          <w:szCs w:val="24"/>
        </w:rPr>
        <w:t>(Royall, 1986)</w:t>
      </w:r>
      <w:r w:rsidR="00AF0320" w:rsidRPr="00000849">
        <w:rPr>
          <w:sz w:val="24"/>
          <w:szCs w:val="24"/>
        </w:rPr>
        <w:fldChar w:fldCharType="end"/>
      </w:r>
      <w:r w:rsidR="00AF0320" w:rsidRPr="00000849">
        <w:rPr>
          <w:sz w:val="24"/>
          <w:szCs w:val="24"/>
        </w:rPr>
        <w:t xml:space="preserve">.  </w:t>
      </w:r>
      <w:r w:rsidR="007E7A5B" w:rsidRPr="00000849">
        <w:rPr>
          <w:sz w:val="24"/>
          <w:szCs w:val="24"/>
        </w:rPr>
        <w:t xml:space="preserve">Two-tailed statistical tests were done with the level of </w:t>
      </w:r>
      <w:r w:rsidR="00272BC8" w:rsidRPr="00000849">
        <w:rPr>
          <w:sz w:val="24"/>
          <w:szCs w:val="24"/>
        </w:rPr>
        <w:t xml:space="preserve">statistical </w:t>
      </w:r>
      <w:r w:rsidR="007E7A5B" w:rsidRPr="00000849">
        <w:rPr>
          <w:sz w:val="24"/>
          <w:szCs w:val="24"/>
        </w:rPr>
        <w:t xml:space="preserve">significance set at 5%.  </w:t>
      </w:r>
      <w:r w:rsidR="00854A16" w:rsidRPr="00000849">
        <w:rPr>
          <w:sz w:val="24"/>
          <w:szCs w:val="24"/>
        </w:rPr>
        <w:t>Between</w:t>
      </w:r>
      <w:r w:rsidR="002B1872" w:rsidRPr="00000849">
        <w:rPr>
          <w:sz w:val="24"/>
          <w:szCs w:val="24"/>
        </w:rPr>
        <w:t>-</w:t>
      </w:r>
      <w:r w:rsidR="00854A16" w:rsidRPr="00000849">
        <w:rPr>
          <w:sz w:val="24"/>
          <w:szCs w:val="24"/>
        </w:rPr>
        <w:t xml:space="preserve">group variation was assessed by computing intra-class correlation coefficients (ICC).  </w:t>
      </w:r>
    </w:p>
    <w:p w14:paraId="411B2789" w14:textId="4927D9CC" w:rsidR="007E7A5B" w:rsidRPr="00000849" w:rsidRDefault="009D69B3" w:rsidP="00557BD7">
      <w:pPr>
        <w:spacing w:after="0" w:line="480" w:lineRule="auto"/>
        <w:ind w:firstLine="567"/>
        <w:jc w:val="both"/>
        <w:rPr>
          <w:sz w:val="24"/>
          <w:szCs w:val="24"/>
        </w:rPr>
      </w:pPr>
      <w:r w:rsidRPr="00000849">
        <w:rPr>
          <w:sz w:val="24"/>
          <w:szCs w:val="24"/>
        </w:rPr>
        <w:t>M</w:t>
      </w:r>
      <w:r w:rsidR="00897069" w:rsidRPr="00000849">
        <w:rPr>
          <w:sz w:val="24"/>
          <w:szCs w:val="24"/>
        </w:rPr>
        <w:t xml:space="preserve">ulticollinearity was </w:t>
      </w:r>
      <w:r w:rsidRPr="00000849">
        <w:rPr>
          <w:sz w:val="24"/>
          <w:szCs w:val="24"/>
        </w:rPr>
        <w:t xml:space="preserve">not </w:t>
      </w:r>
      <w:r w:rsidR="00557BD7" w:rsidRPr="00000849">
        <w:rPr>
          <w:sz w:val="24"/>
          <w:szCs w:val="24"/>
        </w:rPr>
        <w:t xml:space="preserve">considered </w:t>
      </w:r>
      <w:r w:rsidRPr="00000849">
        <w:rPr>
          <w:sz w:val="24"/>
          <w:szCs w:val="24"/>
        </w:rPr>
        <w:t>to be a major concern if t</w:t>
      </w:r>
      <w:r w:rsidR="0040375E" w:rsidRPr="00000849">
        <w:rPr>
          <w:sz w:val="24"/>
          <w:szCs w:val="24"/>
        </w:rPr>
        <w:t>he variance inflation factors (VIFs)</w:t>
      </w:r>
      <w:r w:rsidRPr="00000849">
        <w:rPr>
          <w:sz w:val="24"/>
          <w:szCs w:val="24"/>
        </w:rPr>
        <w:t xml:space="preserve"> w</w:t>
      </w:r>
      <w:r w:rsidR="00507F60">
        <w:rPr>
          <w:sz w:val="24"/>
          <w:szCs w:val="24"/>
        </w:rPr>
        <w:t>ere</w:t>
      </w:r>
      <w:r w:rsidRPr="00000849">
        <w:rPr>
          <w:sz w:val="24"/>
          <w:szCs w:val="24"/>
        </w:rPr>
        <w:t xml:space="preserve"> below the traditional threshold of 10</w:t>
      </w:r>
      <w:r w:rsidR="00557BD7" w:rsidRPr="00000849">
        <w:rPr>
          <w:sz w:val="24"/>
          <w:szCs w:val="24"/>
        </w:rPr>
        <w:t xml:space="preserve"> </w:t>
      </w:r>
      <w:r w:rsidR="00557BD7" w:rsidRPr="00000849">
        <w:rPr>
          <w:sz w:val="24"/>
          <w:szCs w:val="24"/>
        </w:rPr>
        <w:fldChar w:fldCharType="begin"/>
      </w:r>
      <w:r w:rsidR="00557BD7" w:rsidRPr="00000849">
        <w:rPr>
          <w:sz w:val="24"/>
          <w:szCs w:val="24"/>
        </w:rPr>
        <w:instrText xml:space="preserve"> ADDIN EN.CITE &lt;EndNote&gt;&lt;Cite&gt;&lt;Author&gt;Hair&lt;/Author&gt;&lt;Year&gt;2014&lt;/Year&gt;&lt;RecNum&gt;1139&lt;/RecNum&gt;&lt;DisplayText&gt;(Hair et al., 2014)&lt;/DisplayText&gt;&lt;record&gt;&lt;rec-number&gt;1139&lt;/rec-number&gt;&lt;foreign-keys&gt;&lt;key app="EN" db-id="9tzf2rda8re2a9es5tuxart3swzx2zws2s02" timestamp="1580965077"&gt;1139&lt;/key&gt;&lt;/foreign-keys&gt;&lt;ref-type name="Book"&gt;6&lt;/ref-type&gt;&lt;contributors&gt;&lt;authors&gt;&lt;author&gt;Hair, J.F.&lt;/author&gt;&lt;author&gt;Black, W.C.&lt;/author&gt;&lt;author&gt;Babin, B.J.&lt;/author&gt;&lt;author&gt;Anderson, R.E.&lt;/author&gt;&lt;/authors&gt;&lt;/contributors&gt;&lt;titles&gt;&lt;title&gt;Multivariate Data Analysis&lt;/title&gt;&lt;/titles&gt;&lt;edition&gt;7th&lt;/edition&gt;&lt;section&gt;734&lt;/section&gt;&lt;dates&gt;&lt;year&gt;2014&lt;/year&gt;&lt;/dates&gt;&lt;pub-location&gt;Harlow, Essex, UK&lt;/pub-location&gt;&lt;publisher&gt;Pearson Education Limited&lt;/publisher&gt;&lt;isbn&gt; 1-292-02190-X&lt;/isbn&gt;&lt;urls&gt;&lt;related-urls&gt;&lt;url&gt;https://is.muni.cz/el/1423/podzim2017/PSY028/um/_Hair_-_Multivariate_data_analysis_7th_revised.pdf&lt;/url&gt;&lt;/related-urls&gt;&lt;/urls&gt;&lt;/record&gt;&lt;/Cite&gt;&lt;/EndNote&gt;</w:instrText>
      </w:r>
      <w:r w:rsidR="00557BD7" w:rsidRPr="00000849">
        <w:rPr>
          <w:sz w:val="24"/>
          <w:szCs w:val="24"/>
        </w:rPr>
        <w:fldChar w:fldCharType="separate"/>
      </w:r>
      <w:r w:rsidR="00557BD7" w:rsidRPr="00000849">
        <w:rPr>
          <w:sz w:val="24"/>
          <w:szCs w:val="24"/>
        </w:rPr>
        <w:t>(Hair et al., 2014)</w:t>
      </w:r>
      <w:r w:rsidR="00557BD7" w:rsidRPr="00000849">
        <w:rPr>
          <w:sz w:val="24"/>
          <w:szCs w:val="24"/>
        </w:rPr>
        <w:fldChar w:fldCharType="end"/>
      </w:r>
      <w:r w:rsidR="00557BD7" w:rsidRPr="00000849">
        <w:rPr>
          <w:sz w:val="24"/>
          <w:szCs w:val="24"/>
        </w:rPr>
        <w:t xml:space="preserve">.  VIF measures whether a predictor variable has a strong linear relationship with other variables in the model.  </w:t>
      </w:r>
      <w:r w:rsidR="007E760E" w:rsidRPr="00000849">
        <w:rPr>
          <w:sz w:val="24"/>
          <w:szCs w:val="24"/>
        </w:rPr>
        <w:t>L</w:t>
      </w:r>
      <w:r w:rsidR="00787CC3" w:rsidRPr="00000849">
        <w:rPr>
          <w:sz w:val="24"/>
          <w:szCs w:val="24"/>
        </w:rPr>
        <w:t xml:space="preserve">ikelihood ratio tests </w:t>
      </w:r>
      <w:r w:rsidR="007E760E" w:rsidRPr="00000849">
        <w:rPr>
          <w:sz w:val="24"/>
          <w:szCs w:val="24"/>
        </w:rPr>
        <w:t xml:space="preserve">were used to compare between models </w:t>
      </w:r>
      <w:r w:rsidR="00787CC3" w:rsidRPr="00000849">
        <w:rPr>
          <w:sz w:val="24"/>
          <w:szCs w:val="24"/>
        </w:rPr>
        <w:t xml:space="preserve">during the model build up and to compare between single and multilevel models.  </w:t>
      </w:r>
      <w:r w:rsidR="007E760E" w:rsidRPr="00000849">
        <w:rPr>
          <w:sz w:val="24"/>
          <w:szCs w:val="24"/>
        </w:rPr>
        <w:t>I</w:t>
      </w:r>
      <w:r w:rsidR="00787CC3" w:rsidRPr="00000849">
        <w:rPr>
          <w:sz w:val="24"/>
          <w:szCs w:val="24"/>
        </w:rPr>
        <w:t>n the models of complex</w:t>
      </w:r>
      <w:r w:rsidR="00955AFF" w:rsidRPr="00000849">
        <w:rPr>
          <w:sz w:val="24"/>
          <w:szCs w:val="24"/>
        </w:rPr>
        <w:t xml:space="preserve"> </w:t>
      </w:r>
      <w:r w:rsidR="00787CC3" w:rsidRPr="00000849">
        <w:rPr>
          <w:sz w:val="24"/>
          <w:szCs w:val="24"/>
        </w:rPr>
        <w:t>survey data</w:t>
      </w:r>
      <w:r w:rsidR="00955AFF" w:rsidRPr="00000849">
        <w:rPr>
          <w:sz w:val="24"/>
          <w:szCs w:val="24"/>
        </w:rPr>
        <w:t xml:space="preserve"> derived from multi-stage cluster sampling</w:t>
      </w:r>
      <w:r w:rsidR="00787CC3" w:rsidRPr="00000849">
        <w:rPr>
          <w:sz w:val="24"/>
          <w:szCs w:val="24"/>
        </w:rPr>
        <w:t>, post estimation comparisons were based on the goodness-of-fit measures, Akaike</w:t>
      </w:r>
      <w:r w:rsidR="00621F9F" w:rsidRPr="00000849">
        <w:rPr>
          <w:sz w:val="24"/>
          <w:szCs w:val="24"/>
        </w:rPr>
        <w:t>’</w:t>
      </w:r>
      <w:r w:rsidR="00787CC3" w:rsidRPr="00000849">
        <w:rPr>
          <w:sz w:val="24"/>
          <w:szCs w:val="24"/>
        </w:rPr>
        <w:t>s Information Criterion (AIC) and Bayesian Information Criterion (BIC), with a lower value indicating a better fit</w:t>
      </w:r>
      <w:r w:rsidR="008032A4" w:rsidRPr="00000849">
        <w:rPr>
          <w:sz w:val="24"/>
          <w:szCs w:val="24"/>
        </w:rPr>
        <w:t xml:space="preserve"> </w:t>
      </w:r>
      <w:r w:rsidR="008032A4" w:rsidRPr="00000849">
        <w:rPr>
          <w:sz w:val="24"/>
          <w:szCs w:val="24"/>
        </w:rPr>
        <w:fldChar w:fldCharType="begin"/>
      </w:r>
      <w:r w:rsidR="008032A4" w:rsidRPr="00000849">
        <w:rPr>
          <w:sz w:val="24"/>
          <w:szCs w:val="24"/>
        </w:rPr>
        <w:instrText xml:space="preserve"> ADDIN EN.CITE &lt;EndNote&gt;&lt;Cite&gt;&lt;Author&gt;Field&lt;/Author&gt;&lt;Year&gt;2009&lt;/Year&gt;&lt;RecNum&gt;1065&lt;/RecNum&gt;&lt;DisplayText&gt;(Field, 2009)&lt;/DisplayText&gt;&lt;record&gt;&lt;rec-number&gt;1065&lt;/rec-number&gt;&lt;foreign-keys&gt;&lt;key app="EN" db-id="9tzf2rda8re2a9es5tuxart3swzx2zws2s02" timestamp="1578402758"&gt;1065&lt;/key&gt;&lt;/foreign-keys&gt;&lt;ref-type name="Book"&gt;6&lt;/ref-type&gt;&lt;contributors&gt;&lt;authors&gt;&lt;author&gt;Field, Andy&lt;/author&gt;&lt;/authors&gt;&lt;/contributors&gt;&lt;titles&gt;&lt;title&gt;Discovering Statistics Using SPSS&lt;/title&gt;&lt;/titles&gt;&lt;pages&gt;822&lt;/pages&gt;&lt;edition&gt;Third&lt;/edition&gt;&lt;dates&gt;&lt;year&gt;2009&lt;/year&gt;&lt;/dates&gt;&lt;pub-location&gt;London&lt;/pub-location&gt;&lt;publisher&gt;SAGE Publications Ltd&lt;/publisher&gt;&lt;isbn&gt;978-1-84787-906-6&lt;/isbn&gt;&lt;urls&gt;&lt;/urls&gt;&lt;/record&gt;&lt;/Cite&gt;&lt;/EndNote&gt;</w:instrText>
      </w:r>
      <w:r w:rsidR="008032A4" w:rsidRPr="00000849">
        <w:rPr>
          <w:sz w:val="24"/>
          <w:szCs w:val="24"/>
        </w:rPr>
        <w:fldChar w:fldCharType="separate"/>
      </w:r>
      <w:r w:rsidR="008032A4" w:rsidRPr="00000849">
        <w:rPr>
          <w:sz w:val="24"/>
          <w:szCs w:val="24"/>
        </w:rPr>
        <w:t>(Field, 2009)</w:t>
      </w:r>
      <w:r w:rsidR="008032A4" w:rsidRPr="00000849">
        <w:rPr>
          <w:sz w:val="24"/>
          <w:szCs w:val="24"/>
        </w:rPr>
        <w:fldChar w:fldCharType="end"/>
      </w:r>
      <w:r w:rsidR="00787CC3" w:rsidRPr="00000849">
        <w:rPr>
          <w:sz w:val="24"/>
          <w:szCs w:val="24"/>
        </w:rPr>
        <w:t xml:space="preserve">.  </w:t>
      </w:r>
      <w:r w:rsidR="00854A16" w:rsidRPr="00000849">
        <w:rPr>
          <w:sz w:val="24"/>
          <w:szCs w:val="24"/>
        </w:rPr>
        <w:t xml:space="preserve">Both AIC and BIC are penalized-likelihood criteria, often used for comparing non-nested models </w:t>
      </w:r>
      <w:r w:rsidR="00854A16" w:rsidRPr="00000849">
        <w:rPr>
          <w:sz w:val="24"/>
          <w:szCs w:val="24"/>
        </w:rPr>
        <w:fldChar w:fldCharType="begin"/>
      </w:r>
      <w:r w:rsidR="00431DA0" w:rsidRPr="00000849">
        <w:rPr>
          <w:sz w:val="24"/>
          <w:szCs w:val="24"/>
        </w:rPr>
        <w:instrText xml:space="preserve"> ADDIN EN.CITE &lt;EndNote&gt;&lt;Cite&gt;&lt;Author&gt;Dziak&lt;/Author&gt;&lt;Year&gt;2012&lt;/Year&gt;&lt;RecNum&gt;1153&lt;/RecNum&gt;&lt;DisplayText&gt;(Dziak et al., 2012)&lt;/DisplayText&gt;&lt;record&gt;&lt;rec-number&gt;1153&lt;/rec-number&gt;&lt;foreign-keys&gt;&lt;key app="EN" db-id="9tzf2rda8re2a9es5tuxart3swzx2zws2s02" timestamp="1582992817"&gt;1153&lt;/key&gt;&lt;/foreign-keys&gt;&lt;ref-type name="Report"&gt;27&lt;/ref-type&gt;&lt;contributors&gt;&lt;authors&gt;&lt;author&gt;Dziak, John J&lt;/author&gt;&lt;author&gt;Coffman, Donna L&lt;/author&gt;&lt;author&gt;Lanza, Stephanie T&lt;/author&gt;&lt;author&gt;Li, Runze&lt;/author&gt;&lt;author&gt;Jermiin, Lars Sommer&lt;/author&gt;&lt;/authors&gt;&lt;/contributors&gt;&lt;titles&gt;&lt;title&gt;Sensitivity and specificity of information criteria&lt;/title&gt;&lt;secondary-title&gt;Technical Report Series #12-119&lt;/secondary-title&gt;&lt;/titles&gt;&lt;pages&gt;449751&lt;/pages&gt;&lt;dates&gt;&lt;year&gt;2012&lt;/year&gt;&lt;/dates&gt;&lt;pub-location&gt;University Park,PA&lt;/pub-location&gt;&lt;publisher&gt;Pennsylvania State University&lt;/publisher&gt;&lt;urls&gt;&lt;related-urls&gt;&lt;url&gt;https://www.methodology.psu.edu/files/2019/03/12-119-2e90hc6.pdf&lt;/url&gt;&lt;/related-urls&gt;&lt;/urls&gt;&lt;/record&gt;&lt;/Cite&gt;&lt;/EndNote&gt;</w:instrText>
      </w:r>
      <w:r w:rsidR="00854A16" w:rsidRPr="00000849">
        <w:rPr>
          <w:sz w:val="24"/>
          <w:szCs w:val="24"/>
        </w:rPr>
        <w:fldChar w:fldCharType="separate"/>
      </w:r>
      <w:r w:rsidR="00431DA0" w:rsidRPr="00000849">
        <w:rPr>
          <w:noProof/>
          <w:sz w:val="24"/>
          <w:szCs w:val="24"/>
        </w:rPr>
        <w:t>(Dziak et al., 2012)</w:t>
      </w:r>
      <w:r w:rsidR="00854A16" w:rsidRPr="00000849">
        <w:rPr>
          <w:sz w:val="24"/>
          <w:szCs w:val="24"/>
        </w:rPr>
        <w:fldChar w:fldCharType="end"/>
      </w:r>
      <w:r w:rsidR="00854A16" w:rsidRPr="00000849">
        <w:rPr>
          <w:sz w:val="24"/>
          <w:szCs w:val="24"/>
        </w:rPr>
        <w:t xml:space="preserve">. The AIC or BIC for a model takes the form [-2log L + kp], where </w:t>
      </w:r>
      <w:r w:rsidR="00854A16" w:rsidRPr="00000849">
        <w:rPr>
          <w:i/>
          <w:iCs/>
          <w:sz w:val="24"/>
          <w:szCs w:val="24"/>
        </w:rPr>
        <w:t>L</w:t>
      </w:r>
      <w:r w:rsidR="00854A16" w:rsidRPr="00000849">
        <w:rPr>
          <w:sz w:val="24"/>
          <w:szCs w:val="24"/>
        </w:rPr>
        <w:t xml:space="preserve"> is the likelihood function, </w:t>
      </w:r>
      <w:r w:rsidR="00854A16" w:rsidRPr="00000849">
        <w:rPr>
          <w:i/>
          <w:iCs/>
          <w:sz w:val="24"/>
          <w:szCs w:val="24"/>
        </w:rPr>
        <w:t>p</w:t>
      </w:r>
      <w:r w:rsidR="00854A16" w:rsidRPr="00000849">
        <w:rPr>
          <w:sz w:val="24"/>
          <w:szCs w:val="24"/>
        </w:rPr>
        <w:t xml:space="preserve"> is the number of parameters in the model, and </w:t>
      </w:r>
      <w:r w:rsidR="00854A16" w:rsidRPr="00000849">
        <w:rPr>
          <w:i/>
          <w:iCs/>
          <w:sz w:val="24"/>
          <w:szCs w:val="24"/>
        </w:rPr>
        <w:t>k</w:t>
      </w:r>
      <w:r w:rsidR="00854A16" w:rsidRPr="00000849">
        <w:rPr>
          <w:sz w:val="24"/>
          <w:szCs w:val="24"/>
        </w:rPr>
        <w:t xml:space="preserve"> is 2 for AIC and log(n) for BIC.  By itself, neither AIC nor BIC is meaningful and so they are calculated for the comparison models with smaller AIC or BIC values indicating better fit of the data.  </w:t>
      </w:r>
      <w:r w:rsidR="007E7A5B" w:rsidRPr="00000849">
        <w:rPr>
          <w:sz w:val="24"/>
          <w:szCs w:val="24"/>
        </w:rPr>
        <w:t xml:space="preserve">All statistical analyses were performed in Stata 15 </w:t>
      </w:r>
      <w:r w:rsidR="007E7A5B" w:rsidRPr="00000849">
        <w:rPr>
          <w:sz w:val="24"/>
          <w:szCs w:val="24"/>
        </w:rPr>
        <w:fldChar w:fldCharType="begin"/>
      </w:r>
      <w:r w:rsidR="00701B91" w:rsidRPr="00000849">
        <w:rPr>
          <w:sz w:val="24"/>
          <w:szCs w:val="24"/>
        </w:rPr>
        <w:instrText xml:space="preserve"> ADDIN EN.CITE &lt;EndNote&gt;&lt;Cite&gt;&lt;Author&gt;StataCorp&lt;/Author&gt;&lt;Year&gt;2017&lt;/Year&gt;&lt;RecNum&gt;1006&lt;/RecNum&gt;&lt;DisplayText&gt;(StataCorp, 2017)&lt;/DisplayText&gt;&lt;record&gt;&lt;rec-number&gt;1006&lt;/rec-number&gt;&lt;foreign-keys&gt;&lt;key app="EN" db-id="9tzf2rda8re2a9es5tuxart3swzx2zws2s02" timestamp="1555402626"&gt;1006&lt;/key&gt;&lt;/foreign-keys&gt;&lt;ref-type name="Computer Program"&gt;9&lt;/ref-type&gt;&lt;contributors&gt;&lt;authors&gt;&lt;author&gt;StataCorp,&lt;/author&gt;&lt;/authors&gt;&lt;/contributors&gt;&lt;titles&gt;&lt;title&gt;Stata Statistical Software: Release 15&lt;/title&gt;&lt;/titles&gt;&lt;dates&gt;&lt;year&gt;2017&lt;/year&gt;&lt;/dates&gt;&lt;pub-location&gt;College Station, TX&lt;/pub-location&gt;&lt;publisher&gt;StataCorp LLC &lt;/publisher&gt;&lt;urls&gt;&lt;/urls&gt;&lt;/record&gt;&lt;/Cite&gt;&lt;/EndNote&gt;</w:instrText>
      </w:r>
      <w:r w:rsidR="007E7A5B" w:rsidRPr="00000849">
        <w:rPr>
          <w:sz w:val="24"/>
          <w:szCs w:val="24"/>
        </w:rPr>
        <w:fldChar w:fldCharType="separate"/>
      </w:r>
      <w:r w:rsidR="00701B91" w:rsidRPr="00000849">
        <w:rPr>
          <w:sz w:val="24"/>
          <w:szCs w:val="24"/>
        </w:rPr>
        <w:t>(StataCorp, 2017)</w:t>
      </w:r>
      <w:r w:rsidR="007E7A5B" w:rsidRPr="00000849">
        <w:rPr>
          <w:sz w:val="24"/>
          <w:szCs w:val="24"/>
        </w:rPr>
        <w:fldChar w:fldCharType="end"/>
      </w:r>
      <w:r w:rsidR="007E7A5B" w:rsidRPr="00000849">
        <w:rPr>
          <w:sz w:val="24"/>
          <w:szCs w:val="24"/>
        </w:rPr>
        <w:t>.</w:t>
      </w:r>
    </w:p>
    <w:p w14:paraId="064DAC3F" w14:textId="77777777" w:rsidR="00104786" w:rsidRPr="00000849" w:rsidRDefault="00104786" w:rsidP="00557BD7">
      <w:pPr>
        <w:spacing w:after="0" w:line="480" w:lineRule="auto"/>
        <w:ind w:firstLine="567"/>
        <w:jc w:val="both"/>
        <w:rPr>
          <w:sz w:val="24"/>
          <w:szCs w:val="24"/>
        </w:rPr>
      </w:pPr>
    </w:p>
    <w:p w14:paraId="6CD5B035" w14:textId="30A30FE0" w:rsidR="00104786" w:rsidRPr="00000849" w:rsidRDefault="002006AA" w:rsidP="0046549F">
      <w:pPr>
        <w:pStyle w:val="Heading4"/>
        <w:keepNext w:val="0"/>
        <w:keepLines w:val="0"/>
      </w:pPr>
      <w:r w:rsidRPr="00000849">
        <w:t>4.8.</w:t>
      </w:r>
      <w:r w:rsidR="00104786" w:rsidRPr="00000849">
        <w:t>1.</w:t>
      </w:r>
      <w:r w:rsidR="0019235D" w:rsidRPr="00000849">
        <w:t>3</w:t>
      </w:r>
      <w:r w:rsidR="00104786" w:rsidRPr="00000849">
        <w:tab/>
        <w:t>Multilevel logistic regression model controlling for the effect of repeated measures</w:t>
      </w:r>
    </w:p>
    <w:p w14:paraId="5CD5D61A" w14:textId="77777777" w:rsidR="00104786" w:rsidRPr="00000849" w:rsidRDefault="00104786" w:rsidP="00CB1908">
      <w:pPr>
        <w:pStyle w:val="NormalWeb"/>
        <w:shd w:val="clear" w:color="auto" w:fill="FFFFFF"/>
        <w:spacing w:before="0" w:beforeAutospacing="0" w:after="165" w:afterAutospacing="0" w:line="480" w:lineRule="auto"/>
        <w:rPr>
          <w:rFonts w:asciiTheme="minorHAnsi" w:hAnsiTheme="minorHAnsi" w:cstheme="minorHAnsi"/>
          <w:color w:val="383838"/>
        </w:rPr>
      </w:pPr>
    </w:p>
    <w:p w14:paraId="39831537" w14:textId="7A277D27" w:rsidR="00E56E0B" w:rsidRPr="00000849" w:rsidRDefault="00453620" w:rsidP="00CB1908">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datasets from the two successive study waves of the SAGE Ghana study were merged using unique participant and household identifiers.  D</w:t>
      </w:r>
      <w:r w:rsidR="00597533" w:rsidRPr="00000849">
        <w:rPr>
          <w:rFonts w:asciiTheme="minorHAnsi" w:hAnsiTheme="minorHAnsi" w:cstheme="minorHAnsi"/>
          <w:color w:val="383838"/>
        </w:rPr>
        <w:t xml:space="preserve">ata on </w:t>
      </w:r>
      <w:r w:rsidR="00E56E0B" w:rsidRPr="00000849">
        <w:rPr>
          <w:rFonts w:asciiTheme="minorHAnsi" w:hAnsiTheme="minorHAnsi" w:cstheme="minorHAnsi"/>
          <w:color w:val="383838"/>
        </w:rPr>
        <w:t xml:space="preserve">the outcome </w:t>
      </w:r>
      <w:r w:rsidR="00597533" w:rsidRPr="00000849">
        <w:rPr>
          <w:rFonts w:asciiTheme="minorHAnsi" w:hAnsiTheme="minorHAnsi" w:cstheme="minorHAnsi"/>
          <w:color w:val="383838"/>
        </w:rPr>
        <w:t xml:space="preserve">and </w:t>
      </w:r>
      <w:r w:rsidR="00597533" w:rsidRPr="00000849">
        <w:rPr>
          <w:rFonts w:asciiTheme="minorHAnsi" w:hAnsiTheme="minorHAnsi" w:cstheme="minorHAnsi"/>
          <w:color w:val="383838"/>
        </w:rPr>
        <w:lastRenderedPageBreak/>
        <w:t>risk factors were collected</w:t>
      </w:r>
      <w:r w:rsidR="00E56E0B" w:rsidRPr="00000849">
        <w:rPr>
          <w:rFonts w:asciiTheme="minorHAnsi" w:hAnsiTheme="minorHAnsi" w:cstheme="minorHAnsi"/>
          <w:color w:val="383838"/>
        </w:rPr>
        <w:t xml:space="preserve"> repeatedly </w:t>
      </w:r>
      <w:r w:rsidR="0098702A" w:rsidRPr="00000849">
        <w:rPr>
          <w:rFonts w:asciiTheme="minorHAnsi" w:hAnsiTheme="minorHAnsi" w:cstheme="minorHAnsi"/>
          <w:color w:val="383838"/>
        </w:rPr>
        <w:t>among</w:t>
      </w:r>
      <w:r w:rsidR="00597533" w:rsidRPr="00000849">
        <w:rPr>
          <w:rFonts w:asciiTheme="minorHAnsi" w:hAnsiTheme="minorHAnsi" w:cstheme="minorHAnsi"/>
          <w:color w:val="383838"/>
        </w:rPr>
        <w:t xml:space="preserve"> those individuals who had participated in both waves</w:t>
      </w:r>
      <w:r w:rsidR="00E56E0B" w:rsidRPr="00000849">
        <w:rPr>
          <w:rFonts w:asciiTheme="minorHAnsi" w:hAnsiTheme="minorHAnsi" w:cstheme="minorHAnsi"/>
          <w:color w:val="383838"/>
        </w:rPr>
        <w:t xml:space="preserve">.  </w:t>
      </w:r>
      <w:r w:rsidR="002B1872" w:rsidRPr="00000849">
        <w:rPr>
          <w:rFonts w:asciiTheme="minorHAnsi" w:hAnsiTheme="minorHAnsi" w:cstheme="minorHAnsi"/>
          <w:color w:val="383838"/>
        </w:rPr>
        <w:t xml:space="preserve">Having two data points provides an opportunity to analyse prevalence and level of hypertension over time.  </w:t>
      </w:r>
      <w:r w:rsidR="00E56E0B" w:rsidRPr="00000849">
        <w:rPr>
          <w:rFonts w:asciiTheme="minorHAnsi" w:hAnsiTheme="minorHAnsi" w:cstheme="minorHAnsi"/>
          <w:color w:val="383838"/>
        </w:rPr>
        <w:t xml:space="preserve">Modern statistical techniques have the advantages of being able to model different types of outcome data, including continuous, categorical, and count data; categorical and continuous covariates; make use of all available data for each subject; and to accommodate data with unequal times between measurements or that are incomplete </w:t>
      </w:r>
      <w:r w:rsidR="00E56E0B" w:rsidRPr="00000849">
        <w:rPr>
          <w:rFonts w:asciiTheme="minorHAnsi" w:hAnsiTheme="minorHAnsi" w:cstheme="minorHAnsi"/>
          <w:color w:val="383838"/>
        </w:rPr>
        <w:fldChar w:fldCharType="begin"/>
      </w:r>
      <w:r w:rsidR="00E56E0B" w:rsidRPr="00000849">
        <w:rPr>
          <w:rFonts w:asciiTheme="minorHAnsi" w:hAnsiTheme="minorHAnsi" w:cstheme="minorHAnsi"/>
          <w:color w:val="383838"/>
        </w:rPr>
        <w:instrText xml:space="preserve"> ADDIN EN.CITE &lt;EndNote&gt;&lt;Cite&gt;&lt;Author&gt;Schober&lt;/Author&gt;&lt;Year&gt;2018&lt;/Year&gt;&lt;RecNum&gt;1084&lt;/RecNum&gt;&lt;DisplayText&gt;(Schober &amp;amp; Vetter, 2018)&lt;/DisplayText&gt;&lt;record&gt;&lt;rec-number&gt;1084&lt;/rec-number&gt;&lt;foreign-keys&gt;&lt;key app="EN" db-id="9tzf2rda8re2a9es5tuxart3swzx2zws2s02" timestamp="1578732109"&gt;1084&lt;/key&gt;&lt;/foreign-keys&gt;&lt;ref-type name="Journal Article"&gt;17&lt;/ref-type&gt;&lt;contributors&gt;&lt;authors&gt;&lt;author&gt;Schober, Patrick&lt;/author&gt;&lt;author&gt;Vetter, Thomas R&lt;/author&gt;&lt;/authors&gt;&lt;/contributors&gt;&lt;titles&gt;&lt;title&gt;Repeated measures designs and analysis of longitudinal data: if at first you do not succeed—try, try again&lt;/title&gt;&lt;secondary-title&gt;Anesthesia and Analgesia&lt;/secondary-title&gt;&lt;/titles&gt;&lt;periodical&gt;&lt;full-title&gt;Anesthesia and analgesia&lt;/full-title&gt;&lt;/periodical&gt;&lt;pages&gt;569-575&lt;/pages&gt;&lt;volume&gt;127&lt;/volume&gt;&lt;number&gt;2&lt;/number&gt;&lt;dates&gt;&lt;year&gt;2018&lt;/year&gt;&lt;/dates&gt;&lt;urls&gt;&lt;/urls&gt;&lt;/record&gt;&lt;/Cite&gt;&lt;/EndNote&gt;</w:instrText>
      </w:r>
      <w:r w:rsidR="00E56E0B" w:rsidRPr="00000849">
        <w:rPr>
          <w:rFonts w:asciiTheme="minorHAnsi" w:hAnsiTheme="minorHAnsi" w:cstheme="minorHAnsi"/>
          <w:color w:val="383838"/>
        </w:rPr>
        <w:fldChar w:fldCharType="separate"/>
      </w:r>
      <w:r w:rsidR="00E56E0B" w:rsidRPr="00000849">
        <w:rPr>
          <w:rFonts w:asciiTheme="minorHAnsi" w:hAnsiTheme="minorHAnsi" w:cstheme="minorHAnsi"/>
          <w:noProof/>
          <w:color w:val="383838"/>
        </w:rPr>
        <w:t>(Schober &amp; Vetter, 2018)</w:t>
      </w:r>
      <w:r w:rsidR="00E56E0B" w:rsidRPr="00000849">
        <w:rPr>
          <w:rFonts w:asciiTheme="minorHAnsi" w:hAnsiTheme="minorHAnsi" w:cstheme="minorHAnsi"/>
          <w:color w:val="383838"/>
        </w:rPr>
        <w:fldChar w:fldCharType="end"/>
      </w:r>
      <w:r w:rsidR="00E56E0B" w:rsidRPr="00000849">
        <w:rPr>
          <w:rFonts w:asciiTheme="minorHAnsi" w:hAnsiTheme="minorHAnsi" w:cstheme="minorHAnsi"/>
          <w:color w:val="383838"/>
        </w:rPr>
        <w:t>.</w:t>
      </w:r>
    </w:p>
    <w:p w14:paraId="706C2F69" w14:textId="26EA37E0" w:rsidR="0075255B" w:rsidRPr="00000849" w:rsidRDefault="0075255B" w:rsidP="003D0210">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Repeated measures on the same subject at different times almost always are correlated, with measures that are taken close together in time being more highly correlated than measures that are farther apart in time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&lt;EndNote&gt;&lt;Cite&gt;&lt;Author&gt;Littell&lt;/Author&gt;&lt;Year&gt;2000&lt;/Year&gt;&lt;RecNum&gt;1660&lt;/RecNum&gt;&lt;DisplayText&gt;(Littell et al., 2000)&lt;/DisplayText&gt;&lt;record&gt;&lt;rec-number&gt;1660&lt;/rec-number&gt;&lt;foreign-keys&gt;&lt;key app="EN" db-id="9tzf2rda8re2a9es5tuxart3swzx2zws2s02" timestamp="1596263751"&gt;1660&lt;/key&gt;&lt;/foreign-keys&gt;&lt;ref-type name="Journal Article"&gt;17&lt;/ref-type&gt;&lt;contributors&gt;&lt;authors&gt;&lt;author&gt;Littell, R. C.&lt;/author&gt;&lt;author&gt;Pendergast, J.&lt;/author&gt;&lt;author&gt;Natarajan, R.&lt;/author&gt;&lt;/authors&gt;&lt;/contributors&gt;&lt;auth-address&gt;Department of Statistics, Institute of Food and Agricultural Sciences, University of Florida, Gainesville, Florida 32611, USA. litell@stat.ufl.edu&lt;/auth-address&gt;&lt;titles&gt;&lt;title&gt;Modelling covariance structure in the analysis of repeated measures data&lt;/title&gt;&lt;secondary-title&gt;Statistics in Medicine&lt;/secondary-title&gt;&lt;/titles&gt;&lt;periodical&gt;&lt;full-title&gt;Statistics in Medicine&lt;/full-title&gt;&lt;/periodical&gt;&lt;pages&gt;1793-819&lt;/pages&gt;&lt;volume&gt;19&lt;/volume&gt;&lt;number&gt;13&lt;/number&gt;&lt;edition&gt;2000/06/22&lt;/edition&gt;&lt;keywords&gt;&lt;keyword&gt;*Analysis of Variance&lt;/keyword&gt;&lt;keyword&gt;Bias&lt;/keyword&gt;&lt;keyword&gt;*Data Interpretation, Statistical&lt;/keyword&gt;&lt;keyword&gt;Effect Modifier, Epidemiologic&lt;/keyword&gt;&lt;keyword&gt;Forced Expiratory Volume/drug effects&lt;/keyword&gt;&lt;keyword&gt;Humans&lt;/keyword&gt;&lt;keyword&gt;Linear Models&lt;/keyword&gt;&lt;keyword&gt;*Models, Statistical&lt;/keyword&gt;&lt;keyword&gt;*Numerical Analysis, Computer-Assisted&lt;/keyword&gt;&lt;keyword&gt;*Software&lt;/keyword&gt;&lt;keyword&gt;Time Factors&lt;/keyword&gt;&lt;/keywords&gt;&lt;dates&gt;&lt;year&gt;2000&lt;/year&gt;&lt;pub-dates&gt;&lt;date&gt;Jul 15&lt;/date&gt;&lt;/pub-dates&gt;&lt;/dates&gt;&lt;orig-pub&gt;10.1002/1097-0258(20000715)19:13&amp;lt;1793::aid-sim482&amp;gt;3.0.co;2-q&lt;/orig-pub&gt;&lt;isbn&gt;0277-6715 (Print)&amp;#xD;0277-6715&lt;/isbn&gt;&lt;accession-num&gt;10861779&lt;/accession-num&gt;&lt;urls&gt;&lt;/urls&gt;&lt;remote-database-provider&gt;NLM&lt;/remote-database-provider&gt;&lt;language&gt;eng&lt;/language&gt;&lt;/record&gt;&lt;/Cite&gt;&lt;/EndNote&gt;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(Littell et al., 2000)</w:t>
      </w:r>
      <w:r w:rsidRPr="00000849">
        <w:rPr>
          <w:rFonts w:asciiTheme="minorHAnsi" w:hAnsiTheme="minorHAnsi" w:cstheme="minorHAnsi"/>
          <w:color w:val="383838"/>
        </w:rPr>
        <w:fldChar w:fldCharType="end"/>
      </w:r>
      <w:r w:rsidRPr="00000849">
        <w:rPr>
          <w:rFonts w:asciiTheme="minorHAnsi" w:hAnsiTheme="minorHAnsi" w:cstheme="minorHAnsi"/>
          <w:color w:val="383838"/>
        </w:rPr>
        <w:t>.</w:t>
      </w:r>
      <w:r w:rsidR="00F60809" w:rsidRPr="00000849">
        <w:rPr>
          <w:rFonts w:asciiTheme="minorHAnsi" w:hAnsiTheme="minorHAnsi" w:cstheme="minorHAnsi"/>
          <w:color w:val="383838"/>
        </w:rPr>
        <w:t xml:space="preserve">  For example, two blood pressure measurements that are taken one week apart on the same individual might be more highly correlated than if they were taken one year apart.  </w:t>
      </w:r>
      <w:r w:rsidR="00453620" w:rsidRPr="00000849">
        <w:rPr>
          <w:rFonts w:asciiTheme="minorHAnsi" w:hAnsiTheme="minorHAnsi" w:cstheme="minorHAnsi"/>
          <w:color w:val="383838"/>
        </w:rPr>
        <w:t>The analysis of repeated measures takes account of the variation within a subject and between subject</w:t>
      </w:r>
      <w:r w:rsidR="000B5B15" w:rsidRPr="00000849">
        <w:rPr>
          <w:rFonts w:asciiTheme="minorHAnsi" w:hAnsiTheme="minorHAnsi" w:cstheme="minorHAnsi"/>
          <w:color w:val="383838"/>
        </w:rPr>
        <w:t>s</w:t>
      </w:r>
      <w:r w:rsidR="00453620" w:rsidRPr="00000849">
        <w:rPr>
          <w:rFonts w:asciiTheme="minorHAnsi" w:hAnsiTheme="minorHAnsi" w:cstheme="minorHAnsi"/>
          <w:color w:val="383838"/>
        </w:rPr>
        <w:t>.</w:t>
      </w:r>
    </w:p>
    <w:p w14:paraId="0D3139C2" w14:textId="75CBABA5" w:rsidR="00035BF4" w:rsidRPr="00000849" w:rsidRDefault="00035BF4" w:rsidP="00F60809">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A random effects logistic model was used in the current analysis of the factors associated with hypertension in the two waves of the SAGE study in Ghana, while allowing for the within-subject correlation from the repeated observations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&lt;EndNote&gt;&lt;Cite&gt;&lt;Author&gt;Hu&lt;/Author&gt;&lt;Year&gt;1998&lt;/Year&gt;&lt;RecNum&gt;1079&lt;/RecNum&gt;&lt;DisplayText&gt;(Hu et al., 1998)&lt;/DisplayText&gt;&lt;record&gt;&lt;rec-number&gt;1079&lt;/rec-number&gt;&lt;foreign-keys&gt;&lt;key app="EN" db-id="9tzf2rda8re2a9es5tuxart3swzx2zws2s02" timestamp="1578707007"&gt;1079&lt;/key&gt;&lt;/foreign-keys&gt;&lt;ref-type name="Journal Article"&gt;17&lt;/ref-type&gt;&lt;contributors&gt;&lt;authors&gt;&lt;author&gt;Hu, F. B.&lt;/author&gt;&lt;author&gt;Goldberg, J.&lt;/author&gt;&lt;author&gt;Hedeker, D.&lt;/author&gt;&lt;author&gt;Flay, B. R.&lt;/author&gt;&lt;author&gt;Pentz, M. A.&lt;/author&gt;&lt;/authors&gt;&lt;/contributors&gt;&lt;titles&gt;&lt;title&gt;Comparison of population-averaged and subject-specific approaches for analyzing repeated binary outcomes&lt;/title&gt;&lt;secondary-title&gt;American journal of epidemiology&lt;/secondary-title&gt;&lt;/titles&gt;&lt;periodical&gt;&lt;full-title&gt;American Journal of Epidemiology&lt;/full-title&gt;&lt;abbr-1&gt;American Journal of Epidemiology&lt;/abbr-1&gt;&lt;/periodical&gt;&lt;pages&gt;694-703&lt;/pages&gt;&lt;volume&gt;147&lt;/volume&gt;&lt;number&gt;7&lt;/number&gt;&lt;keywords&gt;&lt;keyword&gt;Logistic Models&lt;/keyword&gt;&lt;keyword&gt;Models, Statistical&lt;/keyword&gt;&lt;/keywords&gt;&lt;dates&gt;&lt;year&gt;1998&lt;/year&gt;&lt;/dates&gt;&lt;isbn&gt;0002-9262&lt;/isbn&gt;&lt;urls&gt;&lt;/urls&gt;&lt;electronic-resource-num&gt;10.1093/oxfordjournals.aje.a009511&lt;/electronic-resource-num&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(Hu et al., 1998)</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The addition of the random effects allows for the adjustment of individual differences or “subject-specific effects”.  The same covariates from the MLM on the separate SAGE study waves were fitted to the merged dataset with the study wave included as an additional covariate.  </w:t>
      </w:r>
    </w:p>
    <w:p w14:paraId="4B51D9AD" w14:textId="4F22A929" w:rsidR="00F60809" w:rsidRPr="00000849" w:rsidRDefault="004A7426" w:rsidP="00F60809">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w:t>
      </w:r>
      <w:r w:rsidR="00F60809" w:rsidRPr="00000849">
        <w:rPr>
          <w:rFonts w:asciiTheme="minorHAnsi" w:hAnsiTheme="minorHAnsi" w:cstheme="minorHAnsi"/>
          <w:color w:val="383838"/>
        </w:rPr>
        <w:t xml:space="preserve">he correlation between the presence of hypertension between the two waves may be represented by the Greek letter, rho, ρ with subscripts indicating the subject’s </w:t>
      </w:r>
      <w:r w:rsidR="00F60809" w:rsidRPr="00000849">
        <w:rPr>
          <w:rFonts w:asciiTheme="minorHAnsi" w:hAnsiTheme="minorHAnsi" w:cstheme="minorHAnsi"/>
          <w:color w:val="383838"/>
        </w:rPr>
        <w:lastRenderedPageBreak/>
        <w:t>number and the measurement occasion.  Thus, ρ</w:t>
      </w:r>
      <w:r w:rsidR="00F60809" w:rsidRPr="00000849">
        <w:rPr>
          <w:rFonts w:asciiTheme="minorHAnsi" w:hAnsiTheme="minorHAnsi" w:cstheme="minorHAnsi"/>
          <w:color w:val="383838"/>
          <w:vertAlign w:val="subscript"/>
        </w:rPr>
        <w:t>11</w:t>
      </w:r>
      <w:r w:rsidR="00F60809" w:rsidRPr="00000849">
        <w:rPr>
          <w:rFonts w:asciiTheme="minorHAnsi" w:hAnsiTheme="minorHAnsi" w:cstheme="minorHAnsi"/>
          <w:color w:val="383838"/>
        </w:rPr>
        <w:t xml:space="preserve"> indicates the correlation between the presence of hypertension in Subject 1 at Wave 1 and ρ</w:t>
      </w:r>
      <w:r w:rsidR="00F60809" w:rsidRPr="00000849">
        <w:rPr>
          <w:rFonts w:asciiTheme="minorHAnsi" w:hAnsiTheme="minorHAnsi" w:cstheme="minorHAnsi"/>
          <w:color w:val="383838"/>
          <w:vertAlign w:val="subscript"/>
        </w:rPr>
        <w:t>12</w:t>
      </w:r>
      <w:r w:rsidR="00F60809" w:rsidRPr="00000849">
        <w:rPr>
          <w:rFonts w:asciiTheme="minorHAnsi" w:hAnsiTheme="minorHAnsi" w:cstheme="minorHAnsi"/>
          <w:color w:val="383838"/>
        </w:rPr>
        <w:t xml:space="preserve"> indicates that between Subject 1 at Wave 2</w:t>
      </w:r>
      <w:r w:rsidR="00F56F82" w:rsidRPr="00000849">
        <w:rPr>
          <w:rFonts w:asciiTheme="minorHAnsi" w:hAnsiTheme="minorHAnsi" w:cstheme="minorHAnsi"/>
          <w:color w:val="383838"/>
        </w:rPr>
        <w:t>.  The correlation of a single variable with itself as in subjects at wave 1 is 1 as there is only one measurement.</w:t>
      </w:r>
      <w:r w:rsidR="00DE7095" w:rsidRPr="00000849">
        <w:rPr>
          <w:rFonts w:asciiTheme="minorHAnsi" w:hAnsiTheme="minorHAnsi" w:cstheme="minorHAnsi"/>
          <w:color w:val="383838"/>
        </w:rPr>
        <w:t xml:space="preserve">  </w:t>
      </w:r>
    </w:p>
    <w:p w14:paraId="39F78F80" w14:textId="6948EA41" w:rsidR="00182BF3" w:rsidRPr="00000849" w:rsidRDefault="00182BF3" w:rsidP="00F60809">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2D4FA7C4" w14:textId="0681228D" w:rsidR="00182BF3" w:rsidRPr="00000849" w:rsidRDefault="00C84E75" w:rsidP="00AE64DA">
      <w:pPr>
        <w:pStyle w:val="NormalWeb"/>
        <w:shd w:val="clear" w:color="auto" w:fill="FFFFFF"/>
        <w:spacing w:before="0" w:beforeAutospacing="0" w:after="165" w:afterAutospacing="0" w:line="480" w:lineRule="auto"/>
        <w:ind w:firstLine="720"/>
        <w:jc w:val="center"/>
        <w:rPr>
          <w:rFonts w:asciiTheme="minorHAnsi" w:hAnsiTheme="minorHAnsi" w:cstheme="minorHAnsi"/>
          <w:color w:val="383838"/>
        </w:rPr>
      </w:pPr>
      <m:oMath>
        <m:d>
          <m:dPr>
            <m:begChr m:val="["/>
            <m:endChr m:val="]"/>
            <m:ctrlPr>
              <w:rPr>
                <w:rFonts w:ascii="Cambria Math" w:hAnsi="Cambria Math" w:cstheme="minorHAnsi"/>
                <w:i/>
                <w:color w:val="383838"/>
              </w:rPr>
            </m:ctrlPr>
          </m:dPr>
          <m:e>
            <m:m>
              <m:mPr>
                <m:mcs>
                  <m:mc>
                    <m:mcPr>
                      <m:count m:val="2"/>
                      <m:mcJc m:val="center"/>
                    </m:mcPr>
                  </m:mc>
                </m:mcs>
                <m:ctrlPr>
                  <w:rPr>
                    <w:rFonts w:ascii="Cambria Math" w:hAnsi="Cambria Math" w:cstheme="minorHAnsi"/>
                    <w:i/>
                    <w:color w:val="383838"/>
                  </w:rPr>
                </m:ctrlPr>
              </m:mPr>
              <m:mr>
                <m:e>
                  <m:sSub>
                    <m:sSubPr>
                      <m:ctrlPr>
                        <w:rPr>
                          <w:rFonts w:ascii="Cambria Math" w:hAnsi="Cambria Math" w:cstheme="minorHAnsi"/>
                          <w:i/>
                          <w:color w:val="383838"/>
                        </w:rPr>
                      </m:ctrlPr>
                    </m:sSubPr>
                    <m:e>
                      <m:r>
                        <w:rPr>
                          <w:rFonts w:ascii="Cambria Math" w:hAnsi="Cambria Math" w:cstheme="minorHAnsi"/>
                          <w:color w:val="383838"/>
                        </w:rPr>
                        <m:t>ρ</m:t>
                      </m:r>
                    </m:e>
                    <m:sub>
                      <m:r>
                        <w:rPr>
                          <w:rFonts w:ascii="Cambria Math" w:hAnsi="Cambria Math" w:cstheme="minorHAnsi"/>
                          <w:color w:val="383838"/>
                        </w:rPr>
                        <m:t>11</m:t>
                      </m:r>
                    </m:sub>
                  </m:sSub>
                </m:e>
                <m:e>
                  <m:sSub>
                    <m:sSubPr>
                      <m:ctrlPr>
                        <w:rPr>
                          <w:rFonts w:ascii="Cambria Math" w:hAnsi="Cambria Math" w:cstheme="minorHAnsi"/>
                          <w:i/>
                          <w:color w:val="383838"/>
                        </w:rPr>
                      </m:ctrlPr>
                    </m:sSubPr>
                    <m:e>
                      <m:r>
                        <w:rPr>
                          <w:rFonts w:ascii="Cambria Math" w:hAnsi="Cambria Math" w:cstheme="minorHAnsi"/>
                          <w:color w:val="383838"/>
                        </w:rPr>
                        <m:t>ρ</m:t>
                      </m:r>
                    </m:e>
                    <m:sub>
                      <m:r>
                        <w:rPr>
                          <w:rFonts w:ascii="Cambria Math" w:hAnsi="Cambria Math" w:cstheme="minorHAnsi"/>
                          <w:color w:val="383838"/>
                        </w:rPr>
                        <m:t>12</m:t>
                      </m:r>
                    </m:sub>
                  </m:sSub>
                </m:e>
              </m:mr>
              <m:mr>
                <m:e>
                  <m:sSub>
                    <m:sSubPr>
                      <m:ctrlPr>
                        <w:rPr>
                          <w:rFonts w:ascii="Cambria Math" w:hAnsi="Cambria Math" w:cstheme="minorHAnsi"/>
                          <w:i/>
                          <w:color w:val="383838"/>
                        </w:rPr>
                      </m:ctrlPr>
                    </m:sSubPr>
                    <m:e>
                      <m:r>
                        <w:rPr>
                          <w:rFonts w:ascii="Cambria Math" w:hAnsi="Cambria Math" w:cstheme="minorHAnsi"/>
                          <w:color w:val="383838"/>
                        </w:rPr>
                        <m:t>ρ</m:t>
                      </m:r>
                    </m:e>
                    <m:sub>
                      <m:r>
                        <w:rPr>
                          <w:rFonts w:ascii="Cambria Math" w:hAnsi="Cambria Math" w:cstheme="minorHAnsi"/>
                          <w:color w:val="383838"/>
                        </w:rPr>
                        <m:t>21</m:t>
                      </m:r>
                    </m:sub>
                  </m:sSub>
                </m:e>
                <m:e>
                  <m:sSub>
                    <m:sSubPr>
                      <m:ctrlPr>
                        <w:rPr>
                          <w:rFonts w:ascii="Cambria Math" w:hAnsi="Cambria Math" w:cstheme="minorHAnsi"/>
                          <w:i/>
                          <w:color w:val="383838"/>
                        </w:rPr>
                      </m:ctrlPr>
                    </m:sSubPr>
                    <m:e>
                      <m:r>
                        <w:rPr>
                          <w:rFonts w:ascii="Cambria Math" w:hAnsi="Cambria Math" w:cstheme="minorHAnsi"/>
                          <w:color w:val="383838"/>
                        </w:rPr>
                        <m:t>ρ</m:t>
                      </m:r>
                    </m:e>
                    <m:sub>
                      <m:r>
                        <w:rPr>
                          <w:rFonts w:ascii="Cambria Math" w:hAnsi="Cambria Math" w:cstheme="minorHAnsi"/>
                          <w:color w:val="383838"/>
                        </w:rPr>
                        <m:t>22</m:t>
                      </m:r>
                    </m:sub>
                  </m:sSub>
                </m:e>
              </m:mr>
              <m:mr>
                <m:e>
                  <m:sSub>
                    <m:sSubPr>
                      <m:ctrlPr>
                        <w:rPr>
                          <w:rFonts w:ascii="Cambria Math" w:hAnsi="Cambria Math" w:cstheme="minorHAnsi"/>
                          <w:i/>
                          <w:color w:val="383838"/>
                        </w:rPr>
                      </m:ctrlPr>
                    </m:sSubPr>
                    <m:e>
                      <m:r>
                        <w:rPr>
                          <w:rFonts w:ascii="Cambria Math" w:hAnsi="Cambria Math" w:cstheme="minorHAnsi"/>
                          <w:color w:val="383838"/>
                        </w:rPr>
                        <m:t>ρ</m:t>
                      </m:r>
                    </m:e>
                    <m:sub>
                      <m:r>
                        <w:rPr>
                          <w:rFonts w:ascii="Cambria Math" w:hAnsi="Cambria Math" w:cstheme="minorHAnsi"/>
                          <w:color w:val="383838"/>
                        </w:rPr>
                        <m:t>31</m:t>
                      </m:r>
                    </m:sub>
                  </m:sSub>
                </m:e>
                <m:e>
                  <m:sSub>
                    <m:sSubPr>
                      <m:ctrlPr>
                        <w:rPr>
                          <w:rFonts w:ascii="Cambria Math" w:hAnsi="Cambria Math" w:cstheme="minorHAnsi"/>
                          <w:i/>
                          <w:color w:val="383838"/>
                        </w:rPr>
                      </m:ctrlPr>
                    </m:sSubPr>
                    <m:e>
                      <m:r>
                        <w:rPr>
                          <w:rFonts w:ascii="Cambria Math" w:hAnsi="Cambria Math" w:cstheme="minorHAnsi"/>
                          <w:color w:val="383838"/>
                        </w:rPr>
                        <m:t>ρ</m:t>
                      </m:r>
                    </m:e>
                    <m:sub>
                      <m:r>
                        <w:rPr>
                          <w:rFonts w:ascii="Cambria Math" w:hAnsi="Cambria Math" w:cstheme="minorHAnsi"/>
                          <w:color w:val="383838"/>
                        </w:rPr>
                        <m:t>32</m:t>
                      </m:r>
                    </m:sub>
                  </m:sSub>
                </m:e>
              </m:mr>
            </m:m>
          </m:e>
        </m:d>
      </m:oMath>
      <w:r w:rsidR="00AE64DA" w:rsidRPr="00000849">
        <w:rPr>
          <w:rFonts w:asciiTheme="minorHAnsi" w:hAnsiTheme="minorHAnsi" w:cstheme="minorHAnsi"/>
          <w:color w:val="383838"/>
        </w:rPr>
        <w:tab/>
        <w:t>=</w:t>
      </w:r>
      <w:r w:rsidR="00AE64DA" w:rsidRPr="00000849">
        <w:rPr>
          <w:rFonts w:asciiTheme="minorHAnsi" w:hAnsiTheme="minorHAnsi" w:cstheme="minorHAnsi"/>
          <w:color w:val="383838"/>
        </w:rPr>
        <w:tab/>
      </w:r>
      <m:oMath>
        <m:d>
          <m:dPr>
            <m:begChr m:val="["/>
            <m:endChr m:val="]"/>
            <m:ctrlPr>
              <w:rPr>
                <w:rFonts w:ascii="Cambria Math" w:hAnsi="Cambria Math" w:cstheme="minorHAnsi"/>
                <w:i/>
                <w:color w:val="383838"/>
              </w:rPr>
            </m:ctrlPr>
          </m:dPr>
          <m:e>
            <m:m>
              <m:mPr>
                <m:mcs>
                  <m:mc>
                    <m:mcPr>
                      <m:count m:val="2"/>
                      <m:mcJc m:val="center"/>
                    </m:mcPr>
                  </m:mc>
                </m:mcs>
                <m:ctrlPr>
                  <w:rPr>
                    <w:rFonts w:ascii="Cambria Math" w:hAnsi="Cambria Math" w:cstheme="minorHAnsi"/>
                    <w:i/>
                    <w:color w:val="383838"/>
                  </w:rPr>
                </m:ctrlPr>
              </m:mPr>
              <m:mr>
                <m:e>
                  <m:r>
                    <w:rPr>
                      <w:rFonts w:ascii="Cambria Math" w:hAnsi="Cambria Math" w:cstheme="minorHAnsi"/>
                      <w:color w:val="383838"/>
                    </w:rPr>
                    <m:t>1</m:t>
                  </m:r>
                </m:e>
                <m:e>
                  <m:sSub>
                    <m:sSubPr>
                      <m:ctrlPr>
                        <w:rPr>
                          <w:rFonts w:ascii="Cambria Math" w:hAnsi="Cambria Math" w:cstheme="minorHAnsi"/>
                          <w:i/>
                          <w:color w:val="383838"/>
                        </w:rPr>
                      </m:ctrlPr>
                    </m:sSubPr>
                    <m:e>
                      <m:r>
                        <w:rPr>
                          <w:rFonts w:ascii="Cambria Math" w:hAnsi="Cambria Math" w:cstheme="minorHAnsi"/>
                          <w:color w:val="383838"/>
                        </w:rPr>
                        <m:t>ρ</m:t>
                      </m:r>
                    </m:e>
                    <m:sub>
                      <m:r>
                        <w:rPr>
                          <w:rFonts w:ascii="Cambria Math" w:hAnsi="Cambria Math" w:cstheme="minorHAnsi"/>
                          <w:color w:val="383838"/>
                        </w:rPr>
                        <m:t>12</m:t>
                      </m:r>
                    </m:sub>
                  </m:sSub>
                </m:e>
              </m:mr>
              <m:mr>
                <m:e>
                  <m:r>
                    <w:rPr>
                      <w:rFonts w:ascii="Cambria Math" w:hAnsi="Cambria Math" w:cstheme="minorHAnsi"/>
                      <w:color w:val="383838"/>
                    </w:rPr>
                    <m:t>1</m:t>
                  </m:r>
                </m:e>
                <m:e>
                  <m:sSub>
                    <m:sSubPr>
                      <m:ctrlPr>
                        <w:rPr>
                          <w:rFonts w:ascii="Cambria Math" w:hAnsi="Cambria Math" w:cstheme="minorHAnsi"/>
                          <w:i/>
                          <w:color w:val="383838"/>
                        </w:rPr>
                      </m:ctrlPr>
                    </m:sSubPr>
                    <m:e>
                      <m:r>
                        <w:rPr>
                          <w:rFonts w:ascii="Cambria Math" w:hAnsi="Cambria Math" w:cstheme="minorHAnsi"/>
                          <w:color w:val="383838"/>
                        </w:rPr>
                        <m:t>ρ</m:t>
                      </m:r>
                    </m:e>
                    <m:sub>
                      <m:r>
                        <w:rPr>
                          <w:rFonts w:ascii="Cambria Math" w:hAnsi="Cambria Math" w:cstheme="minorHAnsi"/>
                          <w:color w:val="383838"/>
                        </w:rPr>
                        <m:t>22</m:t>
                      </m:r>
                    </m:sub>
                  </m:sSub>
                </m:e>
              </m:mr>
              <m:mr>
                <m:e>
                  <m:r>
                    <w:rPr>
                      <w:rFonts w:ascii="Cambria Math" w:hAnsi="Cambria Math" w:cstheme="minorHAnsi"/>
                      <w:color w:val="383838"/>
                    </w:rPr>
                    <m:t>1</m:t>
                  </m:r>
                </m:e>
                <m:e>
                  <m:sSub>
                    <m:sSubPr>
                      <m:ctrlPr>
                        <w:rPr>
                          <w:rFonts w:ascii="Cambria Math" w:hAnsi="Cambria Math" w:cstheme="minorHAnsi"/>
                          <w:i/>
                          <w:color w:val="383838"/>
                        </w:rPr>
                      </m:ctrlPr>
                    </m:sSubPr>
                    <m:e>
                      <m:r>
                        <w:rPr>
                          <w:rFonts w:ascii="Cambria Math" w:hAnsi="Cambria Math" w:cstheme="minorHAnsi"/>
                          <w:color w:val="383838"/>
                        </w:rPr>
                        <m:t>ρ</m:t>
                      </m:r>
                    </m:e>
                    <m:sub>
                      <m:r>
                        <w:rPr>
                          <w:rFonts w:ascii="Cambria Math" w:hAnsi="Cambria Math" w:cstheme="minorHAnsi"/>
                          <w:color w:val="383838"/>
                        </w:rPr>
                        <m:t>32</m:t>
                      </m:r>
                    </m:sub>
                  </m:sSub>
                </m:e>
              </m:mr>
            </m:m>
          </m:e>
        </m:d>
      </m:oMath>
      <w:r w:rsidR="00AE64DA" w:rsidRPr="00000849">
        <w:rPr>
          <w:rFonts w:asciiTheme="minorHAnsi" w:hAnsiTheme="minorHAnsi" w:cstheme="minorHAnsi"/>
          <w:color w:val="383838"/>
        </w:rPr>
        <w:tab/>
      </w:r>
      <w:r w:rsidR="00AE64DA" w:rsidRPr="00000849">
        <w:rPr>
          <w:rFonts w:asciiTheme="minorHAnsi" w:hAnsiTheme="minorHAnsi" w:cstheme="minorHAnsi"/>
          <w:color w:val="383838"/>
        </w:rPr>
        <w:tab/>
      </w:r>
      <w:r w:rsidR="00AE64DA" w:rsidRPr="00000849">
        <w:rPr>
          <w:rFonts w:asciiTheme="minorHAnsi" w:hAnsiTheme="minorHAnsi" w:cstheme="minorHAnsi"/>
          <w:color w:val="383838"/>
        </w:rPr>
        <w:tab/>
      </w:r>
      <w:r w:rsidR="00AE64DA" w:rsidRPr="00000849">
        <w:rPr>
          <w:rFonts w:asciiTheme="minorHAnsi" w:hAnsiTheme="minorHAnsi" w:cstheme="minorHAnsi"/>
          <w:color w:val="383838"/>
        </w:rPr>
        <w:tab/>
        <w:t>(4.</w:t>
      </w:r>
      <w:r w:rsidR="00E77D59" w:rsidRPr="00000849">
        <w:rPr>
          <w:rFonts w:asciiTheme="minorHAnsi" w:hAnsiTheme="minorHAnsi" w:cstheme="minorHAnsi"/>
          <w:color w:val="383838"/>
        </w:rPr>
        <w:t>11</w:t>
      </w:r>
      <w:r w:rsidR="00AE64DA" w:rsidRPr="00000849">
        <w:rPr>
          <w:rFonts w:asciiTheme="minorHAnsi" w:hAnsiTheme="minorHAnsi" w:cstheme="minorHAnsi"/>
          <w:color w:val="383838"/>
        </w:rPr>
        <w:t>)</w:t>
      </w:r>
    </w:p>
    <w:p w14:paraId="35B3AE12" w14:textId="4929B198" w:rsidR="00182BF3" w:rsidRPr="00000849" w:rsidRDefault="00182BF3" w:rsidP="00F60809">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6ECB3939" w14:textId="2BB989EC" w:rsidR="000C00E4" w:rsidRPr="00000849" w:rsidRDefault="00453620" w:rsidP="00E56E0B">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In this study with only two time points, no assumptions can be made about the structure of the correlation or the covariance between two hypertension measurements in the same subject.  In other words, the correlation matrix </w:t>
      </w:r>
      <w:r w:rsidR="004D6DFE" w:rsidRPr="00000849">
        <w:rPr>
          <w:rFonts w:asciiTheme="minorHAnsi" w:hAnsiTheme="minorHAnsi" w:cstheme="minorHAnsi"/>
          <w:color w:val="383838"/>
        </w:rPr>
        <w:t>with no restriction on the correlation parameter is</w:t>
      </w:r>
      <w:r w:rsidRPr="00000849">
        <w:rPr>
          <w:rFonts w:asciiTheme="minorHAnsi" w:hAnsiTheme="minorHAnsi" w:cstheme="minorHAnsi"/>
          <w:color w:val="383838"/>
        </w:rPr>
        <w:t xml:space="preserve"> unstructured.  </w:t>
      </w:r>
      <w:r w:rsidR="00B117F5" w:rsidRPr="00000849">
        <w:rPr>
          <w:rFonts w:asciiTheme="minorHAnsi" w:hAnsiTheme="minorHAnsi" w:cstheme="minorHAnsi"/>
          <w:color w:val="383838"/>
        </w:rPr>
        <w:t xml:space="preserve">To put this in context, </w:t>
      </w:r>
      <w:r w:rsidR="00367E15" w:rsidRPr="00000849">
        <w:rPr>
          <w:rFonts w:asciiTheme="minorHAnsi" w:hAnsiTheme="minorHAnsi" w:cstheme="minorHAnsi"/>
          <w:color w:val="383838"/>
        </w:rPr>
        <w:t>o</w:t>
      </w:r>
      <w:r w:rsidR="00B117F5" w:rsidRPr="00000849">
        <w:rPr>
          <w:rFonts w:asciiTheme="minorHAnsi" w:hAnsiTheme="minorHAnsi" w:cstheme="minorHAnsi"/>
          <w:color w:val="383838"/>
        </w:rPr>
        <w:t xml:space="preserve">ther </w:t>
      </w:r>
      <w:r w:rsidR="00367E15" w:rsidRPr="00000849">
        <w:rPr>
          <w:rFonts w:asciiTheme="minorHAnsi" w:hAnsiTheme="minorHAnsi" w:cstheme="minorHAnsi"/>
          <w:color w:val="383838"/>
        </w:rPr>
        <w:t xml:space="preserve">types of </w:t>
      </w:r>
      <w:r w:rsidR="00B117F5" w:rsidRPr="00000849">
        <w:rPr>
          <w:rFonts w:asciiTheme="minorHAnsi" w:hAnsiTheme="minorHAnsi" w:cstheme="minorHAnsi"/>
          <w:color w:val="383838"/>
        </w:rPr>
        <w:t>correlation matrix</w:t>
      </w:r>
      <w:r w:rsidR="00367E15" w:rsidRPr="00000849">
        <w:rPr>
          <w:rFonts w:asciiTheme="minorHAnsi" w:hAnsiTheme="minorHAnsi" w:cstheme="minorHAnsi"/>
          <w:color w:val="383838"/>
        </w:rPr>
        <w:t xml:space="preserve"> could have been considered if there </w:t>
      </w:r>
      <w:r w:rsidR="00A84A6E" w:rsidRPr="00000849">
        <w:rPr>
          <w:rFonts w:asciiTheme="minorHAnsi" w:hAnsiTheme="minorHAnsi" w:cstheme="minorHAnsi"/>
          <w:color w:val="383838"/>
        </w:rPr>
        <w:t xml:space="preserve">had been </w:t>
      </w:r>
      <w:r w:rsidR="00367E15" w:rsidRPr="00000849">
        <w:rPr>
          <w:rFonts w:asciiTheme="minorHAnsi" w:hAnsiTheme="minorHAnsi" w:cstheme="minorHAnsi"/>
          <w:color w:val="383838"/>
        </w:rPr>
        <w:t xml:space="preserve">more than two measurements.  For example, </w:t>
      </w:r>
      <w:r w:rsidR="000C00E4" w:rsidRPr="00000849">
        <w:rPr>
          <w:rFonts w:asciiTheme="minorHAnsi" w:hAnsiTheme="minorHAnsi" w:cstheme="minorHAnsi"/>
          <w:color w:val="383838"/>
        </w:rPr>
        <w:t xml:space="preserve">if there were four measurements, </w:t>
      </w:r>
      <w:r w:rsidR="00367E15" w:rsidRPr="00000849">
        <w:rPr>
          <w:rFonts w:asciiTheme="minorHAnsi" w:hAnsiTheme="minorHAnsi" w:cstheme="minorHAnsi"/>
          <w:color w:val="383838"/>
        </w:rPr>
        <w:t xml:space="preserve">the correlation structure would </w:t>
      </w:r>
      <w:r w:rsidR="000C00E4" w:rsidRPr="00000849">
        <w:rPr>
          <w:rFonts w:asciiTheme="minorHAnsi" w:hAnsiTheme="minorHAnsi" w:cstheme="minorHAnsi"/>
          <w:color w:val="383838"/>
        </w:rPr>
        <w:t xml:space="preserve">be considered </w:t>
      </w:r>
      <w:r w:rsidR="000C00E4" w:rsidRPr="00000849">
        <w:rPr>
          <w:rFonts w:asciiTheme="minorHAnsi" w:hAnsiTheme="minorHAnsi" w:cstheme="minorHAnsi"/>
          <w:i/>
          <w:iCs/>
          <w:color w:val="383838"/>
        </w:rPr>
        <w:t>independent</w:t>
      </w:r>
      <w:r w:rsidR="000C00E4" w:rsidRPr="00000849">
        <w:rPr>
          <w:rFonts w:asciiTheme="minorHAnsi" w:hAnsiTheme="minorHAnsi" w:cstheme="minorHAnsi"/>
          <w:color w:val="383838"/>
        </w:rPr>
        <w:t xml:space="preserve"> </w:t>
      </w:r>
      <w:r w:rsidR="00367E15" w:rsidRPr="00000849">
        <w:rPr>
          <w:rFonts w:asciiTheme="minorHAnsi" w:hAnsiTheme="minorHAnsi" w:cstheme="minorHAnsi"/>
          <w:color w:val="383838"/>
        </w:rPr>
        <w:t xml:space="preserve">if it was assumed that there were no correlations between </w:t>
      </w:r>
      <w:r w:rsidR="000C00E4" w:rsidRPr="00000849">
        <w:rPr>
          <w:rFonts w:asciiTheme="minorHAnsi" w:hAnsiTheme="minorHAnsi" w:cstheme="minorHAnsi"/>
          <w:color w:val="383838"/>
        </w:rPr>
        <w:t xml:space="preserve">measurements on </w:t>
      </w:r>
      <w:r w:rsidR="00367E15" w:rsidRPr="00000849">
        <w:rPr>
          <w:rFonts w:asciiTheme="minorHAnsi" w:hAnsiTheme="minorHAnsi" w:cstheme="minorHAnsi"/>
          <w:color w:val="383838"/>
        </w:rPr>
        <w:t>the presence of hypertension in the same subjects in Wave 1 and Wave 2, Wave 1 and Wave 3 or Wave 1 and Wave 4</w:t>
      </w:r>
      <w:r w:rsidR="000C00E4" w:rsidRPr="00000849">
        <w:rPr>
          <w:rFonts w:asciiTheme="minorHAnsi" w:hAnsiTheme="minorHAnsi" w:cstheme="minorHAnsi"/>
          <w:color w:val="383838"/>
        </w:rPr>
        <w:t xml:space="preserve">; that is, </w:t>
      </w:r>
      <w:r w:rsidR="00367E15" w:rsidRPr="00000849">
        <w:rPr>
          <w:rFonts w:asciiTheme="minorHAnsi" w:hAnsiTheme="minorHAnsi" w:cstheme="minorHAnsi"/>
          <w:color w:val="383838"/>
        </w:rPr>
        <w:t>ρ</w:t>
      </w:r>
      <w:r w:rsidR="00367E15" w:rsidRPr="00000849">
        <w:rPr>
          <w:rFonts w:asciiTheme="minorHAnsi" w:hAnsiTheme="minorHAnsi" w:cstheme="minorHAnsi"/>
          <w:color w:val="383838"/>
          <w:vertAlign w:val="subscript"/>
        </w:rPr>
        <w:t>12</w:t>
      </w:r>
      <w:r w:rsidR="00367E15" w:rsidRPr="00000849">
        <w:rPr>
          <w:rFonts w:asciiTheme="minorHAnsi" w:hAnsiTheme="minorHAnsi" w:cstheme="minorHAnsi"/>
          <w:color w:val="383838"/>
        </w:rPr>
        <w:t>, ρ</w:t>
      </w:r>
      <w:r w:rsidR="00367E15" w:rsidRPr="00000849">
        <w:rPr>
          <w:rFonts w:asciiTheme="minorHAnsi" w:hAnsiTheme="minorHAnsi" w:cstheme="minorHAnsi"/>
          <w:color w:val="383838"/>
          <w:vertAlign w:val="subscript"/>
        </w:rPr>
        <w:t>13</w:t>
      </w:r>
      <w:r w:rsidR="00367E15" w:rsidRPr="00000849">
        <w:rPr>
          <w:rFonts w:asciiTheme="minorHAnsi" w:hAnsiTheme="minorHAnsi" w:cstheme="minorHAnsi"/>
          <w:color w:val="383838"/>
        </w:rPr>
        <w:t xml:space="preserve">, </w:t>
      </w:r>
      <w:r w:rsidR="000C00E4" w:rsidRPr="00000849">
        <w:rPr>
          <w:rFonts w:asciiTheme="minorHAnsi" w:hAnsiTheme="minorHAnsi" w:cstheme="minorHAnsi"/>
          <w:color w:val="383838"/>
        </w:rPr>
        <w:t xml:space="preserve">and </w:t>
      </w:r>
      <w:r w:rsidR="00367E15" w:rsidRPr="00000849">
        <w:rPr>
          <w:rFonts w:asciiTheme="minorHAnsi" w:hAnsiTheme="minorHAnsi" w:cstheme="minorHAnsi"/>
          <w:color w:val="383838"/>
        </w:rPr>
        <w:t>ρ</w:t>
      </w:r>
      <w:r w:rsidR="00367E15" w:rsidRPr="00000849">
        <w:rPr>
          <w:rFonts w:asciiTheme="minorHAnsi" w:hAnsiTheme="minorHAnsi" w:cstheme="minorHAnsi"/>
          <w:color w:val="383838"/>
          <w:vertAlign w:val="subscript"/>
        </w:rPr>
        <w:t>14</w:t>
      </w:r>
      <w:r w:rsidR="00367E15" w:rsidRPr="00000849">
        <w:rPr>
          <w:rFonts w:asciiTheme="minorHAnsi" w:hAnsiTheme="minorHAnsi" w:cstheme="minorHAnsi"/>
          <w:color w:val="383838"/>
        </w:rPr>
        <w:t>,</w:t>
      </w:r>
      <w:r w:rsidR="000C00E4" w:rsidRPr="00000849">
        <w:rPr>
          <w:rFonts w:asciiTheme="minorHAnsi" w:hAnsiTheme="minorHAnsi" w:cstheme="minorHAnsi"/>
          <w:color w:val="383838"/>
        </w:rPr>
        <w:t xml:space="preserve"> were all zero </w:t>
      </w:r>
      <w:r w:rsidR="000C00E4" w:rsidRPr="00000849">
        <w:rPr>
          <w:rFonts w:asciiTheme="minorHAnsi" w:hAnsiTheme="minorHAnsi" w:cstheme="minorHAnsi"/>
          <w:color w:val="383838"/>
        </w:rPr>
        <w:fldChar w:fldCharType="begin"/>
      </w:r>
      <w:r w:rsidR="000C00E4" w:rsidRPr="00000849">
        <w:rPr>
          <w:rFonts w:asciiTheme="minorHAnsi" w:hAnsiTheme="minorHAnsi" w:cstheme="minorHAnsi"/>
          <w:color w:val="383838"/>
        </w:rPr>
        <w:instrText xml:space="preserve"> ADDIN EN.CITE &lt;EndNote&gt;&lt;Cite&gt;&lt;Author&gt;Kleinbaum&lt;/Author&gt;&lt;Year&gt;2002&lt;/Year&gt;&lt;RecNum&gt;1662&lt;/RecNum&gt;&lt;DisplayText&gt;(Kleinbaum &amp;amp; Klein, 2002)&lt;/DisplayText&gt;&lt;record&gt;&lt;rec-number&gt;1662&lt;/rec-number&gt;&lt;foreign-keys&gt;&lt;key app="EN" db-id="9tzf2rda8re2a9es5tuxart3swzx2zws2s02" timestamp="1596684042"&gt;1662&lt;/key&gt;&lt;/foreign-keys&gt;&lt;ref-type name="Book"&gt;6&lt;/ref-type&gt;&lt;contributors&gt;&lt;authors&gt;&lt;author&gt;Kleinbaum, David G&lt;/author&gt;&lt;author&gt;Klein, Mitchel&lt;/author&gt;&lt;/authors&gt;&lt;/contributors&gt;&lt;titles&gt;&lt;title&gt;Logistic regression: a self-learning text&lt;/title&gt;&lt;/titles&gt;&lt;edition&gt;2nd&lt;/edition&gt;&lt;dates&gt;&lt;year&gt;2002&lt;/year&gt;&lt;/dates&gt;&lt;pub-location&gt;New York&lt;/pub-location&gt;&lt;publisher&gt;Springer-Verlag&lt;/publisher&gt;&lt;urls&gt;&lt;/urls&gt;&lt;/record&gt;&lt;/Cite&gt;&lt;/EndNote&gt;</w:instrText>
      </w:r>
      <w:r w:rsidR="000C00E4" w:rsidRPr="00000849">
        <w:rPr>
          <w:rFonts w:asciiTheme="minorHAnsi" w:hAnsiTheme="minorHAnsi" w:cstheme="minorHAnsi"/>
          <w:color w:val="383838"/>
        </w:rPr>
        <w:fldChar w:fldCharType="separate"/>
      </w:r>
      <w:r w:rsidR="000C00E4" w:rsidRPr="00000849">
        <w:rPr>
          <w:rFonts w:asciiTheme="minorHAnsi" w:hAnsiTheme="minorHAnsi" w:cstheme="minorHAnsi"/>
          <w:noProof/>
          <w:color w:val="383838"/>
        </w:rPr>
        <w:t>(Kleinbaum &amp; Klein, 2002)</w:t>
      </w:r>
      <w:r w:rsidR="000C00E4" w:rsidRPr="00000849">
        <w:rPr>
          <w:rFonts w:asciiTheme="minorHAnsi" w:hAnsiTheme="minorHAnsi" w:cstheme="minorHAnsi"/>
          <w:color w:val="383838"/>
        </w:rPr>
        <w:fldChar w:fldCharType="end"/>
      </w:r>
      <w:r w:rsidR="000C00E4" w:rsidRPr="00000849">
        <w:rPr>
          <w:rFonts w:asciiTheme="minorHAnsi" w:hAnsiTheme="minorHAnsi" w:cstheme="minorHAnsi"/>
          <w:color w:val="383838"/>
        </w:rPr>
        <w:t>.</w:t>
      </w:r>
      <w:r w:rsidR="004D6DFE" w:rsidRPr="00000849">
        <w:rPr>
          <w:rFonts w:asciiTheme="minorHAnsi" w:hAnsiTheme="minorHAnsi" w:cstheme="minorHAnsi"/>
          <w:color w:val="383838"/>
        </w:rPr>
        <w:t xml:space="preserve">  If the correlations between the repeated measures were identical, the correlation structure would be termed </w:t>
      </w:r>
      <w:r w:rsidR="004D6DFE" w:rsidRPr="00000849">
        <w:rPr>
          <w:rFonts w:asciiTheme="minorHAnsi" w:hAnsiTheme="minorHAnsi" w:cstheme="minorHAnsi"/>
          <w:i/>
          <w:iCs/>
          <w:color w:val="383838"/>
        </w:rPr>
        <w:t xml:space="preserve">exchangeable; </w:t>
      </w:r>
      <w:r w:rsidR="004D6DFE" w:rsidRPr="00000849">
        <w:rPr>
          <w:rFonts w:asciiTheme="minorHAnsi" w:hAnsiTheme="minorHAnsi" w:cstheme="minorHAnsi"/>
          <w:color w:val="383838"/>
        </w:rPr>
        <w:t>that is ρ</w:t>
      </w:r>
      <w:r w:rsidR="004D6DFE" w:rsidRPr="00000849">
        <w:rPr>
          <w:rFonts w:asciiTheme="minorHAnsi" w:hAnsiTheme="minorHAnsi" w:cstheme="minorHAnsi"/>
          <w:color w:val="383838"/>
          <w:vertAlign w:val="subscript"/>
        </w:rPr>
        <w:t>12</w:t>
      </w:r>
      <w:r w:rsidR="004D6DFE" w:rsidRPr="00000849">
        <w:rPr>
          <w:rFonts w:asciiTheme="minorHAnsi" w:hAnsiTheme="minorHAnsi" w:cstheme="minorHAnsi"/>
          <w:color w:val="383838"/>
        </w:rPr>
        <w:t>, ρ</w:t>
      </w:r>
      <w:r w:rsidR="004D6DFE" w:rsidRPr="00000849">
        <w:rPr>
          <w:rFonts w:asciiTheme="minorHAnsi" w:hAnsiTheme="minorHAnsi" w:cstheme="minorHAnsi"/>
          <w:color w:val="383838"/>
          <w:vertAlign w:val="subscript"/>
        </w:rPr>
        <w:t>13</w:t>
      </w:r>
      <w:r w:rsidR="004D6DFE" w:rsidRPr="00000849">
        <w:rPr>
          <w:rFonts w:asciiTheme="minorHAnsi" w:hAnsiTheme="minorHAnsi" w:cstheme="minorHAnsi"/>
          <w:color w:val="383838"/>
        </w:rPr>
        <w:t>, and ρ</w:t>
      </w:r>
      <w:r w:rsidR="004D6DFE" w:rsidRPr="00000849">
        <w:rPr>
          <w:rFonts w:asciiTheme="minorHAnsi" w:hAnsiTheme="minorHAnsi" w:cstheme="minorHAnsi"/>
          <w:color w:val="383838"/>
          <w:vertAlign w:val="subscript"/>
        </w:rPr>
        <w:t>14</w:t>
      </w:r>
      <w:r w:rsidR="004D6DFE" w:rsidRPr="00000849">
        <w:rPr>
          <w:rFonts w:asciiTheme="minorHAnsi" w:hAnsiTheme="minorHAnsi" w:cstheme="minorHAnsi"/>
          <w:color w:val="383838"/>
        </w:rPr>
        <w:t xml:space="preserve"> were non-zero and equal to ρ.  It would be </w:t>
      </w:r>
      <w:r w:rsidR="004D6DFE" w:rsidRPr="00000849">
        <w:rPr>
          <w:rFonts w:asciiTheme="minorHAnsi" w:hAnsiTheme="minorHAnsi" w:cstheme="minorHAnsi"/>
          <w:i/>
          <w:iCs/>
          <w:color w:val="383838"/>
        </w:rPr>
        <w:t>unstructured</w:t>
      </w:r>
      <w:r w:rsidR="004D6DFE" w:rsidRPr="00000849">
        <w:rPr>
          <w:rFonts w:asciiTheme="minorHAnsi" w:hAnsiTheme="minorHAnsi" w:cstheme="minorHAnsi"/>
          <w:color w:val="383838"/>
        </w:rPr>
        <w:t>, if the correlation parameter</w:t>
      </w:r>
      <w:r w:rsidR="003D0210" w:rsidRPr="00000849">
        <w:rPr>
          <w:rFonts w:asciiTheme="minorHAnsi" w:hAnsiTheme="minorHAnsi" w:cstheme="minorHAnsi"/>
          <w:color w:val="383838"/>
        </w:rPr>
        <w:t>s</w:t>
      </w:r>
      <w:r w:rsidR="004D6DFE" w:rsidRPr="00000849">
        <w:rPr>
          <w:rFonts w:asciiTheme="minorHAnsi" w:hAnsiTheme="minorHAnsi" w:cstheme="minorHAnsi"/>
          <w:color w:val="383838"/>
        </w:rPr>
        <w:t xml:space="preserve"> differed </w:t>
      </w:r>
      <w:r w:rsidR="003D0210" w:rsidRPr="00000849">
        <w:rPr>
          <w:rFonts w:asciiTheme="minorHAnsi" w:hAnsiTheme="minorHAnsi" w:cstheme="minorHAnsi"/>
          <w:color w:val="383838"/>
        </w:rPr>
        <w:t xml:space="preserve">and were unpredictable </w:t>
      </w:r>
      <w:r w:rsidR="004D6DFE" w:rsidRPr="00000849">
        <w:rPr>
          <w:rFonts w:asciiTheme="minorHAnsi" w:hAnsiTheme="minorHAnsi" w:cstheme="minorHAnsi"/>
          <w:color w:val="383838"/>
        </w:rPr>
        <w:t xml:space="preserve">between repeated measures </w:t>
      </w:r>
      <w:r w:rsidR="003D0210" w:rsidRPr="00000849">
        <w:rPr>
          <w:rFonts w:asciiTheme="minorHAnsi" w:hAnsiTheme="minorHAnsi" w:cstheme="minorHAnsi"/>
          <w:color w:val="383838"/>
        </w:rPr>
        <w:t>in successive waves.</w:t>
      </w:r>
    </w:p>
    <w:p w14:paraId="629376D0" w14:textId="100C2F7C" w:rsidR="00E56E0B" w:rsidRPr="00000849" w:rsidRDefault="003D0210" w:rsidP="00E56E0B">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lastRenderedPageBreak/>
        <w:t xml:space="preserve">In practice, the selection of the a working correlation structure is not always clear and is at the discretion of the researcher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&lt;EndNote&gt;&lt;Cite&gt;&lt;Author&gt;Kleinbaum&lt;/Author&gt;&lt;Year&gt;2002&lt;/Year&gt;&lt;RecNum&gt;1662&lt;/RecNum&gt;&lt;DisplayText&gt;(Kleinbaum &amp;amp; Klein, 2002)&lt;/DisplayText&gt;&lt;record&gt;&lt;rec-number&gt;1662&lt;/rec-number&gt;&lt;foreign-keys&gt;&lt;key app="EN" db-id="9tzf2rda8re2a9es5tuxart3swzx2zws2s02" timestamp="1596684042"&gt;1662&lt;/key&gt;&lt;/foreign-keys&gt;&lt;ref-type name="Book"&gt;6&lt;/ref-type&gt;&lt;contributors&gt;&lt;authors&gt;&lt;author&gt;Kleinbaum, David G&lt;/author&gt;&lt;author&gt;Klein, Mitchel&lt;/author&gt;&lt;/authors&gt;&lt;/contributors&gt;&lt;titles&gt;&lt;title&gt;Logistic regression: a self-learning text&lt;/title&gt;&lt;/titles&gt;&lt;edition&gt;2nd&lt;/edition&gt;&lt;dates&gt;&lt;year&gt;2002&lt;/year&gt;&lt;/dates&gt;&lt;pub-location&gt;New York&lt;/pub-location&gt;&lt;publisher&gt;Springer-Verlag&lt;/publisher&gt;&lt;urls&gt;&lt;/urls&gt;&lt;/record&gt;&lt;/Cite&gt;&lt;/EndNote&gt;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(Kleinbaum &amp; Klein, 2002)</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D30DF0" w:rsidRPr="00000849">
        <w:rPr>
          <w:rFonts w:asciiTheme="minorHAnsi" w:hAnsiTheme="minorHAnsi" w:cstheme="minorHAnsi"/>
          <w:color w:val="383838"/>
        </w:rPr>
        <w:t xml:space="preserve">Factors to consider include the number of parameters (parsimony preferred), the interpretation of the structure, diagnostic results, and effects on fixed effects </w:t>
      </w:r>
      <w:r w:rsidR="00D30DF0" w:rsidRPr="00000849">
        <w:rPr>
          <w:rFonts w:asciiTheme="minorHAnsi" w:hAnsiTheme="minorHAnsi" w:cstheme="minorHAnsi"/>
          <w:color w:val="383838"/>
        </w:rPr>
        <w:fldChar w:fldCharType="begin"/>
      </w:r>
      <w:r w:rsidR="00D30DF0" w:rsidRPr="00000849">
        <w:rPr>
          <w:rFonts w:asciiTheme="minorHAnsi" w:hAnsiTheme="minorHAnsi" w:cstheme="minorHAnsi"/>
          <w:color w:val="383838"/>
        </w:rPr>
        <w:instrText xml:space="preserve"> ADDIN EN.CITE &lt;EndNote&gt;&lt;Cite&gt;&lt;Author&gt;Kincaid&lt;/Author&gt;&lt;Year&gt;2005&lt;/Year&gt;&lt;RecNum&gt;1067&lt;/RecNum&gt;&lt;DisplayText&gt;(Kincaid, 2005)&lt;/DisplayText&gt;&lt;record&gt;&lt;rec-number&gt;1067&lt;/rec-number&gt;&lt;foreign-keys&gt;&lt;key app="EN" db-id="9tzf2rda8re2a9es5tuxart3swzx2zws2s02" timestamp="1578537735"&gt;1067&lt;/key&gt;&lt;/foreign-keys&gt;&lt;ref-type name="Conference Proceedings"&gt;10&lt;/ref-type&gt;&lt;contributors&gt;&lt;authors&gt;&lt;author&gt;Kincaid, C&lt;/author&gt;&lt;/authors&gt;&lt;/contributors&gt;&lt;titles&gt;&lt;title&gt;Guidelines for selecting the covariance structure in mixed model analysis, Paper 198-30 &lt;/title&gt;&lt;secondary-title&gt;Proceedings of the Thirtieth Annual SAS Users Group Conference&lt;/secondary-title&gt;&lt;/titles&gt;&lt;pages&gt;8&lt;/pages&gt;&lt;dates&gt;&lt;year&gt;2005&lt;/year&gt;&lt;/dates&gt;&lt;pub-location&gt;Cary, North Carolina&lt;/pub-location&gt;&lt;urls&gt;&lt;related-urls&gt;&lt;url&gt;https://support.sas.com/resources/papers/proceedings/proceedings/sugi30/198-30.pdf&lt;/url&gt;&lt;/related-urls&gt;&lt;/urls&gt;&lt;/record&gt;&lt;/Cite&gt;&lt;/EndNote&gt;</w:instrText>
      </w:r>
      <w:r w:rsidR="00D30DF0" w:rsidRPr="00000849">
        <w:rPr>
          <w:rFonts w:asciiTheme="minorHAnsi" w:hAnsiTheme="minorHAnsi" w:cstheme="minorHAnsi"/>
          <w:color w:val="383838"/>
        </w:rPr>
        <w:fldChar w:fldCharType="separate"/>
      </w:r>
      <w:r w:rsidR="00D30DF0" w:rsidRPr="00000849">
        <w:rPr>
          <w:rFonts w:asciiTheme="minorHAnsi" w:hAnsiTheme="minorHAnsi" w:cstheme="minorHAnsi"/>
          <w:noProof/>
          <w:color w:val="383838"/>
        </w:rPr>
        <w:t>(Kincaid, 2005)</w:t>
      </w:r>
      <w:r w:rsidR="00D30DF0" w:rsidRPr="00000849">
        <w:rPr>
          <w:rFonts w:asciiTheme="minorHAnsi" w:hAnsiTheme="minorHAnsi" w:cstheme="minorHAnsi"/>
          <w:color w:val="383838"/>
        </w:rPr>
        <w:fldChar w:fldCharType="end"/>
      </w:r>
      <w:r w:rsidR="00D30DF0" w:rsidRPr="00000849">
        <w:rPr>
          <w:rFonts w:asciiTheme="minorHAnsi" w:hAnsiTheme="minorHAnsi" w:cstheme="minorHAnsi"/>
          <w:color w:val="383838"/>
        </w:rPr>
        <w:t xml:space="preserve">.  The information criteria such as the AIC, BIC and the quasi-information criteria may help to choose the appropriate covariance structure </w:t>
      </w:r>
      <w:r w:rsidR="00D30DF0"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&lt;EndNote&gt;&lt;Cite&gt;&lt;Author&gt;Barnett&lt;/Author&gt;&lt;Year&gt;2010&lt;/Year&gt;&lt;RecNum&gt;1066&lt;/RecNum&gt;&lt;DisplayText&gt;(Barnett et al., 2010)&lt;/DisplayText&gt;&lt;record&gt;&lt;rec-number&gt;1066&lt;/rec-number&gt;&lt;foreign-keys&gt;&lt;key app="EN" db-id="9tzf2rda8re2a9es5tuxart3swzx2zws2s02" timestamp="1578535937"&gt;1066&lt;/key&gt;&lt;/foreign-keys&gt;&lt;ref-type name="Journal Article"&gt;17&lt;/ref-type&gt;&lt;contributors&gt;&lt;authors&gt;&lt;author&gt;Barnett, Adrian G.&lt;/author&gt;&lt;author&gt;Koper, Nicola&lt;/author&gt;&lt;author&gt;Dobson, Annette J.&lt;/author&gt;&lt;author&gt;Schmiegelow, Fiona&lt;/author&gt;&lt;author&gt;Manseau, Micheline&lt;/author&gt;&lt;/authors&gt;&lt;/contributors&gt;&lt;titles&gt;&lt;title&gt;Using information criteria to select the correct variance–covariance structure for longitudinal data in ecology&lt;/title&gt;&lt;secondary-title&gt;Methods in Ecology and Evolution&lt;/secondary-title&gt;&lt;/titles&gt;&lt;periodical&gt;&lt;full-title&gt;Methods in Ecology and Evolution&lt;/full-title&gt;&lt;/periodical&gt;&lt;pages&gt;15-24&lt;/pages&gt;&lt;volume&gt;1&lt;/volume&gt;&lt;number&gt;1&lt;/number&gt;&lt;dates&gt;&lt;year&gt;2010&lt;/year&gt;&lt;/dates&gt;&lt;isbn&gt;2041-210X&lt;/isbn&gt;&lt;urls&gt;&lt;related-urls&gt;&lt;url&gt;https://besjournals.onlinelibrary.wiley.com/doi/abs/10.1111/j.2041-210X.2009.00009.x&lt;/url&gt;&lt;/related-urls&gt;&lt;/urls&gt;&lt;electronic-resource-num&gt;10.1111/j.2041-210X.2009.00009.x&lt;/electronic-resource-num&gt;&lt;/record&gt;&lt;/Cite&gt;&lt;/EndNote&gt;</w:instrText>
      </w:r>
      <w:r w:rsidR="00D30DF0"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(Barnett et al., 2010)</w:t>
      </w:r>
      <w:r w:rsidR="00D30DF0" w:rsidRPr="00000849">
        <w:rPr>
          <w:rFonts w:asciiTheme="minorHAnsi" w:hAnsiTheme="minorHAnsi" w:cstheme="minorHAnsi"/>
          <w:color w:val="383838"/>
        </w:rPr>
        <w:fldChar w:fldCharType="end"/>
      </w:r>
      <w:r w:rsidR="00D30DF0" w:rsidRPr="00000849">
        <w:rPr>
          <w:rFonts w:asciiTheme="minorHAnsi" w:hAnsiTheme="minorHAnsi" w:cstheme="minorHAnsi"/>
          <w:color w:val="383838"/>
        </w:rPr>
        <w:t xml:space="preserve">.  </w:t>
      </w:r>
    </w:p>
    <w:p w14:paraId="02E41D6C" w14:textId="77777777" w:rsidR="00104786" w:rsidRPr="00000849" w:rsidRDefault="00104786" w:rsidP="00452B1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06E4DB6" w14:textId="20FC4085" w:rsidR="007E7A5B" w:rsidRPr="00000849" w:rsidRDefault="002006AA" w:rsidP="004E2350">
      <w:pPr>
        <w:pStyle w:val="Heading3"/>
      </w:pPr>
      <w:bookmarkStart w:id="81" w:name="_Toc51472123"/>
      <w:r w:rsidRPr="00000849">
        <w:t>4.8.</w:t>
      </w:r>
      <w:r w:rsidR="00701B91" w:rsidRPr="00000849">
        <w:t>2</w:t>
      </w:r>
      <w:r w:rsidR="007E7A5B" w:rsidRPr="00000849">
        <w:tab/>
        <w:t>Ordinal logistic regression</w:t>
      </w:r>
      <w:bookmarkEnd w:id="81"/>
      <w:r w:rsidR="007E7A5B" w:rsidRPr="00000849">
        <w:t xml:space="preserve"> </w:t>
      </w:r>
    </w:p>
    <w:p w14:paraId="129B71ED" w14:textId="77777777" w:rsidR="007E7A5B" w:rsidRPr="00000849" w:rsidRDefault="007E7A5B" w:rsidP="00452B1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3E14F1CD" w14:textId="5DCEB400" w:rsidR="008573D0" w:rsidRPr="00000849" w:rsidRDefault="009A7266" w:rsidP="008573D0">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Beyond </w:t>
      </w:r>
      <w:r w:rsidR="008426D2" w:rsidRPr="00000849">
        <w:rPr>
          <w:rFonts w:asciiTheme="minorHAnsi" w:hAnsiTheme="minorHAnsi" w:cstheme="minorHAnsi"/>
          <w:color w:val="383838"/>
        </w:rPr>
        <w:t>the pre</w:t>
      </w:r>
      <w:r w:rsidR="00035BF4" w:rsidRPr="00000849">
        <w:rPr>
          <w:rFonts w:asciiTheme="minorHAnsi" w:hAnsiTheme="minorHAnsi" w:cstheme="minorHAnsi"/>
          <w:color w:val="383838"/>
        </w:rPr>
        <w:t>val</w:t>
      </w:r>
      <w:r w:rsidR="008426D2" w:rsidRPr="00000849">
        <w:rPr>
          <w:rFonts w:asciiTheme="minorHAnsi" w:hAnsiTheme="minorHAnsi" w:cstheme="minorHAnsi"/>
          <w:color w:val="383838"/>
        </w:rPr>
        <w:t xml:space="preserve">ence </w:t>
      </w:r>
      <w:r w:rsidR="00035BF4" w:rsidRPr="00000849">
        <w:rPr>
          <w:rFonts w:asciiTheme="minorHAnsi" w:hAnsiTheme="minorHAnsi" w:cstheme="minorHAnsi"/>
          <w:color w:val="383838"/>
        </w:rPr>
        <w:t xml:space="preserve">of </w:t>
      </w:r>
      <w:r w:rsidR="008426D2" w:rsidRPr="00000849">
        <w:rPr>
          <w:rFonts w:asciiTheme="minorHAnsi" w:hAnsiTheme="minorHAnsi" w:cstheme="minorHAnsi"/>
          <w:color w:val="383838"/>
        </w:rPr>
        <w:t>hypertension</w:t>
      </w:r>
      <w:r w:rsidR="00E71CD5" w:rsidRPr="00000849">
        <w:rPr>
          <w:rFonts w:asciiTheme="minorHAnsi" w:hAnsiTheme="minorHAnsi" w:cstheme="minorHAnsi"/>
          <w:color w:val="383838"/>
        </w:rPr>
        <w:t xml:space="preserve"> as an outcome</w:t>
      </w:r>
      <w:r w:rsidR="008426D2" w:rsidRPr="00000849">
        <w:rPr>
          <w:rFonts w:asciiTheme="minorHAnsi" w:hAnsiTheme="minorHAnsi" w:cstheme="minorHAnsi"/>
          <w:color w:val="383838"/>
        </w:rPr>
        <w:t>, th</w:t>
      </w:r>
      <w:r w:rsidRPr="00000849">
        <w:rPr>
          <w:rFonts w:asciiTheme="minorHAnsi" w:hAnsiTheme="minorHAnsi" w:cstheme="minorHAnsi"/>
          <w:color w:val="383838"/>
        </w:rPr>
        <w:t xml:space="preserve">e current analyses </w:t>
      </w:r>
      <w:r w:rsidR="006E56AB" w:rsidRPr="00000849">
        <w:rPr>
          <w:rFonts w:asciiTheme="minorHAnsi" w:hAnsiTheme="minorHAnsi" w:cstheme="minorHAnsi"/>
          <w:color w:val="383838"/>
        </w:rPr>
        <w:t xml:space="preserve">also </w:t>
      </w:r>
      <w:r w:rsidR="008426D2" w:rsidRPr="00000849">
        <w:rPr>
          <w:rFonts w:asciiTheme="minorHAnsi" w:hAnsiTheme="minorHAnsi" w:cstheme="minorHAnsi"/>
          <w:color w:val="383838"/>
        </w:rPr>
        <w:t>assessed</w:t>
      </w:r>
      <w:r w:rsidRPr="00000849">
        <w:rPr>
          <w:rFonts w:asciiTheme="minorHAnsi" w:hAnsiTheme="minorHAnsi" w:cstheme="minorHAnsi"/>
          <w:color w:val="383838"/>
        </w:rPr>
        <w:t xml:space="preserve"> the risk factors </w:t>
      </w:r>
      <w:r w:rsidR="008426D2" w:rsidRPr="00000849">
        <w:rPr>
          <w:rFonts w:asciiTheme="minorHAnsi" w:hAnsiTheme="minorHAnsi" w:cstheme="minorHAnsi"/>
          <w:color w:val="383838"/>
        </w:rPr>
        <w:t xml:space="preserve">associated with the different </w:t>
      </w:r>
      <w:r w:rsidR="006406F3" w:rsidRPr="00000849">
        <w:rPr>
          <w:rFonts w:asciiTheme="minorHAnsi" w:hAnsiTheme="minorHAnsi" w:cstheme="minorHAnsi"/>
          <w:color w:val="383838"/>
        </w:rPr>
        <w:t>levels</w:t>
      </w:r>
      <w:r w:rsidR="008426D2" w:rsidRPr="00000849">
        <w:rPr>
          <w:rFonts w:asciiTheme="minorHAnsi" w:hAnsiTheme="minorHAnsi" w:cstheme="minorHAnsi"/>
          <w:color w:val="383838"/>
        </w:rPr>
        <w:t xml:space="preserve"> or grades of hypertension.  In line with international guidelines, hypertension </w:t>
      </w:r>
      <w:r w:rsidR="008573D0" w:rsidRPr="00000849">
        <w:rPr>
          <w:rFonts w:asciiTheme="minorHAnsi" w:hAnsiTheme="minorHAnsi" w:cstheme="minorHAnsi"/>
          <w:color w:val="383838"/>
        </w:rPr>
        <w:t xml:space="preserve">was classified further as grade 1 (mild) if SBP was 140–159 mm Hg </w:t>
      </w:r>
      <w:r w:rsidR="008426D2" w:rsidRPr="00000849">
        <w:rPr>
          <w:rFonts w:asciiTheme="minorHAnsi" w:hAnsiTheme="minorHAnsi" w:cstheme="minorHAnsi"/>
          <w:color w:val="383838"/>
        </w:rPr>
        <w:t>and/</w:t>
      </w:r>
      <w:r w:rsidR="008573D0" w:rsidRPr="00000849">
        <w:rPr>
          <w:rFonts w:asciiTheme="minorHAnsi" w:hAnsiTheme="minorHAnsi" w:cstheme="minorHAnsi"/>
          <w:color w:val="383838"/>
        </w:rPr>
        <w:t xml:space="preserve">or DBP was 90–99 mm Hg, as grade 2 (moderate) if SBP was 160–179 mm Hg </w:t>
      </w:r>
      <w:r w:rsidR="008426D2" w:rsidRPr="00000849">
        <w:rPr>
          <w:rFonts w:asciiTheme="minorHAnsi" w:hAnsiTheme="minorHAnsi" w:cstheme="minorHAnsi"/>
          <w:color w:val="383838"/>
        </w:rPr>
        <w:t>and/</w:t>
      </w:r>
      <w:r w:rsidR="008573D0" w:rsidRPr="00000849">
        <w:rPr>
          <w:rFonts w:asciiTheme="minorHAnsi" w:hAnsiTheme="minorHAnsi" w:cstheme="minorHAnsi"/>
          <w:color w:val="383838"/>
        </w:rPr>
        <w:t xml:space="preserve">or DBP was 100–109 mm Hg, and as grade 3 (severe) if SBP was </w:t>
      </w:r>
      <w:r w:rsidR="008426D2" w:rsidRPr="00000849">
        <w:rPr>
          <w:rFonts w:asciiTheme="minorHAnsi" w:hAnsiTheme="minorHAnsi" w:cstheme="minorHAnsi"/>
          <w:color w:val="383838"/>
        </w:rPr>
        <w:t>≥</w:t>
      </w:r>
      <w:r w:rsidR="008573D0" w:rsidRPr="00000849">
        <w:rPr>
          <w:rFonts w:asciiTheme="minorHAnsi" w:hAnsiTheme="minorHAnsi" w:cstheme="minorHAnsi"/>
          <w:color w:val="383838"/>
        </w:rPr>
        <w:t xml:space="preserve">180 mm Hg </w:t>
      </w:r>
      <w:r w:rsidR="008426D2" w:rsidRPr="00000849">
        <w:rPr>
          <w:rFonts w:asciiTheme="minorHAnsi" w:hAnsiTheme="minorHAnsi" w:cstheme="minorHAnsi"/>
          <w:color w:val="383838"/>
        </w:rPr>
        <w:t>and/</w:t>
      </w:r>
      <w:r w:rsidR="008573D0" w:rsidRPr="00000849">
        <w:rPr>
          <w:rFonts w:asciiTheme="minorHAnsi" w:hAnsiTheme="minorHAnsi" w:cstheme="minorHAnsi"/>
          <w:color w:val="383838"/>
        </w:rPr>
        <w:t xml:space="preserve">or DBP was </w:t>
      </w:r>
      <w:r w:rsidR="008426D2" w:rsidRPr="00000849">
        <w:rPr>
          <w:rFonts w:asciiTheme="minorHAnsi" w:hAnsiTheme="minorHAnsi" w:cstheme="minorHAnsi"/>
          <w:color w:val="383838"/>
        </w:rPr>
        <w:t>≥</w:t>
      </w:r>
      <w:r w:rsidR="008573D0" w:rsidRPr="00000849">
        <w:rPr>
          <w:rFonts w:asciiTheme="minorHAnsi" w:hAnsiTheme="minorHAnsi" w:cstheme="minorHAnsi"/>
          <w:color w:val="383838"/>
        </w:rPr>
        <w:t>110 mm Hg</w:t>
      </w:r>
      <w:r w:rsidR="008426D2" w:rsidRPr="00000849">
        <w:rPr>
          <w:rFonts w:asciiTheme="minorHAnsi" w:hAnsiTheme="minorHAnsi" w:cstheme="minorHAnsi"/>
          <w:color w:val="383838"/>
        </w:rPr>
        <w:t xml:space="preserve"> </w:t>
      </w:r>
      <w:r w:rsidR="00701B91" w:rsidRPr="00000849">
        <w:rPr>
          <w:rFonts w:asciiTheme="minorHAnsi" w:hAnsiTheme="minorHAnsi" w:cstheme="minorHAnsi"/>
          <w:color w:val="383838"/>
        </w:rPr>
        <w:fldChar w:fldCharType="begin"/>
      </w:r>
      <w:r w:rsidR="00F17737" w:rsidRPr="00000849">
        <w:rPr>
          <w:rFonts w:asciiTheme="minorHAnsi" w:hAnsiTheme="minorHAnsi" w:cstheme="minorHAnsi"/>
          <w:color w:val="383838"/>
        </w:rPr>
        <w:instrText xml:space="preserve"> ADDIN EN.CITE &lt;EndNote&gt;&lt;Cite&gt;&lt;Author&gt;Whitworth&lt;/Author&gt;&lt;Year&gt;2003&lt;/Year&gt;&lt;RecNum&gt;438&lt;/RecNum&gt;&lt;DisplayText&gt;(Whitworth, 2003)&lt;/DisplayText&gt;&lt;record&gt;&lt;rec-number&gt;438&lt;/rec-number&gt;&lt;foreign-keys&gt;&lt;key app="EN" db-id="9tzf2rda8re2a9es5tuxart3swzx2zws2s02" timestamp="1489467804"&gt;438&lt;/key&gt;&lt;/foreign-keys&gt;&lt;ref-type name="Journal Article"&gt;17&lt;/ref-type&gt;&lt;contributors&gt;&lt;authors&gt;&lt;author&gt;Whitworth, J. A.&lt;/author&gt;&lt;/authors&gt;&lt;/contributors&gt;&lt;auth-address&gt;John Curtin School of Medical Research, Australian National University, Canberra, Australia. judith.whitworth@anu.edu.au&lt;/auth-address&gt;&lt;titles&gt;&lt;title&gt;2003 World Health Organization (WHO)/International Society of Hypertension (ISH) statement on management of hypertension&lt;/title&gt;&lt;secondary-title&gt;J Hypertens&lt;/secondary-title&gt;&lt;alt-title&gt;Journal of hypertension&lt;/alt-title&gt;&lt;/titles&gt;&lt;periodical&gt;&lt;full-title&gt;Journal of Hypertension&lt;/full-title&gt;&lt;abbr-1&gt;J Hypertens&lt;/abbr-1&gt;&lt;/periodical&gt;&lt;pages&gt;1983-92&lt;/pages&gt;&lt;volume&gt;21&lt;/volume&gt;&lt;number&gt;11&lt;/number&gt;&lt;edition&gt;2003/11/05&lt;/edition&gt;&lt;keywords&gt;&lt;keyword&gt;Antihypertensive Agents/economics/therapeutic use&lt;/keyword&gt;&lt;keyword&gt;Cost-Benefit Analysis&lt;/keyword&gt;&lt;keyword&gt;Drug Costs&lt;/keyword&gt;&lt;keyword&gt;Humans&lt;/keyword&gt;&lt;keyword&gt;Hypertension/*therapy&lt;/keyword&gt;&lt;keyword&gt;Life Style&lt;/keyword&gt;&lt;keyword&gt;Risk Assessment&lt;/keyword&gt;&lt;/keywords&gt;&lt;dates&gt;&lt;year&gt;2003&lt;/year&gt;&lt;pub-dates&gt;&lt;date&gt;Nov&lt;/date&gt;&lt;/pub-dates&gt;&lt;/dates&gt;&lt;isbn&gt;0263-6352 (Print)&amp;#xD;0263-6352&lt;/isbn&gt;&lt;accession-num&gt;14597836&lt;/accession-num&gt;&lt;urls&gt;&lt;/urls&gt;&lt;electronic-resource-num&gt;10.1097/01.hjh.0000084751.37215.d2&lt;/electronic-resource-num&gt;&lt;remote-database-provider&gt;NLM&lt;/remote-database-provider&gt;&lt;language&gt;eng&lt;/language&gt;&lt;/record&gt;&lt;/Cite&gt;&lt;/EndNote&gt;</w:instrText>
      </w:r>
      <w:r w:rsidR="00701B91" w:rsidRPr="00000849">
        <w:rPr>
          <w:rFonts w:asciiTheme="minorHAnsi" w:hAnsiTheme="minorHAnsi" w:cstheme="minorHAnsi"/>
          <w:color w:val="383838"/>
        </w:rPr>
        <w:fldChar w:fldCharType="separate"/>
      </w:r>
      <w:r w:rsidR="00701B91" w:rsidRPr="00000849">
        <w:rPr>
          <w:rFonts w:asciiTheme="minorHAnsi" w:hAnsiTheme="minorHAnsi" w:cstheme="minorHAnsi"/>
          <w:noProof/>
          <w:color w:val="383838"/>
        </w:rPr>
        <w:t>(Whitworth, 2003)</w:t>
      </w:r>
      <w:r w:rsidR="00701B91" w:rsidRPr="00000849">
        <w:rPr>
          <w:rFonts w:asciiTheme="minorHAnsi" w:hAnsiTheme="minorHAnsi" w:cstheme="minorHAnsi"/>
          <w:color w:val="383838"/>
        </w:rPr>
        <w:fldChar w:fldCharType="end"/>
      </w:r>
      <w:r w:rsidR="008426D2" w:rsidRPr="00000849">
        <w:rPr>
          <w:rFonts w:asciiTheme="minorHAnsi" w:hAnsiTheme="minorHAnsi" w:cstheme="minorHAnsi"/>
          <w:color w:val="383838"/>
        </w:rPr>
        <w:t>.</w:t>
      </w:r>
      <w:r w:rsidR="00221411" w:rsidRPr="00000849">
        <w:rPr>
          <w:rFonts w:asciiTheme="minorHAnsi" w:hAnsiTheme="minorHAnsi" w:cstheme="minorHAnsi"/>
          <w:color w:val="383838"/>
        </w:rPr>
        <w:t xml:space="preserve">  </w:t>
      </w:r>
      <w:r w:rsidR="00E71CD5" w:rsidRPr="00000849">
        <w:rPr>
          <w:rFonts w:asciiTheme="minorHAnsi" w:hAnsiTheme="minorHAnsi" w:cstheme="minorHAnsi"/>
          <w:color w:val="383838"/>
        </w:rPr>
        <w:t>Studies show that higher</w:t>
      </w:r>
      <w:r w:rsidR="000054BF" w:rsidRPr="00000849">
        <w:rPr>
          <w:rFonts w:asciiTheme="minorHAnsi" w:hAnsiTheme="minorHAnsi" w:cstheme="minorHAnsi"/>
          <w:color w:val="383838"/>
        </w:rPr>
        <w:t xml:space="preserve"> grades of hypertension are</w:t>
      </w:r>
      <w:r w:rsidR="0079081D" w:rsidRPr="00000849">
        <w:rPr>
          <w:rFonts w:asciiTheme="minorHAnsi" w:hAnsiTheme="minorHAnsi" w:cstheme="minorHAnsi"/>
          <w:color w:val="383838"/>
        </w:rPr>
        <w:t xml:space="preserve"> associated with </w:t>
      </w:r>
      <w:r w:rsidR="000054BF" w:rsidRPr="00000849">
        <w:rPr>
          <w:rFonts w:asciiTheme="minorHAnsi" w:hAnsiTheme="minorHAnsi" w:cstheme="minorHAnsi"/>
          <w:color w:val="383838"/>
        </w:rPr>
        <w:t xml:space="preserve">greater risk of </w:t>
      </w:r>
      <w:r w:rsidR="003F08E0" w:rsidRPr="00000849">
        <w:rPr>
          <w:rFonts w:asciiTheme="minorHAnsi" w:hAnsiTheme="minorHAnsi" w:cstheme="minorHAnsi"/>
          <w:color w:val="383838"/>
        </w:rPr>
        <w:t xml:space="preserve">cardiovascular complications </w:t>
      </w:r>
      <w:r w:rsidR="0079081D" w:rsidRPr="00000849">
        <w:rPr>
          <w:rFonts w:asciiTheme="minorHAnsi" w:hAnsiTheme="minorHAnsi" w:cstheme="minorHAnsi"/>
          <w:color w:val="383838"/>
        </w:rPr>
        <w:fldChar w:fldCharType="begin">
          <w:fldData xml:space="preserve">PEVuZE5vdGU+PENpdGU+PEF1dGhvcj5BZGRvPC9BdXRob3I+PFllYXI+MjAwOTwvWWVhcj48UmVj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</w:fldData>
        </w:fldChar>
      </w:r>
      <w:r w:rsidR="0015206B" w:rsidRPr="00000849">
        <w:rPr>
          <w:rFonts w:asciiTheme="minorHAnsi" w:hAnsiTheme="minorHAnsi" w:cstheme="minorHAnsi"/>
          <w:color w:val="383838"/>
        </w:rPr>
        <w:instrText xml:space="preserve"> ADDIN EN.CITE </w:instrText>
      </w:r>
      <w:r w:rsidR="0015206B" w:rsidRPr="00000849">
        <w:rPr>
          <w:rFonts w:asciiTheme="minorHAnsi" w:hAnsiTheme="minorHAnsi" w:cstheme="minorHAnsi"/>
          <w:color w:val="383838"/>
        </w:rPr>
        <w:fldChar w:fldCharType="begin">
          <w:fldData xml:space="preserve">PEVuZE5vdGU+PENpdGU+PEF1dGhvcj5BZGRvPC9BdXRob3I+PFllYXI+MjAwOTwvWWVhcj48UmVj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</w:fldData>
        </w:fldChar>
      </w:r>
      <w:r w:rsidR="0015206B" w:rsidRPr="00000849">
        <w:rPr>
          <w:rFonts w:asciiTheme="minorHAnsi" w:hAnsiTheme="minorHAnsi" w:cstheme="minorHAnsi"/>
          <w:color w:val="383838"/>
        </w:rPr>
        <w:instrText xml:space="preserve"> ADDIN EN.CITE.DATA </w:instrText>
      </w:r>
      <w:r w:rsidR="0015206B" w:rsidRPr="00000849">
        <w:rPr>
          <w:rFonts w:asciiTheme="minorHAnsi" w:hAnsiTheme="minorHAnsi" w:cstheme="minorHAnsi"/>
          <w:color w:val="383838"/>
        </w:rPr>
      </w:r>
      <w:r w:rsidR="0015206B" w:rsidRPr="00000849">
        <w:rPr>
          <w:rFonts w:asciiTheme="minorHAnsi" w:hAnsiTheme="minorHAnsi" w:cstheme="minorHAnsi"/>
          <w:color w:val="383838"/>
        </w:rPr>
        <w:fldChar w:fldCharType="end"/>
      </w:r>
      <w:r w:rsidR="0079081D" w:rsidRPr="00000849">
        <w:rPr>
          <w:rFonts w:asciiTheme="minorHAnsi" w:hAnsiTheme="minorHAnsi" w:cstheme="minorHAnsi"/>
          <w:color w:val="383838"/>
        </w:rPr>
      </w:r>
      <w:r w:rsidR="0079081D" w:rsidRPr="00000849">
        <w:rPr>
          <w:rFonts w:asciiTheme="minorHAnsi" w:hAnsiTheme="minorHAnsi" w:cstheme="minorHAnsi"/>
          <w:color w:val="383838"/>
        </w:rPr>
        <w:fldChar w:fldCharType="separate"/>
      </w:r>
      <w:r w:rsidR="0015206B" w:rsidRPr="00000849">
        <w:rPr>
          <w:rFonts w:asciiTheme="minorHAnsi" w:hAnsiTheme="minorHAnsi" w:cstheme="minorHAnsi"/>
          <w:noProof/>
          <w:color w:val="383838"/>
        </w:rPr>
        <w:t>(Addo et al., 2009a; Nelissen et al., 2014)</w:t>
      </w:r>
      <w:r w:rsidR="0079081D" w:rsidRPr="00000849">
        <w:rPr>
          <w:rFonts w:asciiTheme="minorHAnsi" w:hAnsiTheme="minorHAnsi" w:cstheme="minorHAnsi"/>
          <w:color w:val="383838"/>
        </w:rPr>
        <w:fldChar w:fldCharType="end"/>
      </w:r>
      <w:r w:rsidR="0079081D" w:rsidRPr="00000849">
        <w:rPr>
          <w:rFonts w:asciiTheme="minorHAnsi" w:hAnsiTheme="minorHAnsi" w:cstheme="minorHAnsi"/>
          <w:color w:val="383838"/>
        </w:rPr>
        <w:t>.</w:t>
      </w:r>
    </w:p>
    <w:p w14:paraId="7214615B" w14:textId="7DF0A50B" w:rsidR="008573D0" w:rsidRPr="00000849" w:rsidRDefault="00701B91" w:rsidP="00701B9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prevalence of the different grades of hypertension was summarized for each study wave.  </w:t>
      </w:r>
      <w:r w:rsidR="00B4673F" w:rsidRPr="00000849">
        <w:rPr>
          <w:rFonts w:asciiTheme="minorHAnsi" w:hAnsiTheme="minorHAnsi" w:cstheme="minorHAnsi"/>
          <w:color w:val="383838"/>
        </w:rPr>
        <w:t xml:space="preserve">As with the binary model, the risk factors were assessed in a single level and multilevel ordinal logistic regression.  </w:t>
      </w:r>
      <w:r w:rsidRPr="00000849">
        <w:rPr>
          <w:rFonts w:asciiTheme="minorHAnsi" w:hAnsiTheme="minorHAnsi" w:cstheme="minorHAnsi"/>
          <w:color w:val="383838"/>
        </w:rPr>
        <w:t xml:space="preserve">The multilevel </w:t>
      </w:r>
      <w:r w:rsidR="006406F3" w:rsidRPr="00000849">
        <w:rPr>
          <w:rFonts w:asciiTheme="minorHAnsi" w:hAnsiTheme="minorHAnsi" w:cstheme="minorHAnsi"/>
          <w:color w:val="383838"/>
        </w:rPr>
        <w:t xml:space="preserve">regression model </w:t>
      </w:r>
      <w:r w:rsidRPr="00000849">
        <w:rPr>
          <w:rFonts w:asciiTheme="minorHAnsi" w:hAnsiTheme="minorHAnsi" w:cstheme="minorHAnsi"/>
          <w:color w:val="383838"/>
        </w:rPr>
        <w:t>considered household</w:t>
      </w:r>
      <w:r w:rsidR="00784244" w:rsidRPr="00000849">
        <w:rPr>
          <w:rFonts w:asciiTheme="minorHAnsi" w:hAnsiTheme="minorHAnsi" w:cstheme="minorHAnsi"/>
          <w:color w:val="383838"/>
        </w:rPr>
        <w:t>s</w:t>
      </w:r>
      <w:r w:rsidRPr="00000849">
        <w:rPr>
          <w:rFonts w:asciiTheme="minorHAnsi" w:hAnsiTheme="minorHAnsi" w:cstheme="minorHAnsi"/>
          <w:color w:val="383838"/>
        </w:rPr>
        <w:t xml:space="preserve"> as a </w:t>
      </w:r>
      <w:r w:rsidR="00927DC3" w:rsidRPr="00000849">
        <w:rPr>
          <w:rFonts w:asciiTheme="minorHAnsi" w:hAnsiTheme="minorHAnsi" w:cstheme="minorHAnsi"/>
          <w:color w:val="383838"/>
        </w:rPr>
        <w:t>higher-level</w:t>
      </w:r>
      <w:r w:rsidRPr="00000849">
        <w:rPr>
          <w:rFonts w:asciiTheme="minorHAnsi" w:hAnsiTheme="minorHAnsi" w:cstheme="minorHAnsi"/>
          <w:color w:val="383838"/>
        </w:rPr>
        <w:t xml:space="preserve"> outcome</w:t>
      </w:r>
      <w:r w:rsidR="006406F3" w:rsidRPr="00000849">
        <w:rPr>
          <w:rFonts w:asciiTheme="minorHAnsi" w:hAnsiTheme="minorHAnsi" w:cstheme="minorHAnsi"/>
          <w:color w:val="383838"/>
        </w:rPr>
        <w:t xml:space="preserve"> and the individuals as Level 1</w:t>
      </w:r>
      <w:r w:rsidRPr="00000849">
        <w:rPr>
          <w:rFonts w:asciiTheme="minorHAnsi" w:hAnsiTheme="minorHAnsi" w:cstheme="minorHAnsi"/>
          <w:color w:val="383838"/>
        </w:rPr>
        <w:t xml:space="preserve">.  </w:t>
      </w:r>
      <w:r w:rsidR="0015206B" w:rsidRPr="00000849">
        <w:rPr>
          <w:rFonts w:asciiTheme="minorHAnsi" w:hAnsiTheme="minorHAnsi" w:cstheme="minorHAnsi"/>
          <w:color w:val="383838"/>
        </w:rPr>
        <w:t>T</w:t>
      </w:r>
      <w:r w:rsidRPr="00000849">
        <w:rPr>
          <w:rFonts w:asciiTheme="minorHAnsi" w:hAnsiTheme="minorHAnsi" w:cstheme="minorHAnsi"/>
          <w:color w:val="383838"/>
        </w:rPr>
        <w:t xml:space="preserve">he covariates were the same in the binary </w:t>
      </w:r>
      <w:r w:rsidR="00B4673F" w:rsidRPr="00000849">
        <w:rPr>
          <w:rFonts w:asciiTheme="minorHAnsi" w:hAnsiTheme="minorHAnsi" w:cstheme="minorHAnsi"/>
          <w:color w:val="383838"/>
        </w:rPr>
        <w:t>and the ordinal</w:t>
      </w:r>
      <w:r w:rsidRPr="00000849">
        <w:rPr>
          <w:rFonts w:asciiTheme="minorHAnsi" w:hAnsiTheme="minorHAnsi" w:cstheme="minorHAnsi"/>
          <w:color w:val="383838"/>
        </w:rPr>
        <w:t xml:space="preserve"> regression models.</w:t>
      </w:r>
    </w:p>
    <w:p w14:paraId="539A91A3" w14:textId="1B05CF67" w:rsidR="00BF23BB" w:rsidRPr="00000849" w:rsidRDefault="00FF6D80" w:rsidP="00701B9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lastRenderedPageBreak/>
        <w:t xml:space="preserve">Based on the </w:t>
      </w:r>
      <w:r w:rsidR="005B68DF" w:rsidRPr="00000849">
        <w:rPr>
          <w:rFonts w:asciiTheme="minorHAnsi" w:hAnsiTheme="minorHAnsi" w:cstheme="minorHAnsi"/>
          <w:color w:val="383838"/>
        </w:rPr>
        <w:t>four</w:t>
      </w:r>
      <w:r w:rsidRPr="00000849">
        <w:rPr>
          <w:rFonts w:asciiTheme="minorHAnsi" w:hAnsiTheme="minorHAnsi" w:cstheme="minorHAnsi"/>
          <w:color w:val="383838"/>
        </w:rPr>
        <w:t xml:space="preserve"> outcome</w:t>
      </w:r>
      <w:r w:rsidR="005B68DF" w:rsidRPr="00000849">
        <w:rPr>
          <w:rFonts w:asciiTheme="minorHAnsi" w:hAnsiTheme="minorHAnsi" w:cstheme="minorHAnsi"/>
          <w:color w:val="383838"/>
        </w:rPr>
        <w:t xml:space="preserve"> categories, normal (N), mild (L), moderate (M) and </w:t>
      </w:r>
      <w:r w:rsidRPr="00000849">
        <w:rPr>
          <w:rFonts w:asciiTheme="minorHAnsi" w:hAnsiTheme="minorHAnsi" w:cstheme="minorHAnsi"/>
          <w:color w:val="383838"/>
        </w:rPr>
        <w:t xml:space="preserve">severe </w:t>
      </w:r>
      <w:r w:rsidR="005B68DF" w:rsidRPr="00000849">
        <w:rPr>
          <w:rFonts w:asciiTheme="minorHAnsi" w:hAnsiTheme="minorHAnsi" w:cstheme="minorHAnsi"/>
          <w:color w:val="383838"/>
        </w:rPr>
        <w:t>(S)</w:t>
      </w:r>
      <w:r w:rsidRPr="00000849">
        <w:rPr>
          <w:rFonts w:asciiTheme="minorHAnsi" w:hAnsiTheme="minorHAnsi" w:cstheme="minorHAnsi"/>
          <w:color w:val="383838"/>
        </w:rPr>
        <w:t xml:space="preserve"> hypertension</w:t>
      </w:r>
      <w:r w:rsidR="005B68DF" w:rsidRPr="00000849">
        <w:rPr>
          <w:rFonts w:asciiTheme="minorHAnsi" w:hAnsiTheme="minorHAnsi" w:cstheme="minorHAnsi"/>
          <w:color w:val="383838"/>
        </w:rPr>
        <w:t>, three cumulative logit regression models</w:t>
      </w:r>
      <w:r w:rsidRPr="00000849">
        <w:rPr>
          <w:rFonts w:asciiTheme="minorHAnsi" w:hAnsiTheme="minorHAnsi" w:cstheme="minorHAnsi"/>
          <w:color w:val="383838"/>
        </w:rPr>
        <w:t xml:space="preserve"> with the same predictor(s)</w:t>
      </w:r>
      <w:r w:rsidR="005B68DF" w:rsidRPr="00000849">
        <w:rPr>
          <w:rFonts w:asciiTheme="minorHAnsi" w:hAnsiTheme="minorHAnsi" w:cstheme="minorHAnsi"/>
          <w:color w:val="383838"/>
        </w:rPr>
        <w:t xml:space="preserve"> can be </w:t>
      </w:r>
      <w:r w:rsidRPr="00000849">
        <w:rPr>
          <w:rFonts w:asciiTheme="minorHAnsi" w:hAnsiTheme="minorHAnsi" w:cstheme="minorHAnsi"/>
          <w:color w:val="383838"/>
        </w:rPr>
        <w:t>derived from the ordinal logistic mode</w:t>
      </w:r>
      <w:r w:rsidR="006F11AC" w:rsidRPr="00000849">
        <w:rPr>
          <w:rFonts w:asciiTheme="minorHAnsi" w:hAnsiTheme="minorHAnsi" w:cstheme="minorHAnsi"/>
          <w:color w:val="383838"/>
        </w:rPr>
        <w:t>l</w:t>
      </w:r>
      <w:r w:rsidRPr="00000849">
        <w:rPr>
          <w:rFonts w:asciiTheme="minorHAnsi" w:hAnsiTheme="minorHAnsi" w:cstheme="minorHAnsi"/>
          <w:color w:val="383838"/>
        </w:rPr>
        <w:t xml:space="preserve">.  In each component model, </w:t>
      </w:r>
      <w:r w:rsidR="00BD016C" w:rsidRPr="00000849">
        <w:rPr>
          <w:rFonts w:asciiTheme="minorHAnsi" w:hAnsiTheme="minorHAnsi" w:cstheme="minorHAnsi"/>
          <w:color w:val="383838"/>
        </w:rPr>
        <w:t xml:space="preserve">one </w:t>
      </w:r>
      <w:r w:rsidRPr="00000849">
        <w:rPr>
          <w:rFonts w:asciiTheme="minorHAnsi" w:hAnsiTheme="minorHAnsi" w:cstheme="minorHAnsi"/>
          <w:color w:val="383838"/>
        </w:rPr>
        <w:t xml:space="preserve">category </w:t>
      </w:r>
      <w:r w:rsidR="00D1589B" w:rsidRPr="00000849">
        <w:rPr>
          <w:rFonts w:asciiTheme="minorHAnsi" w:hAnsiTheme="minorHAnsi" w:cstheme="minorHAnsi"/>
          <w:color w:val="383838"/>
        </w:rPr>
        <w:t xml:space="preserve">or more </w:t>
      </w:r>
      <w:r w:rsidRPr="00000849">
        <w:rPr>
          <w:rFonts w:asciiTheme="minorHAnsi" w:hAnsiTheme="minorHAnsi" w:cstheme="minorHAnsi"/>
          <w:color w:val="383838"/>
        </w:rPr>
        <w:t xml:space="preserve">serves </w:t>
      </w:r>
      <w:r w:rsidR="00BD016C" w:rsidRPr="00000849">
        <w:rPr>
          <w:rFonts w:asciiTheme="minorHAnsi" w:hAnsiTheme="minorHAnsi" w:cstheme="minorHAnsi"/>
          <w:color w:val="383838"/>
        </w:rPr>
        <w:t>as a referent value</w:t>
      </w:r>
      <w:r w:rsidR="00D1589B"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(coded 0) </w:t>
      </w:r>
      <w:r w:rsidR="00D1589B" w:rsidRPr="00000849">
        <w:rPr>
          <w:rFonts w:asciiTheme="minorHAnsi" w:hAnsiTheme="minorHAnsi" w:cstheme="minorHAnsi"/>
          <w:color w:val="383838"/>
        </w:rPr>
        <w:t>and the adjacent higher category or categories as the comparison</w:t>
      </w:r>
      <w:r w:rsidRPr="00000849">
        <w:rPr>
          <w:rFonts w:asciiTheme="minorHAnsi" w:hAnsiTheme="minorHAnsi" w:cstheme="minorHAnsi"/>
          <w:color w:val="383838"/>
        </w:rPr>
        <w:t xml:space="preserve"> category (coded 1) – that is,</w:t>
      </w:r>
      <w:r w:rsidR="00BD016C" w:rsidRPr="00000849">
        <w:rPr>
          <w:rFonts w:asciiTheme="minorHAnsi" w:hAnsiTheme="minorHAnsi" w:cstheme="minorHAnsi"/>
          <w:color w:val="383838"/>
        </w:rPr>
        <w:t xml:space="preserve"> N versus L, M, S; N</w:t>
      </w:r>
      <w:r w:rsidRPr="00000849">
        <w:rPr>
          <w:rFonts w:asciiTheme="minorHAnsi" w:hAnsiTheme="minorHAnsi" w:cstheme="minorHAnsi"/>
          <w:color w:val="383838"/>
        </w:rPr>
        <w:t>,</w:t>
      </w:r>
      <w:r w:rsidR="00BD016C" w:rsidRPr="00000849">
        <w:rPr>
          <w:rFonts w:asciiTheme="minorHAnsi" w:hAnsiTheme="minorHAnsi" w:cstheme="minorHAnsi"/>
          <w:color w:val="383838"/>
        </w:rPr>
        <w:t xml:space="preserve"> L versus M</w:t>
      </w:r>
      <w:r w:rsidRPr="00000849">
        <w:rPr>
          <w:rFonts w:asciiTheme="minorHAnsi" w:hAnsiTheme="minorHAnsi" w:cstheme="minorHAnsi"/>
          <w:color w:val="383838"/>
        </w:rPr>
        <w:t>,</w:t>
      </w:r>
      <w:r w:rsidR="00BD016C" w:rsidRPr="00000849">
        <w:rPr>
          <w:rFonts w:asciiTheme="minorHAnsi" w:hAnsiTheme="minorHAnsi" w:cstheme="minorHAnsi"/>
          <w:color w:val="383838"/>
        </w:rPr>
        <w:t xml:space="preserve"> S; and N, L, M versus S.  </w:t>
      </w:r>
      <w:r w:rsidR="00D1589B" w:rsidRPr="00000849">
        <w:rPr>
          <w:rFonts w:asciiTheme="minorHAnsi" w:hAnsiTheme="minorHAnsi" w:cstheme="minorHAnsi"/>
          <w:color w:val="383838"/>
        </w:rPr>
        <w:t>Under the proportional odds assumption</w:t>
      </w:r>
      <w:r w:rsidR="00DE339A" w:rsidRPr="00000849">
        <w:rPr>
          <w:rFonts w:asciiTheme="minorHAnsi" w:hAnsiTheme="minorHAnsi" w:cstheme="minorHAnsi"/>
          <w:color w:val="383838"/>
        </w:rPr>
        <w:t xml:space="preserve"> in ordinal logistic regression</w:t>
      </w:r>
      <w:r w:rsidR="00D1589B" w:rsidRPr="00000849">
        <w:rPr>
          <w:rFonts w:asciiTheme="minorHAnsi" w:hAnsiTheme="minorHAnsi" w:cstheme="minorHAnsi"/>
          <w:color w:val="383838"/>
        </w:rPr>
        <w:t>, the beta coefficient</w:t>
      </w:r>
      <w:r w:rsidR="00DE339A" w:rsidRPr="00000849">
        <w:rPr>
          <w:rFonts w:asciiTheme="minorHAnsi" w:hAnsiTheme="minorHAnsi" w:cstheme="minorHAnsi"/>
          <w:color w:val="383838"/>
        </w:rPr>
        <w:t>s</w:t>
      </w:r>
      <w:r w:rsidR="00D1589B" w:rsidRPr="00000849">
        <w:rPr>
          <w:rFonts w:asciiTheme="minorHAnsi" w:hAnsiTheme="minorHAnsi" w:cstheme="minorHAnsi"/>
          <w:color w:val="383838"/>
        </w:rPr>
        <w:t xml:space="preserve"> of </w:t>
      </w:r>
      <w:r w:rsidR="00DE339A" w:rsidRPr="00000849">
        <w:rPr>
          <w:rFonts w:asciiTheme="minorHAnsi" w:hAnsiTheme="minorHAnsi" w:cstheme="minorHAnsi"/>
          <w:color w:val="383838"/>
        </w:rPr>
        <w:t>these three</w:t>
      </w:r>
      <w:r w:rsidR="00D1589B" w:rsidRPr="00000849">
        <w:rPr>
          <w:rFonts w:asciiTheme="minorHAnsi" w:hAnsiTheme="minorHAnsi" w:cstheme="minorHAnsi"/>
          <w:color w:val="383838"/>
        </w:rPr>
        <w:t xml:space="preserve"> cumulative </w:t>
      </w:r>
      <w:r w:rsidR="00DE339A" w:rsidRPr="00000849">
        <w:rPr>
          <w:rFonts w:asciiTheme="minorHAnsi" w:hAnsiTheme="minorHAnsi" w:cstheme="minorHAnsi"/>
          <w:color w:val="383838"/>
        </w:rPr>
        <w:t xml:space="preserve">logit </w:t>
      </w:r>
      <w:r w:rsidR="00D1589B" w:rsidRPr="00000849">
        <w:rPr>
          <w:rFonts w:asciiTheme="minorHAnsi" w:hAnsiTheme="minorHAnsi" w:cstheme="minorHAnsi"/>
          <w:color w:val="383838"/>
        </w:rPr>
        <w:t>model</w:t>
      </w:r>
      <w:r w:rsidR="00DE339A" w:rsidRPr="00000849">
        <w:rPr>
          <w:rFonts w:asciiTheme="minorHAnsi" w:hAnsiTheme="minorHAnsi" w:cstheme="minorHAnsi"/>
          <w:color w:val="383838"/>
        </w:rPr>
        <w:t>s</w:t>
      </w:r>
      <w:r w:rsidR="00D1589B" w:rsidRPr="00000849">
        <w:rPr>
          <w:rFonts w:asciiTheme="minorHAnsi" w:hAnsiTheme="minorHAnsi" w:cstheme="minorHAnsi"/>
          <w:color w:val="383838"/>
        </w:rPr>
        <w:t xml:space="preserve"> </w:t>
      </w:r>
      <w:r w:rsidR="00DE339A" w:rsidRPr="00000849">
        <w:rPr>
          <w:rFonts w:asciiTheme="minorHAnsi" w:hAnsiTheme="minorHAnsi" w:cstheme="minorHAnsi"/>
          <w:color w:val="383838"/>
        </w:rPr>
        <w:t>are the same, although the</w:t>
      </w:r>
      <w:r w:rsidR="00BF23BB" w:rsidRPr="00000849">
        <w:rPr>
          <w:rFonts w:asciiTheme="minorHAnsi" w:hAnsiTheme="minorHAnsi" w:cstheme="minorHAnsi"/>
          <w:color w:val="383838"/>
        </w:rPr>
        <w:t>y</w:t>
      </w:r>
      <w:r w:rsidR="00DE339A" w:rsidRPr="00000849">
        <w:rPr>
          <w:rFonts w:asciiTheme="minorHAnsi" w:hAnsiTheme="minorHAnsi" w:cstheme="minorHAnsi"/>
          <w:color w:val="383838"/>
        </w:rPr>
        <w:t xml:space="preserve"> may differ in their intercepts.  Thus, </w:t>
      </w:r>
      <w:r w:rsidRPr="00000849">
        <w:rPr>
          <w:rFonts w:asciiTheme="minorHAnsi" w:hAnsiTheme="minorHAnsi" w:cstheme="minorHAnsi"/>
          <w:color w:val="383838"/>
        </w:rPr>
        <w:t>applied to the current study, this assumption asserts that</w:t>
      </w:r>
      <w:r w:rsidR="00BF23BB" w:rsidRPr="00000849">
        <w:rPr>
          <w:rFonts w:asciiTheme="minorHAnsi" w:hAnsiTheme="minorHAnsi" w:cstheme="minorHAnsi"/>
          <w:color w:val="383838"/>
        </w:rPr>
        <w:t xml:space="preserve"> the relationship of predictors to the odds of a</w:t>
      </w:r>
      <w:r w:rsidRPr="00000849">
        <w:rPr>
          <w:rFonts w:asciiTheme="minorHAnsi" w:hAnsiTheme="minorHAnsi" w:cstheme="minorHAnsi"/>
          <w:color w:val="383838"/>
        </w:rPr>
        <w:t xml:space="preserve"> subject</w:t>
      </w:r>
      <w:r w:rsidR="00BF23BB" w:rsidRPr="00000849">
        <w:rPr>
          <w:rFonts w:asciiTheme="minorHAnsi" w:hAnsiTheme="minorHAnsi" w:cstheme="minorHAnsi"/>
          <w:color w:val="383838"/>
        </w:rPr>
        <w:t xml:space="preserve"> being in the next higher order category</w:t>
      </w:r>
      <w:r w:rsidRPr="00000849">
        <w:rPr>
          <w:rFonts w:asciiTheme="minorHAnsi" w:hAnsiTheme="minorHAnsi" w:cstheme="minorHAnsi"/>
          <w:color w:val="383838"/>
        </w:rPr>
        <w:t xml:space="preserve"> of hypertension</w:t>
      </w:r>
      <w:r w:rsidR="00BF23BB" w:rsidRPr="00000849">
        <w:rPr>
          <w:rFonts w:asciiTheme="minorHAnsi" w:hAnsiTheme="minorHAnsi" w:cstheme="minorHAnsi"/>
          <w:color w:val="383838"/>
        </w:rPr>
        <w:t xml:space="preserve"> is the same regardless of categories </w:t>
      </w:r>
      <w:r w:rsidRPr="00000849">
        <w:rPr>
          <w:rFonts w:asciiTheme="minorHAnsi" w:hAnsiTheme="minorHAnsi" w:cstheme="minorHAnsi"/>
          <w:color w:val="383838"/>
        </w:rPr>
        <w:t>of hypertension being</w:t>
      </w:r>
      <w:r w:rsidR="00BF23BB" w:rsidRPr="00000849">
        <w:rPr>
          <w:rFonts w:asciiTheme="minorHAnsi" w:hAnsiTheme="minorHAnsi" w:cstheme="minorHAnsi"/>
          <w:color w:val="383838"/>
        </w:rPr>
        <w:t xml:space="preserve"> compar</w:t>
      </w:r>
      <w:r w:rsidRPr="00000849">
        <w:rPr>
          <w:rFonts w:asciiTheme="minorHAnsi" w:hAnsiTheme="minorHAnsi" w:cstheme="minorHAnsi"/>
          <w:color w:val="383838"/>
        </w:rPr>
        <w:t>ed</w:t>
      </w:r>
      <w:r w:rsidR="00BF23BB" w:rsidRPr="00000849">
        <w:rPr>
          <w:rFonts w:asciiTheme="minorHAnsi" w:hAnsiTheme="minorHAnsi" w:cstheme="minorHAnsi"/>
          <w:color w:val="383838"/>
        </w:rPr>
        <w:t>.</w:t>
      </w:r>
    </w:p>
    <w:p w14:paraId="642E67CF" w14:textId="596B0488" w:rsidR="00D02693" w:rsidRPr="00000849" w:rsidRDefault="00DE339A" w:rsidP="00701B9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The ordinal logistic regression is represented as:</w:t>
      </w:r>
    </w:p>
    <w:p w14:paraId="4480460A" w14:textId="2736946E" w:rsidR="00D02693" w:rsidRPr="00000849" w:rsidRDefault="00F1750A" w:rsidP="00701B9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noProof/>
          <w:position w:val="-30"/>
        </w:rPr>
        <w:object w:dxaOrig="5860" w:dyaOrig="720" w14:anchorId="7B249796">
          <v:shape id="_x0000_i1035" type="#_x0000_t75" alt="" style="width:293.5pt;height:36.75pt;mso-width-percent:0;mso-height-percent:0;mso-width-percent:0;mso-height-percent:0" o:ole="">
            <v:imagedata r:id="rId43" o:title=""/>
          </v:shape>
          <o:OLEObject Type="Embed" ProgID="Equation.DSMT4" ShapeID="_x0000_i1035" DrawAspect="Content" ObjectID="_1682449264" r:id="rId44"/>
        </w:object>
      </w:r>
      <w:r w:rsidR="004A7426" w:rsidRPr="00000849">
        <w:rPr>
          <w:noProof/>
        </w:rPr>
        <w:tab/>
        <w:t xml:space="preserve">          </w:t>
      </w:r>
      <w:r w:rsidR="004A7426" w:rsidRPr="00000849">
        <w:rPr>
          <w:rFonts w:asciiTheme="minorHAnsi" w:hAnsiTheme="minorHAnsi" w:cstheme="minorHAnsi"/>
          <w:noProof/>
        </w:rPr>
        <w:tab/>
        <w:t>(4.</w:t>
      </w:r>
      <w:r w:rsidR="00D961E9" w:rsidRPr="00000849">
        <w:rPr>
          <w:rFonts w:asciiTheme="minorHAnsi" w:hAnsiTheme="minorHAnsi" w:cstheme="minorHAnsi"/>
          <w:noProof/>
        </w:rPr>
        <w:t>12</w:t>
      </w:r>
      <w:r w:rsidR="004A7426" w:rsidRPr="00000849">
        <w:rPr>
          <w:rFonts w:asciiTheme="minorHAnsi" w:hAnsiTheme="minorHAnsi" w:cstheme="minorHAnsi"/>
          <w:noProof/>
        </w:rPr>
        <w:t>)</w:t>
      </w:r>
    </w:p>
    <w:p w14:paraId="492F24C3" w14:textId="471AF6BD" w:rsidR="00D02693" w:rsidRPr="00000849" w:rsidRDefault="00E54CA4" w:rsidP="00701B9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W</w:t>
      </w:r>
      <w:r w:rsidR="00FF6D80" w:rsidRPr="00000849">
        <w:rPr>
          <w:rFonts w:asciiTheme="minorHAnsi" w:hAnsiTheme="minorHAnsi" w:cstheme="minorHAnsi"/>
          <w:color w:val="383838"/>
        </w:rPr>
        <w:t>here</w:t>
      </w:r>
      <w:r w:rsidRPr="00000849">
        <w:rPr>
          <w:rFonts w:asciiTheme="minorHAnsi" w:hAnsiTheme="minorHAnsi" w:cstheme="minorHAnsi"/>
          <w:color w:val="383838"/>
        </w:rPr>
        <w:t>:</w:t>
      </w:r>
    </w:p>
    <w:p w14:paraId="49CF9484" w14:textId="5A7BA905" w:rsidR="00923B4A" w:rsidRPr="00000849" w:rsidRDefault="00E54CA4" w:rsidP="00DE339A">
      <w:pPr>
        <w:pStyle w:val="NormalWeb"/>
        <w:shd w:val="clear" w:color="auto" w:fill="FFFFFF"/>
        <w:spacing w:before="0" w:beforeAutospacing="0" w:after="165" w:afterAutospacing="0" w:line="480" w:lineRule="auto"/>
        <w:ind w:firstLine="567"/>
        <w:jc w:val="both"/>
        <w:rPr>
          <w:rFonts w:asciiTheme="minorHAnsi" w:hAnsiTheme="minorHAnsi" w:cstheme="minorHAnsi"/>
          <w:lang w:val="en-US"/>
        </w:rPr>
      </w:pPr>
      <w:r w:rsidRPr="00000849">
        <w:rPr>
          <w:rFonts w:asciiTheme="minorHAnsi" w:hAnsiTheme="minorHAnsi" w:cstheme="minorHAnsi"/>
          <w:color w:val="383838"/>
        </w:rPr>
        <w:t>The response is</w:t>
      </w:r>
      <w:r w:rsidR="00923B4A" w:rsidRPr="00000849">
        <w:rPr>
          <w:rFonts w:asciiTheme="minorHAnsi" w:hAnsiTheme="minorHAnsi" w:cstheme="minorHAnsi"/>
          <w:color w:val="383838"/>
        </w:rPr>
        <w:t xml:space="preserve"> the log odds of the probability</w:t>
      </w:r>
      <w:r w:rsidRPr="00000849">
        <w:rPr>
          <w:rFonts w:asciiTheme="minorHAnsi" w:hAnsiTheme="minorHAnsi" w:cstheme="minorHAnsi"/>
          <w:color w:val="383838"/>
        </w:rPr>
        <w:t xml:space="preserve"> </w:t>
      </w:r>
      <w:r w:rsidRPr="00000849">
        <w:rPr>
          <w:rFonts w:asciiTheme="minorHAnsi" w:hAnsiTheme="minorHAnsi" w:cstheme="minorHAnsi"/>
          <w:lang w:val="en-US"/>
        </w:rPr>
        <w:t xml:space="preserve">of being in or below category </w:t>
      </w:r>
      <w:r w:rsidRPr="00000849">
        <w:rPr>
          <w:rFonts w:asciiTheme="minorHAnsi" w:hAnsiTheme="minorHAnsi" w:cstheme="minorHAnsi"/>
          <w:i/>
          <w:iCs/>
          <w:lang w:val="en-US"/>
        </w:rPr>
        <w:t>j</w:t>
      </w:r>
    </w:p>
    <w:p w14:paraId="1CA599D5" w14:textId="565A6958" w:rsidR="00E54CA4" w:rsidRPr="00000849" w:rsidRDefault="00E54CA4" w:rsidP="00DE339A">
      <w:pPr>
        <w:pStyle w:val="NormalWeb"/>
        <w:shd w:val="clear" w:color="auto" w:fill="FFFFFF"/>
        <w:spacing w:before="0" w:beforeAutospacing="0" w:after="165" w:afterAutospacing="0" w:line="480" w:lineRule="auto"/>
        <w:ind w:firstLine="567"/>
        <w:jc w:val="both"/>
        <w:rPr>
          <w:rFonts w:asciiTheme="minorHAnsi" w:hAnsiTheme="minorHAnsi" w:cstheme="minorHAnsi"/>
          <w:lang w:val="en-US"/>
        </w:rPr>
      </w:pPr>
      <w:r w:rsidRPr="00000849">
        <w:rPr>
          <w:rFonts w:ascii="Symbol" w:hAnsi="Symbol" w:cstheme="minorHAnsi"/>
        </w:rPr>
        <w:t></w:t>
      </w:r>
      <w:r w:rsidRPr="00000849">
        <w:rPr>
          <w:rFonts w:asciiTheme="minorHAnsi" w:hAnsiTheme="minorHAnsi" w:cstheme="minorHAnsi"/>
          <w:vertAlign w:val="subscript"/>
        </w:rPr>
        <w:t>0j</w:t>
      </w:r>
      <w:r w:rsidRPr="00000849">
        <w:rPr>
          <w:rFonts w:asciiTheme="minorHAnsi" w:hAnsiTheme="minorHAnsi" w:cstheme="minorHAnsi"/>
        </w:rPr>
        <w:t xml:space="preserve"> =</w:t>
      </w:r>
      <w:r w:rsidRPr="00000849">
        <w:rPr>
          <w:rFonts w:asciiTheme="minorHAnsi" w:hAnsiTheme="minorHAnsi" w:cstheme="minorHAnsi"/>
          <w:lang w:val="en-US"/>
        </w:rPr>
        <w:t xml:space="preserve"> log-odds of being in or below category </w:t>
      </w:r>
      <w:r w:rsidRPr="00000849">
        <w:rPr>
          <w:rFonts w:asciiTheme="minorHAnsi" w:hAnsiTheme="minorHAnsi" w:cstheme="minorHAnsi"/>
          <w:i/>
          <w:iCs/>
          <w:lang w:val="en-US"/>
        </w:rPr>
        <w:t>j</w:t>
      </w:r>
      <w:r w:rsidRPr="00000849">
        <w:rPr>
          <w:rFonts w:asciiTheme="minorHAnsi" w:hAnsiTheme="minorHAnsi" w:cstheme="minorHAnsi"/>
          <w:lang w:val="en-US"/>
        </w:rPr>
        <w:t xml:space="preserve"> when </w:t>
      </w:r>
      <w:r w:rsidRPr="00000849">
        <w:rPr>
          <w:rFonts w:asciiTheme="minorHAnsi" w:hAnsiTheme="minorHAnsi" w:cstheme="minorHAnsi"/>
          <w:i/>
          <w:iCs/>
          <w:lang w:val="en-US"/>
        </w:rPr>
        <w:t>x</w:t>
      </w:r>
      <w:r w:rsidRPr="00000849">
        <w:rPr>
          <w:rFonts w:asciiTheme="minorHAnsi" w:hAnsiTheme="minorHAnsi" w:cstheme="minorHAnsi"/>
          <w:vertAlign w:val="subscript"/>
          <w:lang w:val="en-US"/>
        </w:rPr>
        <w:t>1</w:t>
      </w:r>
      <w:r w:rsidRPr="00000849">
        <w:rPr>
          <w:rFonts w:asciiTheme="minorHAnsi" w:hAnsiTheme="minorHAnsi" w:cstheme="minorHAnsi"/>
          <w:lang w:val="en-US"/>
        </w:rPr>
        <w:t xml:space="preserve"> = </w:t>
      </w:r>
      <w:r w:rsidRPr="00000849">
        <w:rPr>
          <w:rFonts w:asciiTheme="minorHAnsi" w:hAnsiTheme="minorHAnsi" w:cstheme="minorHAnsi"/>
          <w:i/>
          <w:iCs/>
          <w:lang w:val="en-US"/>
        </w:rPr>
        <w:t>x</w:t>
      </w:r>
      <w:r w:rsidRPr="00000849">
        <w:rPr>
          <w:rFonts w:asciiTheme="minorHAnsi" w:hAnsiTheme="minorHAnsi" w:cstheme="minorHAnsi"/>
          <w:vertAlign w:val="subscript"/>
          <w:lang w:val="en-US"/>
        </w:rPr>
        <w:t>p</w:t>
      </w:r>
      <w:r w:rsidRPr="00000849">
        <w:rPr>
          <w:rFonts w:asciiTheme="minorHAnsi" w:hAnsiTheme="minorHAnsi" w:cstheme="minorHAnsi"/>
          <w:lang w:val="en-US"/>
        </w:rPr>
        <w:t xml:space="preserve"> = · · · = 0</w:t>
      </w:r>
    </w:p>
    <w:p w14:paraId="6BA44D4E" w14:textId="77777777" w:rsidR="008563FF" w:rsidRPr="00000849" w:rsidRDefault="00E54CA4" w:rsidP="00DE339A">
      <w:pPr>
        <w:pStyle w:val="NormalWeb"/>
        <w:shd w:val="clear" w:color="auto" w:fill="FFFFFF"/>
        <w:spacing w:before="0" w:beforeAutospacing="0" w:after="165" w:afterAutospacing="0" w:line="480" w:lineRule="auto"/>
        <w:ind w:firstLine="567"/>
        <w:jc w:val="both"/>
        <w:rPr>
          <w:rFonts w:asciiTheme="minorHAnsi" w:hAnsiTheme="minorHAnsi" w:cstheme="minorHAnsi"/>
          <w:lang w:val="en-US"/>
        </w:rPr>
      </w:pPr>
      <w:r w:rsidRPr="00000849">
        <w:rPr>
          <w:rFonts w:ascii="Symbol" w:hAnsi="Symbol" w:cstheme="minorHAnsi"/>
        </w:rPr>
        <w:t></w:t>
      </w:r>
      <w:r w:rsidRPr="00000849">
        <w:rPr>
          <w:rFonts w:asciiTheme="minorHAnsi" w:hAnsiTheme="minorHAnsi" w:cstheme="minorHAnsi"/>
          <w:vertAlign w:val="subscript"/>
        </w:rPr>
        <w:t>j1</w:t>
      </w:r>
      <w:r w:rsidRPr="00000849">
        <w:rPr>
          <w:rFonts w:asciiTheme="minorHAnsi" w:hAnsiTheme="minorHAnsi" w:cstheme="minorHAnsi"/>
          <w:color w:val="383838"/>
        </w:rPr>
        <w:t xml:space="preserve"> = </w:t>
      </w:r>
      <w:r w:rsidRPr="00000849">
        <w:rPr>
          <w:rFonts w:asciiTheme="minorHAnsi" w:hAnsiTheme="minorHAnsi" w:cstheme="minorHAnsi"/>
          <w:lang w:val="en-US"/>
        </w:rPr>
        <w:t xml:space="preserve">increase in log-odds of being in or below any category associated with a </w:t>
      </w:r>
    </w:p>
    <w:p w14:paraId="613E0303" w14:textId="77777777" w:rsidR="008563FF" w:rsidRPr="00000849" w:rsidRDefault="00E54CA4" w:rsidP="00DE339A">
      <w:pPr>
        <w:pStyle w:val="NormalWeb"/>
        <w:shd w:val="clear" w:color="auto" w:fill="FFFFFF"/>
        <w:spacing w:before="0" w:beforeAutospacing="0" w:after="165" w:afterAutospacing="0" w:line="480" w:lineRule="auto"/>
        <w:ind w:firstLine="567"/>
        <w:jc w:val="both"/>
        <w:rPr>
          <w:rFonts w:asciiTheme="minorHAnsi" w:hAnsiTheme="minorHAnsi" w:cstheme="minorHAnsi"/>
          <w:lang w:val="en-US"/>
        </w:rPr>
      </w:pPr>
      <w:r w:rsidRPr="00000849">
        <w:rPr>
          <w:rFonts w:asciiTheme="minorHAnsi" w:hAnsiTheme="minorHAnsi" w:cstheme="minorHAnsi"/>
          <w:lang w:val="en-US"/>
        </w:rPr>
        <w:t xml:space="preserve">one-unit increase in </w:t>
      </w:r>
      <w:r w:rsidRPr="00000849">
        <w:rPr>
          <w:rFonts w:asciiTheme="minorHAnsi" w:hAnsiTheme="minorHAnsi" w:cstheme="minorHAnsi"/>
          <w:i/>
          <w:iCs/>
          <w:lang w:val="en-US"/>
        </w:rPr>
        <w:t>X</w:t>
      </w:r>
      <w:r w:rsidRPr="00000849">
        <w:rPr>
          <w:rFonts w:asciiTheme="minorHAnsi" w:hAnsiTheme="minorHAnsi" w:cstheme="minorHAnsi"/>
          <w:i/>
          <w:iCs/>
          <w:vertAlign w:val="subscript"/>
          <w:lang w:val="en-US"/>
        </w:rPr>
        <w:t>1</w:t>
      </w:r>
      <w:r w:rsidRPr="00000849">
        <w:rPr>
          <w:rFonts w:asciiTheme="minorHAnsi" w:hAnsiTheme="minorHAnsi" w:cstheme="minorHAnsi"/>
          <w:lang w:val="en-US"/>
        </w:rPr>
        <w:t xml:space="preserve">, holding all the other </w:t>
      </w:r>
      <w:r w:rsidRPr="00000849">
        <w:rPr>
          <w:rFonts w:asciiTheme="minorHAnsi" w:hAnsiTheme="minorHAnsi" w:cstheme="minorHAnsi"/>
          <w:i/>
          <w:iCs/>
          <w:lang w:val="en-US"/>
        </w:rPr>
        <w:t>predictors</w:t>
      </w:r>
      <w:r w:rsidRPr="00000849">
        <w:rPr>
          <w:rFonts w:asciiTheme="minorHAnsi" w:hAnsiTheme="minorHAnsi" w:cstheme="minorHAnsi"/>
          <w:lang w:val="en-US"/>
        </w:rPr>
        <w:t xml:space="preserve"> constant.  Under the </w:t>
      </w:r>
    </w:p>
    <w:p w14:paraId="4B75E21E" w14:textId="77777777" w:rsidR="008563FF" w:rsidRPr="00000849" w:rsidRDefault="00E54CA4" w:rsidP="00DE339A">
      <w:pPr>
        <w:pStyle w:val="NormalWeb"/>
        <w:shd w:val="clear" w:color="auto" w:fill="FFFFFF"/>
        <w:spacing w:before="0" w:beforeAutospacing="0" w:after="165" w:afterAutospacing="0" w:line="480" w:lineRule="auto"/>
        <w:ind w:firstLine="567"/>
        <w:jc w:val="both"/>
        <w:rPr>
          <w:rFonts w:asciiTheme="minorHAnsi" w:hAnsiTheme="minorHAnsi" w:cstheme="minorHAnsi"/>
          <w:lang w:val="en-US"/>
        </w:rPr>
      </w:pPr>
      <w:r w:rsidRPr="00000849">
        <w:rPr>
          <w:rFonts w:asciiTheme="minorHAnsi" w:hAnsiTheme="minorHAnsi" w:cstheme="minorHAnsi"/>
          <w:lang w:val="en-US"/>
        </w:rPr>
        <w:t xml:space="preserve">proportional odds assumption, this slope is constant across categories and so </w:t>
      </w:r>
    </w:p>
    <w:p w14:paraId="02359A33" w14:textId="5FBF14DC" w:rsidR="00E54CA4" w:rsidRPr="00000849" w:rsidRDefault="00E54CA4" w:rsidP="00DE339A">
      <w:pPr>
        <w:pStyle w:val="NormalWeb"/>
        <w:shd w:val="clear" w:color="auto" w:fill="FFFFFF"/>
        <w:spacing w:before="0" w:beforeAutospacing="0" w:after="165" w:afterAutospacing="0" w:line="480" w:lineRule="auto"/>
        <w:ind w:firstLine="567"/>
        <w:jc w:val="both"/>
        <w:rPr>
          <w:rFonts w:asciiTheme="minorHAnsi" w:hAnsiTheme="minorHAnsi" w:cstheme="minorHAnsi"/>
          <w:lang w:val="en-US"/>
        </w:rPr>
      </w:pPr>
      <w:r w:rsidRPr="00000849">
        <w:rPr>
          <w:rFonts w:asciiTheme="minorHAnsi" w:hAnsiTheme="minorHAnsi" w:cstheme="minorHAnsi"/>
          <w:lang w:val="en-US"/>
        </w:rPr>
        <w:t xml:space="preserve">can be simplified to </w:t>
      </w:r>
      <w:r w:rsidRPr="00000849">
        <w:rPr>
          <w:rFonts w:ascii="Symbol" w:hAnsi="Symbol" w:cstheme="minorHAnsi"/>
        </w:rPr>
        <w:t></w:t>
      </w:r>
      <w:r w:rsidRPr="00000849">
        <w:rPr>
          <w:rFonts w:asciiTheme="minorHAnsi" w:hAnsiTheme="minorHAnsi" w:cstheme="minorHAnsi"/>
          <w:vertAlign w:val="subscript"/>
        </w:rPr>
        <w:t>1</w:t>
      </w:r>
      <w:r w:rsidRPr="00000849">
        <w:rPr>
          <w:rFonts w:asciiTheme="minorHAnsi" w:hAnsiTheme="minorHAnsi" w:cstheme="minorHAnsi"/>
          <w:lang w:val="en-US"/>
        </w:rPr>
        <w:t xml:space="preserve">  </w:t>
      </w:r>
    </w:p>
    <w:p w14:paraId="4090244C" w14:textId="56EC8BAF" w:rsidR="0085388E" w:rsidRPr="00000849" w:rsidRDefault="0085388E" w:rsidP="00DE339A">
      <w:pPr>
        <w:pStyle w:val="NormalWeb"/>
        <w:shd w:val="clear" w:color="auto" w:fill="FFFFFF"/>
        <w:spacing w:before="0" w:beforeAutospacing="0" w:after="165" w:afterAutospacing="0" w:line="480" w:lineRule="auto"/>
        <w:ind w:firstLine="567"/>
        <w:jc w:val="both"/>
        <w:rPr>
          <w:rFonts w:asciiTheme="minorHAnsi" w:hAnsiTheme="minorHAnsi" w:cstheme="minorHAnsi"/>
          <w:lang w:val="en-US"/>
        </w:rPr>
      </w:pPr>
      <w:r w:rsidRPr="00000849">
        <w:rPr>
          <w:rFonts w:asciiTheme="minorHAnsi" w:hAnsiTheme="minorHAnsi" w:cstheme="minorHAnsi"/>
          <w:lang w:val="en-US"/>
        </w:rPr>
        <w:lastRenderedPageBreak/>
        <w:t>p = number of predictors</w:t>
      </w:r>
    </w:p>
    <w:p w14:paraId="03DFD8C6" w14:textId="77777777" w:rsidR="0085388E" w:rsidRPr="00000849" w:rsidRDefault="0085388E" w:rsidP="00DE339A">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0E5EBA3F" w14:textId="203696C5" w:rsidR="000B77E4" w:rsidRPr="00000849" w:rsidRDefault="00B4673F" w:rsidP="00C82F62">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violation of the proportional odds assumption </w:t>
      </w:r>
      <w:r w:rsidR="00780242" w:rsidRPr="00000849">
        <w:rPr>
          <w:rFonts w:asciiTheme="minorHAnsi" w:hAnsiTheme="minorHAnsi" w:cstheme="minorHAnsi"/>
          <w:color w:val="383838"/>
        </w:rPr>
        <w:t>w</w:t>
      </w:r>
      <w:r w:rsidR="00C82F62" w:rsidRPr="00000849">
        <w:rPr>
          <w:rFonts w:asciiTheme="minorHAnsi" w:hAnsiTheme="minorHAnsi" w:cstheme="minorHAnsi"/>
          <w:color w:val="383838"/>
        </w:rPr>
        <w:t xml:space="preserve">as indicated by a significant Brant test statistic </w:t>
      </w:r>
      <w:r w:rsidR="00884F5E" w:rsidRPr="00000849">
        <w:rPr>
          <w:rFonts w:asciiTheme="minorHAnsi" w:hAnsiTheme="minorHAnsi" w:cstheme="minorHAnsi"/>
          <w:color w:val="383838"/>
        </w:rPr>
        <w:t>or other tests such as the Wolfe Gould, score test, likelihood ratio and the Wald test</w:t>
      </w:r>
      <w:r w:rsidR="00C86535" w:rsidRPr="00000849">
        <w:rPr>
          <w:rFonts w:asciiTheme="minorHAnsi" w:hAnsiTheme="minorHAnsi" w:cstheme="minorHAnsi"/>
          <w:color w:val="383838"/>
        </w:rPr>
        <w:t xml:space="preserve"> </w:t>
      </w:r>
      <w:r w:rsidR="00767697" w:rsidRPr="00000849">
        <w:rPr>
          <w:rFonts w:asciiTheme="minorHAnsi" w:hAnsiTheme="minorHAnsi" w:cstheme="minorHAnsi"/>
          <w:color w:val="383838"/>
        </w:rPr>
        <w:fldChar w:fldCharType="begin"/>
      </w:r>
      <w:r w:rsidR="0060706B" w:rsidRPr="00000849">
        <w:rPr>
          <w:rFonts w:asciiTheme="minorHAnsi" w:hAnsiTheme="minorHAnsi" w:cstheme="minorHAnsi"/>
          <w:color w:val="383838"/>
        </w:rPr>
        <w:instrText xml:space="preserve"> ADDIN EN.CITE &lt;EndNote&gt;&lt;Cite&gt;&lt;Author&gt;Williams&lt;/Author&gt;&lt;Year&gt;2006&lt;/Year&gt;&lt;RecNum&gt;967&lt;/RecNum&gt;&lt;DisplayText&gt;(Williams, 2006)&lt;/DisplayText&gt;&lt;record&gt;&lt;rec-number&gt;967&lt;/rec-number&gt;&lt;foreign-keys&gt;&lt;key app="EN" db-id="9tzf2rda8re2a9es5tuxart3swzx2zws2s02" timestamp="1575160534"&gt;967&lt;/key&gt;&lt;/foreign-keys&gt;&lt;ref-type name="Journal Article"&gt;17&lt;/ref-type&gt;&lt;contributors&gt;&lt;authors&gt;&lt;author&gt;Williams, Richard&lt;/author&gt;&lt;/authors&gt;&lt;/contributors&gt;&lt;titles&gt;&lt;title&gt;Generalized ordered logit/partial proportional odds models for ordinal dependent variables&lt;/title&gt;&lt;secondary-title&gt;The Stata Journal&lt;/secondary-title&gt;&lt;/titles&gt;&lt;periodical&gt;&lt;full-title&gt;The Stata Journal&lt;/full-title&gt;&lt;/periodical&gt;&lt;pages&gt;58-82&lt;/pages&gt;&lt;volume&gt;6&lt;/volume&gt;&lt;number&gt;1&lt;/number&gt;&lt;dates&gt;&lt;year&gt;2006&lt;/year&gt;&lt;/dates&gt;&lt;isbn&gt;1536-867X&lt;/isbn&gt;&lt;urls&gt;&lt;/urls&gt;&lt;/record&gt;&lt;/Cite&gt;&lt;/EndNote&gt;</w:instrText>
      </w:r>
      <w:r w:rsidR="00767697"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(Williams, 2006)</w:t>
      </w:r>
      <w:r w:rsidR="00767697" w:rsidRPr="00000849">
        <w:rPr>
          <w:rFonts w:asciiTheme="minorHAnsi" w:hAnsiTheme="minorHAnsi" w:cstheme="minorHAnsi"/>
          <w:color w:val="383838"/>
        </w:rPr>
        <w:fldChar w:fldCharType="end"/>
      </w:r>
      <w:r w:rsidR="00C82F62" w:rsidRPr="00000849">
        <w:rPr>
          <w:rFonts w:asciiTheme="minorHAnsi" w:hAnsiTheme="minorHAnsi" w:cstheme="minorHAnsi"/>
          <w:color w:val="383838"/>
        </w:rPr>
        <w:t xml:space="preserve">.  </w:t>
      </w:r>
      <w:r w:rsidR="0021746C" w:rsidRPr="00000849">
        <w:rPr>
          <w:rFonts w:asciiTheme="minorHAnsi" w:hAnsiTheme="minorHAnsi" w:cstheme="minorHAnsi"/>
          <w:color w:val="383838"/>
        </w:rPr>
        <w:t>Where there was a violation, t</w:t>
      </w:r>
      <w:r w:rsidR="00C82F62" w:rsidRPr="00000849">
        <w:rPr>
          <w:rFonts w:asciiTheme="minorHAnsi" w:hAnsiTheme="minorHAnsi" w:cstheme="minorHAnsi"/>
          <w:color w:val="383838"/>
        </w:rPr>
        <w:t xml:space="preserve">he categories of the grades of hypertension were recoded and the ordered logit model re-run.  </w:t>
      </w:r>
      <w:r w:rsidR="00884F5E" w:rsidRPr="00000849">
        <w:rPr>
          <w:rFonts w:asciiTheme="minorHAnsi" w:hAnsiTheme="minorHAnsi" w:cstheme="minorHAnsi"/>
          <w:color w:val="383838"/>
        </w:rPr>
        <w:t>If the violation persisted, t</w:t>
      </w:r>
      <w:r w:rsidR="00734E17" w:rsidRPr="00000849">
        <w:rPr>
          <w:rFonts w:asciiTheme="minorHAnsi" w:hAnsiTheme="minorHAnsi" w:cstheme="minorHAnsi"/>
          <w:color w:val="383838"/>
        </w:rPr>
        <w:t>he Stata command</w:t>
      </w:r>
      <w:r w:rsidR="00884F5E" w:rsidRPr="00000849">
        <w:rPr>
          <w:rFonts w:asciiTheme="minorHAnsi" w:hAnsiTheme="minorHAnsi" w:cstheme="minorHAnsi"/>
          <w:color w:val="383838"/>
        </w:rPr>
        <w:t xml:space="preserve">, </w:t>
      </w:r>
      <w:r w:rsidR="00884F5E" w:rsidRPr="00000849">
        <w:rPr>
          <w:rFonts w:asciiTheme="minorHAnsi" w:hAnsiTheme="minorHAnsi" w:cstheme="minorHAnsi"/>
          <w:i/>
          <w:color w:val="383838"/>
        </w:rPr>
        <w:t>gologit2</w:t>
      </w:r>
      <w:r w:rsidR="0017469D" w:rsidRPr="00000849">
        <w:rPr>
          <w:rStyle w:val="FootnoteReference"/>
          <w:rFonts w:asciiTheme="minorHAnsi" w:hAnsiTheme="minorHAnsi" w:cstheme="minorHAnsi"/>
          <w:i/>
          <w:color w:val="383838"/>
        </w:rPr>
        <w:footnoteReference w:id="7"/>
      </w:r>
      <w:r w:rsidR="00884F5E" w:rsidRPr="00000849">
        <w:rPr>
          <w:rFonts w:asciiTheme="minorHAnsi" w:hAnsiTheme="minorHAnsi" w:cstheme="minorHAnsi"/>
          <w:color w:val="383838"/>
        </w:rPr>
        <w:t xml:space="preserve"> with the </w:t>
      </w:r>
      <w:r w:rsidR="00884F5E" w:rsidRPr="00000849">
        <w:rPr>
          <w:rFonts w:asciiTheme="minorHAnsi" w:hAnsiTheme="minorHAnsi" w:cstheme="minorHAnsi"/>
          <w:i/>
          <w:color w:val="383838"/>
        </w:rPr>
        <w:t>autofit</w:t>
      </w:r>
      <w:r w:rsidR="00884F5E" w:rsidRPr="00000849">
        <w:rPr>
          <w:rFonts w:asciiTheme="minorHAnsi" w:hAnsiTheme="minorHAnsi" w:cstheme="minorHAnsi"/>
          <w:color w:val="383838"/>
        </w:rPr>
        <w:t xml:space="preserve"> was used to relax the constraints of only those ‘violating’ variables in a partial proportional odds model </w:t>
      </w:r>
      <w:r w:rsidR="00763E42" w:rsidRPr="00000849">
        <w:rPr>
          <w:rFonts w:asciiTheme="minorHAnsi" w:hAnsiTheme="minorHAnsi" w:cstheme="minorHAnsi"/>
          <w:color w:val="383838"/>
        </w:rPr>
        <w:fldChar w:fldCharType="begin"/>
      </w:r>
      <w:r w:rsidR="0060706B" w:rsidRPr="00000849">
        <w:rPr>
          <w:rFonts w:asciiTheme="minorHAnsi" w:hAnsiTheme="minorHAnsi" w:cstheme="minorHAnsi"/>
          <w:color w:val="383838"/>
        </w:rPr>
        <w:instrText xml:space="preserve"> ADDIN EN.CITE &lt;EndNote&gt;&lt;Cite&gt;&lt;Author&gt;Williams&lt;/Author&gt;&lt;Year&gt;2016&lt;/Year&gt;&lt;RecNum&gt;966&lt;/RecNum&gt;&lt;DisplayText&gt;(Williams, 2016b)&lt;/DisplayText&gt;&lt;record&gt;&lt;rec-number&gt;966&lt;/rec-number&gt;&lt;foreign-keys&gt;&lt;key app="EN" db-id="9tzf2rda8re2a9es5tuxart3swzx2zws2s02" timestamp="1575159818"&gt;966&lt;/key&gt;&lt;/foreign-keys&gt;&lt;ref-type name="Journal Article"&gt;17&lt;/ref-type&gt;&lt;contributors&gt;&lt;authors&gt;&lt;author&gt;Williams, Richard&lt;/author&gt;&lt;/authors&gt;&lt;/contributors&gt;&lt;titles&gt;&lt;title&gt;Understanding and interpreting generalized ordered logit models&lt;/title&gt;&lt;secondary-title&gt;The Journal of Mathematical Sociology&lt;/secondary-title&gt;&lt;/titles&gt;&lt;periodical&gt;&lt;full-title&gt;The Journal of Mathematical Sociology&lt;/full-title&gt;&lt;/periodical&gt;&lt;pages&gt;7-20&lt;/pages&gt;&lt;volume&gt;40&lt;/volume&gt;&lt;number&gt;1&lt;/number&gt;&lt;dates&gt;&lt;year&gt;2016&lt;/year&gt;&lt;/dates&gt;&lt;isbn&gt;0022-250X&lt;/isbn&gt;&lt;urls&gt;&lt;/urls&gt;&lt;/record&gt;&lt;/Cite&gt;&lt;/EndNote&gt;</w:instrText>
      </w:r>
      <w:r w:rsidR="00763E42"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(Williams, 2016b)</w:t>
      </w:r>
      <w:r w:rsidR="00763E42" w:rsidRPr="00000849">
        <w:rPr>
          <w:rFonts w:asciiTheme="minorHAnsi" w:hAnsiTheme="minorHAnsi" w:cstheme="minorHAnsi"/>
          <w:color w:val="383838"/>
        </w:rPr>
        <w:fldChar w:fldCharType="end"/>
      </w:r>
      <w:r w:rsidR="00884F5E" w:rsidRPr="00000849">
        <w:rPr>
          <w:rFonts w:asciiTheme="minorHAnsi" w:hAnsiTheme="minorHAnsi" w:cstheme="minorHAnsi"/>
          <w:color w:val="383838"/>
        </w:rPr>
        <w:t xml:space="preserve">.  </w:t>
      </w:r>
      <w:r w:rsidR="0085427E" w:rsidRPr="00000849">
        <w:rPr>
          <w:rFonts w:asciiTheme="minorHAnsi" w:hAnsiTheme="minorHAnsi" w:cstheme="minorHAnsi"/>
          <w:color w:val="383838"/>
        </w:rPr>
        <w:t>This ensured a better fit of the data and more accurate parameter estimates than the model w</w:t>
      </w:r>
      <w:r w:rsidR="00833C15" w:rsidRPr="00000849">
        <w:rPr>
          <w:rFonts w:asciiTheme="minorHAnsi" w:hAnsiTheme="minorHAnsi" w:cstheme="minorHAnsi"/>
          <w:color w:val="383838"/>
        </w:rPr>
        <w:t xml:space="preserve">hich violates the proportional odds assumption.  </w:t>
      </w:r>
      <w:r w:rsidR="00884F5E" w:rsidRPr="00000849">
        <w:rPr>
          <w:rFonts w:asciiTheme="minorHAnsi" w:hAnsiTheme="minorHAnsi" w:cstheme="minorHAnsi"/>
          <w:color w:val="383838"/>
        </w:rPr>
        <w:t>An insignificant Wald test showed that the proportional odds assumption was met.</w:t>
      </w:r>
    </w:p>
    <w:p w14:paraId="52BED42B" w14:textId="090CF042" w:rsidR="00C82F62" w:rsidRPr="00000849" w:rsidRDefault="00734E17" w:rsidP="00C82F62">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As in the binary model, comparisons of the goodness of fit between single and multilevel</w:t>
      </w:r>
      <w:r w:rsidR="00621F9F" w:rsidRPr="00000849">
        <w:rPr>
          <w:rFonts w:asciiTheme="minorHAnsi" w:hAnsiTheme="minorHAnsi" w:cstheme="minorHAnsi"/>
          <w:color w:val="383838"/>
        </w:rPr>
        <w:t xml:space="preserve"> model</w:t>
      </w:r>
      <w:r w:rsidRPr="00000849">
        <w:rPr>
          <w:rFonts w:asciiTheme="minorHAnsi" w:hAnsiTheme="minorHAnsi" w:cstheme="minorHAnsi"/>
          <w:color w:val="383838"/>
        </w:rPr>
        <w:t>s were made with likelihood ratio tests, AIC and BIC.</w:t>
      </w:r>
    </w:p>
    <w:p w14:paraId="30B933C8" w14:textId="70C64825" w:rsidR="00C82F62" w:rsidRPr="00000849" w:rsidRDefault="00C82F62" w:rsidP="00C82F62">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5583559" w14:textId="2F50F962" w:rsidR="00621F9F" w:rsidRPr="00000849" w:rsidRDefault="002006AA" w:rsidP="00920AA1">
      <w:pPr>
        <w:pStyle w:val="Heading3"/>
        <w:keepNext w:val="0"/>
        <w:keepLines w:val="0"/>
      </w:pPr>
      <w:bookmarkStart w:id="82" w:name="_Toc51472124"/>
      <w:r w:rsidRPr="00000849">
        <w:t>4.8.</w:t>
      </w:r>
      <w:r w:rsidR="00504A74" w:rsidRPr="00000849">
        <w:t>3</w:t>
      </w:r>
      <w:r w:rsidR="00504A74" w:rsidRPr="00000849">
        <w:tab/>
      </w:r>
      <w:r w:rsidR="00621F9F" w:rsidRPr="00000849">
        <w:t>Prevalence of awareness of hypertension, treatment uptake and outcomes</w:t>
      </w:r>
      <w:bookmarkEnd w:id="82"/>
      <w:r w:rsidR="00621F9F" w:rsidRPr="00000849">
        <w:t xml:space="preserve">  </w:t>
      </w:r>
    </w:p>
    <w:p w14:paraId="7A95AD03" w14:textId="57CD4BF7" w:rsidR="00621F9F" w:rsidRPr="00000849" w:rsidRDefault="00621F9F" w:rsidP="0046549F">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01BD9164" w14:textId="3F4E3CFF" w:rsidR="00504A74" w:rsidRPr="00000849" w:rsidRDefault="00166B00" w:rsidP="0046549F">
      <w:pPr>
        <w:pStyle w:val="NormalWeb"/>
        <w:shd w:val="clear" w:color="auto" w:fill="FFFFFF"/>
        <w:spacing w:before="0" w:beforeAutospacing="0" w:after="165" w:afterAutospacing="0" w:line="480" w:lineRule="auto"/>
        <w:ind w:firstLine="567"/>
        <w:jc w:val="both"/>
        <w:rPr>
          <w:rFonts w:asciiTheme="minorHAnsi" w:hAnsiTheme="minorHAnsi" w:cstheme="minorHAnsi"/>
        </w:rPr>
      </w:pPr>
      <w:r w:rsidRPr="00000849">
        <w:rPr>
          <w:rFonts w:asciiTheme="minorHAnsi" w:hAnsiTheme="minorHAnsi" w:cstheme="minorHAnsi"/>
          <w:color w:val="383838"/>
        </w:rPr>
        <w:t xml:space="preserve">The proportion of </w:t>
      </w:r>
      <w:r w:rsidR="00EF3E08" w:rsidRPr="00000849">
        <w:rPr>
          <w:rFonts w:asciiTheme="minorHAnsi" w:hAnsiTheme="minorHAnsi" w:cstheme="minorHAnsi"/>
          <w:color w:val="383838"/>
        </w:rPr>
        <w:t xml:space="preserve">all subjects with hypertension </w:t>
      </w:r>
      <w:r w:rsidR="007F5ED5" w:rsidRPr="00000849">
        <w:rPr>
          <w:rFonts w:asciiTheme="minorHAnsi" w:hAnsiTheme="minorHAnsi" w:cstheme="minorHAnsi"/>
          <w:color w:val="383838"/>
        </w:rPr>
        <w:t xml:space="preserve">who were aware of their disease from a previous diagnosis, </w:t>
      </w:r>
      <w:r w:rsidR="00BD0A73" w:rsidRPr="00000849">
        <w:rPr>
          <w:rFonts w:asciiTheme="minorHAnsi" w:hAnsiTheme="minorHAnsi" w:cstheme="minorHAnsi"/>
          <w:color w:val="383838"/>
        </w:rPr>
        <w:t xml:space="preserve">those on pharmacological treatment </w:t>
      </w:r>
      <w:r w:rsidR="007F5ED5" w:rsidRPr="00000849">
        <w:rPr>
          <w:rFonts w:asciiTheme="minorHAnsi" w:hAnsiTheme="minorHAnsi" w:cstheme="minorHAnsi"/>
          <w:color w:val="383838"/>
        </w:rPr>
        <w:t>and thos</w:t>
      </w:r>
      <w:r w:rsidR="00BD0A73" w:rsidRPr="00000849">
        <w:rPr>
          <w:rFonts w:asciiTheme="minorHAnsi" w:hAnsiTheme="minorHAnsi" w:cstheme="minorHAnsi"/>
          <w:color w:val="383838"/>
        </w:rPr>
        <w:t xml:space="preserve">e </w:t>
      </w:r>
      <w:r w:rsidR="007F5ED5" w:rsidRPr="00000849">
        <w:rPr>
          <w:rFonts w:asciiTheme="minorHAnsi" w:hAnsiTheme="minorHAnsi" w:cstheme="minorHAnsi"/>
          <w:color w:val="383838"/>
        </w:rPr>
        <w:t xml:space="preserve">with controlled </w:t>
      </w:r>
      <w:r w:rsidR="00BD0A73" w:rsidRPr="00000849">
        <w:rPr>
          <w:rFonts w:asciiTheme="minorHAnsi" w:hAnsiTheme="minorHAnsi" w:cstheme="minorHAnsi"/>
          <w:color w:val="383838"/>
        </w:rPr>
        <w:t>blood pressure were determined separately for waves 1 and 2</w:t>
      </w:r>
      <w:r w:rsidR="00BC581B" w:rsidRPr="00000849">
        <w:rPr>
          <w:rFonts w:asciiTheme="minorHAnsi" w:hAnsiTheme="minorHAnsi" w:cstheme="minorHAnsi"/>
          <w:color w:val="383838"/>
        </w:rPr>
        <w:t xml:space="preserve">.  </w:t>
      </w:r>
      <w:r w:rsidR="00C9571C" w:rsidRPr="00000849">
        <w:rPr>
          <w:rFonts w:asciiTheme="minorHAnsi" w:hAnsiTheme="minorHAnsi" w:cstheme="minorHAnsi"/>
          <w:color w:val="383838"/>
        </w:rPr>
        <w:t xml:space="preserve">No </w:t>
      </w:r>
      <w:r w:rsidR="00C9571C" w:rsidRPr="00000849">
        <w:rPr>
          <w:rFonts w:asciiTheme="minorHAnsi" w:hAnsiTheme="minorHAnsi" w:cstheme="minorHAnsi"/>
          <w:color w:val="383838"/>
        </w:rPr>
        <w:lastRenderedPageBreak/>
        <w:t>regression analysis was run to identify the risk factors associated with  awareness, treatment and control of hypertension.</w:t>
      </w:r>
    </w:p>
    <w:p w14:paraId="3E7F0233" w14:textId="77777777" w:rsidR="00621F9F" w:rsidRPr="00000849" w:rsidRDefault="00621F9F" w:rsidP="00621F9F">
      <w:pPr>
        <w:pStyle w:val="NoSpacing"/>
        <w:spacing w:after="200" w:line="480" w:lineRule="auto"/>
        <w:jc w:val="both"/>
        <w:rPr>
          <w:rFonts w:asciiTheme="minorHAnsi" w:hAnsiTheme="minorHAnsi" w:cstheme="minorHAnsi"/>
          <w:sz w:val="24"/>
          <w:szCs w:val="24"/>
        </w:rPr>
      </w:pPr>
    </w:p>
    <w:p w14:paraId="34036F9A" w14:textId="409ABE30" w:rsidR="00621F9F" w:rsidRPr="00000849" w:rsidRDefault="002006AA" w:rsidP="004E2350">
      <w:pPr>
        <w:pStyle w:val="Heading3"/>
      </w:pPr>
      <w:bookmarkStart w:id="83" w:name="_Toc51472125"/>
      <w:r w:rsidRPr="00000849">
        <w:t>4.8.</w:t>
      </w:r>
      <w:r w:rsidR="00504A74" w:rsidRPr="00000849">
        <w:t>4</w:t>
      </w:r>
      <w:r w:rsidR="00504A74" w:rsidRPr="00000849">
        <w:tab/>
      </w:r>
      <w:r w:rsidR="00774957" w:rsidRPr="00000849">
        <w:t>P</w:t>
      </w:r>
      <w:r w:rsidR="00621F9F" w:rsidRPr="00000849">
        <w:t>revalence of multiple risk factors for chronic NCDs</w:t>
      </w:r>
      <w:bookmarkEnd w:id="83"/>
      <w:r w:rsidR="00621F9F" w:rsidRPr="00000849">
        <w:t xml:space="preserve"> </w:t>
      </w:r>
    </w:p>
    <w:p w14:paraId="01CA9F91" w14:textId="24BB71E3" w:rsidR="00621F9F" w:rsidRPr="00000849" w:rsidRDefault="00621F9F" w:rsidP="00BD5A9D">
      <w:pPr>
        <w:pStyle w:val="Default"/>
        <w:spacing w:after="200" w:line="480" w:lineRule="auto"/>
        <w:jc w:val="both"/>
      </w:pPr>
    </w:p>
    <w:p w14:paraId="5FEAC7F4" w14:textId="0C6BDF56" w:rsidR="0011226C" w:rsidRPr="00000849" w:rsidRDefault="00BD5A9D" w:rsidP="00747A1E">
      <w:pPr>
        <w:pStyle w:val="Default"/>
        <w:spacing w:after="200" w:line="480" w:lineRule="auto"/>
        <w:jc w:val="both"/>
      </w:pPr>
      <w:r w:rsidRPr="00000849">
        <w:t>Th</w:t>
      </w:r>
      <w:r w:rsidR="003C3939" w:rsidRPr="00000849">
        <w:t>e</w:t>
      </w:r>
      <w:r w:rsidRPr="00000849">
        <w:t xml:space="preserve"> distribution of </w:t>
      </w:r>
      <w:r w:rsidR="00716D76" w:rsidRPr="00000849">
        <w:t xml:space="preserve">any combination of seven </w:t>
      </w:r>
      <w:r w:rsidRPr="00000849">
        <w:t xml:space="preserve">risk factors </w:t>
      </w:r>
      <w:r w:rsidR="00996B59" w:rsidRPr="00000849">
        <w:t>-</w:t>
      </w:r>
      <w:r w:rsidRPr="00000849">
        <w:t xml:space="preserve"> low physical activity, obesity, central obesity, current daily tobacco use, heavy alcohol intake, inadequate daily fruit and vegetable intake and hypertension</w:t>
      </w:r>
      <w:r w:rsidR="00996B59" w:rsidRPr="00000849">
        <w:t xml:space="preserve"> – among subjects in each of the two waves was determined.  As with the awareness, treatment and control, </w:t>
      </w:r>
      <w:r w:rsidR="00BC581B" w:rsidRPr="00000849">
        <w:t xml:space="preserve">the </w:t>
      </w:r>
      <w:r w:rsidR="00C9571C" w:rsidRPr="00000849">
        <w:t>analysis was descriptive with no regression analysis run to identify the risk factors associated with the prevalence of multiple risk factors</w:t>
      </w:r>
      <w:r w:rsidR="00996B59" w:rsidRPr="00000849">
        <w:t>.</w:t>
      </w:r>
    </w:p>
    <w:p w14:paraId="14D46174" w14:textId="77777777" w:rsidR="00541793" w:rsidRPr="00000849" w:rsidRDefault="00541793" w:rsidP="00747A1E">
      <w:pPr>
        <w:pStyle w:val="Default"/>
        <w:spacing w:after="200" w:line="480" w:lineRule="auto"/>
        <w:jc w:val="both"/>
        <w:rPr>
          <w:rFonts w:asciiTheme="minorHAnsi" w:hAnsiTheme="minorHAnsi" w:cstheme="minorHAnsi"/>
          <w:color w:val="383838"/>
        </w:rPr>
      </w:pPr>
    </w:p>
    <w:p w14:paraId="203E9E5D" w14:textId="77777777" w:rsidR="000B77E4" w:rsidRPr="00000849" w:rsidRDefault="000B77E4"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4E76F4AC" w14:textId="77777777" w:rsidR="003E120D" w:rsidRPr="00000849" w:rsidRDefault="003E120D" w:rsidP="009F3E10">
      <w:pPr>
        <w:pStyle w:val="NormalWeb"/>
        <w:shd w:val="clear" w:color="auto" w:fill="FFFFFF"/>
        <w:spacing w:before="0" w:beforeAutospacing="0" w:after="165" w:afterAutospacing="0" w:line="480" w:lineRule="auto"/>
        <w:rPr>
          <w:rFonts w:asciiTheme="minorHAnsi" w:hAnsiTheme="minorHAnsi" w:cstheme="minorHAnsi"/>
          <w:color w:val="383838"/>
        </w:rPr>
        <w:sectPr w:rsidR="003E120D" w:rsidRPr="00000849" w:rsidSect="008D5ECD">
          <w:pgSz w:w="11906" w:h="16838"/>
          <w:pgMar w:top="1440" w:right="1440" w:bottom="1440" w:left="2155" w:header="708" w:footer="708" w:gutter="0"/>
          <w:cols w:space="708"/>
          <w:docGrid w:linePitch="360"/>
        </w:sectPr>
      </w:pPr>
    </w:p>
    <w:p w14:paraId="5BE8EB30" w14:textId="24312931" w:rsidR="002B0B4B" w:rsidRPr="00000849" w:rsidRDefault="002B0B4B">
      <w:pPr>
        <w:pStyle w:val="Heading1"/>
      </w:pPr>
      <w:bookmarkStart w:id="84" w:name="_Toc51472126"/>
      <w:r w:rsidRPr="00000849">
        <w:lastRenderedPageBreak/>
        <w:t xml:space="preserve">Chapter </w:t>
      </w:r>
      <w:r w:rsidR="002006AA" w:rsidRPr="00000849">
        <w:t>5</w:t>
      </w:r>
      <w:r w:rsidRPr="00000849">
        <w:t>: Results</w:t>
      </w:r>
      <w:bookmarkEnd w:id="84"/>
      <w:r w:rsidRPr="00000849">
        <w:t xml:space="preserve"> </w:t>
      </w:r>
    </w:p>
    <w:p w14:paraId="2211991D" w14:textId="77777777" w:rsidR="003E120D" w:rsidRPr="00000849" w:rsidRDefault="003E120D" w:rsidP="0007568B"/>
    <w:p w14:paraId="11937020" w14:textId="6D592860" w:rsidR="002B0B4B" w:rsidRPr="00000849" w:rsidRDefault="002006AA" w:rsidP="00A61BAB">
      <w:pPr>
        <w:pStyle w:val="Heading2"/>
      </w:pPr>
      <w:bookmarkStart w:id="85" w:name="_Toc51472127"/>
      <w:r w:rsidRPr="00000849">
        <w:t>5</w:t>
      </w:r>
      <w:r w:rsidR="003E120D" w:rsidRPr="00000849">
        <w:t>.1</w:t>
      </w:r>
      <w:r w:rsidR="003E120D" w:rsidRPr="00000849">
        <w:tab/>
      </w:r>
      <w:r w:rsidR="002B0B4B" w:rsidRPr="00000849">
        <w:t>Introduction</w:t>
      </w:r>
      <w:bookmarkEnd w:id="85"/>
      <w:r w:rsidR="002B0B4B" w:rsidRPr="00000849">
        <w:t xml:space="preserve"> </w:t>
      </w:r>
    </w:p>
    <w:p w14:paraId="5C20FE8F" w14:textId="00BF5CB2" w:rsidR="003E120D" w:rsidRPr="00000849" w:rsidRDefault="003E120D" w:rsidP="003E120D"/>
    <w:p w14:paraId="4853D7C1" w14:textId="57C6EE58" w:rsidR="003E5B57" w:rsidRPr="00000849" w:rsidRDefault="003E5B57" w:rsidP="00090C27">
      <w:pPr>
        <w:pStyle w:val="NormalWeb"/>
        <w:shd w:val="clear" w:color="auto" w:fill="FFFFFF"/>
        <w:spacing w:before="0" w:beforeAutospacing="0" w:after="165" w:afterAutospacing="0" w:line="480" w:lineRule="auto"/>
        <w:jc w:val="both"/>
      </w:pPr>
      <w:r w:rsidRPr="00000849">
        <w:rPr>
          <w:rFonts w:asciiTheme="minorHAnsi" w:hAnsiTheme="minorHAnsi" w:cstheme="minorHAnsi"/>
          <w:color w:val="383838"/>
        </w:rPr>
        <w:t>Th</w:t>
      </w:r>
      <w:r w:rsidR="00706991" w:rsidRPr="00000849">
        <w:rPr>
          <w:rFonts w:asciiTheme="minorHAnsi" w:hAnsiTheme="minorHAnsi" w:cstheme="minorHAnsi"/>
          <w:color w:val="383838"/>
        </w:rPr>
        <w:t xml:space="preserve">is chapter presents the key findings on </w:t>
      </w:r>
      <w:r w:rsidRPr="00000849">
        <w:rPr>
          <w:rFonts w:asciiTheme="minorHAnsi" w:hAnsiTheme="minorHAnsi" w:cstheme="minorHAnsi"/>
          <w:color w:val="383838"/>
        </w:rPr>
        <w:t xml:space="preserve">the prevalence of hypertension, </w:t>
      </w:r>
      <w:r w:rsidR="00706991" w:rsidRPr="00000849">
        <w:rPr>
          <w:rFonts w:asciiTheme="minorHAnsi" w:hAnsiTheme="minorHAnsi" w:cstheme="minorHAnsi"/>
          <w:color w:val="383838"/>
        </w:rPr>
        <w:t xml:space="preserve">its severity and the </w:t>
      </w:r>
      <w:r w:rsidRPr="00000849">
        <w:rPr>
          <w:rFonts w:asciiTheme="minorHAnsi" w:hAnsiTheme="minorHAnsi" w:cstheme="minorHAnsi"/>
          <w:color w:val="383838"/>
        </w:rPr>
        <w:t xml:space="preserve">associated risk factors </w:t>
      </w:r>
      <w:r w:rsidR="00706991" w:rsidRPr="00000849">
        <w:rPr>
          <w:rFonts w:asciiTheme="minorHAnsi" w:hAnsiTheme="minorHAnsi" w:cstheme="minorHAnsi"/>
          <w:color w:val="383838"/>
        </w:rPr>
        <w:t>in each of the</w:t>
      </w:r>
      <w:r w:rsidRPr="00000849">
        <w:rPr>
          <w:rFonts w:asciiTheme="minorHAnsi" w:hAnsiTheme="minorHAnsi" w:cstheme="minorHAnsi"/>
          <w:color w:val="383838"/>
        </w:rPr>
        <w:t xml:space="preserve"> two study waves</w:t>
      </w:r>
      <w:r w:rsidR="00706991" w:rsidRPr="00000849">
        <w:rPr>
          <w:rFonts w:asciiTheme="minorHAnsi" w:hAnsiTheme="minorHAnsi" w:cstheme="minorHAnsi"/>
          <w:color w:val="383838"/>
        </w:rPr>
        <w:t>.</w:t>
      </w:r>
      <w:r w:rsidRPr="00000849">
        <w:rPr>
          <w:rFonts w:asciiTheme="minorHAnsi" w:hAnsiTheme="minorHAnsi" w:cstheme="minorHAnsi"/>
          <w:color w:val="383838"/>
        </w:rPr>
        <w:t xml:space="preserve">  </w:t>
      </w:r>
      <w:r w:rsidR="001D24C3" w:rsidRPr="00000849">
        <w:rPr>
          <w:rFonts w:asciiTheme="minorHAnsi" w:hAnsiTheme="minorHAnsi" w:cstheme="minorHAnsi"/>
          <w:color w:val="383838"/>
        </w:rPr>
        <w:t xml:space="preserve">It reports the </w:t>
      </w:r>
      <w:r w:rsidR="002244C6" w:rsidRPr="00000849">
        <w:rPr>
          <w:rFonts w:asciiTheme="minorHAnsi" w:hAnsiTheme="minorHAnsi" w:cstheme="minorHAnsi"/>
          <w:color w:val="383838"/>
        </w:rPr>
        <w:t xml:space="preserve">change in the prevalence of hypertension over time and associated factors in a repeated measures </w:t>
      </w:r>
      <w:r w:rsidR="00747A1E" w:rsidRPr="00000849">
        <w:rPr>
          <w:rFonts w:asciiTheme="minorHAnsi" w:hAnsiTheme="minorHAnsi" w:cstheme="minorHAnsi"/>
          <w:color w:val="383838"/>
        </w:rPr>
        <w:t xml:space="preserve">analysis of the combined Wave 1 and Wave 2 dataset.  </w:t>
      </w:r>
      <w:r w:rsidR="002244C6" w:rsidRPr="00000849">
        <w:rPr>
          <w:rFonts w:asciiTheme="minorHAnsi" w:hAnsiTheme="minorHAnsi" w:cstheme="minorHAnsi"/>
          <w:color w:val="383838"/>
        </w:rPr>
        <w:t xml:space="preserve">It also presents </w:t>
      </w:r>
      <w:r w:rsidR="009C4252" w:rsidRPr="00000849">
        <w:rPr>
          <w:rFonts w:asciiTheme="minorHAnsi" w:hAnsiTheme="minorHAnsi" w:cstheme="minorHAnsi"/>
          <w:color w:val="383838"/>
        </w:rPr>
        <w:t xml:space="preserve">the </w:t>
      </w:r>
      <w:r w:rsidR="00894CAA" w:rsidRPr="00000849">
        <w:rPr>
          <w:rFonts w:asciiTheme="minorHAnsi" w:hAnsiTheme="minorHAnsi" w:cstheme="minorHAnsi"/>
          <w:color w:val="383838"/>
        </w:rPr>
        <w:t xml:space="preserve">level of </w:t>
      </w:r>
      <w:r w:rsidRPr="00000849">
        <w:rPr>
          <w:rFonts w:asciiTheme="minorHAnsi" w:hAnsiTheme="minorHAnsi" w:cstheme="minorHAnsi"/>
          <w:color w:val="383838"/>
        </w:rPr>
        <w:t>awareness, treatment and control of hypertension</w:t>
      </w:r>
      <w:r w:rsidR="00894CAA" w:rsidRPr="00000849">
        <w:rPr>
          <w:rFonts w:asciiTheme="minorHAnsi" w:hAnsiTheme="minorHAnsi" w:cstheme="minorHAnsi"/>
          <w:color w:val="383838"/>
        </w:rPr>
        <w:t xml:space="preserve">, </w:t>
      </w:r>
      <w:r w:rsidR="009B45C6" w:rsidRPr="00000849">
        <w:rPr>
          <w:rFonts w:asciiTheme="minorHAnsi" w:hAnsiTheme="minorHAnsi" w:cstheme="minorHAnsi"/>
          <w:color w:val="383838"/>
        </w:rPr>
        <w:t>and</w:t>
      </w:r>
      <w:r w:rsidR="00894CAA" w:rsidRPr="00000849">
        <w:rPr>
          <w:rFonts w:asciiTheme="minorHAnsi" w:hAnsiTheme="minorHAnsi" w:cstheme="minorHAnsi"/>
          <w:color w:val="383838"/>
        </w:rPr>
        <w:t xml:space="preserve"> prevalence of multiple</w:t>
      </w:r>
      <w:r w:rsidRPr="00000849">
        <w:rPr>
          <w:rFonts w:asciiTheme="minorHAnsi" w:hAnsiTheme="minorHAnsi" w:cstheme="minorHAnsi"/>
          <w:color w:val="383838"/>
        </w:rPr>
        <w:t xml:space="preserve"> risk factors</w:t>
      </w:r>
      <w:r w:rsidR="002244C6" w:rsidRPr="00000849">
        <w:rPr>
          <w:rFonts w:asciiTheme="minorHAnsi" w:hAnsiTheme="minorHAnsi" w:cstheme="minorHAnsi"/>
          <w:color w:val="383838"/>
        </w:rPr>
        <w:t xml:space="preserve"> in each study wave</w:t>
      </w:r>
      <w:r w:rsidRPr="00000849">
        <w:rPr>
          <w:rFonts w:asciiTheme="minorHAnsi" w:hAnsiTheme="minorHAnsi" w:cstheme="minorHAnsi"/>
          <w:color w:val="383838"/>
        </w:rPr>
        <w:t xml:space="preserve">.  </w:t>
      </w:r>
    </w:p>
    <w:p w14:paraId="68BCD9BC" w14:textId="77777777" w:rsidR="009C4252" w:rsidRPr="00000849" w:rsidRDefault="009C4252" w:rsidP="003E120D"/>
    <w:p w14:paraId="60412D60" w14:textId="632B8099" w:rsidR="00053ACF" w:rsidRPr="00000849" w:rsidRDefault="002006AA" w:rsidP="00A61BAB">
      <w:pPr>
        <w:pStyle w:val="Heading2"/>
      </w:pPr>
      <w:bookmarkStart w:id="86" w:name="_Toc51472128"/>
      <w:r w:rsidRPr="00000849">
        <w:t>5.</w:t>
      </w:r>
      <w:r w:rsidR="003E120D" w:rsidRPr="00000849">
        <w:t>2</w:t>
      </w:r>
      <w:r w:rsidR="003E120D" w:rsidRPr="00000849">
        <w:tab/>
      </w:r>
      <w:r w:rsidR="00053ACF" w:rsidRPr="00000849">
        <w:t>Demographic profile of study subjects</w:t>
      </w:r>
      <w:bookmarkEnd w:id="86"/>
    </w:p>
    <w:p w14:paraId="61509237" w14:textId="618CDB75" w:rsidR="003E120D" w:rsidRPr="00000849" w:rsidRDefault="003E120D" w:rsidP="006F6597">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5DE56279" w14:textId="37DEC1D6" w:rsidR="00FA5FF4" w:rsidRPr="00000849" w:rsidRDefault="00FA5FF4" w:rsidP="006F6597">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total number of subjects aged ≥50 years enrolled was 4,724 in</w:t>
      </w:r>
      <w:r w:rsidR="007B4975" w:rsidRPr="00000849">
        <w:rPr>
          <w:rFonts w:asciiTheme="minorHAnsi" w:hAnsiTheme="minorHAnsi" w:cstheme="minorHAnsi"/>
          <w:color w:val="383838"/>
        </w:rPr>
        <w:t xml:space="preserve"> </w:t>
      </w:r>
      <w:r w:rsidR="00AA0A34" w:rsidRPr="00000849">
        <w:rPr>
          <w:rFonts w:asciiTheme="minorHAnsi" w:hAnsiTheme="minorHAnsi" w:cstheme="minorHAnsi"/>
          <w:color w:val="383838"/>
        </w:rPr>
        <w:t>Wave 1</w:t>
      </w:r>
      <w:r w:rsidRPr="00000849">
        <w:rPr>
          <w:rFonts w:asciiTheme="minorHAnsi" w:hAnsiTheme="minorHAnsi" w:cstheme="minorHAnsi"/>
          <w:color w:val="383838"/>
        </w:rPr>
        <w:t xml:space="preserve"> </w:t>
      </w:r>
      <w:r w:rsidR="007B4975" w:rsidRPr="00000849">
        <w:rPr>
          <w:rFonts w:asciiTheme="minorHAnsi" w:hAnsiTheme="minorHAnsi" w:cstheme="minorHAnsi"/>
          <w:color w:val="383838"/>
        </w:rPr>
        <w:t>(</w:t>
      </w:r>
      <w:r w:rsidRPr="00000849">
        <w:rPr>
          <w:rFonts w:asciiTheme="minorHAnsi" w:hAnsiTheme="minorHAnsi" w:cstheme="minorHAnsi"/>
          <w:color w:val="383838"/>
        </w:rPr>
        <w:t>W1</w:t>
      </w:r>
      <w:r w:rsidR="007B4975" w:rsidRPr="00000849">
        <w:rPr>
          <w:rFonts w:asciiTheme="minorHAnsi" w:hAnsiTheme="minorHAnsi" w:cstheme="minorHAnsi"/>
          <w:color w:val="383838"/>
        </w:rPr>
        <w:t>)</w:t>
      </w:r>
      <w:r w:rsidRPr="00000849">
        <w:rPr>
          <w:rFonts w:asciiTheme="minorHAnsi" w:hAnsiTheme="minorHAnsi" w:cstheme="minorHAnsi"/>
          <w:color w:val="383838"/>
        </w:rPr>
        <w:t xml:space="preserve"> and 3,575 in </w:t>
      </w:r>
      <w:r w:rsidR="00AA0A34" w:rsidRPr="00000849">
        <w:rPr>
          <w:rFonts w:asciiTheme="minorHAnsi" w:hAnsiTheme="minorHAnsi" w:cstheme="minorHAnsi"/>
          <w:color w:val="383838"/>
        </w:rPr>
        <w:t xml:space="preserve">Wave </w:t>
      </w:r>
      <w:r w:rsidR="00A95D6B" w:rsidRPr="00000849">
        <w:rPr>
          <w:rFonts w:asciiTheme="minorHAnsi" w:hAnsiTheme="minorHAnsi" w:cstheme="minorHAnsi"/>
          <w:color w:val="383838"/>
        </w:rPr>
        <w:t>2</w:t>
      </w:r>
      <w:r w:rsidR="007B4975" w:rsidRPr="00000849">
        <w:rPr>
          <w:rFonts w:asciiTheme="minorHAnsi" w:hAnsiTheme="minorHAnsi" w:cstheme="minorHAnsi"/>
          <w:color w:val="383838"/>
        </w:rPr>
        <w:t xml:space="preserve"> (</w:t>
      </w:r>
      <w:r w:rsidRPr="00000849">
        <w:rPr>
          <w:rFonts w:asciiTheme="minorHAnsi" w:hAnsiTheme="minorHAnsi" w:cstheme="minorHAnsi"/>
          <w:color w:val="383838"/>
        </w:rPr>
        <w:t>W2</w:t>
      </w:r>
      <w:r w:rsidR="007B4975" w:rsidRPr="00000849">
        <w:rPr>
          <w:rFonts w:asciiTheme="minorHAnsi" w:hAnsiTheme="minorHAnsi" w:cstheme="minorHAnsi"/>
          <w:color w:val="383838"/>
        </w:rPr>
        <w:t>)</w:t>
      </w:r>
      <w:r w:rsidR="009B45C6" w:rsidRPr="00000849">
        <w:rPr>
          <w:rFonts w:asciiTheme="minorHAnsi" w:hAnsiTheme="minorHAnsi" w:cstheme="minorHAnsi"/>
          <w:color w:val="383838"/>
        </w:rPr>
        <w:t xml:space="preserve"> (Table </w:t>
      </w:r>
      <w:r w:rsidR="00E71CA2" w:rsidRPr="00000849">
        <w:rPr>
          <w:rFonts w:asciiTheme="minorHAnsi" w:hAnsiTheme="minorHAnsi" w:cstheme="minorHAnsi"/>
          <w:color w:val="383838"/>
        </w:rPr>
        <w:t>5</w:t>
      </w:r>
      <w:r w:rsidR="009B45C6" w:rsidRPr="00000849">
        <w:rPr>
          <w:rFonts w:asciiTheme="minorHAnsi" w:hAnsiTheme="minorHAnsi" w:cstheme="minorHAnsi"/>
          <w:color w:val="383838"/>
        </w:rPr>
        <w:t>.1)</w:t>
      </w:r>
      <w:r w:rsidRPr="00000849">
        <w:rPr>
          <w:rFonts w:asciiTheme="minorHAnsi" w:hAnsiTheme="minorHAnsi" w:cstheme="minorHAnsi"/>
          <w:color w:val="383838"/>
        </w:rPr>
        <w:t xml:space="preserve">.  </w:t>
      </w:r>
      <w:r w:rsidR="00707BB1" w:rsidRPr="00000849">
        <w:rPr>
          <w:rFonts w:asciiTheme="minorHAnsi" w:hAnsiTheme="minorHAnsi" w:cstheme="minorHAnsi"/>
          <w:color w:val="383838"/>
        </w:rPr>
        <w:t>Females and urban residents comprised 50.3% and 40.</w:t>
      </w:r>
      <w:r w:rsidR="006F6597" w:rsidRPr="00000849">
        <w:rPr>
          <w:rFonts w:asciiTheme="minorHAnsi" w:hAnsiTheme="minorHAnsi" w:cstheme="minorHAnsi"/>
          <w:color w:val="383838"/>
        </w:rPr>
        <w:t>6</w:t>
      </w:r>
      <w:r w:rsidR="00707BB1" w:rsidRPr="00000849">
        <w:rPr>
          <w:rFonts w:asciiTheme="minorHAnsi" w:hAnsiTheme="minorHAnsi" w:cstheme="minorHAnsi"/>
          <w:color w:val="383838"/>
        </w:rPr>
        <w:t>% of the W1 sample respectively</w:t>
      </w:r>
      <w:r w:rsidR="006F6597" w:rsidRPr="00000849">
        <w:rPr>
          <w:rFonts w:asciiTheme="minorHAnsi" w:hAnsiTheme="minorHAnsi" w:cstheme="minorHAnsi"/>
          <w:color w:val="383838"/>
        </w:rPr>
        <w:t>.  They comprised</w:t>
      </w:r>
      <w:r w:rsidR="00707BB1" w:rsidRPr="00000849">
        <w:rPr>
          <w:rFonts w:asciiTheme="minorHAnsi" w:hAnsiTheme="minorHAnsi" w:cstheme="minorHAnsi"/>
          <w:color w:val="383838"/>
        </w:rPr>
        <w:t xml:space="preserve"> </w:t>
      </w:r>
      <w:r w:rsidR="006F6597" w:rsidRPr="00000849">
        <w:rPr>
          <w:rFonts w:asciiTheme="minorHAnsi" w:hAnsiTheme="minorHAnsi" w:cstheme="minorHAnsi"/>
          <w:color w:val="383838"/>
        </w:rPr>
        <w:t xml:space="preserve">58.8% and 48.5% of the total W2 sample respectively.  The </w:t>
      </w:r>
      <w:r w:rsidR="0033008E" w:rsidRPr="00000849">
        <w:rPr>
          <w:rFonts w:asciiTheme="minorHAnsi" w:hAnsiTheme="minorHAnsi" w:cstheme="minorHAnsi"/>
          <w:color w:val="383838"/>
        </w:rPr>
        <w:t xml:space="preserve">weighted </w:t>
      </w:r>
      <w:r w:rsidR="006F6597" w:rsidRPr="00000849">
        <w:rPr>
          <w:rFonts w:asciiTheme="minorHAnsi" w:hAnsiTheme="minorHAnsi" w:cstheme="minorHAnsi"/>
          <w:color w:val="383838"/>
        </w:rPr>
        <w:t xml:space="preserve">mean age of the participants was 64.2 ± 10.8 years [95% confidence interval (CI): 63.7-64.7 years] and 62.6 ± 10.2 years (95% CI: 62.1-63.1 years) in W1 and W2 respectively.  </w:t>
      </w:r>
    </w:p>
    <w:p w14:paraId="57B2AC78" w14:textId="1B5D346A" w:rsidR="004354CE" w:rsidRPr="00000849" w:rsidRDefault="004354CE" w:rsidP="00381BF3">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0813C475" w14:textId="0D04AEB1" w:rsidR="0096246C" w:rsidRPr="00000849" w:rsidRDefault="0096246C" w:rsidP="006F6597">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E08E194" w14:textId="77777777" w:rsidR="004E2350" w:rsidRPr="00000849" w:rsidRDefault="004E2350" w:rsidP="00B448FE">
      <w:pPr>
        <w:pStyle w:val="Caption"/>
      </w:pPr>
    </w:p>
    <w:p w14:paraId="141956D4" w14:textId="7B930963" w:rsidR="00400523" w:rsidRPr="00000849" w:rsidRDefault="00F8297B" w:rsidP="00B448FE">
      <w:pPr>
        <w:pStyle w:val="Caption"/>
      </w:pPr>
      <w:r w:rsidRPr="00000849">
        <w:lastRenderedPageBreak/>
        <w:t>Table 5.1</w:t>
      </w:r>
      <w:r w:rsidR="00B448FE" w:rsidRPr="00000849">
        <w:tab/>
        <w:t>Background characteristics of participants in the SAGE Ghana study Wave 1 and Wave 2</w:t>
      </w:r>
    </w:p>
    <w:tbl>
      <w:tblPr>
        <w:tblW w:w="4939" w:type="pct"/>
        <w:tblLook w:val="04A0" w:firstRow="1" w:lastRow="0" w:firstColumn="1" w:lastColumn="0" w:noHBand="0" w:noVBand="1"/>
      </w:tblPr>
      <w:tblGrid>
        <w:gridCol w:w="3601"/>
        <w:gridCol w:w="2304"/>
        <w:gridCol w:w="2305"/>
      </w:tblGrid>
      <w:tr w:rsidR="00D02BDC" w:rsidRPr="00000849" w14:paraId="488E0006" w14:textId="77777777" w:rsidTr="00143B7E">
        <w:trPr>
          <w:trHeight w:val="702"/>
          <w:tblHeader/>
        </w:trPr>
        <w:tc>
          <w:tcPr>
            <w:tcW w:w="2193" w:type="pct"/>
            <w:tcBorders>
              <w:left w:val="nil"/>
              <w:bottom w:val="nil"/>
              <w:right w:val="nil"/>
            </w:tcBorders>
            <w:shd w:val="clear" w:color="auto" w:fill="F2F2F2" w:themeFill="background1" w:themeFillShade="F2"/>
            <w:vAlign w:val="center"/>
            <w:hideMark/>
          </w:tcPr>
          <w:p w14:paraId="61B91BBE" w14:textId="656F708E" w:rsidR="00D02BDC" w:rsidRPr="00000849" w:rsidRDefault="00D02BDC" w:rsidP="00F21B9A">
            <w:pPr>
              <w:spacing w:after="0" w:line="240" w:lineRule="auto"/>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Variable</w:t>
            </w:r>
          </w:p>
        </w:tc>
        <w:tc>
          <w:tcPr>
            <w:tcW w:w="1403" w:type="pct"/>
            <w:tcBorders>
              <w:top w:val="nil"/>
              <w:left w:val="nil"/>
              <w:bottom w:val="nil"/>
              <w:right w:val="nil"/>
            </w:tcBorders>
            <w:shd w:val="clear" w:color="auto" w:fill="F2F2F2" w:themeFill="background1" w:themeFillShade="F2"/>
            <w:vAlign w:val="center"/>
            <w:hideMark/>
          </w:tcPr>
          <w:p w14:paraId="156A295C" w14:textId="53134820" w:rsidR="00D02BDC" w:rsidRPr="00000849" w:rsidRDefault="00D02BDC" w:rsidP="00F21B9A">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Wave 1 % (n=4724)</w:t>
            </w:r>
          </w:p>
        </w:tc>
        <w:tc>
          <w:tcPr>
            <w:tcW w:w="1404" w:type="pct"/>
            <w:tcBorders>
              <w:top w:val="nil"/>
              <w:left w:val="nil"/>
              <w:bottom w:val="nil"/>
              <w:right w:val="nil"/>
            </w:tcBorders>
            <w:shd w:val="clear" w:color="auto" w:fill="F2F2F2" w:themeFill="background1" w:themeFillShade="F2"/>
            <w:vAlign w:val="center"/>
            <w:hideMark/>
          </w:tcPr>
          <w:p w14:paraId="24C16007" w14:textId="60EE53A9" w:rsidR="00D02BDC" w:rsidRPr="00000849" w:rsidRDefault="00D02BDC" w:rsidP="00F21B9A">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W2 % (n=3575)</w:t>
            </w:r>
          </w:p>
        </w:tc>
      </w:tr>
      <w:tr w:rsidR="00D02BDC" w:rsidRPr="00000849" w14:paraId="4996D12C" w14:textId="77777777" w:rsidTr="00143B7E">
        <w:trPr>
          <w:trHeight w:val="288"/>
        </w:trPr>
        <w:tc>
          <w:tcPr>
            <w:tcW w:w="2193" w:type="pct"/>
            <w:tcBorders>
              <w:top w:val="nil"/>
              <w:left w:val="nil"/>
              <w:bottom w:val="nil"/>
              <w:right w:val="nil"/>
            </w:tcBorders>
            <w:shd w:val="clear" w:color="auto" w:fill="auto"/>
            <w:vAlign w:val="center"/>
            <w:hideMark/>
          </w:tcPr>
          <w:p w14:paraId="0AA3BD40" w14:textId="3C541DAE"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Sex</w:t>
            </w:r>
          </w:p>
        </w:tc>
        <w:tc>
          <w:tcPr>
            <w:tcW w:w="1403" w:type="pct"/>
            <w:tcBorders>
              <w:top w:val="nil"/>
              <w:left w:val="nil"/>
              <w:bottom w:val="nil"/>
              <w:right w:val="nil"/>
            </w:tcBorders>
            <w:shd w:val="clear" w:color="auto" w:fill="auto"/>
            <w:vAlign w:val="center"/>
            <w:hideMark/>
          </w:tcPr>
          <w:p w14:paraId="469FF646"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01B7B3D9" w14:textId="77777777" w:rsidR="00D02BDC" w:rsidRPr="00000849" w:rsidRDefault="00D02BDC" w:rsidP="00F21B9A">
            <w:pPr>
              <w:spacing w:after="0" w:line="240" w:lineRule="auto"/>
              <w:rPr>
                <w:rFonts w:ascii="Times New Roman" w:eastAsia="Times New Roman" w:hAnsi="Times New Roman" w:cs="Times New Roman"/>
                <w:sz w:val="20"/>
                <w:szCs w:val="20"/>
                <w:lang w:val="en-US"/>
              </w:rPr>
            </w:pPr>
          </w:p>
        </w:tc>
      </w:tr>
      <w:tr w:rsidR="00D02BDC" w:rsidRPr="00000849" w14:paraId="1ED0D1E9" w14:textId="77777777" w:rsidTr="00143B7E">
        <w:trPr>
          <w:trHeight w:val="288"/>
        </w:trPr>
        <w:tc>
          <w:tcPr>
            <w:tcW w:w="2193" w:type="pct"/>
            <w:tcBorders>
              <w:top w:val="nil"/>
              <w:left w:val="nil"/>
              <w:bottom w:val="nil"/>
              <w:right w:val="nil"/>
            </w:tcBorders>
            <w:shd w:val="clear" w:color="auto" w:fill="auto"/>
            <w:noWrap/>
            <w:vAlign w:val="center"/>
            <w:hideMark/>
          </w:tcPr>
          <w:p w14:paraId="39E36B30" w14:textId="5E5672A7" w:rsidR="00D02BDC" w:rsidRPr="00000849" w:rsidRDefault="00D02BDC" w:rsidP="00803293">
            <w:pPr>
              <w:spacing w:after="0" w:line="240" w:lineRule="auto"/>
              <w:ind w:firstLineChars="100" w:firstLine="180"/>
              <w:rPr>
                <w:rFonts w:ascii="Calibri" w:eastAsia="Times New Roman" w:hAnsi="Calibri" w:cs="Calibri"/>
                <w:color w:val="000000"/>
                <w:sz w:val="18"/>
                <w:szCs w:val="18"/>
                <w:lang w:val="en-US"/>
              </w:rPr>
            </w:pPr>
            <w:r w:rsidRPr="00000849">
              <w:rPr>
                <w:rFonts w:ascii="Calibri" w:hAnsi="Calibri" w:cs="Calibri"/>
                <w:color w:val="000000"/>
                <w:sz w:val="18"/>
                <w:szCs w:val="18"/>
              </w:rPr>
              <w:t>Males</w:t>
            </w:r>
          </w:p>
        </w:tc>
        <w:tc>
          <w:tcPr>
            <w:tcW w:w="1403" w:type="pct"/>
            <w:tcBorders>
              <w:top w:val="nil"/>
              <w:left w:val="nil"/>
              <w:bottom w:val="nil"/>
              <w:right w:val="nil"/>
            </w:tcBorders>
            <w:shd w:val="clear" w:color="auto" w:fill="auto"/>
            <w:vAlign w:val="center"/>
            <w:hideMark/>
          </w:tcPr>
          <w:p w14:paraId="6493E0FC" w14:textId="0CB5A62A" w:rsidR="00D02BDC" w:rsidRPr="00000849" w:rsidRDefault="00D02BDC" w:rsidP="00803293">
            <w:pPr>
              <w:spacing w:after="0" w:line="240" w:lineRule="auto"/>
              <w:jc w:val="center"/>
              <w:rPr>
                <w:rFonts w:ascii="Calibri" w:eastAsia="Times New Roman" w:hAnsi="Calibri" w:cs="Calibri"/>
                <w:color w:val="000000"/>
                <w:sz w:val="18"/>
                <w:szCs w:val="18"/>
                <w:lang w:val="en-US"/>
              </w:rPr>
            </w:pPr>
            <w:r w:rsidRPr="00000849">
              <w:rPr>
                <w:rFonts w:ascii="Calibri" w:hAnsi="Calibri" w:cs="Calibri"/>
                <w:color w:val="000000"/>
                <w:sz w:val="18"/>
                <w:szCs w:val="18"/>
              </w:rPr>
              <w:t>49.8</w:t>
            </w:r>
          </w:p>
        </w:tc>
        <w:tc>
          <w:tcPr>
            <w:tcW w:w="1404" w:type="pct"/>
            <w:tcBorders>
              <w:top w:val="nil"/>
              <w:left w:val="nil"/>
              <w:bottom w:val="nil"/>
              <w:right w:val="nil"/>
            </w:tcBorders>
            <w:shd w:val="clear" w:color="auto" w:fill="auto"/>
            <w:vAlign w:val="center"/>
            <w:hideMark/>
          </w:tcPr>
          <w:p w14:paraId="182B0781" w14:textId="33CDF003" w:rsidR="00D02BDC" w:rsidRPr="00000849" w:rsidRDefault="00D02BDC" w:rsidP="00803293">
            <w:pPr>
              <w:spacing w:after="0" w:line="240" w:lineRule="auto"/>
              <w:jc w:val="center"/>
              <w:rPr>
                <w:rFonts w:ascii="Calibri" w:eastAsia="Times New Roman" w:hAnsi="Calibri" w:cs="Calibri"/>
                <w:color w:val="000000"/>
                <w:sz w:val="18"/>
                <w:szCs w:val="18"/>
                <w:lang w:val="en-US"/>
              </w:rPr>
            </w:pPr>
            <w:r w:rsidRPr="00000849">
              <w:rPr>
                <w:rFonts w:ascii="Calibri" w:hAnsi="Calibri" w:cs="Calibri"/>
                <w:color w:val="000000"/>
                <w:sz w:val="18"/>
                <w:szCs w:val="18"/>
              </w:rPr>
              <w:t>46.6</w:t>
            </w:r>
          </w:p>
        </w:tc>
      </w:tr>
      <w:tr w:rsidR="00D02BDC" w:rsidRPr="00000849" w14:paraId="62F8AA32" w14:textId="77777777" w:rsidTr="00143B7E">
        <w:trPr>
          <w:trHeight w:val="288"/>
        </w:trPr>
        <w:tc>
          <w:tcPr>
            <w:tcW w:w="2193" w:type="pct"/>
            <w:tcBorders>
              <w:top w:val="nil"/>
              <w:left w:val="nil"/>
              <w:bottom w:val="nil"/>
              <w:right w:val="nil"/>
            </w:tcBorders>
            <w:shd w:val="clear" w:color="auto" w:fill="auto"/>
            <w:noWrap/>
            <w:vAlign w:val="center"/>
            <w:hideMark/>
          </w:tcPr>
          <w:p w14:paraId="4C119456" w14:textId="1A2E0EB9" w:rsidR="00D02BDC" w:rsidRPr="00000849" w:rsidRDefault="00D02BDC" w:rsidP="00803293">
            <w:pPr>
              <w:spacing w:after="0" w:line="240" w:lineRule="auto"/>
              <w:ind w:firstLineChars="100" w:firstLine="180"/>
              <w:rPr>
                <w:rFonts w:ascii="Calibri" w:eastAsia="Times New Roman" w:hAnsi="Calibri" w:cs="Calibri"/>
                <w:color w:val="000000"/>
                <w:sz w:val="18"/>
                <w:szCs w:val="18"/>
                <w:lang w:val="en-US"/>
              </w:rPr>
            </w:pPr>
            <w:r w:rsidRPr="00000849">
              <w:rPr>
                <w:rFonts w:ascii="Calibri" w:hAnsi="Calibri" w:cs="Calibri"/>
                <w:color w:val="000000"/>
                <w:sz w:val="18"/>
                <w:szCs w:val="18"/>
              </w:rPr>
              <w:t>Females</w:t>
            </w:r>
          </w:p>
        </w:tc>
        <w:tc>
          <w:tcPr>
            <w:tcW w:w="1403" w:type="pct"/>
            <w:tcBorders>
              <w:top w:val="nil"/>
              <w:left w:val="nil"/>
              <w:bottom w:val="nil"/>
              <w:right w:val="nil"/>
            </w:tcBorders>
            <w:shd w:val="clear" w:color="auto" w:fill="auto"/>
            <w:vAlign w:val="center"/>
            <w:hideMark/>
          </w:tcPr>
          <w:p w14:paraId="59748606" w14:textId="786BD01B" w:rsidR="00D02BDC" w:rsidRPr="00000849" w:rsidRDefault="00D02BDC" w:rsidP="00803293">
            <w:pPr>
              <w:spacing w:after="0" w:line="240" w:lineRule="auto"/>
              <w:jc w:val="center"/>
              <w:rPr>
                <w:rFonts w:ascii="Calibri" w:eastAsia="Times New Roman" w:hAnsi="Calibri" w:cs="Calibri"/>
                <w:color w:val="000000"/>
                <w:sz w:val="18"/>
                <w:szCs w:val="18"/>
                <w:lang w:val="en-US"/>
              </w:rPr>
            </w:pPr>
            <w:r w:rsidRPr="00000849">
              <w:rPr>
                <w:rFonts w:ascii="Calibri" w:hAnsi="Calibri" w:cs="Calibri"/>
                <w:color w:val="000000"/>
                <w:sz w:val="18"/>
                <w:szCs w:val="18"/>
              </w:rPr>
              <w:t>50.3</w:t>
            </w:r>
          </w:p>
        </w:tc>
        <w:tc>
          <w:tcPr>
            <w:tcW w:w="1404" w:type="pct"/>
            <w:tcBorders>
              <w:top w:val="nil"/>
              <w:left w:val="nil"/>
              <w:bottom w:val="nil"/>
              <w:right w:val="nil"/>
            </w:tcBorders>
            <w:shd w:val="clear" w:color="auto" w:fill="auto"/>
            <w:vAlign w:val="center"/>
            <w:hideMark/>
          </w:tcPr>
          <w:p w14:paraId="66468BC3" w14:textId="4D53EFCD" w:rsidR="00D02BDC" w:rsidRPr="00000849" w:rsidRDefault="00D02BDC" w:rsidP="00803293">
            <w:pPr>
              <w:spacing w:after="0" w:line="240" w:lineRule="auto"/>
              <w:jc w:val="center"/>
              <w:rPr>
                <w:rFonts w:ascii="Calibri" w:eastAsia="Times New Roman" w:hAnsi="Calibri" w:cs="Calibri"/>
                <w:color w:val="000000"/>
                <w:sz w:val="18"/>
                <w:szCs w:val="18"/>
                <w:lang w:val="en-US"/>
              </w:rPr>
            </w:pPr>
            <w:r w:rsidRPr="00000849">
              <w:rPr>
                <w:rFonts w:ascii="Calibri" w:hAnsi="Calibri" w:cs="Calibri"/>
                <w:color w:val="000000"/>
                <w:sz w:val="18"/>
                <w:szCs w:val="18"/>
              </w:rPr>
              <w:t>53.5</w:t>
            </w:r>
          </w:p>
        </w:tc>
      </w:tr>
      <w:tr w:rsidR="00D02BDC" w:rsidRPr="00000849" w14:paraId="79A41E49" w14:textId="77777777" w:rsidTr="00143B7E">
        <w:trPr>
          <w:trHeight w:val="288"/>
        </w:trPr>
        <w:tc>
          <w:tcPr>
            <w:tcW w:w="2193" w:type="pct"/>
            <w:tcBorders>
              <w:top w:val="nil"/>
              <w:left w:val="nil"/>
              <w:bottom w:val="nil"/>
              <w:right w:val="nil"/>
            </w:tcBorders>
            <w:shd w:val="clear" w:color="auto" w:fill="auto"/>
            <w:vAlign w:val="center"/>
            <w:hideMark/>
          </w:tcPr>
          <w:p w14:paraId="002A78C1"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Age in 3 broad groups</w:t>
            </w:r>
          </w:p>
        </w:tc>
        <w:tc>
          <w:tcPr>
            <w:tcW w:w="1403" w:type="pct"/>
            <w:tcBorders>
              <w:top w:val="nil"/>
              <w:left w:val="nil"/>
              <w:bottom w:val="nil"/>
              <w:right w:val="nil"/>
            </w:tcBorders>
            <w:shd w:val="clear" w:color="auto" w:fill="auto"/>
            <w:vAlign w:val="center"/>
            <w:hideMark/>
          </w:tcPr>
          <w:p w14:paraId="78673D21"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2BA123F6" w14:textId="77777777" w:rsidR="00D02BDC" w:rsidRPr="00000849" w:rsidRDefault="00D02BDC" w:rsidP="00F21B9A">
            <w:pPr>
              <w:spacing w:after="0" w:line="240" w:lineRule="auto"/>
              <w:jc w:val="center"/>
              <w:rPr>
                <w:rFonts w:ascii="Times New Roman" w:eastAsia="Times New Roman" w:hAnsi="Times New Roman" w:cs="Times New Roman"/>
                <w:sz w:val="20"/>
                <w:szCs w:val="20"/>
                <w:lang w:val="en-US"/>
              </w:rPr>
            </w:pPr>
          </w:p>
        </w:tc>
      </w:tr>
      <w:tr w:rsidR="00D02BDC" w:rsidRPr="00000849" w14:paraId="45E98068" w14:textId="77777777" w:rsidTr="00143B7E">
        <w:trPr>
          <w:trHeight w:val="288"/>
        </w:trPr>
        <w:tc>
          <w:tcPr>
            <w:tcW w:w="2193" w:type="pct"/>
            <w:tcBorders>
              <w:top w:val="nil"/>
              <w:left w:val="nil"/>
              <w:bottom w:val="nil"/>
              <w:right w:val="nil"/>
            </w:tcBorders>
            <w:shd w:val="clear" w:color="auto" w:fill="auto"/>
            <w:noWrap/>
            <w:vAlign w:val="center"/>
            <w:hideMark/>
          </w:tcPr>
          <w:p w14:paraId="282ACDCF"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50 - 64</w:t>
            </w:r>
          </w:p>
        </w:tc>
        <w:tc>
          <w:tcPr>
            <w:tcW w:w="1403" w:type="pct"/>
            <w:tcBorders>
              <w:top w:val="nil"/>
              <w:left w:val="nil"/>
              <w:bottom w:val="nil"/>
              <w:right w:val="nil"/>
            </w:tcBorders>
            <w:shd w:val="clear" w:color="auto" w:fill="auto"/>
            <w:vAlign w:val="center"/>
            <w:hideMark/>
          </w:tcPr>
          <w:p w14:paraId="0D263846"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55.2</w:t>
            </w:r>
          </w:p>
        </w:tc>
        <w:tc>
          <w:tcPr>
            <w:tcW w:w="1404" w:type="pct"/>
            <w:tcBorders>
              <w:top w:val="nil"/>
              <w:left w:val="nil"/>
              <w:bottom w:val="nil"/>
              <w:right w:val="nil"/>
            </w:tcBorders>
            <w:shd w:val="clear" w:color="auto" w:fill="auto"/>
            <w:vAlign w:val="center"/>
            <w:hideMark/>
          </w:tcPr>
          <w:p w14:paraId="0E498024"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64.3</w:t>
            </w:r>
          </w:p>
        </w:tc>
      </w:tr>
      <w:tr w:rsidR="00D02BDC" w:rsidRPr="00000849" w14:paraId="25D37A56" w14:textId="77777777" w:rsidTr="00143B7E">
        <w:trPr>
          <w:trHeight w:val="288"/>
        </w:trPr>
        <w:tc>
          <w:tcPr>
            <w:tcW w:w="2193" w:type="pct"/>
            <w:tcBorders>
              <w:top w:val="nil"/>
              <w:left w:val="nil"/>
              <w:bottom w:val="nil"/>
              <w:right w:val="nil"/>
            </w:tcBorders>
            <w:shd w:val="clear" w:color="auto" w:fill="auto"/>
            <w:noWrap/>
            <w:vAlign w:val="center"/>
            <w:hideMark/>
          </w:tcPr>
          <w:p w14:paraId="29EFFDEF"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65 - 74</w:t>
            </w:r>
          </w:p>
        </w:tc>
        <w:tc>
          <w:tcPr>
            <w:tcW w:w="1403" w:type="pct"/>
            <w:tcBorders>
              <w:top w:val="nil"/>
              <w:left w:val="nil"/>
              <w:bottom w:val="nil"/>
              <w:right w:val="nil"/>
            </w:tcBorders>
            <w:shd w:val="clear" w:color="auto" w:fill="auto"/>
            <w:vAlign w:val="center"/>
            <w:hideMark/>
          </w:tcPr>
          <w:p w14:paraId="76ED7FBB"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26.9</w:t>
            </w:r>
          </w:p>
        </w:tc>
        <w:tc>
          <w:tcPr>
            <w:tcW w:w="1404" w:type="pct"/>
            <w:tcBorders>
              <w:top w:val="nil"/>
              <w:left w:val="nil"/>
              <w:bottom w:val="nil"/>
              <w:right w:val="nil"/>
            </w:tcBorders>
            <w:shd w:val="clear" w:color="auto" w:fill="auto"/>
            <w:vAlign w:val="center"/>
            <w:hideMark/>
          </w:tcPr>
          <w:p w14:paraId="104A14D5"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19.7</w:t>
            </w:r>
          </w:p>
        </w:tc>
      </w:tr>
      <w:tr w:rsidR="00D02BDC" w:rsidRPr="00000849" w14:paraId="1ED79DCD" w14:textId="77777777" w:rsidTr="00143B7E">
        <w:trPr>
          <w:trHeight w:val="288"/>
        </w:trPr>
        <w:tc>
          <w:tcPr>
            <w:tcW w:w="2193" w:type="pct"/>
            <w:tcBorders>
              <w:top w:val="nil"/>
              <w:left w:val="nil"/>
              <w:bottom w:val="nil"/>
              <w:right w:val="nil"/>
            </w:tcBorders>
            <w:shd w:val="clear" w:color="auto" w:fill="auto"/>
            <w:noWrap/>
            <w:vAlign w:val="center"/>
            <w:hideMark/>
          </w:tcPr>
          <w:p w14:paraId="3D08FC46"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75-plus</w:t>
            </w:r>
          </w:p>
        </w:tc>
        <w:tc>
          <w:tcPr>
            <w:tcW w:w="1403" w:type="pct"/>
            <w:tcBorders>
              <w:top w:val="nil"/>
              <w:left w:val="nil"/>
              <w:bottom w:val="nil"/>
              <w:right w:val="nil"/>
            </w:tcBorders>
            <w:shd w:val="clear" w:color="auto" w:fill="auto"/>
            <w:vAlign w:val="center"/>
            <w:hideMark/>
          </w:tcPr>
          <w:p w14:paraId="1CC2EAC4"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18.0</w:t>
            </w:r>
          </w:p>
        </w:tc>
        <w:tc>
          <w:tcPr>
            <w:tcW w:w="1404" w:type="pct"/>
            <w:tcBorders>
              <w:top w:val="nil"/>
              <w:left w:val="nil"/>
              <w:bottom w:val="nil"/>
              <w:right w:val="nil"/>
            </w:tcBorders>
            <w:shd w:val="clear" w:color="auto" w:fill="auto"/>
            <w:vAlign w:val="center"/>
            <w:hideMark/>
          </w:tcPr>
          <w:p w14:paraId="7CB512CD"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16.0</w:t>
            </w:r>
          </w:p>
        </w:tc>
      </w:tr>
      <w:tr w:rsidR="00D02BDC" w:rsidRPr="00000849" w14:paraId="73A9DC90" w14:textId="77777777" w:rsidTr="00143B7E">
        <w:trPr>
          <w:trHeight w:val="288"/>
        </w:trPr>
        <w:tc>
          <w:tcPr>
            <w:tcW w:w="2193" w:type="pct"/>
            <w:tcBorders>
              <w:top w:val="nil"/>
              <w:left w:val="nil"/>
              <w:bottom w:val="nil"/>
              <w:right w:val="nil"/>
            </w:tcBorders>
            <w:shd w:val="clear" w:color="auto" w:fill="auto"/>
            <w:vAlign w:val="center"/>
            <w:hideMark/>
          </w:tcPr>
          <w:p w14:paraId="50CD946B"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Type of residence</w:t>
            </w:r>
          </w:p>
        </w:tc>
        <w:tc>
          <w:tcPr>
            <w:tcW w:w="1403" w:type="pct"/>
            <w:tcBorders>
              <w:top w:val="nil"/>
              <w:left w:val="nil"/>
              <w:bottom w:val="nil"/>
              <w:right w:val="nil"/>
            </w:tcBorders>
            <w:shd w:val="clear" w:color="auto" w:fill="auto"/>
            <w:vAlign w:val="center"/>
            <w:hideMark/>
          </w:tcPr>
          <w:p w14:paraId="79C3A9A1"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624F80BE" w14:textId="77777777" w:rsidR="00D02BDC" w:rsidRPr="00000849" w:rsidRDefault="00D02BDC" w:rsidP="00F21B9A">
            <w:pPr>
              <w:spacing w:after="0" w:line="240" w:lineRule="auto"/>
              <w:rPr>
                <w:rFonts w:ascii="Times New Roman" w:eastAsia="Times New Roman" w:hAnsi="Times New Roman" w:cs="Times New Roman"/>
                <w:sz w:val="20"/>
                <w:szCs w:val="20"/>
                <w:lang w:val="en-US"/>
              </w:rPr>
            </w:pPr>
          </w:p>
        </w:tc>
      </w:tr>
      <w:tr w:rsidR="00D02BDC" w:rsidRPr="00000849" w14:paraId="25E6E01F" w14:textId="77777777" w:rsidTr="00143B7E">
        <w:trPr>
          <w:trHeight w:val="288"/>
        </w:trPr>
        <w:tc>
          <w:tcPr>
            <w:tcW w:w="2193" w:type="pct"/>
            <w:tcBorders>
              <w:top w:val="nil"/>
              <w:left w:val="nil"/>
              <w:bottom w:val="nil"/>
              <w:right w:val="nil"/>
            </w:tcBorders>
            <w:shd w:val="clear" w:color="auto" w:fill="auto"/>
            <w:noWrap/>
            <w:vAlign w:val="center"/>
            <w:hideMark/>
          </w:tcPr>
          <w:p w14:paraId="567F750D"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Rural</w:t>
            </w:r>
          </w:p>
        </w:tc>
        <w:tc>
          <w:tcPr>
            <w:tcW w:w="1403" w:type="pct"/>
            <w:tcBorders>
              <w:top w:val="nil"/>
              <w:left w:val="nil"/>
              <w:bottom w:val="nil"/>
              <w:right w:val="nil"/>
            </w:tcBorders>
            <w:shd w:val="clear" w:color="auto" w:fill="auto"/>
            <w:vAlign w:val="center"/>
            <w:hideMark/>
          </w:tcPr>
          <w:p w14:paraId="72BA647D"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59.4</w:t>
            </w:r>
          </w:p>
        </w:tc>
        <w:tc>
          <w:tcPr>
            <w:tcW w:w="1404" w:type="pct"/>
            <w:tcBorders>
              <w:top w:val="nil"/>
              <w:left w:val="nil"/>
              <w:bottom w:val="nil"/>
              <w:right w:val="nil"/>
            </w:tcBorders>
            <w:shd w:val="clear" w:color="auto" w:fill="auto"/>
            <w:vAlign w:val="center"/>
            <w:hideMark/>
          </w:tcPr>
          <w:p w14:paraId="73ADF768"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51.5</w:t>
            </w:r>
          </w:p>
        </w:tc>
      </w:tr>
      <w:tr w:rsidR="00D02BDC" w:rsidRPr="00000849" w14:paraId="61B19BDB" w14:textId="77777777" w:rsidTr="00143B7E">
        <w:trPr>
          <w:trHeight w:val="288"/>
        </w:trPr>
        <w:tc>
          <w:tcPr>
            <w:tcW w:w="2193" w:type="pct"/>
            <w:tcBorders>
              <w:top w:val="nil"/>
              <w:left w:val="nil"/>
              <w:bottom w:val="nil"/>
              <w:right w:val="nil"/>
            </w:tcBorders>
            <w:shd w:val="clear" w:color="auto" w:fill="auto"/>
            <w:noWrap/>
            <w:vAlign w:val="center"/>
            <w:hideMark/>
          </w:tcPr>
          <w:p w14:paraId="2530C674"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Urban</w:t>
            </w:r>
          </w:p>
        </w:tc>
        <w:tc>
          <w:tcPr>
            <w:tcW w:w="1403" w:type="pct"/>
            <w:tcBorders>
              <w:top w:val="nil"/>
              <w:left w:val="nil"/>
              <w:bottom w:val="nil"/>
              <w:right w:val="nil"/>
            </w:tcBorders>
            <w:shd w:val="clear" w:color="auto" w:fill="auto"/>
            <w:vAlign w:val="center"/>
            <w:hideMark/>
          </w:tcPr>
          <w:p w14:paraId="5B3A04AA"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40.6</w:t>
            </w:r>
          </w:p>
        </w:tc>
        <w:tc>
          <w:tcPr>
            <w:tcW w:w="1404" w:type="pct"/>
            <w:tcBorders>
              <w:top w:val="nil"/>
              <w:left w:val="nil"/>
              <w:bottom w:val="nil"/>
              <w:right w:val="nil"/>
            </w:tcBorders>
            <w:shd w:val="clear" w:color="auto" w:fill="auto"/>
            <w:vAlign w:val="center"/>
            <w:hideMark/>
          </w:tcPr>
          <w:p w14:paraId="5BD1D442"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48.5</w:t>
            </w:r>
          </w:p>
        </w:tc>
      </w:tr>
      <w:tr w:rsidR="00D02BDC" w:rsidRPr="00000849" w14:paraId="6212B6EA" w14:textId="77777777" w:rsidTr="00143B7E">
        <w:trPr>
          <w:trHeight w:val="288"/>
        </w:trPr>
        <w:tc>
          <w:tcPr>
            <w:tcW w:w="2193" w:type="pct"/>
            <w:tcBorders>
              <w:top w:val="nil"/>
              <w:left w:val="nil"/>
              <w:bottom w:val="nil"/>
              <w:right w:val="nil"/>
            </w:tcBorders>
            <w:shd w:val="clear" w:color="auto" w:fill="auto"/>
            <w:vAlign w:val="center"/>
            <w:hideMark/>
          </w:tcPr>
          <w:p w14:paraId="0685BA8D"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Regional Groups</w:t>
            </w:r>
          </w:p>
        </w:tc>
        <w:tc>
          <w:tcPr>
            <w:tcW w:w="1403" w:type="pct"/>
            <w:tcBorders>
              <w:top w:val="nil"/>
              <w:left w:val="nil"/>
              <w:bottom w:val="nil"/>
              <w:right w:val="nil"/>
            </w:tcBorders>
            <w:shd w:val="clear" w:color="auto" w:fill="auto"/>
            <w:vAlign w:val="center"/>
            <w:hideMark/>
          </w:tcPr>
          <w:p w14:paraId="53527861"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1DE1142E" w14:textId="77777777" w:rsidR="00D02BDC" w:rsidRPr="00000849" w:rsidRDefault="00D02BDC" w:rsidP="00F21B9A">
            <w:pPr>
              <w:spacing w:after="0" w:line="240" w:lineRule="auto"/>
              <w:rPr>
                <w:rFonts w:ascii="Times New Roman" w:eastAsia="Times New Roman" w:hAnsi="Times New Roman" w:cs="Times New Roman"/>
                <w:sz w:val="20"/>
                <w:szCs w:val="20"/>
                <w:lang w:val="en-US"/>
              </w:rPr>
            </w:pPr>
          </w:p>
        </w:tc>
      </w:tr>
      <w:tr w:rsidR="00D02BDC" w:rsidRPr="00000849" w14:paraId="5A60A00B" w14:textId="77777777" w:rsidTr="00143B7E">
        <w:trPr>
          <w:trHeight w:val="288"/>
        </w:trPr>
        <w:tc>
          <w:tcPr>
            <w:tcW w:w="2193" w:type="pct"/>
            <w:tcBorders>
              <w:top w:val="nil"/>
              <w:left w:val="nil"/>
              <w:bottom w:val="nil"/>
              <w:right w:val="nil"/>
            </w:tcBorders>
            <w:shd w:val="clear" w:color="auto" w:fill="auto"/>
            <w:noWrap/>
            <w:vAlign w:val="center"/>
            <w:hideMark/>
          </w:tcPr>
          <w:p w14:paraId="03002AB8"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Northern regions</w:t>
            </w:r>
          </w:p>
        </w:tc>
        <w:tc>
          <w:tcPr>
            <w:tcW w:w="1403" w:type="pct"/>
            <w:tcBorders>
              <w:top w:val="nil"/>
              <w:left w:val="nil"/>
              <w:bottom w:val="nil"/>
              <w:right w:val="nil"/>
            </w:tcBorders>
            <w:shd w:val="clear" w:color="auto" w:fill="auto"/>
            <w:vAlign w:val="center"/>
            <w:hideMark/>
          </w:tcPr>
          <w:p w14:paraId="3873840D"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18.1</w:t>
            </w:r>
          </w:p>
        </w:tc>
        <w:tc>
          <w:tcPr>
            <w:tcW w:w="1404" w:type="pct"/>
            <w:tcBorders>
              <w:top w:val="nil"/>
              <w:left w:val="nil"/>
              <w:bottom w:val="nil"/>
              <w:right w:val="nil"/>
            </w:tcBorders>
            <w:shd w:val="clear" w:color="auto" w:fill="auto"/>
            <w:vAlign w:val="center"/>
            <w:hideMark/>
          </w:tcPr>
          <w:p w14:paraId="429DAAD6"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16.7</w:t>
            </w:r>
          </w:p>
        </w:tc>
      </w:tr>
      <w:tr w:rsidR="00D02BDC" w:rsidRPr="00000849" w14:paraId="3A14CD0E" w14:textId="77777777" w:rsidTr="00143B7E">
        <w:trPr>
          <w:trHeight w:val="288"/>
        </w:trPr>
        <w:tc>
          <w:tcPr>
            <w:tcW w:w="2193" w:type="pct"/>
            <w:tcBorders>
              <w:top w:val="nil"/>
              <w:left w:val="nil"/>
              <w:bottom w:val="nil"/>
              <w:right w:val="nil"/>
            </w:tcBorders>
            <w:shd w:val="clear" w:color="auto" w:fill="auto"/>
            <w:noWrap/>
            <w:vAlign w:val="center"/>
            <w:hideMark/>
          </w:tcPr>
          <w:p w14:paraId="47E8A980"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Other regions</w:t>
            </w:r>
          </w:p>
        </w:tc>
        <w:tc>
          <w:tcPr>
            <w:tcW w:w="1403" w:type="pct"/>
            <w:tcBorders>
              <w:top w:val="nil"/>
              <w:left w:val="nil"/>
              <w:bottom w:val="nil"/>
              <w:right w:val="nil"/>
            </w:tcBorders>
            <w:shd w:val="clear" w:color="auto" w:fill="auto"/>
            <w:vAlign w:val="center"/>
            <w:hideMark/>
          </w:tcPr>
          <w:p w14:paraId="43BB75BB"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68.7</w:t>
            </w:r>
          </w:p>
        </w:tc>
        <w:tc>
          <w:tcPr>
            <w:tcW w:w="1404" w:type="pct"/>
            <w:tcBorders>
              <w:top w:val="nil"/>
              <w:left w:val="nil"/>
              <w:bottom w:val="nil"/>
              <w:right w:val="nil"/>
            </w:tcBorders>
            <w:shd w:val="clear" w:color="auto" w:fill="auto"/>
            <w:vAlign w:val="center"/>
            <w:hideMark/>
          </w:tcPr>
          <w:p w14:paraId="09A065CC"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68.9</w:t>
            </w:r>
          </w:p>
        </w:tc>
      </w:tr>
      <w:tr w:rsidR="00D02BDC" w:rsidRPr="00000849" w14:paraId="506BA935" w14:textId="77777777" w:rsidTr="00143B7E">
        <w:trPr>
          <w:trHeight w:val="288"/>
        </w:trPr>
        <w:tc>
          <w:tcPr>
            <w:tcW w:w="2193" w:type="pct"/>
            <w:tcBorders>
              <w:top w:val="nil"/>
              <w:left w:val="nil"/>
              <w:bottom w:val="nil"/>
              <w:right w:val="nil"/>
            </w:tcBorders>
            <w:shd w:val="clear" w:color="auto" w:fill="auto"/>
            <w:noWrap/>
            <w:vAlign w:val="center"/>
            <w:hideMark/>
          </w:tcPr>
          <w:p w14:paraId="4B0B5812"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Greater Accra Region</w:t>
            </w:r>
          </w:p>
        </w:tc>
        <w:tc>
          <w:tcPr>
            <w:tcW w:w="1403" w:type="pct"/>
            <w:tcBorders>
              <w:top w:val="nil"/>
              <w:left w:val="nil"/>
              <w:bottom w:val="nil"/>
              <w:right w:val="nil"/>
            </w:tcBorders>
            <w:shd w:val="clear" w:color="auto" w:fill="auto"/>
            <w:vAlign w:val="center"/>
            <w:hideMark/>
          </w:tcPr>
          <w:p w14:paraId="0D3E770B"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13.2</w:t>
            </w:r>
          </w:p>
        </w:tc>
        <w:tc>
          <w:tcPr>
            <w:tcW w:w="1404" w:type="pct"/>
            <w:tcBorders>
              <w:top w:val="nil"/>
              <w:left w:val="nil"/>
              <w:bottom w:val="nil"/>
              <w:right w:val="nil"/>
            </w:tcBorders>
            <w:shd w:val="clear" w:color="auto" w:fill="auto"/>
            <w:vAlign w:val="center"/>
            <w:hideMark/>
          </w:tcPr>
          <w:p w14:paraId="3069A5EE"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14.5</w:t>
            </w:r>
          </w:p>
        </w:tc>
      </w:tr>
      <w:tr w:rsidR="00D02BDC" w:rsidRPr="00000849" w14:paraId="51D3C687" w14:textId="77777777" w:rsidTr="00143B7E">
        <w:trPr>
          <w:trHeight w:val="288"/>
        </w:trPr>
        <w:tc>
          <w:tcPr>
            <w:tcW w:w="2193" w:type="pct"/>
            <w:tcBorders>
              <w:top w:val="nil"/>
              <w:left w:val="nil"/>
              <w:bottom w:val="nil"/>
              <w:right w:val="nil"/>
            </w:tcBorders>
            <w:shd w:val="clear" w:color="auto" w:fill="auto"/>
            <w:vAlign w:val="center"/>
            <w:hideMark/>
          </w:tcPr>
          <w:p w14:paraId="4D473975"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Ethnicity</w:t>
            </w:r>
          </w:p>
        </w:tc>
        <w:tc>
          <w:tcPr>
            <w:tcW w:w="1403" w:type="pct"/>
            <w:tcBorders>
              <w:top w:val="nil"/>
              <w:left w:val="nil"/>
              <w:bottom w:val="nil"/>
              <w:right w:val="nil"/>
            </w:tcBorders>
            <w:shd w:val="clear" w:color="auto" w:fill="auto"/>
            <w:vAlign w:val="center"/>
            <w:hideMark/>
          </w:tcPr>
          <w:p w14:paraId="40742A3A"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4384BC0D" w14:textId="77777777" w:rsidR="00D02BDC" w:rsidRPr="00000849" w:rsidRDefault="00D02BDC" w:rsidP="00F21B9A">
            <w:pPr>
              <w:spacing w:after="0" w:line="240" w:lineRule="auto"/>
              <w:rPr>
                <w:rFonts w:ascii="Times New Roman" w:eastAsia="Times New Roman" w:hAnsi="Times New Roman" w:cs="Times New Roman"/>
                <w:sz w:val="20"/>
                <w:szCs w:val="20"/>
                <w:lang w:val="en-US"/>
              </w:rPr>
            </w:pPr>
          </w:p>
        </w:tc>
      </w:tr>
      <w:tr w:rsidR="00D02BDC" w:rsidRPr="00000849" w14:paraId="5935037A" w14:textId="77777777" w:rsidTr="00143B7E">
        <w:trPr>
          <w:trHeight w:val="288"/>
        </w:trPr>
        <w:tc>
          <w:tcPr>
            <w:tcW w:w="2193" w:type="pct"/>
            <w:tcBorders>
              <w:top w:val="nil"/>
              <w:left w:val="nil"/>
              <w:bottom w:val="nil"/>
              <w:right w:val="nil"/>
            </w:tcBorders>
            <w:shd w:val="clear" w:color="auto" w:fill="auto"/>
            <w:noWrap/>
            <w:vAlign w:val="center"/>
            <w:hideMark/>
          </w:tcPr>
          <w:p w14:paraId="44740DE6"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Northern groups</w:t>
            </w:r>
          </w:p>
        </w:tc>
        <w:tc>
          <w:tcPr>
            <w:tcW w:w="1403" w:type="pct"/>
            <w:tcBorders>
              <w:top w:val="nil"/>
              <w:left w:val="nil"/>
              <w:bottom w:val="nil"/>
              <w:right w:val="nil"/>
            </w:tcBorders>
            <w:shd w:val="clear" w:color="auto" w:fill="auto"/>
            <w:vAlign w:val="center"/>
            <w:hideMark/>
          </w:tcPr>
          <w:p w14:paraId="3345F6C3"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10.8</w:t>
            </w:r>
          </w:p>
        </w:tc>
        <w:tc>
          <w:tcPr>
            <w:tcW w:w="1404" w:type="pct"/>
            <w:tcBorders>
              <w:top w:val="nil"/>
              <w:left w:val="nil"/>
              <w:bottom w:val="nil"/>
              <w:right w:val="nil"/>
            </w:tcBorders>
            <w:shd w:val="clear" w:color="auto" w:fill="auto"/>
            <w:vAlign w:val="center"/>
            <w:hideMark/>
          </w:tcPr>
          <w:p w14:paraId="1E187840"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27.5</w:t>
            </w:r>
          </w:p>
        </w:tc>
      </w:tr>
      <w:tr w:rsidR="00D02BDC" w:rsidRPr="00000849" w14:paraId="6AC5D4B5" w14:textId="77777777" w:rsidTr="00143B7E">
        <w:trPr>
          <w:trHeight w:val="288"/>
        </w:trPr>
        <w:tc>
          <w:tcPr>
            <w:tcW w:w="2193" w:type="pct"/>
            <w:tcBorders>
              <w:top w:val="nil"/>
              <w:left w:val="nil"/>
              <w:bottom w:val="nil"/>
              <w:right w:val="nil"/>
            </w:tcBorders>
            <w:shd w:val="clear" w:color="auto" w:fill="auto"/>
            <w:vAlign w:val="center"/>
            <w:hideMark/>
          </w:tcPr>
          <w:p w14:paraId="61D34718"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Akan</w:t>
            </w:r>
          </w:p>
        </w:tc>
        <w:tc>
          <w:tcPr>
            <w:tcW w:w="1403" w:type="pct"/>
            <w:tcBorders>
              <w:top w:val="nil"/>
              <w:left w:val="nil"/>
              <w:bottom w:val="nil"/>
              <w:right w:val="nil"/>
            </w:tcBorders>
            <w:shd w:val="clear" w:color="auto" w:fill="auto"/>
            <w:vAlign w:val="center"/>
            <w:hideMark/>
          </w:tcPr>
          <w:p w14:paraId="015B5384"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48.7</w:t>
            </w:r>
          </w:p>
        </w:tc>
        <w:tc>
          <w:tcPr>
            <w:tcW w:w="1404" w:type="pct"/>
            <w:tcBorders>
              <w:top w:val="nil"/>
              <w:left w:val="nil"/>
              <w:bottom w:val="nil"/>
              <w:right w:val="nil"/>
            </w:tcBorders>
            <w:shd w:val="clear" w:color="auto" w:fill="auto"/>
            <w:vAlign w:val="center"/>
            <w:hideMark/>
          </w:tcPr>
          <w:p w14:paraId="279FA2BB"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45.5</w:t>
            </w:r>
          </w:p>
        </w:tc>
      </w:tr>
      <w:tr w:rsidR="00D02BDC" w:rsidRPr="00000849" w14:paraId="246DE830" w14:textId="77777777" w:rsidTr="00143B7E">
        <w:trPr>
          <w:trHeight w:val="288"/>
        </w:trPr>
        <w:tc>
          <w:tcPr>
            <w:tcW w:w="2193" w:type="pct"/>
            <w:tcBorders>
              <w:top w:val="nil"/>
              <w:left w:val="nil"/>
              <w:bottom w:val="nil"/>
              <w:right w:val="nil"/>
            </w:tcBorders>
            <w:shd w:val="clear" w:color="auto" w:fill="auto"/>
            <w:vAlign w:val="center"/>
            <w:hideMark/>
          </w:tcPr>
          <w:p w14:paraId="427E0828"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Ga-Adangme</w:t>
            </w:r>
          </w:p>
        </w:tc>
        <w:tc>
          <w:tcPr>
            <w:tcW w:w="1403" w:type="pct"/>
            <w:tcBorders>
              <w:top w:val="nil"/>
              <w:left w:val="nil"/>
              <w:bottom w:val="nil"/>
              <w:right w:val="nil"/>
            </w:tcBorders>
            <w:shd w:val="clear" w:color="auto" w:fill="auto"/>
            <w:vAlign w:val="center"/>
            <w:hideMark/>
          </w:tcPr>
          <w:p w14:paraId="780BCFA7"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10.5</w:t>
            </w:r>
          </w:p>
        </w:tc>
        <w:tc>
          <w:tcPr>
            <w:tcW w:w="1404" w:type="pct"/>
            <w:tcBorders>
              <w:top w:val="nil"/>
              <w:left w:val="nil"/>
              <w:bottom w:val="nil"/>
              <w:right w:val="nil"/>
            </w:tcBorders>
            <w:shd w:val="clear" w:color="auto" w:fill="auto"/>
            <w:vAlign w:val="center"/>
            <w:hideMark/>
          </w:tcPr>
          <w:p w14:paraId="782A33CC"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14.7</w:t>
            </w:r>
          </w:p>
        </w:tc>
      </w:tr>
      <w:tr w:rsidR="00D02BDC" w:rsidRPr="00000849" w14:paraId="2BF84A63" w14:textId="77777777" w:rsidTr="00143B7E">
        <w:trPr>
          <w:trHeight w:val="288"/>
        </w:trPr>
        <w:tc>
          <w:tcPr>
            <w:tcW w:w="2193" w:type="pct"/>
            <w:tcBorders>
              <w:top w:val="nil"/>
              <w:left w:val="nil"/>
              <w:bottom w:val="nil"/>
              <w:right w:val="nil"/>
            </w:tcBorders>
            <w:shd w:val="clear" w:color="auto" w:fill="auto"/>
            <w:vAlign w:val="center"/>
            <w:hideMark/>
          </w:tcPr>
          <w:p w14:paraId="27712C51"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Others</w:t>
            </w:r>
          </w:p>
        </w:tc>
        <w:tc>
          <w:tcPr>
            <w:tcW w:w="1403" w:type="pct"/>
            <w:tcBorders>
              <w:top w:val="nil"/>
              <w:left w:val="nil"/>
              <w:bottom w:val="nil"/>
              <w:right w:val="nil"/>
            </w:tcBorders>
            <w:shd w:val="clear" w:color="auto" w:fill="auto"/>
            <w:vAlign w:val="center"/>
            <w:hideMark/>
          </w:tcPr>
          <w:p w14:paraId="3BBDDFB7"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30.0</w:t>
            </w:r>
          </w:p>
        </w:tc>
        <w:tc>
          <w:tcPr>
            <w:tcW w:w="1404" w:type="pct"/>
            <w:tcBorders>
              <w:top w:val="nil"/>
              <w:left w:val="nil"/>
              <w:bottom w:val="nil"/>
              <w:right w:val="nil"/>
            </w:tcBorders>
            <w:shd w:val="clear" w:color="auto" w:fill="auto"/>
            <w:vAlign w:val="center"/>
            <w:hideMark/>
          </w:tcPr>
          <w:p w14:paraId="7E3C4379"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12.3</w:t>
            </w:r>
          </w:p>
        </w:tc>
      </w:tr>
      <w:tr w:rsidR="00D02BDC" w:rsidRPr="00000849" w14:paraId="162484A3" w14:textId="77777777" w:rsidTr="00143B7E">
        <w:trPr>
          <w:trHeight w:val="288"/>
        </w:trPr>
        <w:tc>
          <w:tcPr>
            <w:tcW w:w="2193" w:type="pct"/>
            <w:tcBorders>
              <w:top w:val="nil"/>
              <w:left w:val="nil"/>
              <w:bottom w:val="nil"/>
              <w:right w:val="nil"/>
            </w:tcBorders>
            <w:shd w:val="clear" w:color="auto" w:fill="auto"/>
            <w:vAlign w:val="center"/>
            <w:hideMark/>
          </w:tcPr>
          <w:p w14:paraId="6F4A89DC"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Marital status group</w:t>
            </w:r>
          </w:p>
        </w:tc>
        <w:tc>
          <w:tcPr>
            <w:tcW w:w="1403" w:type="pct"/>
            <w:tcBorders>
              <w:top w:val="nil"/>
              <w:left w:val="nil"/>
              <w:bottom w:val="nil"/>
              <w:right w:val="nil"/>
            </w:tcBorders>
            <w:shd w:val="clear" w:color="auto" w:fill="auto"/>
            <w:vAlign w:val="center"/>
            <w:hideMark/>
          </w:tcPr>
          <w:p w14:paraId="1997AB38"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6A904534" w14:textId="77777777" w:rsidR="00D02BDC" w:rsidRPr="00000849" w:rsidRDefault="00D02BDC" w:rsidP="00F21B9A">
            <w:pPr>
              <w:spacing w:after="0" w:line="240" w:lineRule="auto"/>
              <w:rPr>
                <w:rFonts w:ascii="Times New Roman" w:eastAsia="Times New Roman" w:hAnsi="Times New Roman" w:cs="Times New Roman"/>
                <w:sz w:val="20"/>
                <w:szCs w:val="20"/>
                <w:lang w:val="en-US"/>
              </w:rPr>
            </w:pPr>
          </w:p>
        </w:tc>
      </w:tr>
      <w:tr w:rsidR="00D02BDC" w:rsidRPr="00000849" w14:paraId="76752491" w14:textId="77777777" w:rsidTr="00143B7E">
        <w:trPr>
          <w:trHeight w:val="480"/>
        </w:trPr>
        <w:tc>
          <w:tcPr>
            <w:tcW w:w="2193" w:type="pct"/>
            <w:tcBorders>
              <w:top w:val="nil"/>
              <w:left w:val="nil"/>
              <w:bottom w:val="nil"/>
              <w:right w:val="nil"/>
            </w:tcBorders>
            <w:shd w:val="clear" w:color="auto" w:fill="auto"/>
            <w:vAlign w:val="center"/>
            <w:hideMark/>
          </w:tcPr>
          <w:p w14:paraId="120114FE"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Currently married or cohabiting</w:t>
            </w:r>
          </w:p>
        </w:tc>
        <w:tc>
          <w:tcPr>
            <w:tcW w:w="1403" w:type="pct"/>
            <w:tcBorders>
              <w:top w:val="nil"/>
              <w:left w:val="nil"/>
              <w:bottom w:val="nil"/>
              <w:right w:val="nil"/>
            </w:tcBorders>
            <w:shd w:val="clear" w:color="auto" w:fill="auto"/>
            <w:vAlign w:val="center"/>
            <w:hideMark/>
          </w:tcPr>
          <w:p w14:paraId="4E8F1B74"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60.6</w:t>
            </w:r>
          </w:p>
        </w:tc>
        <w:tc>
          <w:tcPr>
            <w:tcW w:w="1404" w:type="pct"/>
            <w:tcBorders>
              <w:top w:val="nil"/>
              <w:left w:val="nil"/>
              <w:bottom w:val="nil"/>
              <w:right w:val="nil"/>
            </w:tcBorders>
            <w:shd w:val="clear" w:color="auto" w:fill="auto"/>
            <w:vAlign w:val="center"/>
            <w:hideMark/>
          </w:tcPr>
          <w:p w14:paraId="631D2068"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62.6</w:t>
            </w:r>
          </w:p>
        </w:tc>
      </w:tr>
      <w:tr w:rsidR="00D02BDC" w:rsidRPr="00000849" w14:paraId="5E4C6BE0" w14:textId="77777777" w:rsidTr="00143B7E">
        <w:trPr>
          <w:trHeight w:val="288"/>
        </w:trPr>
        <w:tc>
          <w:tcPr>
            <w:tcW w:w="2193" w:type="pct"/>
            <w:tcBorders>
              <w:top w:val="nil"/>
              <w:left w:val="nil"/>
              <w:bottom w:val="nil"/>
              <w:right w:val="nil"/>
            </w:tcBorders>
            <w:shd w:val="clear" w:color="auto" w:fill="auto"/>
            <w:vAlign w:val="center"/>
            <w:hideMark/>
          </w:tcPr>
          <w:p w14:paraId="0708BE06"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Previously or never married</w:t>
            </w:r>
          </w:p>
        </w:tc>
        <w:tc>
          <w:tcPr>
            <w:tcW w:w="1403" w:type="pct"/>
            <w:tcBorders>
              <w:top w:val="nil"/>
              <w:left w:val="nil"/>
              <w:bottom w:val="nil"/>
              <w:right w:val="nil"/>
            </w:tcBorders>
            <w:shd w:val="clear" w:color="auto" w:fill="auto"/>
            <w:vAlign w:val="center"/>
            <w:hideMark/>
          </w:tcPr>
          <w:p w14:paraId="756E9CA8"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39.4</w:t>
            </w:r>
          </w:p>
        </w:tc>
        <w:tc>
          <w:tcPr>
            <w:tcW w:w="1404" w:type="pct"/>
            <w:tcBorders>
              <w:top w:val="nil"/>
              <w:left w:val="nil"/>
              <w:bottom w:val="nil"/>
              <w:right w:val="nil"/>
            </w:tcBorders>
            <w:shd w:val="clear" w:color="auto" w:fill="auto"/>
            <w:vAlign w:val="center"/>
            <w:hideMark/>
          </w:tcPr>
          <w:p w14:paraId="2F7CC6E1"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37.4</w:t>
            </w:r>
          </w:p>
        </w:tc>
      </w:tr>
      <w:tr w:rsidR="00D02BDC" w:rsidRPr="00000849" w14:paraId="7323D98C" w14:textId="77777777" w:rsidTr="00143B7E">
        <w:trPr>
          <w:trHeight w:val="288"/>
        </w:trPr>
        <w:tc>
          <w:tcPr>
            <w:tcW w:w="2193" w:type="pct"/>
            <w:tcBorders>
              <w:top w:val="nil"/>
              <w:left w:val="nil"/>
              <w:bottom w:val="nil"/>
              <w:right w:val="nil"/>
            </w:tcBorders>
            <w:shd w:val="clear" w:color="auto" w:fill="auto"/>
            <w:vAlign w:val="center"/>
            <w:hideMark/>
          </w:tcPr>
          <w:p w14:paraId="34D34FB0"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Educational level</w:t>
            </w:r>
          </w:p>
        </w:tc>
        <w:tc>
          <w:tcPr>
            <w:tcW w:w="1403" w:type="pct"/>
            <w:tcBorders>
              <w:top w:val="nil"/>
              <w:left w:val="nil"/>
              <w:bottom w:val="nil"/>
              <w:right w:val="nil"/>
            </w:tcBorders>
            <w:shd w:val="clear" w:color="auto" w:fill="auto"/>
            <w:vAlign w:val="center"/>
            <w:hideMark/>
          </w:tcPr>
          <w:p w14:paraId="29A4D3AD"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33596B4A" w14:textId="77777777" w:rsidR="00D02BDC" w:rsidRPr="00000849" w:rsidRDefault="00D02BDC" w:rsidP="00F21B9A">
            <w:pPr>
              <w:spacing w:after="0" w:line="240" w:lineRule="auto"/>
              <w:rPr>
                <w:rFonts w:ascii="Times New Roman" w:eastAsia="Times New Roman" w:hAnsi="Times New Roman" w:cs="Times New Roman"/>
                <w:sz w:val="20"/>
                <w:szCs w:val="20"/>
                <w:lang w:val="en-US"/>
              </w:rPr>
            </w:pPr>
          </w:p>
        </w:tc>
      </w:tr>
      <w:tr w:rsidR="00D02BDC" w:rsidRPr="00000849" w14:paraId="0FA0ABC6" w14:textId="77777777" w:rsidTr="00143B7E">
        <w:trPr>
          <w:trHeight w:val="288"/>
        </w:trPr>
        <w:tc>
          <w:tcPr>
            <w:tcW w:w="2193" w:type="pct"/>
            <w:tcBorders>
              <w:top w:val="nil"/>
              <w:left w:val="nil"/>
              <w:bottom w:val="nil"/>
              <w:right w:val="nil"/>
            </w:tcBorders>
            <w:shd w:val="clear" w:color="auto" w:fill="auto"/>
            <w:vAlign w:val="center"/>
            <w:hideMark/>
          </w:tcPr>
          <w:p w14:paraId="415DBF94"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Nil</w:t>
            </w:r>
          </w:p>
        </w:tc>
        <w:tc>
          <w:tcPr>
            <w:tcW w:w="1403" w:type="pct"/>
            <w:tcBorders>
              <w:top w:val="nil"/>
              <w:left w:val="nil"/>
              <w:bottom w:val="nil"/>
              <w:right w:val="nil"/>
            </w:tcBorders>
            <w:shd w:val="clear" w:color="auto" w:fill="auto"/>
            <w:vAlign w:val="center"/>
            <w:hideMark/>
          </w:tcPr>
          <w:p w14:paraId="448B6403"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53.9</w:t>
            </w:r>
          </w:p>
        </w:tc>
        <w:tc>
          <w:tcPr>
            <w:tcW w:w="1404" w:type="pct"/>
            <w:tcBorders>
              <w:top w:val="nil"/>
              <w:left w:val="nil"/>
              <w:bottom w:val="nil"/>
              <w:right w:val="nil"/>
            </w:tcBorders>
            <w:shd w:val="clear" w:color="auto" w:fill="auto"/>
            <w:vAlign w:val="center"/>
            <w:hideMark/>
          </w:tcPr>
          <w:p w14:paraId="3288995D"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42.2</w:t>
            </w:r>
          </w:p>
        </w:tc>
      </w:tr>
      <w:tr w:rsidR="00D02BDC" w:rsidRPr="00000849" w14:paraId="6F648CDE" w14:textId="77777777" w:rsidTr="00143B7E">
        <w:trPr>
          <w:trHeight w:val="288"/>
        </w:trPr>
        <w:tc>
          <w:tcPr>
            <w:tcW w:w="2193" w:type="pct"/>
            <w:tcBorders>
              <w:top w:val="nil"/>
              <w:left w:val="nil"/>
              <w:bottom w:val="nil"/>
              <w:right w:val="nil"/>
            </w:tcBorders>
            <w:shd w:val="clear" w:color="auto" w:fill="auto"/>
            <w:vAlign w:val="center"/>
            <w:hideMark/>
          </w:tcPr>
          <w:p w14:paraId="21EA7ABC"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Primary or less</w:t>
            </w:r>
          </w:p>
        </w:tc>
        <w:tc>
          <w:tcPr>
            <w:tcW w:w="1403" w:type="pct"/>
            <w:tcBorders>
              <w:top w:val="nil"/>
              <w:left w:val="nil"/>
              <w:bottom w:val="nil"/>
              <w:right w:val="nil"/>
            </w:tcBorders>
            <w:shd w:val="clear" w:color="auto" w:fill="auto"/>
            <w:vAlign w:val="center"/>
            <w:hideMark/>
          </w:tcPr>
          <w:p w14:paraId="3B7353CA"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21.3</w:t>
            </w:r>
          </w:p>
        </w:tc>
        <w:tc>
          <w:tcPr>
            <w:tcW w:w="1404" w:type="pct"/>
            <w:tcBorders>
              <w:top w:val="nil"/>
              <w:left w:val="nil"/>
              <w:bottom w:val="nil"/>
              <w:right w:val="nil"/>
            </w:tcBorders>
            <w:shd w:val="clear" w:color="auto" w:fill="auto"/>
            <w:vAlign w:val="center"/>
            <w:hideMark/>
          </w:tcPr>
          <w:p w14:paraId="52624FE3"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28.1</w:t>
            </w:r>
          </w:p>
        </w:tc>
      </w:tr>
      <w:tr w:rsidR="00D02BDC" w:rsidRPr="00000849" w14:paraId="255719CE" w14:textId="77777777" w:rsidTr="00143B7E">
        <w:trPr>
          <w:trHeight w:val="288"/>
        </w:trPr>
        <w:tc>
          <w:tcPr>
            <w:tcW w:w="2193" w:type="pct"/>
            <w:tcBorders>
              <w:top w:val="nil"/>
              <w:left w:val="nil"/>
              <w:bottom w:val="nil"/>
              <w:right w:val="nil"/>
            </w:tcBorders>
            <w:shd w:val="clear" w:color="auto" w:fill="auto"/>
            <w:vAlign w:val="center"/>
            <w:hideMark/>
          </w:tcPr>
          <w:p w14:paraId="7F7D18D4"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Secondary or higher</w:t>
            </w:r>
          </w:p>
        </w:tc>
        <w:tc>
          <w:tcPr>
            <w:tcW w:w="1403" w:type="pct"/>
            <w:tcBorders>
              <w:top w:val="nil"/>
              <w:left w:val="nil"/>
              <w:bottom w:val="nil"/>
              <w:right w:val="nil"/>
            </w:tcBorders>
            <w:shd w:val="clear" w:color="auto" w:fill="auto"/>
            <w:vAlign w:val="center"/>
            <w:hideMark/>
          </w:tcPr>
          <w:p w14:paraId="7D2E8AB4"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24.7</w:t>
            </w:r>
          </w:p>
        </w:tc>
        <w:tc>
          <w:tcPr>
            <w:tcW w:w="1404" w:type="pct"/>
            <w:tcBorders>
              <w:top w:val="nil"/>
              <w:left w:val="nil"/>
              <w:bottom w:val="nil"/>
              <w:right w:val="nil"/>
            </w:tcBorders>
            <w:shd w:val="clear" w:color="auto" w:fill="auto"/>
            <w:vAlign w:val="center"/>
            <w:hideMark/>
          </w:tcPr>
          <w:p w14:paraId="7D8C07CF"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29.7</w:t>
            </w:r>
          </w:p>
        </w:tc>
      </w:tr>
      <w:tr w:rsidR="00D02BDC" w:rsidRPr="00000849" w14:paraId="46E76B15" w14:textId="77777777" w:rsidTr="00143B7E">
        <w:trPr>
          <w:trHeight w:val="288"/>
        </w:trPr>
        <w:tc>
          <w:tcPr>
            <w:tcW w:w="2193" w:type="pct"/>
            <w:tcBorders>
              <w:top w:val="nil"/>
              <w:left w:val="nil"/>
              <w:bottom w:val="nil"/>
              <w:right w:val="nil"/>
            </w:tcBorders>
            <w:shd w:val="clear" w:color="auto" w:fill="auto"/>
            <w:vAlign w:val="center"/>
            <w:hideMark/>
          </w:tcPr>
          <w:p w14:paraId="1985AC1C"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Religious group</w:t>
            </w:r>
          </w:p>
        </w:tc>
        <w:tc>
          <w:tcPr>
            <w:tcW w:w="1403" w:type="pct"/>
            <w:tcBorders>
              <w:top w:val="nil"/>
              <w:left w:val="nil"/>
              <w:bottom w:val="nil"/>
              <w:right w:val="nil"/>
            </w:tcBorders>
            <w:shd w:val="clear" w:color="auto" w:fill="auto"/>
            <w:vAlign w:val="center"/>
            <w:hideMark/>
          </w:tcPr>
          <w:p w14:paraId="38287175"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029573B1" w14:textId="77777777" w:rsidR="00D02BDC" w:rsidRPr="00000849" w:rsidRDefault="00D02BDC" w:rsidP="00F21B9A">
            <w:pPr>
              <w:spacing w:after="0" w:line="240" w:lineRule="auto"/>
              <w:jc w:val="center"/>
              <w:rPr>
                <w:rFonts w:ascii="Times New Roman" w:eastAsia="Times New Roman" w:hAnsi="Times New Roman" w:cs="Times New Roman"/>
                <w:sz w:val="20"/>
                <w:szCs w:val="20"/>
                <w:lang w:val="en-US"/>
              </w:rPr>
            </w:pPr>
          </w:p>
        </w:tc>
      </w:tr>
      <w:tr w:rsidR="00D02BDC" w:rsidRPr="00000849" w14:paraId="100EF88C" w14:textId="77777777" w:rsidTr="00143B7E">
        <w:trPr>
          <w:trHeight w:val="288"/>
        </w:trPr>
        <w:tc>
          <w:tcPr>
            <w:tcW w:w="2193" w:type="pct"/>
            <w:tcBorders>
              <w:top w:val="nil"/>
              <w:left w:val="nil"/>
              <w:bottom w:val="nil"/>
              <w:right w:val="nil"/>
            </w:tcBorders>
            <w:shd w:val="clear" w:color="auto" w:fill="auto"/>
            <w:vAlign w:val="center"/>
            <w:hideMark/>
          </w:tcPr>
          <w:p w14:paraId="3703E151"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Christian</w:t>
            </w:r>
          </w:p>
        </w:tc>
        <w:tc>
          <w:tcPr>
            <w:tcW w:w="1403" w:type="pct"/>
            <w:tcBorders>
              <w:top w:val="nil"/>
              <w:left w:val="nil"/>
              <w:bottom w:val="nil"/>
              <w:right w:val="nil"/>
            </w:tcBorders>
            <w:shd w:val="clear" w:color="auto" w:fill="auto"/>
            <w:vAlign w:val="center"/>
            <w:hideMark/>
          </w:tcPr>
          <w:p w14:paraId="2AE7AE5A"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69.6</w:t>
            </w:r>
          </w:p>
        </w:tc>
        <w:tc>
          <w:tcPr>
            <w:tcW w:w="1404" w:type="pct"/>
            <w:tcBorders>
              <w:top w:val="nil"/>
              <w:left w:val="nil"/>
              <w:bottom w:val="nil"/>
              <w:right w:val="nil"/>
            </w:tcBorders>
            <w:shd w:val="clear" w:color="auto" w:fill="auto"/>
            <w:vAlign w:val="center"/>
            <w:hideMark/>
          </w:tcPr>
          <w:p w14:paraId="151888F1"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72.8</w:t>
            </w:r>
          </w:p>
        </w:tc>
      </w:tr>
      <w:tr w:rsidR="00D02BDC" w:rsidRPr="00000849" w14:paraId="46F8F4C0" w14:textId="77777777" w:rsidTr="00143B7E">
        <w:trPr>
          <w:trHeight w:val="288"/>
        </w:trPr>
        <w:tc>
          <w:tcPr>
            <w:tcW w:w="2193" w:type="pct"/>
            <w:tcBorders>
              <w:top w:val="nil"/>
              <w:left w:val="nil"/>
              <w:bottom w:val="nil"/>
              <w:right w:val="nil"/>
            </w:tcBorders>
            <w:shd w:val="clear" w:color="auto" w:fill="auto"/>
            <w:vAlign w:val="center"/>
            <w:hideMark/>
          </w:tcPr>
          <w:p w14:paraId="2961C7D6"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Islam</w:t>
            </w:r>
          </w:p>
        </w:tc>
        <w:tc>
          <w:tcPr>
            <w:tcW w:w="1403" w:type="pct"/>
            <w:tcBorders>
              <w:top w:val="nil"/>
              <w:left w:val="nil"/>
              <w:bottom w:val="nil"/>
              <w:right w:val="nil"/>
            </w:tcBorders>
            <w:shd w:val="clear" w:color="auto" w:fill="auto"/>
            <w:vAlign w:val="center"/>
            <w:hideMark/>
          </w:tcPr>
          <w:p w14:paraId="273C2054"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15.9</w:t>
            </w:r>
          </w:p>
        </w:tc>
        <w:tc>
          <w:tcPr>
            <w:tcW w:w="1404" w:type="pct"/>
            <w:tcBorders>
              <w:top w:val="nil"/>
              <w:left w:val="nil"/>
              <w:bottom w:val="nil"/>
              <w:right w:val="nil"/>
            </w:tcBorders>
            <w:shd w:val="clear" w:color="auto" w:fill="auto"/>
            <w:vAlign w:val="center"/>
            <w:hideMark/>
          </w:tcPr>
          <w:p w14:paraId="48B10A36"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18.5</w:t>
            </w:r>
          </w:p>
        </w:tc>
      </w:tr>
      <w:tr w:rsidR="00D02BDC" w:rsidRPr="00000849" w14:paraId="0D0ADA21" w14:textId="77777777" w:rsidTr="00143B7E">
        <w:trPr>
          <w:trHeight w:val="288"/>
        </w:trPr>
        <w:tc>
          <w:tcPr>
            <w:tcW w:w="2193" w:type="pct"/>
            <w:tcBorders>
              <w:top w:val="nil"/>
              <w:left w:val="nil"/>
              <w:bottom w:val="nil"/>
              <w:right w:val="nil"/>
            </w:tcBorders>
            <w:shd w:val="clear" w:color="auto" w:fill="auto"/>
            <w:vAlign w:val="center"/>
            <w:hideMark/>
          </w:tcPr>
          <w:p w14:paraId="57D249BB"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Others</w:t>
            </w:r>
          </w:p>
        </w:tc>
        <w:tc>
          <w:tcPr>
            <w:tcW w:w="1403" w:type="pct"/>
            <w:tcBorders>
              <w:top w:val="nil"/>
              <w:left w:val="nil"/>
              <w:bottom w:val="nil"/>
              <w:right w:val="nil"/>
            </w:tcBorders>
            <w:shd w:val="clear" w:color="auto" w:fill="auto"/>
            <w:vAlign w:val="center"/>
            <w:hideMark/>
          </w:tcPr>
          <w:p w14:paraId="39637EEC"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14.5</w:t>
            </w:r>
          </w:p>
        </w:tc>
        <w:tc>
          <w:tcPr>
            <w:tcW w:w="1404" w:type="pct"/>
            <w:tcBorders>
              <w:top w:val="nil"/>
              <w:left w:val="nil"/>
              <w:bottom w:val="nil"/>
              <w:right w:val="nil"/>
            </w:tcBorders>
            <w:shd w:val="clear" w:color="auto" w:fill="auto"/>
            <w:vAlign w:val="center"/>
            <w:hideMark/>
          </w:tcPr>
          <w:p w14:paraId="39090478"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8.7</w:t>
            </w:r>
          </w:p>
        </w:tc>
      </w:tr>
      <w:tr w:rsidR="00D02BDC" w:rsidRPr="00000849" w14:paraId="047EF37E" w14:textId="77777777" w:rsidTr="00143B7E">
        <w:trPr>
          <w:trHeight w:val="288"/>
        </w:trPr>
        <w:tc>
          <w:tcPr>
            <w:tcW w:w="2193" w:type="pct"/>
            <w:tcBorders>
              <w:top w:val="nil"/>
              <w:left w:val="nil"/>
              <w:bottom w:val="nil"/>
              <w:right w:val="nil"/>
            </w:tcBorders>
            <w:shd w:val="clear" w:color="auto" w:fill="auto"/>
            <w:vAlign w:val="center"/>
            <w:hideMark/>
          </w:tcPr>
          <w:p w14:paraId="745EDEA7"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Work history past 7 days</w:t>
            </w:r>
          </w:p>
        </w:tc>
        <w:tc>
          <w:tcPr>
            <w:tcW w:w="1403" w:type="pct"/>
            <w:tcBorders>
              <w:top w:val="nil"/>
              <w:left w:val="nil"/>
              <w:bottom w:val="nil"/>
              <w:right w:val="nil"/>
            </w:tcBorders>
            <w:shd w:val="clear" w:color="auto" w:fill="auto"/>
            <w:vAlign w:val="center"/>
            <w:hideMark/>
          </w:tcPr>
          <w:p w14:paraId="7690B57C"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288F49F6" w14:textId="77777777" w:rsidR="00D02BDC" w:rsidRPr="00000849" w:rsidRDefault="00D02BDC" w:rsidP="00F21B9A">
            <w:pPr>
              <w:spacing w:after="0" w:line="240" w:lineRule="auto"/>
              <w:jc w:val="center"/>
              <w:rPr>
                <w:rFonts w:ascii="Times New Roman" w:eastAsia="Times New Roman" w:hAnsi="Times New Roman" w:cs="Times New Roman"/>
                <w:sz w:val="20"/>
                <w:szCs w:val="20"/>
                <w:lang w:val="en-US"/>
              </w:rPr>
            </w:pPr>
          </w:p>
        </w:tc>
      </w:tr>
      <w:tr w:rsidR="00D02BDC" w:rsidRPr="00000849" w14:paraId="24059CAA" w14:textId="77777777" w:rsidTr="00143B7E">
        <w:trPr>
          <w:trHeight w:val="288"/>
        </w:trPr>
        <w:tc>
          <w:tcPr>
            <w:tcW w:w="2193" w:type="pct"/>
            <w:tcBorders>
              <w:top w:val="nil"/>
              <w:left w:val="nil"/>
              <w:bottom w:val="nil"/>
              <w:right w:val="nil"/>
            </w:tcBorders>
            <w:shd w:val="clear" w:color="auto" w:fill="auto"/>
            <w:vAlign w:val="center"/>
            <w:hideMark/>
          </w:tcPr>
          <w:p w14:paraId="154FD0B7"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Not currently working</w:t>
            </w:r>
          </w:p>
        </w:tc>
        <w:tc>
          <w:tcPr>
            <w:tcW w:w="1403" w:type="pct"/>
            <w:tcBorders>
              <w:top w:val="nil"/>
              <w:left w:val="nil"/>
              <w:bottom w:val="nil"/>
              <w:right w:val="nil"/>
            </w:tcBorders>
            <w:shd w:val="clear" w:color="auto" w:fill="auto"/>
            <w:vAlign w:val="center"/>
            <w:hideMark/>
          </w:tcPr>
          <w:p w14:paraId="3206A8D7"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30.9</w:t>
            </w:r>
          </w:p>
        </w:tc>
        <w:tc>
          <w:tcPr>
            <w:tcW w:w="1404" w:type="pct"/>
            <w:tcBorders>
              <w:top w:val="nil"/>
              <w:left w:val="nil"/>
              <w:bottom w:val="nil"/>
              <w:right w:val="nil"/>
            </w:tcBorders>
            <w:shd w:val="clear" w:color="auto" w:fill="auto"/>
            <w:vAlign w:val="center"/>
            <w:hideMark/>
          </w:tcPr>
          <w:p w14:paraId="448807F6"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32.3</w:t>
            </w:r>
          </w:p>
        </w:tc>
      </w:tr>
      <w:tr w:rsidR="00D02BDC" w:rsidRPr="00000849" w14:paraId="391767A2" w14:textId="77777777" w:rsidTr="00143B7E">
        <w:trPr>
          <w:trHeight w:val="288"/>
        </w:trPr>
        <w:tc>
          <w:tcPr>
            <w:tcW w:w="2193" w:type="pct"/>
            <w:tcBorders>
              <w:top w:val="nil"/>
              <w:left w:val="nil"/>
              <w:bottom w:val="nil"/>
              <w:right w:val="nil"/>
            </w:tcBorders>
            <w:shd w:val="clear" w:color="auto" w:fill="auto"/>
            <w:vAlign w:val="center"/>
            <w:hideMark/>
          </w:tcPr>
          <w:p w14:paraId="0657F2B7"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Currently working</w:t>
            </w:r>
          </w:p>
        </w:tc>
        <w:tc>
          <w:tcPr>
            <w:tcW w:w="1403" w:type="pct"/>
            <w:tcBorders>
              <w:top w:val="nil"/>
              <w:left w:val="nil"/>
              <w:bottom w:val="nil"/>
              <w:right w:val="nil"/>
            </w:tcBorders>
            <w:shd w:val="clear" w:color="auto" w:fill="auto"/>
            <w:vAlign w:val="center"/>
            <w:hideMark/>
          </w:tcPr>
          <w:p w14:paraId="7706F87F"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69.1</w:t>
            </w:r>
          </w:p>
        </w:tc>
        <w:tc>
          <w:tcPr>
            <w:tcW w:w="1404" w:type="pct"/>
            <w:tcBorders>
              <w:top w:val="nil"/>
              <w:left w:val="nil"/>
              <w:bottom w:val="nil"/>
              <w:right w:val="nil"/>
            </w:tcBorders>
            <w:shd w:val="clear" w:color="auto" w:fill="auto"/>
            <w:vAlign w:val="center"/>
            <w:hideMark/>
          </w:tcPr>
          <w:p w14:paraId="61780BCF"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67.7</w:t>
            </w:r>
          </w:p>
        </w:tc>
      </w:tr>
      <w:tr w:rsidR="00D02BDC" w:rsidRPr="00000849" w14:paraId="5415B290" w14:textId="77777777" w:rsidTr="00143B7E">
        <w:trPr>
          <w:trHeight w:val="450"/>
        </w:trPr>
        <w:tc>
          <w:tcPr>
            <w:tcW w:w="2193" w:type="pct"/>
            <w:tcBorders>
              <w:top w:val="nil"/>
              <w:left w:val="nil"/>
              <w:bottom w:val="nil"/>
              <w:right w:val="nil"/>
            </w:tcBorders>
            <w:shd w:val="clear" w:color="auto" w:fill="auto"/>
            <w:vAlign w:val="center"/>
            <w:hideMark/>
          </w:tcPr>
          <w:p w14:paraId="51EF83D3"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Employer in current or most recent job</w:t>
            </w:r>
          </w:p>
        </w:tc>
        <w:tc>
          <w:tcPr>
            <w:tcW w:w="1403" w:type="pct"/>
            <w:tcBorders>
              <w:top w:val="nil"/>
              <w:left w:val="nil"/>
              <w:bottom w:val="nil"/>
              <w:right w:val="nil"/>
            </w:tcBorders>
            <w:shd w:val="clear" w:color="auto" w:fill="auto"/>
            <w:vAlign w:val="center"/>
            <w:hideMark/>
          </w:tcPr>
          <w:p w14:paraId="6CA1048D"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78387953" w14:textId="77777777" w:rsidR="00D02BDC" w:rsidRPr="00000849" w:rsidRDefault="00D02BDC" w:rsidP="00F21B9A">
            <w:pPr>
              <w:spacing w:after="0" w:line="240" w:lineRule="auto"/>
              <w:jc w:val="center"/>
              <w:rPr>
                <w:rFonts w:ascii="Times New Roman" w:eastAsia="Times New Roman" w:hAnsi="Times New Roman" w:cs="Times New Roman"/>
                <w:sz w:val="20"/>
                <w:szCs w:val="20"/>
                <w:lang w:val="en-US"/>
              </w:rPr>
            </w:pPr>
          </w:p>
        </w:tc>
      </w:tr>
      <w:tr w:rsidR="00D02BDC" w:rsidRPr="00000849" w14:paraId="00FE298C" w14:textId="77777777" w:rsidTr="00143B7E">
        <w:trPr>
          <w:trHeight w:val="288"/>
        </w:trPr>
        <w:tc>
          <w:tcPr>
            <w:tcW w:w="2193" w:type="pct"/>
            <w:tcBorders>
              <w:top w:val="nil"/>
              <w:left w:val="nil"/>
              <w:bottom w:val="nil"/>
              <w:right w:val="nil"/>
            </w:tcBorders>
            <w:shd w:val="clear" w:color="auto" w:fill="auto"/>
            <w:vAlign w:val="center"/>
            <w:hideMark/>
          </w:tcPr>
          <w:p w14:paraId="5F701634"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Informal</w:t>
            </w:r>
          </w:p>
        </w:tc>
        <w:tc>
          <w:tcPr>
            <w:tcW w:w="1403" w:type="pct"/>
            <w:tcBorders>
              <w:top w:val="nil"/>
              <w:left w:val="nil"/>
              <w:bottom w:val="nil"/>
              <w:right w:val="nil"/>
            </w:tcBorders>
            <w:shd w:val="clear" w:color="auto" w:fill="auto"/>
            <w:vAlign w:val="center"/>
            <w:hideMark/>
          </w:tcPr>
          <w:p w14:paraId="6A10A533"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7.3</w:t>
            </w:r>
          </w:p>
        </w:tc>
        <w:tc>
          <w:tcPr>
            <w:tcW w:w="1404" w:type="pct"/>
            <w:tcBorders>
              <w:top w:val="nil"/>
              <w:left w:val="nil"/>
              <w:bottom w:val="nil"/>
              <w:right w:val="nil"/>
            </w:tcBorders>
            <w:shd w:val="clear" w:color="auto" w:fill="auto"/>
            <w:vAlign w:val="center"/>
            <w:hideMark/>
          </w:tcPr>
          <w:p w14:paraId="1B9E8D57"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16.5</w:t>
            </w:r>
          </w:p>
        </w:tc>
      </w:tr>
      <w:tr w:rsidR="00D02BDC" w:rsidRPr="00000849" w14:paraId="613FB9B3" w14:textId="77777777" w:rsidTr="00143B7E">
        <w:trPr>
          <w:trHeight w:val="288"/>
        </w:trPr>
        <w:tc>
          <w:tcPr>
            <w:tcW w:w="2193" w:type="pct"/>
            <w:tcBorders>
              <w:top w:val="nil"/>
              <w:left w:val="nil"/>
              <w:bottom w:val="nil"/>
              <w:right w:val="nil"/>
            </w:tcBorders>
            <w:shd w:val="clear" w:color="auto" w:fill="auto"/>
            <w:vAlign w:val="center"/>
            <w:hideMark/>
          </w:tcPr>
          <w:p w14:paraId="318C900A"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Self-employed</w:t>
            </w:r>
          </w:p>
        </w:tc>
        <w:tc>
          <w:tcPr>
            <w:tcW w:w="1403" w:type="pct"/>
            <w:tcBorders>
              <w:top w:val="nil"/>
              <w:left w:val="nil"/>
              <w:bottom w:val="nil"/>
              <w:right w:val="nil"/>
            </w:tcBorders>
            <w:shd w:val="clear" w:color="auto" w:fill="auto"/>
            <w:vAlign w:val="center"/>
            <w:hideMark/>
          </w:tcPr>
          <w:p w14:paraId="787EA19A"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78.3</w:t>
            </w:r>
          </w:p>
        </w:tc>
        <w:tc>
          <w:tcPr>
            <w:tcW w:w="1404" w:type="pct"/>
            <w:tcBorders>
              <w:top w:val="nil"/>
              <w:left w:val="nil"/>
              <w:bottom w:val="nil"/>
              <w:right w:val="nil"/>
            </w:tcBorders>
            <w:shd w:val="clear" w:color="auto" w:fill="auto"/>
            <w:vAlign w:val="center"/>
            <w:hideMark/>
          </w:tcPr>
          <w:p w14:paraId="2D0A91B6"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71.1</w:t>
            </w:r>
          </w:p>
        </w:tc>
      </w:tr>
      <w:tr w:rsidR="00D02BDC" w:rsidRPr="00000849" w14:paraId="73139A7D" w14:textId="77777777" w:rsidTr="00143B7E">
        <w:trPr>
          <w:trHeight w:val="288"/>
        </w:trPr>
        <w:tc>
          <w:tcPr>
            <w:tcW w:w="2193" w:type="pct"/>
            <w:tcBorders>
              <w:top w:val="nil"/>
              <w:left w:val="nil"/>
              <w:bottom w:val="nil"/>
              <w:right w:val="nil"/>
            </w:tcBorders>
            <w:shd w:val="clear" w:color="auto" w:fill="auto"/>
            <w:vAlign w:val="center"/>
            <w:hideMark/>
          </w:tcPr>
          <w:p w14:paraId="64C3E04A"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Public sector</w:t>
            </w:r>
          </w:p>
        </w:tc>
        <w:tc>
          <w:tcPr>
            <w:tcW w:w="1403" w:type="pct"/>
            <w:tcBorders>
              <w:top w:val="nil"/>
              <w:left w:val="nil"/>
              <w:bottom w:val="nil"/>
              <w:right w:val="nil"/>
            </w:tcBorders>
            <w:shd w:val="clear" w:color="auto" w:fill="auto"/>
            <w:vAlign w:val="center"/>
            <w:hideMark/>
          </w:tcPr>
          <w:p w14:paraId="49807609"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10.5</w:t>
            </w:r>
          </w:p>
        </w:tc>
        <w:tc>
          <w:tcPr>
            <w:tcW w:w="1404" w:type="pct"/>
            <w:tcBorders>
              <w:top w:val="nil"/>
              <w:left w:val="nil"/>
              <w:bottom w:val="nil"/>
              <w:right w:val="nil"/>
            </w:tcBorders>
            <w:shd w:val="clear" w:color="auto" w:fill="auto"/>
            <w:vAlign w:val="center"/>
            <w:hideMark/>
          </w:tcPr>
          <w:p w14:paraId="603D1A79"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8.1</w:t>
            </w:r>
          </w:p>
        </w:tc>
      </w:tr>
      <w:tr w:rsidR="00D02BDC" w:rsidRPr="00000849" w14:paraId="3DA206A5" w14:textId="77777777" w:rsidTr="00143B7E">
        <w:trPr>
          <w:trHeight w:val="288"/>
        </w:trPr>
        <w:tc>
          <w:tcPr>
            <w:tcW w:w="2193" w:type="pct"/>
            <w:tcBorders>
              <w:top w:val="nil"/>
              <w:left w:val="nil"/>
              <w:bottom w:val="nil"/>
              <w:right w:val="nil"/>
            </w:tcBorders>
            <w:shd w:val="clear" w:color="auto" w:fill="auto"/>
            <w:vAlign w:val="center"/>
            <w:hideMark/>
          </w:tcPr>
          <w:p w14:paraId="521AB3AE"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Private sector</w:t>
            </w:r>
          </w:p>
        </w:tc>
        <w:tc>
          <w:tcPr>
            <w:tcW w:w="1403" w:type="pct"/>
            <w:tcBorders>
              <w:top w:val="nil"/>
              <w:left w:val="nil"/>
              <w:bottom w:val="nil"/>
              <w:right w:val="nil"/>
            </w:tcBorders>
            <w:shd w:val="clear" w:color="auto" w:fill="auto"/>
            <w:vAlign w:val="center"/>
            <w:hideMark/>
          </w:tcPr>
          <w:p w14:paraId="656C073B"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3.9</w:t>
            </w:r>
          </w:p>
        </w:tc>
        <w:tc>
          <w:tcPr>
            <w:tcW w:w="1404" w:type="pct"/>
            <w:tcBorders>
              <w:top w:val="nil"/>
              <w:left w:val="nil"/>
              <w:bottom w:val="nil"/>
              <w:right w:val="nil"/>
            </w:tcBorders>
            <w:shd w:val="clear" w:color="auto" w:fill="auto"/>
            <w:vAlign w:val="center"/>
            <w:hideMark/>
          </w:tcPr>
          <w:p w14:paraId="7C5E4749"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4.3</w:t>
            </w:r>
          </w:p>
        </w:tc>
      </w:tr>
      <w:tr w:rsidR="00D02BDC" w:rsidRPr="00000849" w14:paraId="1FB369AB" w14:textId="77777777" w:rsidTr="00143B7E">
        <w:trPr>
          <w:trHeight w:val="288"/>
        </w:trPr>
        <w:tc>
          <w:tcPr>
            <w:tcW w:w="2193" w:type="pct"/>
            <w:tcBorders>
              <w:top w:val="nil"/>
              <w:left w:val="nil"/>
              <w:bottom w:val="nil"/>
              <w:right w:val="nil"/>
            </w:tcBorders>
            <w:shd w:val="clear" w:color="auto" w:fill="auto"/>
            <w:vAlign w:val="center"/>
            <w:hideMark/>
          </w:tcPr>
          <w:p w14:paraId="0BE5C2FC"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xml:space="preserve">Wealth quintile </w:t>
            </w:r>
          </w:p>
        </w:tc>
        <w:tc>
          <w:tcPr>
            <w:tcW w:w="1403" w:type="pct"/>
            <w:tcBorders>
              <w:top w:val="nil"/>
              <w:left w:val="nil"/>
              <w:bottom w:val="nil"/>
              <w:right w:val="nil"/>
            </w:tcBorders>
            <w:shd w:val="clear" w:color="auto" w:fill="auto"/>
            <w:vAlign w:val="center"/>
            <w:hideMark/>
          </w:tcPr>
          <w:p w14:paraId="0875E543"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2DE8F928" w14:textId="77777777" w:rsidR="00D02BDC" w:rsidRPr="00000849" w:rsidRDefault="00D02BDC" w:rsidP="00F21B9A">
            <w:pPr>
              <w:spacing w:after="0" w:line="240" w:lineRule="auto"/>
              <w:rPr>
                <w:rFonts w:ascii="Times New Roman" w:eastAsia="Times New Roman" w:hAnsi="Times New Roman" w:cs="Times New Roman"/>
                <w:sz w:val="20"/>
                <w:szCs w:val="20"/>
                <w:lang w:val="en-US"/>
              </w:rPr>
            </w:pPr>
          </w:p>
        </w:tc>
      </w:tr>
      <w:tr w:rsidR="00D02BDC" w:rsidRPr="00000849" w14:paraId="23DE4256" w14:textId="77777777" w:rsidTr="00143B7E">
        <w:trPr>
          <w:trHeight w:val="288"/>
        </w:trPr>
        <w:tc>
          <w:tcPr>
            <w:tcW w:w="2193" w:type="pct"/>
            <w:tcBorders>
              <w:top w:val="nil"/>
              <w:left w:val="nil"/>
              <w:bottom w:val="nil"/>
              <w:right w:val="nil"/>
            </w:tcBorders>
            <w:shd w:val="clear" w:color="auto" w:fill="auto"/>
            <w:vAlign w:val="center"/>
            <w:hideMark/>
          </w:tcPr>
          <w:p w14:paraId="40E97740"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Poorest</w:t>
            </w:r>
          </w:p>
        </w:tc>
        <w:tc>
          <w:tcPr>
            <w:tcW w:w="1403" w:type="pct"/>
            <w:tcBorders>
              <w:top w:val="nil"/>
              <w:left w:val="nil"/>
              <w:bottom w:val="nil"/>
              <w:right w:val="nil"/>
            </w:tcBorders>
            <w:shd w:val="clear" w:color="auto" w:fill="auto"/>
            <w:vAlign w:val="center"/>
            <w:hideMark/>
          </w:tcPr>
          <w:p w14:paraId="57909995"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20.6</w:t>
            </w:r>
          </w:p>
        </w:tc>
        <w:tc>
          <w:tcPr>
            <w:tcW w:w="1404" w:type="pct"/>
            <w:tcBorders>
              <w:top w:val="nil"/>
              <w:left w:val="nil"/>
              <w:bottom w:val="nil"/>
              <w:right w:val="nil"/>
            </w:tcBorders>
            <w:shd w:val="clear" w:color="auto" w:fill="auto"/>
            <w:vAlign w:val="center"/>
            <w:hideMark/>
          </w:tcPr>
          <w:p w14:paraId="6160BFF8"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23.7</w:t>
            </w:r>
          </w:p>
        </w:tc>
      </w:tr>
      <w:tr w:rsidR="00D02BDC" w:rsidRPr="00000849" w14:paraId="6670D4C0" w14:textId="77777777" w:rsidTr="00143B7E">
        <w:trPr>
          <w:trHeight w:val="288"/>
        </w:trPr>
        <w:tc>
          <w:tcPr>
            <w:tcW w:w="2193" w:type="pct"/>
            <w:tcBorders>
              <w:top w:val="nil"/>
              <w:left w:val="nil"/>
              <w:bottom w:val="nil"/>
              <w:right w:val="nil"/>
            </w:tcBorders>
            <w:shd w:val="clear" w:color="auto" w:fill="auto"/>
            <w:vAlign w:val="center"/>
            <w:hideMark/>
          </w:tcPr>
          <w:p w14:paraId="20A39C69"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Poor</w:t>
            </w:r>
          </w:p>
        </w:tc>
        <w:tc>
          <w:tcPr>
            <w:tcW w:w="1403" w:type="pct"/>
            <w:tcBorders>
              <w:top w:val="nil"/>
              <w:left w:val="nil"/>
              <w:bottom w:val="nil"/>
              <w:right w:val="nil"/>
            </w:tcBorders>
            <w:shd w:val="clear" w:color="auto" w:fill="auto"/>
            <w:vAlign w:val="center"/>
            <w:hideMark/>
          </w:tcPr>
          <w:p w14:paraId="3FB42057"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22.8</w:t>
            </w:r>
          </w:p>
        </w:tc>
        <w:tc>
          <w:tcPr>
            <w:tcW w:w="1404" w:type="pct"/>
            <w:tcBorders>
              <w:top w:val="nil"/>
              <w:left w:val="nil"/>
              <w:bottom w:val="nil"/>
              <w:right w:val="nil"/>
            </w:tcBorders>
            <w:shd w:val="clear" w:color="auto" w:fill="auto"/>
            <w:vAlign w:val="center"/>
            <w:hideMark/>
          </w:tcPr>
          <w:p w14:paraId="7C498C48"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21.8</w:t>
            </w:r>
          </w:p>
        </w:tc>
      </w:tr>
      <w:tr w:rsidR="00D02BDC" w:rsidRPr="00000849" w14:paraId="28C57371" w14:textId="77777777" w:rsidTr="00143B7E">
        <w:trPr>
          <w:trHeight w:val="288"/>
        </w:trPr>
        <w:tc>
          <w:tcPr>
            <w:tcW w:w="2193" w:type="pct"/>
            <w:tcBorders>
              <w:top w:val="nil"/>
              <w:left w:val="nil"/>
              <w:bottom w:val="nil"/>
              <w:right w:val="nil"/>
            </w:tcBorders>
            <w:shd w:val="clear" w:color="auto" w:fill="auto"/>
            <w:vAlign w:val="center"/>
            <w:hideMark/>
          </w:tcPr>
          <w:p w14:paraId="119EC250"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Mod poor</w:t>
            </w:r>
          </w:p>
        </w:tc>
        <w:tc>
          <w:tcPr>
            <w:tcW w:w="1403" w:type="pct"/>
            <w:tcBorders>
              <w:top w:val="nil"/>
              <w:left w:val="nil"/>
              <w:bottom w:val="nil"/>
              <w:right w:val="nil"/>
            </w:tcBorders>
            <w:shd w:val="clear" w:color="auto" w:fill="auto"/>
            <w:vAlign w:val="center"/>
            <w:hideMark/>
          </w:tcPr>
          <w:p w14:paraId="12913482"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22.0</w:t>
            </w:r>
          </w:p>
        </w:tc>
        <w:tc>
          <w:tcPr>
            <w:tcW w:w="1404" w:type="pct"/>
            <w:tcBorders>
              <w:top w:val="nil"/>
              <w:left w:val="nil"/>
              <w:bottom w:val="nil"/>
              <w:right w:val="nil"/>
            </w:tcBorders>
            <w:shd w:val="clear" w:color="auto" w:fill="auto"/>
            <w:vAlign w:val="center"/>
            <w:hideMark/>
          </w:tcPr>
          <w:p w14:paraId="6798109A"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19.9</w:t>
            </w:r>
          </w:p>
        </w:tc>
      </w:tr>
      <w:tr w:rsidR="00D02BDC" w:rsidRPr="00000849" w14:paraId="79726324" w14:textId="77777777" w:rsidTr="00143B7E">
        <w:trPr>
          <w:trHeight w:val="288"/>
        </w:trPr>
        <w:tc>
          <w:tcPr>
            <w:tcW w:w="2193" w:type="pct"/>
            <w:tcBorders>
              <w:top w:val="nil"/>
              <w:left w:val="nil"/>
              <w:bottom w:val="nil"/>
              <w:right w:val="nil"/>
            </w:tcBorders>
            <w:shd w:val="clear" w:color="auto" w:fill="auto"/>
            <w:vAlign w:val="center"/>
            <w:hideMark/>
          </w:tcPr>
          <w:p w14:paraId="39EA7152"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lastRenderedPageBreak/>
              <w:t>Rich</w:t>
            </w:r>
          </w:p>
        </w:tc>
        <w:tc>
          <w:tcPr>
            <w:tcW w:w="1403" w:type="pct"/>
            <w:tcBorders>
              <w:top w:val="nil"/>
              <w:left w:val="nil"/>
              <w:bottom w:val="nil"/>
              <w:right w:val="nil"/>
            </w:tcBorders>
            <w:shd w:val="clear" w:color="auto" w:fill="auto"/>
            <w:vAlign w:val="center"/>
            <w:hideMark/>
          </w:tcPr>
          <w:p w14:paraId="720A2443"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18.4</w:t>
            </w:r>
          </w:p>
        </w:tc>
        <w:tc>
          <w:tcPr>
            <w:tcW w:w="1404" w:type="pct"/>
            <w:tcBorders>
              <w:top w:val="nil"/>
              <w:left w:val="nil"/>
              <w:bottom w:val="nil"/>
              <w:right w:val="nil"/>
            </w:tcBorders>
            <w:shd w:val="clear" w:color="auto" w:fill="auto"/>
            <w:vAlign w:val="center"/>
            <w:hideMark/>
          </w:tcPr>
          <w:p w14:paraId="0A1E1781"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18.4</w:t>
            </w:r>
          </w:p>
        </w:tc>
      </w:tr>
      <w:tr w:rsidR="00D02BDC" w:rsidRPr="00000849" w14:paraId="27184665" w14:textId="77777777" w:rsidTr="00143B7E">
        <w:trPr>
          <w:trHeight w:val="288"/>
        </w:trPr>
        <w:tc>
          <w:tcPr>
            <w:tcW w:w="2193" w:type="pct"/>
            <w:tcBorders>
              <w:top w:val="nil"/>
              <w:left w:val="nil"/>
              <w:bottom w:val="nil"/>
              <w:right w:val="nil"/>
            </w:tcBorders>
            <w:shd w:val="clear" w:color="auto" w:fill="auto"/>
            <w:vAlign w:val="center"/>
            <w:hideMark/>
          </w:tcPr>
          <w:p w14:paraId="345266B2"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Richest</w:t>
            </w:r>
          </w:p>
        </w:tc>
        <w:tc>
          <w:tcPr>
            <w:tcW w:w="1403" w:type="pct"/>
            <w:tcBorders>
              <w:top w:val="nil"/>
              <w:left w:val="nil"/>
              <w:bottom w:val="nil"/>
              <w:right w:val="nil"/>
            </w:tcBorders>
            <w:shd w:val="clear" w:color="auto" w:fill="auto"/>
            <w:vAlign w:val="center"/>
            <w:hideMark/>
          </w:tcPr>
          <w:p w14:paraId="583A9600"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16.2</w:t>
            </w:r>
          </w:p>
        </w:tc>
        <w:tc>
          <w:tcPr>
            <w:tcW w:w="1404" w:type="pct"/>
            <w:tcBorders>
              <w:top w:val="nil"/>
              <w:left w:val="nil"/>
              <w:bottom w:val="nil"/>
              <w:right w:val="nil"/>
            </w:tcBorders>
            <w:shd w:val="clear" w:color="auto" w:fill="auto"/>
            <w:vAlign w:val="center"/>
            <w:hideMark/>
          </w:tcPr>
          <w:p w14:paraId="5A9967F3"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16.3</w:t>
            </w:r>
          </w:p>
        </w:tc>
      </w:tr>
      <w:tr w:rsidR="00D02BDC" w:rsidRPr="00000849" w14:paraId="773FA14D" w14:textId="77777777" w:rsidTr="00143B7E">
        <w:trPr>
          <w:trHeight w:val="288"/>
        </w:trPr>
        <w:tc>
          <w:tcPr>
            <w:tcW w:w="2193" w:type="pct"/>
            <w:tcBorders>
              <w:top w:val="nil"/>
              <w:left w:val="nil"/>
              <w:bottom w:val="nil"/>
              <w:right w:val="nil"/>
            </w:tcBorders>
            <w:shd w:val="clear" w:color="auto" w:fill="auto"/>
            <w:vAlign w:val="center"/>
            <w:hideMark/>
          </w:tcPr>
          <w:p w14:paraId="773F548E"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Self-rated health status</w:t>
            </w:r>
          </w:p>
        </w:tc>
        <w:tc>
          <w:tcPr>
            <w:tcW w:w="1403" w:type="pct"/>
            <w:tcBorders>
              <w:top w:val="nil"/>
              <w:left w:val="nil"/>
              <w:bottom w:val="nil"/>
              <w:right w:val="nil"/>
            </w:tcBorders>
            <w:shd w:val="clear" w:color="auto" w:fill="auto"/>
            <w:vAlign w:val="center"/>
            <w:hideMark/>
          </w:tcPr>
          <w:p w14:paraId="539BB935"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181CF635" w14:textId="77777777" w:rsidR="00D02BDC" w:rsidRPr="00000849" w:rsidRDefault="00D02BDC" w:rsidP="00F21B9A">
            <w:pPr>
              <w:spacing w:after="0" w:line="240" w:lineRule="auto"/>
              <w:rPr>
                <w:rFonts w:ascii="Times New Roman" w:eastAsia="Times New Roman" w:hAnsi="Times New Roman" w:cs="Times New Roman"/>
                <w:sz w:val="20"/>
                <w:szCs w:val="20"/>
                <w:lang w:val="en-US"/>
              </w:rPr>
            </w:pPr>
          </w:p>
        </w:tc>
      </w:tr>
      <w:tr w:rsidR="00D02BDC" w:rsidRPr="00000849" w14:paraId="20A90903" w14:textId="77777777" w:rsidTr="00143B7E">
        <w:trPr>
          <w:trHeight w:val="288"/>
        </w:trPr>
        <w:tc>
          <w:tcPr>
            <w:tcW w:w="2193" w:type="pct"/>
            <w:tcBorders>
              <w:top w:val="nil"/>
              <w:left w:val="nil"/>
              <w:bottom w:val="nil"/>
              <w:right w:val="nil"/>
            </w:tcBorders>
            <w:shd w:val="clear" w:color="auto" w:fill="auto"/>
            <w:vAlign w:val="center"/>
            <w:hideMark/>
          </w:tcPr>
          <w:p w14:paraId="5F1BFD95"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Very good or good</w:t>
            </w:r>
          </w:p>
        </w:tc>
        <w:tc>
          <w:tcPr>
            <w:tcW w:w="1403" w:type="pct"/>
            <w:tcBorders>
              <w:top w:val="nil"/>
              <w:left w:val="nil"/>
              <w:bottom w:val="nil"/>
              <w:right w:val="nil"/>
            </w:tcBorders>
            <w:shd w:val="clear" w:color="auto" w:fill="auto"/>
            <w:vAlign w:val="center"/>
            <w:hideMark/>
          </w:tcPr>
          <w:p w14:paraId="4FDC2BA6"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41.2</w:t>
            </w:r>
          </w:p>
        </w:tc>
        <w:tc>
          <w:tcPr>
            <w:tcW w:w="1404" w:type="pct"/>
            <w:tcBorders>
              <w:top w:val="nil"/>
              <w:left w:val="nil"/>
              <w:bottom w:val="nil"/>
              <w:right w:val="nil"/>
            </w:tcBorders>
            <w:shd w:val="clear" w:color="auto" w:fill="auto"/>
            <w:vAlign w:val="center"/>
            <w:hideMark/>
          </w:tcPr>
          <w:p w14:paraId="4C835612"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63.6</w:t>
            </w:r>
          </w:p>
        </w:tc>
      </w:tr>
      <w:tr w:rsidR="00D02BDC" w:rsidRPr="00000849" w14:paraId="7EB85727" w14:textId="77777777" w:rsidTr="00143B7E">
        <w:trPr>
          <w:trHeight w:val="288"/>
        </w:trPr>
        <w:tc>
          <w:tcPr>
            <w:tcW w:w="2193" w:type="pct"/>
            <w:tcBorders>
              <w:top w:val="nil"/>
              <w:left w:val="nil"/>
              <w:bottom w:val="nil"/>
              <w:right w:val="nil"/>
            </w:tcBorders>
            <w:shd w:val="clear" w:color="auto" w:fill="auto"/>
            <w:vAlign w:val="center"/>
            <w:hideMark/>
          </w:tcPr>
          <w:p w14:paraId="0FCB7ADB"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Moderate</w:t>
            </w:r>
          </w:p>
        </w:tc>
        <w:tc>
          <w:tcPr>
            <w:tcW w:w="1403" w:type="pct"/>
            <w:tcBorders>
              <w:top w:val="nil"/>
              <w:left w:val="nil"/>
              <w:bottom w:val="nil"/>
              <w:right w:val="nil"/>
            </w:tcBorders>
            <w:shd w:val="clear" w:color="auto" w:fill="auto"/>
            <w:vAlign w:val="center"/>
            <w:hideMark/>
          </w:tcPr>
          <w:p w14:paraId="0C34D0F8"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41.6</w:t>
            </w:r>
          </w:p>
        </w:tc>
        <w:tc>
          <w:tcPr>
            <w:tcW w:w="1404" w:type="pct"/>
            <w:tcBorders>
              <w:top w:val="nil"/>
              <w:left w:val="nil"/>
              <w:bottom w:val="nil"/>
              <w:right w:val="nil"/>
            </w:tcBorders>
            <w:shd w:val="clear" w:color="auto" w:fill="auto"/>
            <w:vAlign w:val="center"/>
            <w:hideMark/>
          </w:tcPr>
          <w:p w14:paraId="6141706A"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27.0</w:t>
            </w:r>
          </w:p>
        </w:tc>
      </w:tr>
      <w:tr w:rsidR="00D02BDC" w:rsidRPr="00000849" w14:paraId="3B08857C" w14:textId="77777777" w:rsidTr="00143B7E">
        <w:trPr>
          <w:trHeight w:val="288"/>
        </w:trPr>
        <w:tc>
          <w:tcPr>
            <w:tcW w:w="2193" w:type="pct"/>
            <w:tcBorders>
              <w:top w:val="nil"/>
              <w:left w:val="nil"/>
              <w:bottom w:val="nil"/>
              <w:right w:val="nil"/>
            </w:tcBorders>
            <w:shd w:val="clear" w:color="auto" w:fill="auto"/>
            <w:vAlign w:val="center"/>
            <w:hideMark/>
          </w:tcPr>
          <w:p w14:paraId="00F47912"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Poor or very poor</w:t>
            </w:r>
          </w:p>
        </w:tc>
        <w:tc>
          <w:tcPr>
            <w:tcW w:w="1403" w:type="pct"/>
            <w:tcBorders>
              <w:top w:val="nil"/>
              <w:left w:val="nil"/>
              <w:bottom w:val="nil"/>
              <w:right w:val="nil"/>
            </w:tcBorders>
            <w:shd w:val="clear" w:color="auto" w:fill="auto"/>
            <w:vAlign w:val="center"/>
            <w:hideMark/>
          </w:tcPr>
          <w:p w14:paraId="3DD54B6E"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17.1</w:t>
            </w:r>
          </w:p>
        </w:tc>
        <w:tc>
          <w:tcPr>
            <w:tcW w:w="1404" w:type="pct"/>
            <w:tcBorders>
              <w:top w:val="nil"/>
              <w:left w:val="nil"/>
              <w:bottom w:val="nil"/>
              <w:right w:val="nil"/>
            </w:tcBorders>
            <w:shd w:val="clear" w:color="auto" w:fill="auto"/>
            <w:vAlign w:val="center"/>
            <w:hideMark/>
          </w:tcPr>
          <w:p w14:paraId="3ABB9507"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9.4</w:t>
            </w:r>
          </w:p>
        </w:tc>
      </w:tr>
      <w:tr w:rsidR="00D02BDC" w:rsidRPr="00000849" w14:paraId="48FDDB28" w14:textId="77777777" w:rsidTr="00143B7E">
        <w:trPr>
          <w:trHeight w:val="491"/>
        </w:trPr>
        <w:tc>
          <w:tcPr>
            <w:tcW w:w="2193" w:type="pct"/>
            <w:tcBorders>
              <w:top w:val="nil"/>
              <w:left w:val="nil"/>
              <w:bottom w:val="nil"/>
              <w:right w:val="nil"/>
            </w:tcBorders>
            <w:shd w:val="clear" w:color="auto" w:fill="auto"/>
            <w:vAlign w:val="center"/>
            <w:hideMark/>
          </w:tcPr>
          <w:p w14:paraId="50F5BA31"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Difficulty moving around past 30 days</w:t>
            </w:r>
          </w:p>
        </w:tc>
        <w:tc>
          <w:tcPr>
            <w:tcW w:w="1403" w:type="pct"/>
            <w:tcBorders>
              <w:top w:val="nil"/>
              <w:left w:val="nil"/>
              <w:bottom w:val="nil"/>
              <w:right w:val="nil"/>
            </w:tcBorders>
            <w:shd w:val="clear" w:color="auto" w:fill="auto"/>
            <w:vAlign w:val="center"/>
            <w:hideMark/>
          </w:tcPr>
          <w:p w14:paraId="7DF4C2F6"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31E85D6A" w14:textId="77777777" w:rsidR="00D02BDC" w:rsidRPr="00000849" w:rsidRDefault="00D02BDC" w:rsidP="00F21B9A">
            <w:pPr>
              <w:spacing w:after="0" w:line="240" w:lineRule="auto"/>
              <w:jc w:val="center"/>
              <w:rPr>
                <w:rFonts w:ascii="Times New Roman" w:eastAsia="Times New Roman" w:hAnsi="Times New Roman" w:cs="Times New Roman"/>
                <w:sz w:val="20"/>
                <w:szCs w:val="20"/>
                <w:lang w:val="en-US"/>
              </w:rPr>
            </w:pPr>
          </w:p>
        </w:tc>
      </w:tr>
      <w:tr w:rsidR="00D02BDC" w:rsidRPr="00000849" w14:paraId="78ADD9B6" w14:textId="77777777" w:rsidTr="00143B7E">
        <w:trPr>
          <w:trHeight w:val="288"/>
        </w:trPr>
        <w:tc>
          <w:tcPr>
            <w:tcW w:w="2193" w:type="pct"/>
            <w:tcBorders>
              <w:top w:val="nil"/>
              <w:left w:val="nil"/>
              <w:bottom w:val="nil"/>
              <w:right w:val="nil"/>
            </w:tcBorders>
            <w:shd w:val="clear" w:color="auto" w:fill="auto"/>
            <w:vAlign w:val="center"/>
            <w:hideMark/>
          </w:tcPr>
          <w:p w14:paraId="4DCD79E1"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Nil or mild difficulty</w:t>
            </w:r>
          </w:p>
        </w:tc>
        <w:tc>
          <w:tcPr>
            <w:tcW w:w="1403" w:type="pct"/>
            <w:tcBorders>
              <w:top w:val="nil"/>
              <w:left w:val="nil"/>
              <w:bottom w:val="nil"/>
              <w:right w:val="nil"/>
            </w:tcBorders>
            <w:shd w:val="clear" w:color="auto" w:fill="auto"/>
            <w:vAlign w:val="center"/>
            <w:hideMark/>
          </w:tcPr>
          <w:p w14:paraId="5EC9793D"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75.1</w:t>
            </w:r>
          </w:p>
        </w:tc>
        <w:tc>
          <w:tcPr>
            <w:tcW w:w="1404" w:type="pct"/>
            <w:tcBorders>
              <w:top w:val="nil"/>
              <w:left w:val="nil"/>
              <w:bottom w:val="nil"/>
              <w:right w:val="nil"/>
            </w:tcBorders>
            <w:shd w:val="clear" w:color="auto" w:fill="auto"/>
            <w:vAlign w:val="center"/>
            <w:hideMark/>
          </w:tcPr>
          <w:p w14:paraId="723D0474"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81.8</w:t>
            </w:r>
          </w:p>
        </w:tc>
      </w:tr>
      <w:tr w:rsidR="00D02BDC" w:rsidRPr="00000849" w14:paraId="4BE69ABD" w14:textId="77777777" w:rsidTr="00143B7E">
        <w:trPr>
          <w:trHeight w:val="288"/>
        </w:trPr>
        <w:tc>
          <w:tcPr>
            <w:tcW w:w="2193" w:type="pct"/>
            <w:tcBorders>
              <w:top w:val="nil"/>
              <w:left w:val="nil"/>
              <w:bottom w:val="nil"/>
              <w:right w:val="nil"/>
            </w:tcBorders>
            <w:shd w:val="clear" w:color="auto" w:fill="auto"/>
            <w:vAlign w:val="center"/>
            <w:hideMark/>
          </w:tcPr>
          <w:p w14:paraId="40862091"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Moderate difficulty</w:t>
            </w:r>
          </w:p>
        </w:tc>
        <w:tc>
          <w:tcPr>
            <w:tcW w:w="1403" w:type="pct"/>
            <w:tcBorders>
              <w:top w:val="nil"/>
              <w:left w:val="nil"/>
              <w:bottom w:val="nil"/>
              <w:right w:val="nil"/>
            </w:tcBorders>
            <w:shd w:val="clear" w:color="auto" w:fill="auto"/>
            <w:vAlign w:val="center"/>
            <w:hideMark/>
          </w:tcPr>
          <w:p w14:paraId="749C217B"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17.7</w:t>
            </w:r>
          </w:p>
        </w:tc>
        <w:tc>
          <w:tcPr>
            <w:tcW w:w="1404" w:type="pct"/>
            <w:tcBorders>
              <w:top w:val="nil"/>
              <w:left w:val="nil"/>
              <w:bottom w:val="nil"/>
              <w:right w:val="nil"/>
            </w:tcBorders>
            <w:shd w:val="clear" w:color="auto" w:fill="auto"/>
            <w:vAlign w:val="center"/>
            <w:hideMark/>
          </w:tcPr>
          <w:p w14:paraId="24BD5E7A"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11.6</w:t>
            </w:r>
          </w:p>
        </w:tc>
      </w:tr>
      <w:tr w:rsidR="00D02BDC" w:rsidRPr="00000849" w14:paraId="1BFBD16B" w14:textId="77777777" w:rsidTr="00143B7E">
        <w:trPr>
          <w:trHeight w:val="288"/>
        </w:trPr>
        <w:tc>
          <w:tcPr>
            <w:tcW w:w="2193" w:type="pct"/>
            <w:tcBorders>
              <w:top w:val="nil"/>
              <w:left w:val="nil"/>
              <w:bottom w:val="nil"/>
              <w:right w:val="nil"/>
            </w:tcBorders>
            <w:shd w:val="clear" w:color="auto" w:fill="auto"/>
            <w:vAlign w:val="center"/>
            <w:hideMark/>
          </w:tcPr>
          <w:p w14:paraId="68CB20F8"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Bad or very bad</w:t>
            </w:r>
          </w:p>
        </w:tc>
        <w:tc>
          <w:tcPr>
            <w:tcW w:w="1403" w:type="pct"/>
            <w:tcBorders>
              <w:top w:val="nil"/>
              <w:left w:val="nil"/>
              <w:bottom w:val="nil"/>
              <w:right w:val="nil"/>
            </w:tcBorders>
            <w:shd w:val="clear" w:color="auto" w:fill="auto"/>
            <w:vAlign w:val="center"/>
            <w:hideMark/>
          </w:tcPr>
          <w:p w14:paraId="53BCC1E7"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7.3</w:t>
            </w:r>
          </w:p>
        </w:tc>
        <w:tc>
          <w:tcPr>
            <w:tcW w:w="1404" w:type="pct"/>
            <w:tcBorders>
              <w:top w:val="nil"/>
              <w:left w:val="nil"/>
              <w:bottom w:val="nil"/>
              <w:right w:val="nil"/>
            </w:tcBorders>
            <w:shd w:val="clear" w:color="auto" w:fill="auto"/>
            <w:vAlign w:val="center"/>
            <w:hideMark/>
          </w:tcPr>
          <w:p w14:paraId="0B67A5C5"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6.6</w:t>
            </w:r>
          </w:p>
        </w:tc>
      </w:tr>
      <w:tr w:rsidR="00D02BDC" w:rsidRPr="00000849" w14:paraId="33C45731" w14:textId="77777777" w:rsidTr="00143B7E">
        <w:trPr>
          <w:trHeight w:val="552"/>
        </w:trPr>
        <w:tc>
          <w:tcPr>
            <w:tcW w:w="2193" w:type="pct"/>
            <w:tcBorders>
              <w:top w:val="nil"/>
              <w:left w:val="nil"/>
              <w:bottom w:val="nil"/>
              <w:right w:val="nil"/>
            </w:tcBorders>
            <w:shd w:val="clear" w:color="auto" w:fill="auto"/>
            <w:vAlign w:val="center"/>
            <w:hideMark/>
          </w:tcPr>
          <w:p w14:paraId="269DC7D8"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Difficulty with daily living activities</w:t>
            </w:r>
          </w:p>
        </w:tc>
        <w:tc>
          <w:tcPr>
            <w:tcW w:w="1403" w:type="pct"/>
            <w:tcBorders>
              <w:top w:val="nil"/>
              <w:left w:val="nil"/>
              <w:bottom w:val="nil"/>
              <w:right w:val="nil"/>
            </w:tcBorders>
            <w:shd w:val="clear" w:color="auto" w:fill="auto"/>
            <w:vAlign w:val="center"/>
            <w:hideMark/>
          </w:tcPr>
          <w:p w14:paraId="0E08785F"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75FE9240" w14:textId="77777777" w:rsidR="00D02BDC" w:rsidRPr="00000849" w:rsidRDefault="00D02BDC" w:rsidP="00F21B9A">
            <w:pPr>
              <w:spacing w:after="0" w:line="240" w:lineRule="auto"/>
              <w:jc w:val="center"/>
              <w:rPr>
                <w:rFonts w:ascii="Times New Roman" w:eastAsia="Times New Roman" w:hAnsi="Times New Roman" w:cs="Times New Roman"/>
                <w:sz w:val="20"/>
                <w:szCs w:val="20"/>
                <w:lang w:val="en-US"/>
              </w:rPr>
            </w:pPr>
          </w:p>
        </w:tc>
      </w:tr>
      <w:tr w:rsidR="00D02BDC" w:rsidRPr="00000849" w14:paraId="00BA7729" w14:textId="77777777" w:rsidTr="00143B7E">
        <w:trPr>
          <w:trHeight w:val="288"/>
        </w:trPr>
        <w:tc>
          <w:tcPr>
            <w:tcW w:w="2193" w:type="pct"/>
            <w:tcBorders>
              <w:top w:val="nil"/>
              <w:left w:val="nil"/>
              <w:bottom w:val="nil"/>
              <w:right w:val="nil"/>
            </w:tcBorders>
            <w:shd w:val="clear" w:color="auto" w:fill="auto"/>
            <w:vAlign w:val="center"/>
            <w:hideMark/>
          </w:tcPr>
          <w:p w14:paraId="0E51CAB2"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Nil</w:t>
            </w:r>
          </w:p>
        </w:tc>
        <w:tc>
          <w:tcPr>
            <w:tcW w:w="1403" w:type="pct"/>
            <w:tcBorders>
              <w:top w:val="nil"/>
              <w:left w:val="nil"/>
              <w:bottom w:val="nil"/>
              <w:right w:val="nil"/>
            </w:tcBorders>
            <w:shd w:val="clear" w:color="auto" w:fill="auto"/>
            <w:vAlign w:val="center"/>
            <w:hideMark/>
          </w:tcPr>
          <w:p w14:paraId="72D9C49C"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19.3</w:t>
            </w:r>
          </w:p>
        </w:tc>
        <w:tc>
          <w:tcPr>
            <w:tcW w:w="1404" w:type="pct"/>
            <w:tcBorders>
              <w:top w:val="nil"/>
              <w:left w:val="nil"/>
              <w:bottom w:val="nil"/>
              <w:right w:val="nil"/>
            </w:tcBorders>
            <w:shd w:val="clear" w:color="auto" w:fill="auto"/>
            <w:vAlign w:val="center"/>
            <w:hideMark/>
          </w:tcPr>
          <w:p w14:paraId="27588C7C"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41.4</w:t>
            </w:r>
          </w:p>
        </w:tc>
      </w:tr>
      <w:tr w:rsidR="00D02BDC" w:rsidRPr="00000849" w14:paraId="55B658C8" w14:textId="77777777" w:rsidTr="00143B7E">
        <w:trPr>
          <w:trHeight w:val="288"/>
        </w:trPr>
        <w:tc>
          <w:tcPr>
            <w:tcW w:w="2193" w:type="pct"/>
            <w:tcBorders>
              <w:top w:val="nil"/>
              <w:left w:val="nil"/>
              <w:bottom w:val="nil"/>
              <w:right w:val="nil"/>
            </w:tcBorders>
            <w:shd w:val="clear" w:color="auto" w:fill="auto"/>
            <w:vAlign w:val="center"/>
            <w:hideMark/>
          </w:tcPr>
          <w:p w14:paraId="0C7A1074"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Mild to mod difficulty</w:t>
            </w:r>
          </w:p>
        </w:tc>
        <w:tc>
          <w:tcPr>
            <w:tcW w:w="1403" w:type="pct"/>
            <w:tcBorders>
              <w:top w:val="nil"/>
              <w:left w:val="nil"/>
              <w:bottom w:val="nil"/>
              <w:right w:val="nil"/>
            </w:tcBorders>
            <w:shd w:val="clear" w:color="auto" w:fill="auto"/>
            <w:vAlign w:val="center"/>
            <w:hideMark/>
          </w:tcPr>
          <w:p w14:paraId="41D5DA3B"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64.4</w:t>
            </w:r>
          </w:p>
        </w:tc>
        <w:tc>
          <w:tcPr>
            <w:tcW w:w="1404" w:type="pct"/>
            <w:tcBorders>
              <w:top w:val="nil"/>
              <w:left w:val="nil"/>
              <w:bottom w:val="nil"/>
              <w:right w:val="nil"/>
            </w:tcBorders>
            <w:shd w:val="clear" w:color="auto" w:fill="auto"/>
            <w:vAlign w:val="center"/>
            <w:hideMark/>
          </w:tcPr>
          <w:p w14:paraId="4421CF3B"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51.9</w:t>
            </w:r>
          </w:p>
        </w:tc>
      </w:tr>
      <w:tr w:rsidR="00D02BDC" w:rsidRPr="00000849" w14:paraId="1BC90187" w14:textId="77777777" w:rsidTr="00143B7E">
        <w:trPr>
          <w:trHeight w:val="378"/>
        </w:trPr>
        <w:tc>
          <w:tcPr>
            <w:tcW w:w="2193" w:type="pct"/>
            <w:tcBorders>
              <w:top w:val="nil"/>
              <w:left w:val="nil"/>
              <w:bottom w:val="nil"/>
              <w:right w:val="nil"/>
            </w:tcBorders>
            <w:shd w:val="clear" w:color="auto" w:fill="auto"/>
            <w:vAlign w:val="center"/>
            <w:hideMark/>
          </w:tcPr>
          <w:p w14:paraId="4F78D18A" w14:textId="77777777"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Severe disability/inability</w:t>
            </w:r>
          </w:p>
        </w:tc>
        <w:tc>
          <w:tcPr>
            <w:tcW w:w="1403" w:type="pct"/>
            <w:tcBorders>
              <w:top w:val="nil"/>
              <w:left w:val="nil"/>
              <w:bottom w:val="nil"/>
              <w:right w:val="nil"/>
            </w:tcBorders>
            <w:shd w:val="clear" w:color="auto" w:fill="auto"/>
            <w:vAlign w:val="center"/>
            <w:hideMark/>
          </w:tcPr>
          <w:p w14:paraId="690B6FA6"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16.3</w:t>
            </w:r>
          </w:p>
        </w:tc>
        <w:tc>
          <w:tcPr>
            <w:tcW w:w="1404" w:type="pct"/>
            <w:tcBorders>
              <w:top w:val="nil"/>
              <w:left w:val="nil"/>
              <w:bottom w:val="nil"/>
              <w:right w:val="nil"/>
            </w:tcBorders>
            <w:shd w:val="clear" w:color="auto" w:fill="auto"/>
            <w:vAlign w:val="center"/>
            <w:hideMark/>
          </w:tcPr>
          <w:p w14:paraId="76C72F4F"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6.8</w:t>
            </w:r>
          </w:p>
        </w:tc>
      </w:tr>
      <w:tr w:rsidR="00D02BDC" w:rsidRPr="00000849" w14:paraId="6EFA90A8" w14:textId="77777777" w:rsidTr="00143B7E">
        <w:trPr>
          <w:trHeight w:val="468"/>
        </w:trPr>
        <w:tc>
          <w:tcPr>
            <w:tcW w:w="2193" w:type="pct"/>
            <w:tcBorders>
              <w:top w:val="nil"/>
              <w:left w:val="nil"/>
              <w:bottom w:val="nil"/>
              <w:right w:val="nil"/>
            </w:tcBorders>
            <w:shd w:val="clear" w:color="auto" w:fill="auto"/>
            <w:vAlign w:val="center"/>
            <w:hideMark/>
          </w:tcPr>
          <w:p w14:paraId="094C60F4" w14:textId="77777777" w:rsidR="00D02BDC" w:rsidRPr="00000849" w:rsidRDefault="00D02BDC" w:rsidP="00F21B9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OPD visits over the past 12 months</w:t>
            </w:r>
          </w:p>
        </w:tc>
        <w:tc>
          <w:tcPr>
            <w:tcW w:w="1403" w:type="pct"/>
            <w:tcBorders>
              <w:top w:val="nil"/>
              <w:left w:val="nil"/>
              <w:bottom w:val="nil"/>
              <w:right w:val="nil"/>
            </w:tcBorders>
            <w:shd w:val="clear" w:color="auto" w:fill="auto"/>
            <w:vAlign w:val="center"/>
            <w:hideMark/>
          </w:tcPr>
          <w:p w14:paraId="52303101" w14:textId="77777777" w:rsidR="00D02BDC" w:rsidRPr="00000849" w:rsidRDefault="00D02BDC" w:rsidP="00F21B9A">
            <w:pPr>
              <w:spacing w:after="0" w:line="240" w:lineRule="auto"/>
              <w:rPr>
                <w:rFonts w:ascii="Calibri" w:eastAsia="Times New Roman" w:hAnsi="Calibri" w:cs="Calibri"/>
                <w:color w:val="000000"/>
                <w:sz w:val="18"/>
                <w:szCs w:val="18"/>
                <w:lang w:val="en-US"/>
              </w:rPr>
            </w:pPr>
          </w:p>
        </w:tc>
        <w:tc>
          <w:tcPr>
            <w:tcW w:w="1404" w:type="pct"/>
            <w:tcBorders>
              <w:top w:val="nil"/>
              <w:left w:val="nil"/>
              <w:bottom w:val="nil"/>
              <w:right w:val="nil"/>
            </w:tcBorders>
            <w:shd w:val="clear" w:color="auto" w:fill="auto"/>
            <w:vAlign w:val="center"/>
            <w:hideMark/>
          </w:tcPr>
          <w:p w14:paraId="1DD4CE54" w14:textId="77777777" w:rsidR="00D02BDC" w:rsidRPr="00000849" w:rsidRDefault="00D02BDC" w:rsidP="00F21B9A">
            <w:pPr>
              <w:spacing w:after="0" w:line="240" w:lineRule="auto"/>
              <w:jc w:val="center"/>
              <w:rPr>
                <w:rFonts w:ascii="Times New Roman" w:eastAsia="Times New Roman" w:hAnsi="Times New Roman" w:cs="Times New Roman"/>
                <w:sz w:val="20"/>
                <w:szCs w:val="20"/>
                <w:lang w:val="en-US"/>
              </w:rPr>
            </w:pPr>
          </w:p>
        </w:tc>
      </w:tr>
      <w:tr w:rsidR="00D02BDC" w:rsidRPr="00000849" w14:paraId="4E017C79" w14:textId="77777777" w:rsidTr="00143B7E">
        <w:trPr>
          <w:trHeight w:val="288"/>
        </w:trPr>
        <w:tc>
          <w:tcPr>
            <w:tcW w:w="2193" w:type="pct"/>
            <w:tcBorders>
              <w:top w:val="nil"/>
              <w:left w:val="nil"/>
              <w:bottom w:val="nil"/>
              <w:right w:val="nil"/>
            </w:tcBorders>
            <w:shd w:val="clear" w:color="auto" w:fill="auto"/>
            <w:vAlign w:val="center"/>
            <w:hideMark/>
          </w:tcPr>
          <w:p w14:paraId="1D8C60C3" w14:textId="5128BCBA"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once/year or less</w:t>
            </w:r>
          </w:p>
        </w:tc>
        <w:tc>
          <w:tcPr>
            <w:tcW w:w="1403" w:type="pct"/>
            <w:tcBorders>
              <w:top w:val="nil"/>
              <w:left w:val="nil"/>
              <w:bottom w:val="nil"/>
              <w:right w:val="nil"/>
            </w:tcBorders>
            <w:shd w:val="clear" w:color="auto" w:fill="auto"/>
            <w:vAlign w:val="center"/>
            <w:hideMark/>
          </w:tcPr>
          <w:p w14:paraId="2D68E9B0"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62.0</w:t>
            </w:r>
          </w:p>
        </w:tc>
        <w:tc>
          <w:tcPr>
            <w:tcW w:w="1404" w:type="pct"/>
            <w:tcBorders>
              <w:top w:val="nil"/>
              <w:left w:val="nil"/>
              <w:bottom w:val="nil"/>
              <w:right w:val="nil"/>
            </w:tcBorders>
            <w:shd w:val="clear" w:color="auto" w:fill="auto"/>
            <w:vAlign w:val="center"/>
            <w:hideMark/>
          </w:tcPr>
          <w:p w14:paraId="2CD9DE67"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71.5</w:t>
            </w:r>
          </w:p>
        </w:tc>
      </w:tr>
      <w:tr w:rsidR="00D02BDC" w:rsidRPr="00000849" w14:paraId="344B2557" w14:textId="77777777" w:rsidTr="00143B7E">
        <w:trPr>
          <w:trHeight w:val="288"/>
        </w:trPr>
        <w:tc>
          <w:tcPr>
            <w:tcW w:w="2193" w:type="pct"/>
            <w:tcBorders>
              <w:top w:val="nil"/>
              <w:left w:val="nil"/>
              <w:bottom w:val="nil"/>
              <w:right w:val="nil"/>
            </w:tcBorders>
            <w:shd w:val="clear" w:color="auto" w:fill="auto"/>
            <w:vAlign w:val="center"/>
            <w:hideMark/>
          </w:tcPr>
          <w:p w14:paraId="2A110B52" w14:textId="2A8A4D00" w:rsidR="00D02BDC" w:rsidRPr="00000849" w:rsidRDefault="00D02BDC" w:rsidP="00F21B9A">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 once/year</w:t>
            </w:r>
          </w:p>
        </w:tc>
        <w:tc>
          <w:tcPr>
            <w:tcW w:w="1403" w:type="pct"/>
            <w:tcBorders>
              <w:top w:val="nil"/>
              <w:left w:val="nil"/>
              <w:bottom w:val="nil"/>
              <w:right w:val="nil"/>
            </w:tcBorders>
            <w:shd w:val="clear" w:color="auto" w:fill="auto"/>
            <w:vAlign w:val="center"/>
            <w:hideMark/>
          </w:tcPr>
          <w:p w14:paraId="6AEC08B3"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38.0</w:t>
            </w:r>
          </w:p>
        </w:tc>
        <w:tc>
          <w:tcPr>
            <w:tcW w:w="1404" w:type="pct"/>
            <w:tcBorders>
              <w:top w:val="nil"/>
              <w:left w:val="nil"/>
              <w:bottom w:val="nil"/>
              <w:right w:val="nil"/>
            </w:tcBorders>
            <w:shd w:val="clear" w:color="auto" w:fill="auto"/>
            <w:vAlign w:val="center"/>
            <w:hideMark/>
          </w:tcPr>
          <w:p w14:paraId="7C16B8E7" w14:textId="77777777" w:rsidR="00D02BDC" w:rsidRPr="00000849" w:rsidRDefault="00D02BDC" w:rsidP="00F21B9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28.5</w:t>
            </w:r>
          </w:p>
        </w:tc>
      </w:tr>
    </w:tbl>
    <w:p w14:paraId="67D5E9BB" w14:textId="66F1F989" w:rsidR="003E120D" w:rsidRPr="00000849" w:rsidRDefault="003E120D" w:rsidP="003E120D"/>
    <w:p w14:paraId="2C3F3C0B" w14:textId="260F735A" w:rsidR="00E71CA2" w:rsidRPr="00000849" w:rsidRDefault="00E71CA2" w:rsidP="00E71CA2">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The men were slightly older than the women (64.4 years, 95% CI: 63.7–65.0 versus 64.1 years, 95% CI: 63.6–64.6) in W1 but slightly younger than the women (</w:t>
      </w:r>
      <w:r w:rsidR="00765D41" w:rsidRPr="00000849">
        <w:rPr>
          <w:rFonts w:asciiTheme="minorHAnsi" w:hAnsiTheme="minorHAnsi" w:cstheme="minorHAnsi"/>
          <w:color w:val="383838"/>
        </w:rPr>
        <w:t>62.4</w:t>
      </w:r>
      <w:r w:rsidRPr="00000849">
        <w:rPr>
          <w:rFonts w:asciiTheme="minorHAnsi" w:hAnsiTheme="minorHAnsi" w:cstheme="minorHAnsi"/>
          <w:color w:val="383838"/>
        </w:rPr>
        <w:t xml:space="preserve"> years, 95% CI: </w:t>
      </w:r>
      <w:r w:rsidR="00765D41" w:rsidRPr="00000849">
        <w:rPr>
          <w:rFonts w:asciiTheme="minorHAnsi" w:hAnsiTheme="minorHAnsi" w:cstheme="minorHAnsi"/>
          <w:color w:val="383838"/>
        </w:rPr>
        <w:t>61.7</w:t>
      </w:r>
      <w:r w:rsidRPr="00000849">
        <w:rPr>
          <w:rFonts w:asciiTheme="minorHAnsi" w:hAnsiTheme="minorHAnsi" w:cstheme="minorHAnsi"/>
          <w:color w:val="383838"/>
        </w:rPr>
        <w:t>–</w:t>
      </w:r>
      <w:r w:rsidR="00765D41" w:rsidRPr="00000849">
        <w:rPr>
          <w:rFonts w:asciiTheme="minorHAnsi" w:hAnsiTheme="minorHAnsi" w:cstheme="minorHAnsi"/>
          <w:color w:val="383838"/>
        </w:rPr>
        <w:t>63.0</w:t>
      </w:r>
      <w:r w:rsidRPr="00000849">
        <w:rPr>
          <w:rFonts w:asciiTheme="minorHAnsi" w:hAnsiTheme="minorHAnsi" w:cstheme="minorHAnsi"/>
          <w:color w:val="383838"/>
        </w:rPr>
        <w:t xml:space="preserve"> versus </w:t>
      </w:r>
      <w:r w:rsidR="00765D41" w:rsidRPr="00000849">
        <w:rPr>
          <w:rFonts w:asciiTheme="minorHAnsi" w:hAnsiTheme="minorHAnsi" w:cstheme="minorHAnsi"/>
          <w:color w:val="383838"/>
        </w:rPr>
        <w:t>62.8</w:t>
      </w:r>
      <w:r w:rsidRPr="00000849">
        <w:rPr>
          <w:rFonts w:asciiTheme="minorHAnsi" w:hAnsiTheme="minorHAnsi" w:cstheme="minorHAnsi"/>
          <w:color w:val="383838"/>
        </w:rPr>
        <w:t xml:space="preserve"> years, 95% CI: </w:t>
      </w:r>
      <w:r w:rsidR="00765D41" w:rsidRPr="00000849">
        <w:rPr>
          <w:rFonts w:asciiTheme="minorHAnsi" w:hAnsiTheme="minorHAnsi" w:cstheme="minorHAnsi"/>
          <w:color w:val="383838"/>
        </w:rPr>
        <w:t>62.2</w:t>
      </w:r>
      <w:r w:rsidRPr="00000849">
        <w:rPr>
          <w:rFonts w:asciiTheme="minorHAnsi" w:hAnsiTheme="minorHAnsi" w:cstheme="minorHAnsi"/>
          <w:color w:val="383838"/>
        </w:rPr>
        <w:t>–</w:t>
      </w:r>
      <w:r w:rsidR="00765D41" w:rsidRPr="00000849">
        <w:rPr>
          <w:rFonts w:asciiTheme="minorHAnsi" w:hAnsiTheme="minorHAnsi" w:cstheme="minorHAnsi"/>
          <w:color w:val="383838"/>
        </w:rPr>
        <w:t>63.4</w:t>
      </w:r>
      <w:r w:rsidRPr="00000849">
        <w:rPr>
          <w:rFonts w:asciiTheme="minorHAnsi" w:hAnsiTheme="minorHAnsi" w:cstheme="minorHAnsi"/>
          <w:color w:val="383838"/>
        </w:rPr>
        <w:t xml:space="preserve">) in Wave 2.  The age differences by sex were not statistically significant in either study wave.  </w:t>
      </w:r>
    </w:p>
    <w:p w14:paraId="10EF2A45" w14:textId="488D5DCE" w:rsidR="00E71CA2" w:rsidRPr="00000849" w:rsidRDefault="00E71CA2" w:rsidP="00E71CA2">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Compared to W1, </w:t>
      </w:r>
      <w:r w:rsidR="00C418EE" w:rsidRPr="00000849">
        <w:rPr>
          <w:rFonts w:asciiTheme="minorHAnsi" w:hAnsiTheme="minorHAnsi" w:cstheme="minorHAnsi"/>
          <w:color w:val="383838"/>
        </w:rPr>
        <w:t xml:space="preserve">W2 </w:t>
      </w:r>
      <w:r w:rsidRPr="00000849">
        <w:rPr>
          <w:rFonts w:asciiTheme="minorHAnsi" w:hAnsiTheme="minorHAnsi" w:cstheme="minorHAnsi"/>
          <w:color w:val="383838"/>
        </w:rPr>
        <w:t>participants were young</w:t>
      </w:r>
      <w:r w:rsidR="00EC6DB5" w:rsidRPr="00000849">
        <w:rPr>
          <w:rFonts w:asciiTheme="minorHAnsi" w:hAnsiTheme="minorHAnsi" w:cstheme="minorHAnsi"/>
          <w:color w:val="383838"/>
        </w:rPr>
        <w:t>er</w:t>
      </w:r>
      <w:r w:rsidRPr="00000849">
        <w:rPr>
          <w:rFonts w:asciiTheme="minorHAnsi" w:hAnsiTheme="minorHAnsi" w:cstheme="minorHAnsi"/>
          <w:color w:val="383838"/>
        </w:rPr>
        <w:t xml:space="preserve">, </w:t>
      </w:r>
      <w:r w:rsidR="00EC6DB5" w:rsidRPr="00000849">
        <w:rPr>
          <w:rFonts w:asciiTheme="minorHAnsi" w:hAnsiTheme="minorHAnsi" w:cstheme="minorHAnsi"/>
          <w:color w:val="383838"/>
        </w:rPr>
        <w:t xml:space="preserve">more likely to be </w:t>
      </w:r>
      <w:r w:rsidRPr="00000849">
        <w:rPr>
          <w:rFonts w:asciiTheme="minorHAnsi" w:hAnsiTheme="minorHAnsi" w:cstheme="minorHAnsi"/>
          <w:color w:val="383838"/>
        </w:rPr>
        <w:t xml:space="preserve">urban residents, belong to Northern ethnicities, be currently married, </w:t>
      </w:r>
      <w:r w:rsidR="00EC6DB5" w:rsidRPr="00000849">
        <w:rPr>
          <w:rFonts w:asciiTheme="minorHAnsi" w:hAnsiTheme="minorHAnsi" w:cstheme="minorHAnsi"/>
          <w:color w:val="383838"/>
        </w:rPr>
        <w:t>better</w:t>
      </w:r>
      <w:r w:rsidRPr="00000849">
        <w:rPr>
          <w:rFonts w:asciiTheme="minorHAnsi" w:hAnsiTheme="minorHAnsi" w:cstheme="minorHAnsi"/>
          <w:color w:val="383838"/>
        </w:rPr>
        <w:t xml:space="preserve"> educat</w:t>
      </w:r>
      <w:r w:rsidR="00EC6DB5" w:rsidRPr="00000849">
        <w:rPr>
          <w:rFonts w:asciiTheme="minorHAnsi" w:hAnsiTheme="minorHAnsi" w:cstheme="minorHAnsi"/>
          <w:color w:val="383838"/>
        </w:rPr>
        <w:t>ed</w:t>
      </w:r>
      <w:r w:rsidRPr="00000849">
        <w:rPr>
          <w:rFonts w:asciiTheme="minorHAnsi" w:hAnsiTheme="minorHAnsi" w:cstheme="minorHAnsi"/>
          <w:color w:val="383838"/>
        </w:rPr>
        <w:t xml:space="preserve">, be Christian or </w:t>
      </w:r>
      <w:r w:rsidR="00541793" w:rsidRPr="00000849">
        <w:rPr>
          <w:rFonts w:asciiTheme="minorHAnsi" w:hAnsiTheme="minorHAnsi" w:cstheme="minorHAnsi"/>
          <w:color w:val="383838"/>
        </w:rPr>
        <w:t>Muslim</w:t>
      </w:r>
      <w:r w:rsidRPr="00000849">
        <w:rPr>
          <w:rFonts w:asciiTheme="minorHAnsi" w:hAnsiTheme="minorHAnsi" w:cstheme="minorHAnsi"/>
          <w:color w:val="383838"/>
        </w:rPr>
        <w:t xml:space="preserve">, be currently working, currently or recently employed in the informal sector, report better self-rated health status, have little or no difficulty moving around or performing their daily living activities, </w:t>
      </w:r>
      <w:r w:rsidR="00EC6DB5" w:rsidRPr="00000849">
        <w:rPr>
          <w:rFonts w:asciiTheme="minorHAnsi" w:hAnsiTheme="minorHAnsi" w:cstheme="minorHAnsi"/>
          <w:color w:val="383838"/>
        </w:rPr>
        <w:t xml:space="preserve">and </w:t>
      </w:r>
      <w:r w:rsidRPr="00000849">
        <w:rPr>
          <w:rFonts w:asciiTheme="minorHAnsi" w:hAnsiTheme="minorHAnsi" w:cstheme="minorHAnsi"/>
          <w:color w:val="383838"/>
        </w:rPr>
        <w:t xml:space="preserve">to have visited outpatient facilities less frequently over the past twelve months (Table 5.1).  </w:t>
      </w:r>
    </w:p>
    <w:p w14:paraId="6BFEE25F" w14:textId="204C8D48" w:rsidR="00E71CA2" w:rsidRPr="00000849" w:rsidRDefault="00E71CA2" w:rsidP="00EE6028">
      <w:pPr>
        <w:spacing w:line="480" w:lineRule="auto"/>
        <w:ind w:firstLine="720"/>
        <w:jc w:val="both"/>
        <w:rPr>
          <w:rFonts w:cstheme="minorHAnsi"/>
          <w:color w:val="383838"/>
          <w:sz w:val="24"/>
          <w:szCs w:val="24"/>
        </w:rPr>
      </w:pPr>
      <w:r w:rsidRPr="00000849">
        <w:rPr>
          <w:rFonts w:cstheme="minorHAnsi"/>
          <w:color w:val="383838"/>
          <w:sz w:val="24"/>
          <w:szCs w:val="24"/>
        </w:rPr>
        <w:lastRenderedPageBreak/>
        <w:t>Overall, in each study wave, the SAGE study participants were predominantly female, rural residents, currently married or cohabiting, illiterate, Christians and self-reported generally being healthy and active.</w:t>
      </w:r>
    </w:p>
    <w:p w14:paraId="4AAD0AF2" w14:textId="7FC060E2" w:rsidR="00E71CA2" w:rsidRPr="00000849" w:rsidRDefault="00E71CA2" w:rsidP="00E71CA2">
      <w:pPr>
        <w:spacing w:line="480" w:lineRule="auto"/>
        <w:jc w:val="both"/>
        <w:rPr>
          <w:sz w:val="24"/>
          <w:szCs w:val="24"/>
        </w:rPr>
      </w:pPr>
    </w:p>
    <w:p w14:paraId="6246135B" w14:textId="6340AFC7" w:rsidR="003E120D" w:rsidRPr="00000849" w:rsidRDefault="002006AA" w:rsidP="00A61BAB">
      <w:pPr>
        <w:pStyle w:val="Heading2"/>
        <w:rPr>
          <w:color w:val="383838"/>
        </w:rPr>
      </w:pPr>
      <w:bookmarkStart w:id="87" w:name="_Toc51472129"/>
      <w:r w:rsidRPr="00000849">
        <w:t>5.</w:t>
      </w:r>
      <w:r w:rsidR="003E120D" w:rsidRPr="00000849">
        <w:t>3</w:t>
      </w:r>
      <w:r w:rsidR="003E120D" w:rsidRPr="00000849">
        <w:tab/>
      </w:r>
      <w:r w:rsidR="0011226C" w:rsidRPr="00000849">
        <w:t xml:space="preserve">Prevalence </w:t>
      </w:r>
      <w:r w:rsidR="003E120D" w:rsidRPr="00000849">
        <w:t>of</w:t>
      </w:r>
      <w:r w:rsidR="0011226C" w:rsidRPr="00000849">
        <w:t xml:space="preserve"> </w:t>
      </w:r>
      <w:r w:rsidR="003E120D" w:rsidRPr="00000849">
        <w:t>h</w:t>
      </w:r>
      <w:r w:rsidR="0011226C" w:rsidRPr="00000849">
        <w:t xml:space="preserve">ypertension </w:t>
      </w:r>
      <w:r w:rsidR="00BA21ED" w:rsidRPr="00000849">
        <w:t>among</w:t>
      </w:r>
      <w:r w:rsidR="0011226C" w:rsidRPr="00000849">
        <w:t xml:space="preserve"> </w:t>
      </w:r>
      <w:r w:rsidR="003E120D" w:rsidRPr="00000849">
        <w:t>o</w:t>
      </w:r>
      <w:r w:rsidR="0011226C" w:rsidRPr="00000849">
        <w:t xml:space="preserve">lder </w:t>
      </w:r>
      <w:r w:rsidR="003E120D" w:rsidRPr="00000849">
        <w:t>a</w:t>
      </w:r>
      <w:r w:rsidR="0011226C" w:rsidRPr="00000849">
        <w:t>dults</w:t>
      </w:r>
      <w:bookmarkEnd w:id="87"/>
      <w:r w:rsidR="00BA21ED" w:rsidRPr="00000849">
        <w:t xml:space="preserve"> </w:t>
      </w:r>
    </w:p>
    <w:p w14:paraId="2D8C04D4" w14:textId="6A7CDC7C" w:rsidR="00714E28" w:rsidRPr="00000849" w:rsidRDefault="002006AA" w:rsidP="004E2350">
      <w:pPr>
        <w:pStyle w:val="Heading3"/>
      </w:pPr>
      <w:bookmarkStart w:id="88" w:name="_Toc51472130"/>
      <w:r w:rsidRPr="00000849">
        <w:t>5.</w:t>
      </w:r>
      <w:r w:rsidR="00714E28" w:rsidRPr="00000849">
        <w:t>3.1</w:t>
      </w:r>
      <w:r w:rsidR="00714E28" w:rsidRPr="00000849">
        <w:tab/>
        <w:t>Aggregated prevalence by study wave</w:t>
      </w:r>
      <w:bookmarkEnd w:id="88"/>
    </w:p>
    <w:p w14:paraId="1DA4C535" w14:textId="77777777" w:rsidR="00714E28" w:rsidRPr="00000849" w:rsidRDefault="00714E28" w:rsidP="003E25D1">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36A2BF8F" w14:textId="1919E826" w:rsidR="00B6755E" w:rsidRPr="00000849" w:rsidRDefault="003E25D1" w:rsidP="00FA003D">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weighted prevalence of hypertension in older adults</w:t>
      </w:r>
      <w:r w:rsidR="00FA003D" w:rsidRPr="00000849">
        <w:rPr>
          <w:rFonts w:asciiTheme="minorHAnsi" w:hAnsiTheme="minorHAnsi" w:cstheme="minorHAnsi"/>
          <w:color w:val="383838"/>
        </w:rPr>
        <w:t>, including those on anti-hypertensive medication in the preceding two weeks of the survey,</w:t>
      </w:r>
      <w:r w:rsidRPr="00000849">
        <w:rPr>
          <w:rFonts w:asciiTheme="minorHAnsi" w:hAnsiTheme="minorHAnsi" w:cstheme="minorHAnsi"/>
          <w:color w:val="383838"/>
        </w:rPr>
        <w:t xml:space="preserve"> was 57.0% (95% CI: 54.6 – 59.3%) in </w:t>
      </w:r>
      <w:r w:rsidR="002778EF" w:rsidRPr="00000849">
        <w:rPr>
          <w:rFonts w:asciiTheme="minorHAnsi" w:hAnsiTheme="minorHAnsi" w:cstheme="minorHAnsi"/>
          <w:color w:val="383838"/>
        </w:rPr>
        <w:t>W</w:t>
      </w:r>
      <w:r w:rsidRPr="00000849">
        <w:rPr>
          <w:rFonts w:asciiTheme="minorHAnsi" w:hAnsiTheme="minorHAnsi" w:cstheme="minorHAnsi"/>
          <w:color w:val="383838"/>
        </w:rPr>
        <w:t>1</w:t>
      </w:r>
      <w:r w:rsidR="00F33653" w:rsidRPr="00000849">
        <w:rPr>
          <w:rFonts w:asciiTheme="minorHAnsi" w:hAnsiTheme="minorHAnsi" w:cstheme="minorHAnsi"/>
          <w:color w:val="383838"/>
        </w:rPr>
        <w:t xml:space="preserve"> and</w:t>
      </w:r>
      <w:r w:rsidRPr="00000849">
        <w:rPr>
          <w:rFonts w:asciiTheme="minorHAnsi" w:hAnsiTheme="minorHAnsi" w:cstheme="minorHAnsi"/>
          <w:color w:val="383838"/>
        </w:rPr>
        <w:t xml:space="preserve"> 35.1% (95% CI: 32.5-37.7%) in the </w:t>
      </w:r>
      <w:r w:rsidR="002778EF" w:rsidRPr="00000849">
        <w:rPr>
          <w:rFonts w:asciiTheme="minorHAnsi" w:hAnsiTheme="minorHAnsi" w:cstheme="minorHAnsi"/>
          <w:color w:val="383838"/>
        </w:rPr>
        <w:t>W</w:t>
      </w:r>
      <w:r w:rsidRPr="00000849">
        <w:rPr>
          <w:rFonts w:asciiTheme="minorHAnsi" w:hAnsiTheme="minorHAnsi" w:cstheme="minorHAnsi"/>
          <w:color w:val="383838"/>
        </w:rPr>
        <w:t>2 sample</w:t>
      </w:r>
      <w:r w:rsidR="00A9477E" w:rsidRPr="00000849">
        <w:rPr>
          <w:rFonts w:asciiTheme="minorHAnsi" w:hAnsiTheme="minorHAnsi" w:cstheme="minorHAnsi"/>
          <w:color w:val="383838"/>
        </w:rPr>
        <w:t xml:space="preserve"> (Table 5.2)</w:t>
      </w:r>
      <w:r w:rsidR="00F33653" w:rsidRPr="00000849">
        <w:rPr>
          <w:rFonts w:asciiTheme="minorHAnsi" w:hAnsiTheme="minorHAnsi" w:cstheme="minorHAnsi"/>
          <w:color w:val="383838"/>
        </w:rPr>
        <w:t xml:space="preserve">.  </w:t>
      </w:r>
      <w:r w:rsidR="00FA003D" w:rsidRPr="00000849">
        <w:rPr>
          <w:rFonts w:asciiTheme="minorHAnsi" w:hAnsiTheme="minorHAnsi" w:cstheme="minorHAnsi"/>
          <w:color w:val="383838"/>
        </w:rPr>
        <w:t xml:space="preserve">The corresponding unweighted prevalence was </w:t>
      </w:r>
      <w:r w:rsidRPr="00000849">
        <w:rPr>
          <w:rFonts w:asciiTheme="minorHAnsi" w:hAnsiTheme="minorHAnsi" w:cstheme="minorHAnsi"/>
          <w:color w:val="383838"/>
        </w:rPr>
        <w:t>56.3%</w:t>
      </w:r>
      <w:r w:rsidR="00EC6DB5" w:rsidRPr="00000849">
        <w:rPr>
          <w:rFonts w:asciiTheme="minorHAnsi" w:hAnsiTheme="minorHAnsi" w:cstheme="minorHAnsi"/>
          <w:color w:val="383838"/>
        </w:rPr>
        <w:t xml:space="preserve"> and</w:t>
      </w:r>
      <w:r w:rsidR="00FA003D" w:rsidRPr="00000849">
        <w:rPr>
          <w:rFonts w:asciiTheme="minorHAnsi" w:hAnsiTheme="minorHAnsi" w:cstheme="minorHAnsi"/>
          <w:color w:val="383838"/>
        </w:rPr>
        <w:t xml:space="preserve"> </w:t>
      </w:r>
      <w:r w:rsidRPr="00000849">
        <w:rPr>
          <w:rFonts w:asciiTheme="minorHAnsi" w:hAnsiTheme="minorHAnsi" w:cstheme="minorHAnsi"/>
          <w:color w:val="383838"/>
        </w:rPr>
        <w:t>34.7%</w:t>
      </w:r>
      <w:r w:rsidR="00FA003D" w:rsidRPr="00000849">
        <w:rPr>
          <w:rFonts w:asciiTheme="minorHAnsi" w:hAnsiTheme="minorHAnsi" w:cstheme="minorHAnsi"/>
          <w:color w:val="383838"/>
        </w:rPr>
        <w:t xml:space="preserve"> respectively</w:t>
      </w:r>
      <w:r w:rsidRPr="00000849">
        <w:rPr>
          <w:rFonts w:asciiTheme="minorHAnsi" w:hAnsiTheme="minorHAnsi" w:cstheme="minorHAnsi"/>
          <w:color w:val="383838"/>
        </w:rPr>
        <w:t xml:space="preserve">.  </w:t>
      </w:r>
    </w:p>
    <w:p w14:paraId="677ABBAC" w14:textId="0C965DE0" w:rsidR="003C3A5D" w:rsidRPr="00000849" w:rsidRDefault="003C3A5D"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percentage of self-reported hypertension in W1 (13.9%) </w:t>
      </w:r>
      <w:r w:rsidR="003F04FA" w:rsidRPr="00000849">
        <w:rPr>
          <w:rFonts w:asciiTheme="minorHAnsi" w:hAnsiTheme="minorHAnsi" w:cstheme="minorHAnsi"/>
          <w:color w:val="383838"/>
        </w:rPr>
        <w:t>and in</w:t>
      </w:r>
      <w:r w:rsidRPr="00000849">
        <w:rPr>
          <w:rFonts w:asciiTheme="minorHAnsi" w:hAnsiTheme="minorHAnsi" w:cstheme="minorHAnsi"/>
          <w:color w:val="383838"/>
        </w:rPr>
        <w:t xml:space="preserve"> W2 (14.1%) </w:t>
      </w:r>
      <w:r w:rsidR="00A9477E" w:rsidRPr="00000849">
        <w:rPr>
          <w:rFonts w:asciiTheme="minorHAnsi" w:hAnsiTheme="minorHAnsi" w:cstheme="minorHAnsi"/>
          <w:color w:val="383838"/>
        </w:rPr>
        <w:t>was</w:t>
      </w:r>
      <w:r w:rsidRPr="00000849">
        <w:rPr>
          <w:rFonts w:asciiTheme="minorHAnsi" w:hAnsiTheme="minorHAnsi" w:cstheme="minorHAnsi"/>
          <w:color w:val="383838"/>
        </w:rPr>
        <w:t xml:space="preserve"> similar in the unweighted sample.  The prevalence of hypertension based on BP measurement only was 53.9% and 33.8% in W1 and W2 respectively.  The additional participants classified as hypertension based on their treatment history over the past two weeks </w:t>
      </w:r>
      <w:r w:rsidR="00A9477E" w:rsidRPr="00000849">
        <w:rPr>
          <w:rFonts w:asciiTheme="minorHAnsi" w:hAnsiTheme="minorHAnsi" w:cstheme="minorHAnsi"/>
          <w:color w:val="383838"/>
        </w:rPr>
        <w:t xml:space="preserve">in the study waves </w:t>
      </w:r>
      <w:r w:rsidRPr="00000849">
        <w:rPr>
          <w:rFonts w:asciiTheme="minorHAnsi" w:hAnsiTheme="minorHAnsi" w:cstheme="minorHAnsi"/>
          <w:color w:val="383838"/>
        </w:rPr>
        <w:t xml:space="preserve">was 4.5% and 2.7% respectively.  </w:t>
      </w:r>
    </w:p>
    <w:p w14:paraId="12C3B4DA" w14:textId="6D58929F" w:rsidR="00EC6DB5" w:rsidRPr="00000849" w:rsidRDefault="00DD1C2E"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Among the</w:t>
      </w:r>
      <w:r w:rsidR="00012DF4" w:rsidRPr="00000849">
        <w:rPr>
          <w:rFonts w:asciiTheme="minorHAnsi" w:hAnsiTheme="minorHAnsi" w:cstheme="minorHAnsi"/>
          <w:color w:val="383838"/>
        </w:rPr>
        <w:t xml:space="preserve"> same</w:t>
      </w:r>
      <w:r w:rsidRPr="00000849">
        <w:rPr>
          <w:rFonts w:asciiTheme="minorHAnsi" w:hAnsiTheme="minorHAnsi" w:cstheme="minorHAnsi"/>
          <w:color w:val="383838"/>
        </w:rPr>
        <w:t xml:space="preserve"> cohort of</w:t>
      </w:r>
      <w:r w:rsidR="003E25D1" w:rsidRPr="00000849">
        <w:rPr>
          <w:rFonts w:asciiTheme="minorHAnsi" w:hAnsiTheme="minorHAnsi" w:cstheme="minorHAnsi"/>
          <w:color w:val="383838"/>
        </w:rPr>
        <w:t xml:space="preserve"> 1,828 participants in </w:t>
      </w:r>
      <w:r w:rsidRPr="00000849">
        <w:rPr>
          <w:rFonts w:asciiTheme="minorHAnsi" w:hAnsiTheme="minorHAnsi" w:cstheme="minorHAnsi"/>
          <w:color w:val="383838"/>
        </w:rPr>
        <w:t>W</w:t>
      </w:r>
      <w:r w:rsidR="003E25D1" w:rsidRPr="00000849">
        <w:rPr>
          <w:rFonts w:asciiTheme="minorHAnsi" w:hAnsiTheme="minorHAnsi" w:cstheme="minorHAnsi"/>
          <w:color w:val="383838"/>
        </w:rPr>
        <w:t xml:space="preserve">1 </w:t>
      </w:r>
      <w:r w:rsidRPr="00000849">
        <w:rPr>
          <w:rFonts w:asciiTheme="minorHAnsi" w:hAnsiTheme="minorHAnsi" w:cstheme="minorHAnsi"/>
          <w:color w:val="383838"/>
        </w:rPr>
        <w:t>with</w:t>
      </w:r>
      <w:r w:rsidR="003E25D1" w:rsidRPr="00000849">
        <w:rPr>
          <w:rFonts w:asciiTheme="minorHAnsi" w:hAnsiTheme="minorHAnsi" w:cstheme="minorHAnsi"/>
          <w:color w:val="383838"/>
        </w:rPr>
        <w:t xml:space="preserve"> data on the presence or not of hypertension in </w:t>
      </w:r>
      <w:r w:rsidRPr="00000849">
        <w:rPr>
          <w:rFonts w:asciiTheme="minorHAnsi" w:hAnsiTheme="minorHAnsi" w:cstheme="minorHAnsi"/>
          <w:color w:val="383838"/>
        </w:rPr>
        <w:t>W</w:t>
      </w:r>
      <w:r w:rsidR="003E25D1" w:rsidRPr="00000849">
        <w:rPr>
          <w:rFonts w:asciiTheme="minorHAnsi" w:hAnsiTheme="minorHAnsi" w:cstheme="minorHAnsi"/>
          <w:color w:val="383838"/>
        </w:rPr>
        <w:t xml:space="preserve">2 (thus, total of 3,656 observations), 1004 (54.9%) had hypertension at baseline but this </w:t>
      </w:r>
      <w:r w:rsidR="008247AB" w:rsidRPr="00000849">
        <w:rPr>
          <w:rFonts w:asciiTheme="minorHAnsi" w:hAnsiTheme="minorHAnsi" w:cstheme="minorHAnsi"/>
          <w:color w:val="383838"/>
        </w:rPr>
        <w:t xml:space="preserve">number </w:t>
      </w:r>
      <w:r w:rsidRPr="00000849">
        <w:rPr>
          <w:rFonts w:asciiTheme="minorHAnsi" w:hAnsiTheme="minorHAnsi" w:cstheme="minorHAnsi"/>
          <w:color w:val="383838"/>
        </w:rPr>
        <w:t>dropped</w:t>
      </w:r>
      <w:r w:rsidR="003E25D1" w:rsidRPr="00000849">
        <w:rPr>
          <w:rFonts w:asciiTheme="minorHAnsi" w:hAnsiTheme="minorHAnsi" w:cstheme="minorHAnsi"/>
          <w:color w:val="383838"/>
        </w:rPr>
        <w:t xml:space="preserve"> to 668 (36.5%) in </w:t>
      </w:r>
      <w:r w:rsidRPr="00000849">
        <w:rPr>
          <w:rFonts w:asciiTheme="minorHAnsi" w:hAnsiTheme="minorHAnsi" w:cstheme="minorHAnsi"/>
          <w:color w:val="383838"/>
        </w:rPr>
        <w:t>W</w:t>
      </w:r>
      <w:r w:rsidR="003E25D1" w:rsidRPr="00000849">
        <w:rPr>
          <w:rFonts w:asciiTheme="minorHAnsi" w:hAnsiTheme="minorHAnsi" w:cstheme="minorHAnsi"/>
          <w:color w:val="383838"/>
        </w:rPr>
        <w:t>2.</w:t>
      </w:r>
      <w:r w:rsidR="00D04A4F" w:rsidRPr="00000849">
        <w:rPr>
          <w:rFonts w:asciiTheme="minorHAnsi" w:hAnsiTheme="minorHAnsi" w:cstheme="minorHAnsi"/>
          <w:color w:val="383838"/>
        </w:rPr>
        <w:t xml:space="preserve">  </w:t>
      </w:r>
    </w:p>
    <w:p w14:paraId="396CFA4E" w14:textId="77777777" w:rsidR="00EC6DB5" w:rsidRPr="00000849" w:rsidRDefault="00EC6DB5"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4774E65F" w14:textId="7F710522" w:rsidR="00EB4BFD" w:rsidRPr="00000849" w:rsidRDefault="003B3C3F"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sectPr w:rsidR="00EB4BFD" w:rsidRPr="00000849" w:rsidSect="008D5ECD">
          <w:pgSz w:w="11906" w:h="16838"/>
          <w:pgMar w:top="1440" w:right="1440" w:bottom="1440" w:left="2155" w:header="708" w:footer="708" w:gutter="0"/>
          <w:cols w:space="708"/>
          <w:docGrid w:linePitch="360"/>
        </w:sectPr>
      </w:pPr>
      <w:r w:rsidRPr="00000849">
        <w:rPr>
          <w:rFonts w:asciiTheme="minorHAnsi" w:hAnsiTheme="minorHAnsi" w:cstheme="minorHAnsi"/>
          <w:color w:val="383838"/>
        </w:rPr>
        <w:tab/>
      </w:r>
      <w:r w:rsidR="00EB4BFD" w:rsidRPr="00000849">
        <w:rPr>
          <w:rFonts w:asciiTheme="minorHAnsi" w:hAnsiTheme="minorHAnsi" w:cstheme="minorHAnsi"/>
          <w:color w:val="383838"/>
        </w:rPr>
        <w:t xml:space="preserve"> </w:t>
      </w:r>
    </w:p>
    <w:p w14:paraId="57210862" w14:textId="11EBAD82" w:rsidR="00DF03DC" w:rsidRPr="00000849" w:rsidRDefault="004E2350" w:rsidP="00B448FE">
      <w:pPr>
        <w:pStyle w:val="Caption"/>
      </w:pPr>
      <w:bookmarkStart w:id="89" w:name="_Toc49684878"/>
      <w:r w:rsidRPr="00000849">
        <w:lastRenderedPageBreak/>
        <w:t>Table 5.</w:t>
      </w:r>
      <w:r w:rsidR="00B448FE" w:rsidRPr="00000849">
        <w:t>2</w:t>
      </w:r>
      <w:r w:rsidRPr="00000849">
        <w:t>:</w:t>
      </w:r>
      <w:r w:rsidRPr="00000849">
        <w:tab/>
        <w:t>Prevalence of hypertension by demographic, socioeconomic and lifestyle factors in each study wave</w:t>
      </w:r>
      <w:bookmarkEnd w:id="89"/>
    </w:p>
    <w:tbl>
      <w:tblPr>
        <w:tblW w:w="5000" w:type="pct"/>
        <w:tblLook w:val="04A0" w:firstRow="1" w:lastRow="0" w:firstColumn="1" w:lastColumn="0" w:noHBand="0" w:noVBand="1"/>
      </w:tblPr>
      <w:tblGrid>
        <w:gridCol w:w="2697"/>
        <w:gridCol w:w="1164"/>
        <w:gridCol w:w="1822"/>
        <w:gridCol w:w="1554"/>
        <w:gridCol w:w="1091"/>
        <w:gridCol w:w="1161"/>
        <w:gridCol w:w="1822"/>
        <w:gridCol w:w="1554"/>
        <w:gridCol w:w="1088"/>
      </w:tblGrid>
      <w:tr w:rsidR="00622270" w:rsidRPr="00000849" w14:paraId="57DFA54A" w14:textId="77777777" w:rsidTr="00400523">
        <w:trPr>
          <w:trHeight w:val="1506"/>
          <w:tblHeader/>
        </w:trPr>
        <w:tc>
          <w:tcPr>
            <w:tcW w:w="966" w:type="pct"/>
            <w:tcBorders>
              <w:top w:val="nil"/>
              <w:left w:val="nil"/>
              <w:bottom w:val="nil"/>
              <w:right w:val="nil"/>
            </w:tcBorders>
            <w:vAlign w:val="center"/>
            <w:hideMark/>
          </w:tcPr>
          <w:p w14:paraId="44567F42" w14:textId="185EA12B" w:rsidR="00D04A4F" w:rsidRPr="00000849" w:rsidRDefault="00D04A4F" w:rsidP="00DF03DC">
            <w:pPr>
              <w:spacing w:after="0" w:line="240" w:lineRule="auto"/>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Variable</w:t>
            </w:r>
          </w:p>
        </w:tc>
        <w:tc>
          <w:tcPr>
            <w:tcW w:w="417" w:type="pct"/>
            <w:tcBorders>
              <w:top w:val="nil"/>
              <w:left w:val="nil"/>
              <w:bottom w:val="nil"/>
              <w:right w:val="nil"/>
            </w:tcBorders>
            <w:shd w:val="clear" w:color="auto" w:fill="auto"/>
            <w:vAlign w:val="center"/>
            <w:hideMark/>
          </w:tcPr>
          <w:p w14:paraId="455CE90F" w14:textId="2BB148BF"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W1 Total n=4254</w:t>
            </w:r>
          </w:p>
        </w:tc>
        <w:tc>
          <w:tcPr>
            <w:tcW w:w="653" w:type="pct"/>
            <w:tcBorders>
              <w:top w:val="nil"/>
              <w:left w:val="nil"/>
              <w:bottom w:val="nil"/>
              <w:right w:val="nil"/>
            </w:tcBorders>
            <w:shd w:val="clear" w:color="auto" w:fill="auto"/>
            <w:vAlign w:val="center"/>
            <w:hideMark/>
          </w:tcPr>
          <w:p w14:paraId="1865B560" w14:textId="18DB43B9"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xml:space="preserve"> % Hypertension Wave 1 </w:t>
            </w:r>
          </w:p>
        </w:tc>
        <w:tc>
          <w:tcPr>
            <w:tcW w:w="557" w:type="pct"/>
            <w:tcBorders>
              <w:top w:val="nil"/>
              <w:left w:val="nil"/>
              <w:bottom w:val="nil"/>
              <w:right w:val="nil"/>
            </w:tcBorders>
            <w:shd w:val="clear" w:color="auto" w:fill="auto"/>
            <w:vAlign w:val="center"/>
            <w:hideMark/>
          </w:tcPr>
          <w:p w14:paraId="10EBDDF3" w14:textId="0405C526"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W1 Prevalence (95% CI)</w:t>
            </w:r>
          </w:p>
        </w:tc>
        <w:tc>
          <w:tcPr>
            <w:tcW w:w="391" w:type="pct"/>
            <w:tcBorders>
              <w:top w:val="nil"/>
              <w:left w:val="nil"/>
              <w:bottom w:val="nil"/>
              <w:right w:val="single" w:sz="4" w:space="0" w:color="auto"/>
            </w:tcBorders>
            <w:shd w:val="clear" w:color="auto" w:fill="auto"/>
            <w:vAlign w:val="center"/>
            <w:hideMark/>
          </w:tcPr>
          <w:p w14:paraId="43AE5DFD"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p value (Wave 1)</w:t>
            </w:r>
          </w:p>
        </w:tc>
        <w:tc>
          <w:tcPr>
            <w:tcW w:w="416" w:type="pct"/>
            <w:tcBorders>
              <w:top w:val="nil"/>
              <w:left w:val="nil"/>
              <w:bottom w:val="nil"/>
              <w:right w:val="nil"/>
            </w:tcBorders>
            <w:shd w:val="clear" w:color="auto" w:fill="auto"/>
            <w:vAlign w:val="center"/>
            <w:hideMark/>
          </w:tcPr>
          <w:p w14:paraId="13587AEB"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Total n=3520</w:t>
            </w:r>
          </w:p>
        </w:tc>
        <w:tc>
          <w:tcPr>
            <w:tcW w:w="653" w:type="pct"/>
            <w:tcBorders>
              <w:top w:val="nil"/>
              <w:left w:val="nil"/>
              <w:bottom w:val="nil"/>
              <w:right w:val="nil"/>
            </w:tcBorders>
            <w:shd w:val="clear" w:color="auto" w:fill="auto"/>
            <w:vAlign w:val="center"/>
            <w:hideMark/>
          </w:tcPr>
          <w:p w14:paraId="44705234" w14:textId="2EC1D72A"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xml:space="preserve"> % Hypertension Wave 2 </w:t>
            </w:r>
          </w:p>
        </w:tc>
        <w:tc>
          <w:tcPr>
            <w:tcW w:w="557" w:type="pct"/>
            <w:tcBorders>
              <w:top w:val="nil"/>
              <w:left w:val="nil"/>
              <w:bottom w:val="nil"/>
              <w:right w:val="nil"/>
            </w:tcBorders>
            <w:shd w:val="clear" w:color="auto" w:fill="auto"/>
            <w:vAlign w:val="center"/>
            <w:hideMark/>
          </w:tcPr>
          <w:p w14:paraId="240E5DA6" w14:textId="0987C68A"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W2 Prevalence (95% CI)</w:t>
            </w:r>
          </w:p>
        </w:tc>
        <w:tc>
          <w:tcPr>
            <w:tcW w:w="390" w:type="pct"/>
            <w:tcBorders>
              <w:top w:val="nil"/>
              <w:left w:val="nil"/>
              <w:bottom w:val="nil"/>
              <w:right w:val="single" w:sz="4" w:space="0" w:color="auto"/>
            </w:tcBorders>
            <w:shd w:val="clear" w:color="auto" w:fill="auto"/>
            <w:vAlign w:val="center"/>
            <w:hideMark/>
          </w:tcPr>
          <w:p w14:paraId="562B6B17" w14:textId="5D246AE3"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p value (Wave 2)</w:t>
            </w:r>
          </w:p>
        </w:tc>
      </w:tr>
      <w:tr w:rsidR="00622270" w:rsidRPr="00000849" w14:paraId="3AA244BA" w14:textId="77777777" w:rsidTr="00400523">
        <w:trPr>
          <w:trHeight w:val="288"/>
        </w:trPr>
        <w:tc>
          <w:tcPr>
            <w:tcW w:w="966" w:type="pct"/>
            <w:tcBorders>
              <w:top w:val="nil"/>
              <w:left w:val="nil"/>
              <w:bottom w:val="nil"/>
              <w:right w:val="nil"/>
            </w:tcBorders>
            <w:shd w:val="clear" w:color="auto" w:fill="auto"/>
            <w:vAlign w:val="center"/>
            <w:hideMark/>
          </w:tcPr>
          <w:p w14:paraId="39D4F547"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Total</w:t>
            </w:r>
          </w:p>
        </w:tc>
        <w:tc>
          <w:tcPr>
            <w:tcW w:w="417" w:type="pct"/>
            <w:tcBorders>
              <w:top w:val="nil"/>
              <w:left w:val="nil"/>
              <w:bottom w:val="nil"/>
              <w:right w:val="nil"/>
            </w:tcBorders>
            <w:shd w:val="clear" w:color="auto" w:fill="auto"/>
            <w:vAlign w:val="center"/>
            <w:hideMark/>
          </w:tcPr>
          <w:p w14:paraId="39D2862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4254</w:t>
            </w:r>
          </w:p>
        </w:tc>
        <w:tc>
          <w:tcPr>
            <w:tcW w:w="653" w:type="pct"/>
            <w:tcBorders>
              <w:top w:val="nil"/>
              <w:left w:val="nil"/>
              <w:bottom w:val="nil"/>
              <w:right w:val="nil"/>
            </w:tcBorders>
            <w:shd w:val="clear" w:color="auto" w:fill="auto"/>
            <w:vAlign w:val="center"/>
            <w:hideMark/>
          </w:tcPr>
          <w:p w14:paraId="5C70519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57.0</w:t>
            </w:r>
          </w:p>
        </w:tc>
        <w:tc>
          <w:tcPr>
            <w:tcW w:w="557" w:type="pct"/>
            <w:tcBorders>
              <w:top w:val="nil"/>
              <w:left w:val="nil"/>
              <w:bottom w:val="nil"/>
              <w:right w:val="nil"/>
            </w:tcBorders>
            <w:shd w:val="clear" w:color="auto" w:fill="auto"/>
            <w:vAlign w:val="center"/>
            <w:hideMark/>
          </w:tcPr>
          <w:p w14:paraId="5BF6F122" w14:textId="3F3673BB"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54.6, 59.3</w:t>
            </w:r>
          </w:p>
        </w:tc>
        <w:tc>
          <w:tcPr>
            <w:tcW w:w="391" w:type="pct"/>
            <w:tcBorders>
              <w:top w:val="nil"/>
              <w:left w:val="nil"/>
              <w:bottom w:val="nil"/>
              <w:right w:val="single" w:sz="4" w:space="0" w:color="auto"/>
            </w:tcBorders>
            <w:shd w:val="clear" w:color="auto" w:fill="auto"/>
            <w:vAlign w:val="center"/>
            <w:hideMark/>
          </w:tcPr>
          <w:p w14:paraId="2B8D990B"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w:t>
            </w:r>
          </w:p>
        </w:tc>
        <w:tc>
          <w:tcPr>
            <w:tcW w:w="416" w:type="pct"/>
            <w:tcBorders>
              <w:top w:val="nil"/>
              <w:left w:val="nil"/>
              <w:bottom w:val="nil"/>
              <w:right w:val="nil"/>
            </w:tcBorders>
            <w:shd w:val="clear" w:color="auto" w:fill="auto"/>
            <w:vAlign w:val="center"/>
            <w:hideMark/>
          </w:tcPr>
          <w:p w14:paraId="7234FFD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3520</w:t>
            </w:r>
          </w:p>
        </w:tc>
        <w:tc>
          <w:tcPr>
            <w:tcW w:w="653" w:type="pct"/>
            <w:tcBorders>
              <w:top w:val="nil"/>
              <w:left w:val="nil"/>
              <w:bottom w:val="nil"/>
              <w:right w:val="nil"/>
            </w:tcBorders>
            <w:shd w:val="clear" w:color="auto" w:fill="auto"/>
            <w:vAlign w:val="center"/>
            <w:hideMark/>
          </w:tcPr>
          <w:p w14:paraId="76484B9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35.1</w:t>
            </w:r>
          </w:p>
        </w:tc>
        <w:tc>
          <w:tcPr>
            <w:tcW w:w="557" w:type="pct"/>
            <w:tcBorders>
              <w:top w:val="nil"/>
              <w:left w:val="nil"/>
              <w:bottom w:val="nil"/>
              <w:right w:val="nil"/>
            </w:tcBorders>
            <w:shd w:val="clear" w:color="auto" w:fill="auto"/>
            <w:vAlign w:val="center"/>
            <w:hideMark/>
          </w:tcPr>
          <w:p w14:paraId="4E8A15A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32.5, 37.7</w:t>
            </w:r>
          </w:p>
        </w:tc>
        <w:tc>
          <w:tcPr>
            <w:tcW w:w="390" w:type="pct"/>
            <w:tcBorders>
              <w:top w:val="nil"/>
              <w:left w:val="nil"/>
              <w:bottom w:val="nil"/>
              <w:right w:val="single" w:sz="4" w:space="0" w:color="auto"/>
            </w:tcBorders>
            <w:shd w:val="clear" w:color="auto" w:fill="auto"/>
            <w:vAlign w:val="center"/>
            <w:hideMark/>
          </w:tcPr>
          <w:p w14:paraId="226DDAD3"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w:t>
            </w:r>
          </w:p>
        </w:tc>
      </w:tr>
      <w:tr w:rsidR="00622270" w:rsidRPr="00000849" w14:paraId="47EC9A58" w14:textId="77777777" w:rsidTr="00400523">
        <w:trPr>
          <w:trHeight w:val="288"/>
        </w:trPr>
        <w:tc>
          <w:tcPr>
            <w:tcW w:w="966" w:type="pct"/>
            <w:tcBorders>
              <w:top w:val="nil"/>
              <w:left w:val="nil"/>
              <w:bottom w:val="nil"/>
              <w:right w:val="nil"/>
            </w:tcBorders>
            <w:shd w:val="clear" w:color="auto" w:fill="auto"/>
            <w:vAlign w:val="center"/>
            <w:hideMark/>
          </w:tcPr>
          <w:p w14:paraId="7E335641"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Sex of respondent</w:t>
            </w:r>
          </w:p>
        </w:tc>
        <w:tc>
          <w:tcPr>
            <w:tcW w:w="417" w:type="pct"/>
            <w:tcBorders>
              <w:top w:val="nil"/>
              <w:left w:val="nil"/>
              <w:bottom w:val="nil"/>
              <w:right w:val="nil"/>
            </w:tcBorders>
            <w:shd w:val="clear" w:color="auto" w:fill="auto"/>
            <w:vAlign w:val="center"/>
            <w:hideMark/>
          </w:tcPr>
          <w:p w14:paraId="1280EEC8"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7755292C"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191977DF"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0118554C"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0.008</w:t>
            </w:r>
          </w:p>
        </w:tc>
        <w:tc>
          <w:tcPr>
            <w:tcW w:w="416" w:type="pct"/>
            <w:tcBorders>
              <w:top w:val="nil"/>
              <w:left w:val="nil"/>
              <w:bottom w:val="nil"/>
              <w:right w:val="nil"/>
            </w:tcBorders>
            <w:shd w:val="clear" w:color="auto" w:fill="auto"/>
            <w:vAlign w:val="center"/>
            <w:hideMark/>
          </w:tcPr>
          <w:p w14:paraId="1D8CE954"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41DFEF25"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46E62330"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05E0C83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0.306</w:t>
            </w:r>
          </w:p>
        </w:tc>
      </w:tr>
      <w:tr w:rsidR="00622270" w:rsidRPr="00000849" w14:paraId="31A67023" w14:textId="77777777" w:rsidTr="00400523">
        <w:trPr>
          <w:trHeight w:val="288"/>
        </w:trPr>
        <w:tc>
          <w:tcPr>
            <w:tcW w:w="966" w:type="pct"/>
            <w:tcBorders>
              <w:top w:val="nil"/>
              <w:left w:val="nil"/>
              <w:bottom w:val="nil"/>
              <w:right w:val="nil"/>
            </w:tcBorders>
            <w:shd w:val="clear" w:color="auto" w:fill="auto"/>
            <w:noWrap/>
            <w:vAlign w:val="center"/>
            <w:hideMark/>
          </w:tcPr>
          <w:p w14:paraId="5AE9FD74"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Males</w:t>
            </w:r>
          </w:p>
        </w:tc>
        <w:tc>
          <w:tcPr>
            <w:tcW w:w="417" w:type="pct"/>
            <w:tcBorders>
              <w:top w:val="nil"/>
              <w:left w:val="nil"/>
              <w:bottom w:val="nil"/>
              <w:right w:val="nil"/>
            </w:tcBorders>
            <w:shd w:val="clear" w:color="auto" w:fill="auto"/>
            <w:vAlign w:val="center"/>
            <w:hideMark/>
          </w:tcPr>
          <w:p w14:paraId="5DAD430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2218</w:t>
            </w:r>
          </w:p>
        </w:tc>
        <w:tc>
          <w:tcPr>
            <w:tcW w:w="653" w:type="pct"/>
            <w:tcBorders>
              <w:top w:val="nil"/>
              <w:left w:val="nil"/>
              <w:bottom w:val="nil"/>
              <w:right w:val="nil"/>
            </w:tcBorders>
            <w:shd w:val="clear" w:color="auto" w:fill="auto"/>
            <w:vAlign w:val="center"/>
            <w:hideMark/>
          </w:tcPr>
          <w:p w14:paraId="5AF12EF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54.6</w:t>
            </w:r>
          </w:p>
        </w:tc>
        <w:tc>
          <w:tcPr>
            <w:tcW w:w="557" w:type="pct"/>
            <w:tcBorders>
              <w:top w:val="nil"/>
              <w:left w:val="nil"/>
              <w:bottom w:val="nil"/>
              <w:right w:val="nil"/>
            </w:tcBorders>
            <w:shd w:val="clear" w:color="auto" w:fill="auto"/>
            <w:vAlign w:val="center"/>
            <w:hideMark/>
          </w:tcPr>
          <w:p w14:paraId="71A4C31A" w14:textId="270290E5"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51.6, 57.6</w:t>
            </w:r>
          </w:p>
        </w:tc>
        <w:tc>
          <w:tcPr>
            <w:tcW w:w="391" w:type="pct"/>
            <w:tcBorders>
              <w:top w:val="nil"/>
              <w:left w:val="nil"/>
              <w:bottom w:val="nil"/>
              <w:right w:val="single" w:sz="4" w:space="0" w:color="auto"/>
            </w:tcBorders>
            <w:shd w:val="clear" w:color="auto" w:fill="auto"/>
            <w:vAlign w:val="center"/>
            <w:hideMark/>
          </w:tcPr>
          <w:p w14:paraId="58DDADD0"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w:t>
            </w:r>
          </w:p>
        </w:tc>
        <w:tc>
          <w:tcPr>
            <w:tcW w:w="416" w:type="pct"/>
            <w:tcBorders>
              <w:top w:val="nil"/>
              <w:left w:val="nil"/>
              <w:bottom w:val="nil"/>
              <w:right w:val="nil"/>
            </w:tcBorders>
            <w:shd w:val="clear" w:color="auto" w:fill="auto"/>
            <w:vAlign w:val="center"/>
            <w:hideMark/>
          </w:tcPr>
          <w:p w14:paraId="4B61D7A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1459</w:t>
            </w:r>
          </w:p>
        </w:tc>
        <w:tc>
          <w:tcPr>
            <w:tcW w:w="653" w:type="pct"/>
            <w:tcBorders>
              <w:top w:val="nil"/>
              <w:left w:val="nil"/>
              <w:bottom w:val="nil"/>
              <w:right w:val="nil"/>
            </w:tcBorders>
            <w:shd w:val="clear" w:color="auto" w:fill="auto"/>
            <w:vAlign w:val="center"/>
            <w:hideMark/>
          </w:tcPr>
          <w:p w14:paraId="039B32B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33.9</w:t>
            </w:r>
          </w:p>
        </w:tc>
        <w:tc>
          <w:tcPr>
            <w:tcW w:w="557" w:type="pct"/>
            <w:tcBorders>
              <w:top w:val="nil"/>
              <w:left w:val="nil"/>
              <w:bottom w:val="nil"/>
              <w:right w:val="nil"/>
            </w:tcBorders>
            <w:shd w:val="clear" w:color="auto" w:fill="auto"/>
            <w:vAlign w:val="center"/>
            <w:hideMark/>
          </w:tcPr>
          <w:p w14:paraId="73F5FC9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30.2, 37.9</w:t>
            </w:r>
          </w:p>
        </w:tc>
        <w:tc>
          <w:tcPr>
            <w:tcW w:w="390" w:type="pct"/>
            <w:tcBorders>
              <w:top w:val="nil"/>
              <w:left w:val="nil"/>
              <w:bottom w:val="nil"/>
              <w:right w:val="single" w:sz="4" w:space="0" w:color="auto"/>
            </w:tcBorders>
            <w:shd w:val="clear" w:color="auto" w:fill="auto"/>
            <w:vAlign w:val="center"/>
            <w:hideMark/>
          </w:tcPr>
          <w:p w14:paraId="3EE7D95D"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w:t>
            </w:r>
          </w:p>
        </w:tc>
      </w:tr>
      <w:tr w:rsidR="00622270" w:rsidRPr="00000849" w14:paraId="0DF435F8" w14:textId="77777777" w:rsidTr="00400523">
        <w:trPr>
          <w:trHeight w:val="288"/>
        </w:trPr>
        <w:tc>
          <w:tcPr>
            <w:tcW w:w="966" w:type="pct"/>
            <w:tcBorders>
              <w:top w:val="nil"/>
              <w:left w:val="nil"/>
              <w:bottom w:val="nil"/>
              <w:right w:val="nil"/>
            </w:tcBorders>
            <w:shd w:val="clear" w:color="auto" w:fill="auto"/>
            <w:noWrap/>
            <w:vAlign w:val="center"/>
            <w:hideMark/>
          </w:tcPr>
          <w:p w14:paraId="5928B7F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Females</w:t>
            </w:r>
          </w:p>
        </w:tc>
        <w:tc>
          <w:tcPr>
            <w:tcW w:w="417" w:type="pct"/>
            <w:tcBorders>
              <w:top w:val="nil"/>
              <w:left w:val="nil"/>
              <w:bottom w:val="nil"/>
              <w:right w:val="nil"/>
            </w:tcBorders>
            <w:shd w:val="clear" w:color="auto" w:fill="auto"/>
            <w:vAlign w:val="center"/>
            <w:hideMark/>
          </w:tcPr>
          <w:p w14:paraId="0A277DD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2036</w:t>
            </w:r>
          </w:p>
        </w:tc>
        <w:tc>
          <w:tcPr>
            <w:tcW w:w="653" w:type="pct"/>
            <w:tcBorders>
              <w:top w:val="nil"/>
              <w:left w:val="nil"/>
              <w:bottom w:val="nil"/>
              <w:right w:val="nil"/>
            </w:tcBorders>
            <w:shd w:val="clear" w:color="auto" w:fill="auto"/>
            <w:vAlign w:val="center"/>
            <w:hideMark/>
          </w:tcPr>
          <w:p w14:paraId="2813708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59.6</w:t>
            </w:r>
          </w:p>
        </w:tc>
        <w:tc>
          <w:tcPr>
            <w:tcW w:w="557" w:type="pct"/>
            <w:tcBorders>
              <w:top w:val="nil"/>
              <w:left w:val="nil"/>
              <w:bottom w:val="nil"/>
              <w:right w:val="nil"/>
            </w:tcBorders>
            <w:shd w:val="clear" w:color="auto" w:fill="auto"/>
            <w:vAlign w:val="center"/>
            <w:hideMark/>
          </w:tcPr>
          <w:p w14:paraId="0CD0D991" w14:textId="287D715E"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56.6, 62.6</w:t>
            </w:r>
          </w:p>
        </w:tc>
        <w:tc>
          <w:tcPr>
            <w:tcW w:w="391" w:type="pct"/>
            <w:tcBorders>
              <w:top w:val="nil"/>
              <w:left w:val="nil"/>
              <w:bottom w:val="nil"/>
              <w:right w:val="single" w:sz="4" w:space="0" w:color="auto"/>
            </w:tcBorders>
            <w:shd w:val="clear" w:color="auto" w:fill="auto"/>
            <w:noWrap/>
            <w:vAlign w:val="center"/>
            <w:hideMark/>
          </w:tcPr>
          <w:p w14:paraId="4337401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9A2262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2061</w:t>
            </w:r>
          </w:p>
        </w:tc>
        <w:tc>
          <w:tcPr>
            <w:tcW w:w="653" w:type="pct"/>
            <w:tcBorders>
              <w:top w:val="nil"/>
              <w:left w:val="nil"/>
              <w:bottom w:val="nil"/>
              <w:right w:val="nil"/>
            </w:tcBorders>
            <w:shd w:val="clear" w:color="auto" w:fill="auto"/>
            <w:vAlign w:val="center"/>
            <w:hideMark/>
          </w:tcPr>
          <w:p w14:paraId="1C9E1BF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36.1</w:t>
            </w:r>
          </w:p>
        </w:tc>
        <w:tc>
          <w:tcPr>
            <w:tcW w:w="557" w:type="pct"/>
            <w:tcBorders>
              <w:top w:val="nil"/>
              <w:left w:val="nil"/>
              <w:bottom w:val="nil"/>
              <w:right w:val="nil"/>
            </w:tcBorders>
            <w:shd w:val="clear" w:color="auto" w:fill="auto"/>
            <w:vAlign w:val="center"/>
            <w:hideMark/>
          </w:tcPr>
          <w:p w14:paraId="78A42B0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33.4, 38.9</w:t>
            </w:r>
          </w:p>
        </w:tc>
        <w:tc>
          <w:tcPr>
            <w:tcW w:w="390" w:type="pct"/>
            <w:tcBorders>
              <w:top w:val="nil"/>
              <w:left w:val="nil"/>
              <w:bottom w:val="nil"/>
              <w:right w:val="single" w:sz="4" w:space="0" w:color="auto"/>
            </w:tcBorders>
            <w:shd w:val="clear" w:color="auto" w:fill="auto"/>
            <w:vAlign w:val="center"/>
            <w:hideMark/>
          </w:tcPr>
          <w:p w14:paraId="4D145469"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w:t>
            </w:r>
          </w:p>
        </w:tc>
      </w:tr>
      <w:tr w:rsidR="00622270" w:rsidRPr="00000849" w14:paraId="32022BB5" w14:textId="77777777" w:rsidTr="00400523">
        <w:trPr>
          <w:trHeight w:val="288"/>
        </w:trPr>
        <w:tc>
          <w:tcPr>
            <w:tcW w:w="966" w:type="pct"/>
            <w:tcBorders>
              <w:top w:val="nil"/>
              <w:left w:val="nil"/>
              <w:bottom w:val="nil"/>
              <w:right w:val="nil"/>
            </w:tcBorders>
            <w:shd w:val="clear" w:color="auto" w:fill="auto"/>
            <w:vAlign w:val="center"/>
            <w:hideMark/>
          </w:tcPr>
          <w:p w14:paraId="514D88AC"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Age range</w:t>
            </w:r>
          </w:p>
        </w:tc>
        <w:tc>
          <w:tcPr>
            <w:tcW w:w="417" w:type="pct"/>
            <w:tcBorders>
              <w:top w:val="nil"/>
              <w:left w:val="nil"/>
              <w:bottom w:val="nil"/>
              <w:right w:val="nil"/>
            </w:tcBorders>
            <w:shd w:val="clear" w:color="auto" w:fill="auto"/>
            <w:vAlign w:val="center"/>
            <w:hideMark/>
          </w:tcPr>
          <w:p w14:paraId="26811417"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40EC7585"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4A654DE0"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2B696D0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0.211</w:t>
            </w:r>
          </w:p>
        </w:tc>
        <w:tc>
          <w:tcPr>
            <w:tcW w:w="416" w:type="pct"/>
            <w:tcBorders>
              <w:top w:val="nil"/>
              <w:left w:val="nil"/>
              <w:bottom w:val="nil"/>
              <w:right w:val="nil"/>
            </w:tcBorders>
            <w:shd w:val="clear" w:color="auto" w:fill="auto"/>
            <w:vAlign w:val="center"/>
            <w:hideMark/>
          </w:tcPr>
          <w:p w14:paraId="0689946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670EA627"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3809209A"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51348624"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005D0992" w14:textId="77777777" w:rsidTr="00400523">
        <w:trPr>
          <w:trHeight w:val="288"/>
        </w:trPr>
        <w:tc>
          <w:tcPr>
            <w:tcW w:w="966" w:type="pct"/>
            <w:tcBorders>
              <w:top w:val="nil"/>
              <w:left w:val="nil"/>
              <w:bottom w:val="nil"/>
              <w:right w:val="nil"/>
            </w:tcBorders>
            <w:shd w:val="clear" w:color="auto" w:fill="auto"/>
            <w:noWrap/>
            <w:vAlign w:val="center"/>
            <w:hideMark/>
          </w:tcPr>
          <w:p w14:paraId="185380F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50 - 64</w:t>
            </w:r>
          </w:p>
        </w:tc>
        <w:tc>
          <w:tcPr>
            <w:tcW w:w="417" w:type="pct"/>
            <w:tcBorders>
              <w:top w:val="nil"/>
              <w:left w:val="nil"/>
              <w:bottom w:val="nil"/>
              <w:right w:val="nil"/>
            </w:tcBorders>
            <w:shd w:val="clear" w:color="auto" w:fill="auto"/>
            <w:vAlign w:val="center"/>
            <w:hideMark/>
          </w:tcPr>
          <w:p w14:paraId="568859A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2296</w:t>
            </w:r>
          </w:p>
        </w:tc>
        <w:tc>
          <w:tcPr>
            <w:tcW w:w="653" w:type="pct"/>
            <w:tcBorders>
              <w:top w:val="nil"/>
              <w:left w:val="nil"/>
              <w:bottom w:val="nil"/>
              <w:right w:val="nil"/>
            </w:tcBorders>
            <w:shd w:val="clear" w:color="auto" w:fill="auto"/>
            <w:vAlign w:val="center"/>
            <w:hideMark/>
          </w:tcPr>
          <w:p w14:paraId="47E348A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56.5</w:t>
            </w:r>
          </w:p>
        </w:tc>
        <w:tc>
          <w:tcPr>
            <w:tcW w:w="557" w:type="pct"/>
            <w:tcBorders>
              <w:top w:val="nil"/>
              <w:left w:val="nil"/>
              <w:bottom w:val="nil"/>
              <w:right w:val="nil"/>
            </w:tcBorders>
            <w:shd w:val="clear" w:color="auto" w:fill="auto"/>
            <w:vAlign w:val="center"/>
            <w:hideMark/>
          </w:tcPr>
          <w:p w14:paraId="756746B2" w14:textId="6F72E442"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53.4, 59.5</w:t>
            </w:r>
          </w:p>
        </w:tc>
        <w:tc>
          <w:tcPr>
            <w:tcW w:w="391" w:type="pct"/>
            <w:tcBorders>
              <w:top w:val="nil"/>
              <w:left w:val="nil"/>
              <w:bottom w:val="nil"/>
              <w:right w:val="single" w:sz="4" w:space="0" w:color="auto"/>
            </w:tcBorders>
            <w:shd w:val="clear" w:color="auto" w:fill="auto"/>
            <w:noWrap/>
            <w:vAlign w:val="center"/>
            <w:hideMark/>
          </w:tcPr>
          <w:p w14:paraId="1610099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004B863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1874</w:t>
            </w:r>
          </w:p>
        </w:tc>
        <w:tc>
          <w:tcPr>
            <w:tcW w:w="653" w:type="pct"/>
            <w:tcBorders>
              <w:top w:val="nil"/>
              <w:left w:val="nil"/>
              <w:bottom w:val="nil"/>
              <w:right w:val="nil"/>
            </w:tcBorders>
            <w:shd w:val="clear" w:color="auto" w:fill="auto"/>
            <w:vAlign w:val="center"/>
            <w:hideMark/>
          </w:tcPr>
          <w:p w14:paraId="6C67FE6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31.0</w:t>
            </w:r>
          </w:p>
        </w:tc>
        <w:tc>
          <w:tcPr>
            <w:tcW w:w="557" w:type="pct"/>
            <w:tcBorders>
              <w:top w:val="nil"/>
              <w:left w:val="nil"/>
              <w:bottom w:val="nil"/>
              <w:right w:val="nil"/>
            </w:tcBorders>
            <w:shd w:val="clear" w:color="auto" w:fill="auto"/>
            <w:vAlign w:val="center"/>
            <w:hideMark/>
          </w:tcPr>
          <w:p w14:paraId="6C98D31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27.6, 34.7</w:t>
            </w:r>
          </w:p>
        </w:tc>
        <w:tc>
          <w:tcPr>
            <w:tcW w:w="390" w:type="pct"/>
            <w:tcBorders>
              <w:top w:val="nil"/>
              <w:left w:val="nil"/>
              <w:bottom w:val="nil"/>
              <w:right w:val="single" w:sz="4" w:space="0" w:color="auto"/>
            </w:tcBorders>
            <w:shd w:val="clear" w:color="auto" w:fill="auto"/>
            <w:noWrap/>
            <w:vAlign w:val="center"/>
            <w:hideMark/>
          </w:tcPr>
          <w:p w14:paraId="3DE7482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FC13C47" w14:textId="77777777" w:rsidTr="00400523">
        <w:trPr>
          <w:trHeight w:val="288"/>
        </w:trPr>
        <w:tc>
          <w:tcPr>
            <w:tcW w:w="966" w:type="pct"/>
            <w:tcBorders>
              <w:top w:val="nil"/>
              <w:left w:val="nil"/>
              <w:bottom w:val="nil"/>
              <w:right w:val="nil"/>
            </w:tcBorders>
            <w:shd w:val="clear" w:color="auto" w:fill="auto"/>
            <w:noWrap/>
            <w:vAlign w:val="center"/>
            <w:hideMark/>
          </w:tcPr>
          <w:p w14:paraId="0C44DA31"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65 - 74</w:t>
            </w:r>
          </w:p>
        </w:tc>
        <w:tc>
          <w:tcPr>
            <w:tcW w:w="417" w:type="pct"/>
            <w:tcBorders>
              <w:top w:val="nil"/>
              <w:left w:val="nil"/>
              <w:bottom w:val="nil"/>
              <w:right w:val="nil"/>
            </w:tcBorders>
            <w:shd w:val="clear" w:color="auto" w:fill="auto"/>
            <w:vAlign w:val="center"/>
            <w:hideMark/>
          </w:tcPr>
          <w:p w14:paraId="48734D7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1180</w:t>
            </w:r>
          </w:p>
        </w:tc>
        <w:tc>
          <w:tcPr>
            <w:tcW w:w="653" w:type="pct"/>
            <w:tcBorders>
              <w:top w:val="nil"/>
              <w:left w:val="nil"/>
              <w:bottom w:val="nil"/>
              <w:right w:val="nil"/>
            </w:tcBorders>
            <w:shd w:val="clear" w:color="auto" w:fill="auto"/>
            <w:vAlign w:val="center"/>
            <w:hideMark/>
          </w:tcPr>
          <w:p w14:paraId="0A6F90E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59.4</w:t>
            </w:r>
          </w:p>
        </w:tc>
        <w:tc>
          <w:tcPr>
            <w:tcW w:w="557" w:type="pct"/>
            <w:tcBorders>
              <w:top w:val="nil"/>
              <w:left w:val="nil"/>
              <w:bottom w:val="nil"/>
              <w:right w:val="nil"/>
            </w:tcBorders>
            <w:shd w:val="clear" w:color="auto" w:fill="auto"/>
            <w:vAlign w:val="center"/>
            <w:hideMark/>
          </w:tcPr>
          <w:p w14:paraId="7516F828" w14:textId="25ABB243"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55.9, 62.9</w:t>
            </w:r>
          </w:p>
        </w:tc>
        <w:tc>
          <w:tcPr>
            <w:tcW w:w="391" w:type="pct"/>
            <w:tcBorders>
              <w:top w:val="nil"/>
              <w:left w:val="nil"/>
              <w:bottom w:val="nil"/>
              <w:right w:val="single" w:sz="4" w:space="0" w:color="auto"/>
            </w:tcBorders>
            <w:shd w:val="clear" w:color="auto" w:fill="auto"/>
            <w:noWrap/>
            <w:vAlign w:val="center"/>
            <w:hideMark/>
          </w:tcPr>
          <w:p w14:paraId="0D3B1B9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2F9ED39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886</w:t>
            </w:r>
          </w:p>
        </w:tc>
        <w:tc>
          <w:tcPr>
            <w:tcW w:w="653" w:type="pct"/>
            <w:tcBorders>
              <w:top w:val="nil"/>
              <w:left w:val="nil"/>
              <w:bottom w:val="nil"/>
              <w:right w:val="nil"/>
            </w:tcBorders>
            <w:shd w:val="clear" w:color="auto" w:fill="auto"/>
            <w:vAlign w:val="center"/>
            <w:hideMark/>
          </w:tcPr>
          <w:p w14:paraId="7B27155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42.8</w:t>
            </w:r>
          </w:p>
        </w:tc>
        <w:tc>
          <w:tcPr>
            <w:tcW w:w="557" w:type="pct"/>
            <w:tcBorders>
              <w:top w:val="nil"/>
              <w:left w:val="nil"/>
              <w:bottom w:val="nil"/>
              <w:right w:val="nil"/>
            </w:tcBorders>
            <w:shd w:val="clear" w:color="auto" w:fill="auto"/>
            <w:vAlign w:val="center"/>
            <w:hideMark/>
          </w:tcPr>
          <w:p w14:paraId="256BEA7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37.7, 48.1</w:t>
            </w:r>
          </w:p>
        </w:tc>
        <w:tc>
          <w:tcPr>
            <w:tcW w:w="390" w:type="pct"/>
            <w:tcBorders>
              <w:top w:val="nil"/>
              <w:left w:val="nil"/>
              <w:bottom w:val="nil"/>
              <w:right w:val="single" w:sz="4" w:space="0" w:color="auto"/>
            </w:tcBorders>
            <w:shd w:val="clear" w:color="auto" w:fill="auto"/>
            <w:noWrap/>
            <w:vAlign w:val="center"/>
            <w:hideMark/>
          </w:tcPr>
          <w:p w14:paraId="380E313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58003A78" w14:textId="77777777" w:rsidTr="00400523">
        <w:trPr>
          <w:trHeight w:val="288"/>
        </w:trPr>
        <w:tc>
          <w:tcPr>
            <w:tcW w:w="966" w:type="pct"/>
            <w:tcBorders>
              <w:top w:val="nil"/>
              <w:left w:val="nil"/>
              <w:bottom w:val="nil"/>
              <w:right w:val="nil"/>
            </w:tcBorders>
            <w:shd w:val="clear" w:color="auto" w:fill="auto"/>
            <w:noWrap/>
            <w:vAlign w:val="center"/>
            <w:hideMark/>
          </w:tcPr>
          <w:p w14:paraId="33326B80"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75-plus</w:t>
            </w:r>
          </w:p>
        </w:tc>
        <w:tc>
          <w:tcPr>
            <w:tcW w:w="417" w:type="pct"/>
            <w:tcBorders>
              <w:top w:val="nil"/>
              <w:left w:val="nil"/>
              <w:bottom w:val="nil"/>
              <w:right w:val="nil"/>
            </w:tcBorders>
            <w:shd w:val="clear" w:color="auto" w:fill="auto"/>
            <w:vAlign w:val="center"/>
            <w:hideMark/>
          </w:tcPr>
          <w:p w14:paraId="3052E32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778</w:t>
            </w:r>
          </w:p>
        </w:tc>
        <w:tc>
          <w:tcPr>
            <w:tcW w:w="653" w:type="pct"/>
            <w:tcBorders>
              <w:top w:val="nil"/>
              <w:left w:val="nil"/>
              <w:bottom w:val="nil"/>
              <w:right w:val="nil"/>
            </w:tcBorders>
            <w:shd w:val="clear" w:color="auto" w:fill="auto"/>
            <w:vAlign w:val="center"/>
            <w:hideMark/>
          </w:tcPr>
          <w:p w14:paraId="76E0CD8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54.8</w:t>
            </w:r>
          </w:p>
        </w:tc>
        <w:tc>
          <w:tcPr>
            <w:tcW w:w="557" w:type="pct"/>
            <w:tcBorders>
              <w:top w:val="nil"/>
              <w:left w:val="nil"/>
              <w:bottom w:val="nil"/>
              <w:right w:val="nil"/>
            </w:tcBorders>
            <w:shd w:val="clear" w:color="auto" w:fill="auto"/>
            <w:vAlign w:val="center"/>
            <w:hideMark/>
          </w:tcPr>
          <w:p w14:paraId="2939414F" w14:textId="46E27899"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50.5, 59.1</w:t>
            </w:r>
          </w:p>
        </w:tc>
        <w:tc>
          <w:tcPr>
            <w:tcW w:w="391" w:type="pct"/>
            <w:tcBorders>
              <w:top w:val="nil"/>
              <w:left w:val="nil"/>
              <w:bottom w:val="nil"/>
              <w:right w:val="single" w:sz="4" w:space="0" w:color="auto"/>
            </w:tcBorders>
            <w:shd w:val="clear" w:color="auto" w:fill="auto"/>
            <w:noWrap/>
            <w:vAlign w:val="center"/>
            <w:hideMark/>
          </w:tcPr>
          <w:p w14:paraId="148B2D0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A4AF0E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760</w:t>
            </w:r>
          </w:p>
        </w:tc>
        <w:tc>
          <w:tcPr>
            <w:tcW w:w="653" w:type="pct"/>
            <w:tcBorders>
              <w:top w:val="nil"/>
              <w:left w:val="nil"/>
              <w:bottom w:val="nil"/>
              <w:right w:val="nil"/>
            </w:tcBorders>
            <w:shd w:val="clear" w:color="auto" w:fill="auto"/>
            <w:vAlign w:val="center"/>
            <w:hideMark/>
          </w:tcPr>
          <w:p w14:paraId="6809CBA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41.6</w:t>
            </w:r>
          </w:p>
        </w:tc>
        <w:tc>
          <w:tcPr>
            <w:tcW w:w="557" w:type="pct"/>
            <w:tcBorders>
              <w:top w:val="nil"/>
              <w:left w:val="nil"/>
              <w:bottom w:val="nil"/>
              <w:right w:val="nil"/>
            </w:tcBorders>
            <w:shd w:val="clear" w:color="auto" w:fill="auto"/>
            <w:vAlign w:val="center"/>
            <w:hideMark/>
          </w:tcPr>
          <w:p w14:paraId="5AD7974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37.4, 45.9</w:t>
            </w:r>
          </w:p>
        </w:tc>
        <w:tc>
          <w:tcPr>
            <w:tcW w:w="390" w:type="pct"/>
            <w:tcBorders>
              <w:top w:val="nil"/>
              <w:left w:val="nil"/>
              <w:bottom w:val="nil"/>
              <w:right w:val="single" w:sz="4" w:space="0" w:color="auto"/>
            </w:tcBorders>
            <w:shd w:val="clear" w:color="auto" w:fill="auto"/>
            <w:noWrap/>
            <w:vAlign w:val="center"/>
            <w:hideMark/>
          </w:tcPr>
          <w:p w14:paraId="1BD4043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6E6B3A8" w14:textId="77777777" w:rsidTr="00400523">
        <w:trPr>
          <w:trHeight w:val="288"/>
        </w:trPr>
        <w:tc>
          <w:tcPr>
            <w:tcW w:w="966" w:type="pct"/>
            <w:tcBorders>
              <w:top w:val="nil"/>
              <w:left w:val="nil"/>
              <w:bottom w:val="nil"/>
              <w:right w:val="nil"/>
            </w:tcBorders>
            <w:shd w:val="clear" w:color="auto" w:fill="auto"/>
            <w:vAlign w:val="center"/>
            <w:hideMark/>
          </w:tcPr>
          <w:p w14:paraId="1BD0058E"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Type of residence</w:t>
            </w:r>
          </w:p>
        </w:tc>
        <w:tc>
          <w:tcPr>
            <w:tcW w:w="417" w:type="pct"/>
            <w:tcBorders>
              <w:top w:val="nil"/>
              <w:left w:val="nil"/>
              <w:bottom w:val="nil"/>
              <w:right w:val="nil"/>
            </w:tcBorders>
            <w:shd w:val="clear" w:color="auto" w:fill="auto"/>
            <w:vAlign w:val="center"/>
            <w:hideMark/>
          </w:tcPr>
          <w:p w14:paraId="1671EB03"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2B517E13"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705E6A47"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71201BA7"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77D1CB3A"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466E701F"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15D03F70"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711E6DEC"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53E6A3C6" w14:textId="77777777" w:rsidTr="00400523">
        <w:trPr>
          <w:trHeight w:val="288"/>
        </w:trPr>
        <w:tc>
          <w:tcPr>
            <w:tcW w:w="966" w:type="pct"/>
            <w:tcBorders>
              <w:top w:val="nil"/>
              <w:left w:val="nil"/>
              <w:bottom w:val="nil"/>
              <w:right w:val="nil"/>
            </w:tcBorders>
            <w:shd w:val="clear" w:color="auto" w:fill="auto"/>
            <w:noWrap/>
            <w:vAlign w:val="center"/>
            <w:hideMark/>
          </w:tcPr>
          <w:p w14:paraId="0B872926"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Rural</w:t>
            </w:r>
          </w:p>
        </w:tc>
        <w:tc>
          <w:tcPr>
            <w:tcW w:w="417" w:type="pct"/>
            <w:tcBorders>
              <w:top w:val="nil"/>
              <w:left w:val="nil"/>
              <w:bottom w:val="nil"/>
              <w:right w:val="nil"/>
            </w:tcBorders>
            <w:shd w:val="clear" w:color="auto" w:fill="auto"/>
            <w:vAlign w:val="center"/>
            <w:hideMark/>
          </w:tcPr>
          <w:p w14:paraId="5B4246A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2510</w:t>
            </w:r>
          </w:p>
        </w:tc>
        <w:tc>
          <w:tcPr>
            <w:tcW w:w="653" w:type="pct"/>
            <w:tcBorders>
              <w:top w:val="nil"/>
              <w:left w:val="nil"/>
              <w:bottom w:val="nil"/>
              <w:right w:val="nil"/>
            </w:tcBorders>
            <w:shd w:val="clear" w:color="auto" w:fill="auto"/>
            <w:vAlign w:val="center"/>
            <w:hideMark/>
          </w:tcPr>
          <w:p w14:paraId="189E840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51.2</w:t>
            </w:r>
          </w:p>
        </w:tc>
        <w:tc>
          <w:tcPr>
            <w:tcW w:w="557" w:type="pct"/>
            <w:tcBorders>
              <w:top w:val="nil"/>
              <w:left w:val="nil"/>
              <w:bottom w:val="nil"/>
              <w:right w:val="nil"/>
            </w:tcBorders>
            <w:shd w:val="clear" w:color="auto" w:fill="auto"/>
            <w:vAlign w:val="center"/>
            <w:hideMark/>
          </w:tcPr>
          <w:p w14:paraId="143C2CA8" w14:textId="793971A0"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48.0, 54.5</w:t>
            </w:r>
          </w:p>
        </w:tc>
        <w:tc>
          <w:tcPr>
            <w:tcW w:w="391" w:type="pct"/>
            <w:tcBorders>
              <w:top w:val="nil"/>
              <w:left w:val="nil"/>
              <w:bottom w:val="nil"/>
              <w:right w:val="single" w:sz="4" w:space="0" w:color="auto"/>
            </w:tcBorders>
            <w:shd w:val="clear" w:color="auto" w:fill="auto"/>
            <w:noWrap/>
            <w:vAlign w:val="center"/>
            <w:hideMark/>
          </w:tcPr>
          <w:p w14:paraId="6389E54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C2D89C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2151</w:t>
            </w:r>
          </w:p>
        </w:tc>
        <w:tc>
          <w:tcPr>
            <w:tcW w:w="653" w:type="pct"/>
            <w:tcBorders>
              <w:top w:val="nil"/>
              <w:left w:val="nil"/>
              <w:bottom w:val="nil"/>
              <w:right w:val="nil"/>
            </w:tcBorders>
            <w:shd w:val="clear" w:color="auto" w:fill="auto"/>
            <w:vAlign w:val="center"/>
            <w:hideMark/>
          </w:tcPr>
          <w:p w14:paraId="3A0B0E2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28.4</w:t>
            </w:r>
          </w:p>
        </w:tc>
        <w:tc>
          <w:tcPr>
            <w:tcW w:w="557" w:type="pct"/>
            <w:tcBorders>
              <w:top w:val="nil"/>
              <w:left w:val="nil"/>
              <w:bottom w:val="nil"/>
              <w:right w:val="nil"/>
            </w:tcBorders>
            <w:shd w:val="clear" w:color="auto" w:fill="auto"/>
            <w:vAlign w:val="center"/>
            <w:hideMark/>
          </w:tcPr>
          <w:p w14:paraId="552AC1D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26.1, 30.9</w:t>
            </w:r>
          </w:p>
        </w:tc>
        <w:tc>
          <w:tcPr>
            <w:tcW w:w="390" w:type="pct"/>
            <w:tcBorders>
              <w:top w:val="nil"/>
              <w:left w:val="nil"/>
              <w:bottom w:val="nil"/>
              <w:right w:val="single" w:sz="4" w:space="0" w:color="auto"/>
            </w:tcBorders>
            <w:shd w:val="clear" w:color="auto" w:fill="auto"/>
            <w:noWrap/>
            <w:vAlign w:val="center"/>
            <w:hideMark/>
          </w:tcPr>
          <w:p w14:paraId="645C110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B6B4C87" w14:textId="77777777" w:rsidTr="00400523">
        <w:trPr>
          <w:trHeight w:val="288"/>
        </w:trPr>
        <w:tc>
          <w:tcPr>
            <w:tcW w:w="966" w:type="pct"/>
            <w:tcBorders>
              <w:top w:val="nil"/>
              <w:left w:val="nil"/>
              <w:bottom w:val="nil"/>
              <w:right w:val="nil"/>
            </w:tcBorders>
            <w:shd w:val="clear" w:color="auto" w:fill="auto"/>
            <w:noWrap/>
            <w:vAlign w:val="center"/>
            <w:hideMark/>
          </w:tcPr>
          <w:p w14:paraId="5225CFE0"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Urban</w:t>
            </w:r>
          </w:p>
        </w:tc>
        <w:tc>
          <w:tcPr>
            <w:tcW w:w="417" w:type="pct"/>
            <w:tcBorders>
              <w:top w:val="nil"/>
              <w:left w:val="nil"/>
              <w:bottom w:val="nil"/>
              <w:right w:val="nil"/>
            </w:tcBorders>
            <w:shd w:val="clear" w:color="auto" w:fill="auto"/>
            <w:vAlign w:val="center"/>
            <w:hideMark/>
          </w:tcPr>
          <w:p w14:paraId="0FA4A24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1744</w:t>
            </w:r>
          </w:p>
        </w:tc>
        <w:tc>
          <w:tcPr>
            <w:tcW w:w="653" w:type="pct"/>
            <w:tcBorders>
              <w:top w:val="nil"/>
              <w:left w:val="nil"/>
              <w:bottom w:val="nil"/>
              <w:right w:val="nil"/>
            </w:tcBorders>
            <w:shd w:val="clear" w:color="auto" w:fill="auto"/>
            <w:vAlign w:val="center"/>
            <w:hideMark/>
          </w:tcPr>
          <w:p w14:paraId="39F1AEA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65.2</w:t>
            </w:r>
          </w:p>
        </w:tc>
        <w:tc>
          <w:tcPr>
            <w:tcW w:w="557" w:type="pct"/>
            <w:tcBorders>
              <w:top w:val="nil"/>
              <w:left w:val="nil"/>
              <w:bottom w:val="nil"/>
              <w:right w:val="nil"/>
            </w:tcBorders>
            <w:shd w:val="clear" w:color="auto" w:fill="auto"/>
            <w:vAlign w:val="center"/>
            <w:hideMark/>
          </w:tcPr>
          <w:p w14:paraId="07C6B728" w14:textId="2BC9047B"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61.8, 68.4</w:t>
            </w:r>
          </w:p>
        </w:tc>
        <w:tc>
          <w:tcPr>
            <w:tcW w:w="391" w:type="pct"/>
            <w:tcBorders>
              <w:top w:val="nil"/>
              <w:left w:val="nil"/>
              <w:bottom w:val="nil"/>
              <w:right w:val="single" w:sz="4" w:space="0" w:color="auto"/>
            </w:tcBorders>
            <w:shd w:val="clear" w:color="auto" w:fill="auto"/>
            <w:noWrap/>
            <w:vAlign w:val="center"/>
            <w:hideMark/>
          </w:tcPr>
          <w:p w14:paraId="6D6D359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1AF088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1369</w:t>
            </w:r>
          </w:p>
        </w:tc>
        <w:tc>
          <w:tcPr>
            <w:tcW w:w="653" w:type="pct"/>
            <w:tcBorders>
              <w:top w:val="nil"/>
              <w:left w:val="nil"/>
              <w:bottom w:val="nil"/>
              <w:right w:val="nil"/>
            </w:tcBorders>
            <w:shd w:val="clear" w:color="auto" w:fill="auto"/>
            <w:vAlign w:val="center"/>
            <w:hideMark/>
          </w:tcPr>
          <w:p w14:paraId="02E6EEF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42.2</w:t>
            </w:r>
          </w:p>
        </w:tc>
        <w:tc>
          <w:tcPr>
            <w:tcW w:w="557" w:type="pct"/>
            <w:tcBorders>
              <w:top w:val="nil"/>
              <w:left w:val="nil"/>
              <w:bottom w:val="nil"/>
              <w:right w:val="nil"/>
            </w:tcBorders>
            <w:shd w:val="clear" w:color="auto" w:fill="auto"/>
            <w:vAlign w:val="center"/>
            <w:hideMark/>
          </w:tcPr>
          <w:p w14:paraId="706993D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37.7, 46.9</w:t>
            </w:r>
          </w:p>
        </w:tc>
        <w:tc>
          <w:tcPr>
            <w:tcW w:w="390" w:type="pct"/>
            <w:tcBorders>
              <w:top w:val="nil"/>
              <w:left w:val="nil"/>
              <w:bottom w:val="nil"/>
              <w:right w:val="single" w:sz="4" w:space="0" w:color="auto"/>
            </w:tcBorders>
            <w:shd w:val="clear" w:color="auto" w:fill="auto"/>
            <w:noWrap/>
            <w:vAlign w:val="center"/>
            <w:hideMark/>
          </w:tcPr>
          <w:p w14:paraId="1D5904A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4F79E46D" w14:textId="77777777" w:rsidTr="00400523">
        <w:trPr>
          <w:trHeight w:val="288"/>
        </w:trPr>
        <w:tc>
          <w:tcPr>
            <w:tcW w:w="966" w:type="pct"/>
            <w:tcBorders>
              <w:top w:val="nil"/>
              <w:left w:val="nil"/>
              <w:bottom w:val="nil"/>
              <w:right w:val="nil"/>
            </w:tcBorders>
            <w:shd w:val="clear" w:color="auto" w:fill="auto"/>
            <w:vAlign w:val="center"/>
            <w:hideMark/>
          </w:tcPr>
          <w:p w14:paraId="5E91D973"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Regional Groups</w:t>
            </w:r>
          </w:p>
        </w:tc>
        <w:tc>
          <w:tcPr>
            <w:tcW w:w="417" w:type="pct"/>
            <w:tcBorders>
              <w:top w:val="nil"/>
              <w:left w:val="nil"/>
              <w:bottom w:val="nil"/>
              <w:right w:val="nil"/>
            </w:tcBorders>
            <w:shd w:val="clear" w:color="auto" w:fill="auto"/>
            <w:vAlign w:val="center"/>
            <w:hideMark/>
          </w:tcPr>
          <w:p w14:paraId="1C4FF050"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41C2F73E"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6F93D89E"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15EA1019"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4F785BBC"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57640E2B"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34805D6A"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3B8C8486"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42B985EE" w14:textId="77777777" w:rsidTr="00400523">
        <w:trPr>
          <w:trHeight w:val="288"/>
        </w:trPr>
        <w:tc>
          <w:tcPr>
            <w:tcW w:w="966" w:type="pct"/>
            <w:tcBorders>
              <w:top w:val="nil"/>
              <w:left w:val="nil"/>
              <w:bottom w:val="nil"/>
              <w:right w:val="nil"/>
            </w:tcBorders>
            <w:shd w:val="clear" w:color="auto" w:fill="auto"/>
            <w:noWrap/>
            <w:vAlign w:val="center"/>
            <w:hideMark/>
          </w:tcPr>
          <w:p w14:paraId="123D1C3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Northern regions</w:t>
            </w:r>
          </w:p>
        </w:tc>
        <w:tc>
          <w:tcPr>
            <w:tcW w:w="417" w:type="pct"/>
            <w:tcBorders>
              <w:top w:val="nil"/>
              <w:left w:val="nil"/>
              <w:bottom w:val="nil"/>
              <w:right w:val="nil"/>
            </w:tcBorders>
            <w:shd w:val="clear" w:color="auto" w:fill="auto"/>
            <w:vAlign w:val="center"/>
            <w:hideMark/>
          </w:tcPr>
          <w:p w14:paraId="4D71268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754</w:t>
            </w:r>
          </w:p>
        </w:tc>
        <w:tc>
          <w:tcPr>
            <w:tcW w:w="653" w:type="pct"/>
            <w:tcBorders>
              <w:top w:val="nil"/>
              <w:left w:val="nil"/>
              <w:bottom w:val="nil"/>
              <w:right w:val="nil"/>
            </w:tcBorders>
            <w:shd w:val="clear" w:color="auto" w:fill="auto"/>
            <w:vAlign w:val="center"/>
            <w:hideMark/>
          </w:tcPr>
          <w:p w14:paraId="08E0D9A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40.3</w:t>
            </w:r>
          </w:p>
        </w:tc>
        <w:tc>
          <w:tcPr>
            <w:tcW w:w="557" w:type="pct"/>
            <w:tcBorders>
              <w:top w:val="nil"/>
              <w:left w:val="nil"/>
              <w:bottom w:val="nil"/>
              <w:right w:val="nil"/>
            </w:tcBorders>
            <w:shd w:val="clear" w:color="auto" w:fill="auto"/>
            <w:vAlign w:val="center"/>
            <w:hideMark/>
          </w:tcPr>
          <w:p w14:paraId="35097FE8" w14:textId="59BDB82D"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33.7, 47.3</w:t>
            </w:r>
          </w:p>
        </w:tc>
        <w:tc>
          <w:tcPr>
            <w:tcW w:w="391" w:type="pct"/>
            <w:tcBorders>
              <w:top w:val="nil"/>
              <w:left w:val="nil"/>
              <w:bottom w:val="nil"/>
              <w:right w:val="single" w:sz="4" w:space="0" w:color="auto"/>
            </w:tcBorders>
            <w:shd w:val="clear" w:color="auto" w:fill="auto"/>
            <w:noWrap/>
            <w:vAlign w:val="center"/>
            <w:hideMark/>
          </w:tcPr>
          <w:p w14:paraId="487CA44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70B6E5B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735</w:t>
            </w:r>
          </w:p>
        </w:tc>
        <w:tc>
          <w:tcPr>
            <w:tcW w:w="653" w:type="pct"/>
            <w:tcBorders>
              <w:top w:val="nil"/>
              <w:left w:val="nil"/>
              <w:bottom w:val="nil"/>
              <w:right w:val="nil"/>
            </w:tcBorders>
            <w:shd w:val="clear" w:color="auto" w:fill="auto"/>
            <w:vAlign w:val="center"/>
            <w:hideMark/>
          </w:tcPr>
          <w:p w14:paraId="3397D14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28.1</w:t>
            </w:r>
          </w:p>
        </w:tc>
        <w:tc>
          <w:tcPr>
            <w:tcW w:w="557" w:type="pct"/>
            <w:tcBorders>
              <w:top w:val="nil"/>
              <w:left w:val="nil"/>
              <w:bottom w:val="nil"/>
              <w:right w:val="nil"/>
            </w:tcBorders>
            <w:shd w:val="clear" w:color="auto" w:fill="auto"/>
            <w:vAlign w:val="center"/>
            <w:hideMark/>
          </w:tcPr>
          <w:p w14:paraId="62459B2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24.4, 32.2</w:t>
            </w:r>
          </w:p>
        </w:tc>
        <w:tc>
          <w:tcPr>
            <w:tcW w:w="390" w:type="pct"/>
            <w:tcBorders>
              <w:top w:val="nil"/>
              <w:left w:val="nil"/>
              <w:bottom w:val="nil"/>
              <w:right w:val="single" w:sz="4" w:space="0" w:color="auto"/>
            </w:tcBorders>
            <w:shd w:val="clear" w:color="auto" w:fill="auto"/>
            <w:noWrap/>
            <w:vAlign w:val="center"/>
            <w:hideMark/>
          </w:tcPr>
          <w:p w14:paraId="235D8CF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6D707E4" w14:textId="77777777" w:rsidTr="00400523">
        <w:trPr>
          <w:trHeight w:val="288"/>
        </w:trPr>
        <w:tc>
          <w:tcPr>
            <w:tcW w:w="966" w:type="pct"/>
            <w:tcBorders>
              <w:top w:val="nil"/>
              <w:left w:val="nil"/>
              <w:bottom w:val="nil"/>
              <w:right w:val="nil"/>
            </w:tcBorders>
            <w:shd w:val="clear" w:color="auto" w:fill="auto"/>
            <w:noWrap/>
            <w:vAlign w:val="center"/>
            <w:hideMark/>
          </w:tcPr>
          <w:p w14:paraId="6253D1ED"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Other regions</w:t>
            </w:r>
          </w:p>
        </w:tc>
        <w:tc>
          <w:tcPr>
            <w:tcW w:w="417" w:type="pct"/>
            <w:tcBorders>
              <w:top w:val="nil"/>
              <w:left w:val="nil"/>
              <w:bottom w:val="nil"/>
              <w:right w:val="nil"/>
            </w:tcBorders>
            <w:shd w:val="clear" w:color="auto" w:fill="auto"/>
            <w:vAlign w:val="center"/>
            <w:hideMark/>
          </w:tcPr>
          <w:p w14:paraId="44A9627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3011</w:t>
            </w:r>
          </w:p>
        </w:tc>
        <w:tc>
          <w:tcPr>
            <w:tcW w:w="653" w:type="pct"/>
            <w:tcBorders>
              <w:top w:val="nil"/>
              <w:left w:val="nil"/>
              <w:bottom w:val="nil"/>
              <w:right w:val="nil"/>
            </w:tcBorders>
            <w:shd w:val="clear" w:color="auto" w:fill="auto"/>
            <w:vAlign w:val="center"/>
            <w:hideMark/>
          </w:tcPr>
          <w:p w14:paraId="3133424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58.7</w:t>
            </w:r>
          </w:p>
        </w:tc>
        <w:tc>
          <w:tcPr>
            <w:tcW w:w="557" w:type="pct"/>
            <w:tcBorders>
              <w:top w:val="nil"/>
              <w:left w:val="nil"/>
              <w:bottom w:val="nil"/>
              <w:right w:val="nil"/>
            </w:tcBorders>
            <w:shd w:val="clear" w:color="auto" w:fill="auto"/>
            <w:vAlign w:val="center"/>
            <w:hideMark/>
          </w:tcPr>
          <w:p w14:paraId="168174FB" w14:textId="5E4F79DA"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55.9, 61.5</w:t>
            </w:r>
          </w:p>
        </w:tc>
        <w:tc>
          <w:tcPr>
            <w:tcW w:w="391" w:type="pct"/>
            <w:tcBorders>
              <w:top w:val="nil"/>
              <w:left w:val="nil"/>
              <w:bottom w:val="nil"/>
              <w:right w:val="single" w:sz="4" w:space="0" w:color="auto"/>
            </w:tcBorders>
            <w:shd w:val="clear" w:color="auto" w:fill="auto"/>
            <w:noWrap/>
            <w:vAlign w:val="center"/>
            <w:hideMark/>
          </w:tcPr>
          <w:p w14:paraId="7F7191F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42F9368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2461</w:t>
            </w:r>
          </w:p>
        </w:tc>
        <w:tc>
          <w:tcPr>
            <w:tcW w:w="653" w:type="pct"/>
            <w:tcBorders>
              <w:top w:val="nil"/>
              <w:left w:val="nil"/>
              <w:bottom w:val="nil"/>
              <w:right w:val="nil"/>
            </w:tcBorders>
            <w:shd w:val="clear" w:color="auto" w:fill="auto"/>
            <w:vAlign w:val="center"/>
            <w:hideMark/>
          </w:tcPr>
          <w:p w14:paraId="6DACA5E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32.2</w:t>
            </w:r>
          </w:p>
        </w:tc>
        <w:tc>
          <w:tcPr>
            <w:tcW w:w="557" w:type="pct"/>
            <w:tcBorders>
              <w:top w:val="nil"/>
              <w:left w:val="nil"/>
              <w:bottom w:val="nil"/>
              <w:right w:val="nil"/>
            </w:tcBorders>
            <w:shd w:val="clear" w:color="auto" w:fill="auto"/>
            <w:vAlign w:val="center"/>
            <w:hideMark/>
          </w:tcPr>
          <w:p w14:paraId="1364EA0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29.7, 34.9</w:t>
            </w:r>
          </w:p>
        </w:tc>
        <w:tc>
          <w:tcPr>
            <w:tcW w:w="390" w:type="pct"/>
            <w:tcBorders>
              <w:top w:val="nil"/>
              <w:left w:val="nil"/>
              <w:bottom w:val="nil"/>
              <w:right w:val="single" w:sz="4" w:space="0" w:color="auto"/>
            </w:tcBorders>
            <w:shd w:val="clear" w:color="auto" w:fill="auto"/>
            <w:noWrap/>
            <w:vAlign w:val="center"/>
            <w:hideMark/>
          </w:tcPr>
          <w:p w14:paraId="2173E6D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FB490FE" w14:textId="77777777" w:rsidTr="00400523">
        <w:trPr>
          <w:trHeight w:val="288"/>
        </w:trPr>
        <w:tc>
          <w:tcPr>
            <w:tcW w:w="966" w:type="pct"/>
            <w:tcBorders>
              <w:top w:val="nil"/>
              <w:left w:val="nil"/>
              <w:bottom w:val="nil"/>
              <w:right w:val="nil"/>
            </w:tcBorders>
            <w:shd w:val="clear" w:color="auto" w:fill="auto"/>
            <w:noWrap/>
            <w:vAlign w:val="center"/>
            <w:hideMark/>
          </w:tcPr>
          <w:p w14:paraId="6256B68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Greater Accra Region</w:t>
            </w:r>
          </w:p>
        </w:tc>
        <w:tc>
          <w:tcPr>
            <w:tcW w:w="417" w:type="pct"/>
            <w:tcBorders>
              <w:top w:val="nil"/>
              <w:left w:val="nil"/>
              <w:bottom w:val="nil"/>
              <w:right w:val="nil"/>
            </w:tcBorders>
            <w:shd w:val="clear" w:color="auto" w:fill="auto"/>
            <w:vAlign w:val="center"/>
            <w:hideMark/>
          </w:tcPr>
          <w:p w14:paraId="33A641A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489</w:t>
            </w:r>
          </w:p>
        </w:tc>
        <w:tc>
          <w:tcPr>
            <w:tcW w:w="653" w:type="pct"/>
            <w:tcBorders>
              <w:top w:val="nil"/>
              <w:left w:val="nil"/>
              <w:bottom w:val="nil"/>
              <w:right w:val="nil"/>
            </w:tcBorders>
            <w:shd w:val="clear" w:color="auto" w:fill="auto"/>
            <w:vAlign w:val="center"/>
            <w:hideMark/>
          </w:tcPr>
          <w:p w14:paraId="0C32466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67.4</w:t>
            </w:r>
          </w:p>
        </w:tc>
        <w:tc>
          <w:tcPr>
            <w:tcW w:w="557" w:type="pct"/>
            <w:tcBorders>
              <w:top w:val="nil"/>
              <w:left w:val="nil"/>
              <w:bottom w:val="nil"/>
              <w:right w:val="nil"/>
            </w:tcBorders>
            <w:shd w:val="clear" w:color="auto" w:fill="auto"/>
            <w:vAlign w:val="center"/>
            <w:hideMark/>
          </w:tcPr>
          <w:p w14:paraId="7FC33B2C" w14:textId="2A02826E"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62.7, 71.8</w:t>
            </w:r>
          </w:p>
        </w:tc>
        <w:tc>
          <w:tcPr>
            <w:tcW w:w="391" w:type="pct"/>
            <w:tcBorders>
              <w:top w:val="nil"/>
              <w:left w:val="nil"/>
              <w:bottom w:val="nil"/>
              <w:right w:val="single" w:sz="4" w:space="0" w:color="auto"/>
            </w:tcBorders>
            <w:shd w:val="clear" w:color="auto" w:fill="auto"/>
            <w:noWrap/>
            <w:vAlign w:val="center"/>
            <w:hideMark/>
          </w:tcPr>
          <w:p w14:paraId="7FC206C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518C2EE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324</w:t>
            </w:r>
          </w:p>
        </w:tc>
        <w:tc>
          <w:tcPr>
            <w:tcW w:w="653" w:type="pct"/>
            <w:tcBorders>
              <w:top w:val="nil"/>
              <w:left w:val="nil"/>
              <w:bottom w:val="nil"/>
              <w:right w:val="nil"/>
            </w:tcBorders>
            <w:shd w:val="clear" w:color="auto" w:fill="auto"/>
            <w:vAlign w:val="center"/>
            <w:hideMark/>
          </w:tcPr>
          <w:p w14:paraId="09F04FE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58.1</w:t>
            </w:r>
          </w:p>
        </w:tc>
        <w:tc>
          <w:tcPr>
            <w:tcW w:w="557" w:type="pct"/>
            <w:tcBorders>
              <w:top w:val="nil"/>
              <w:left w:val="nil"/>
              <w:bottom w:val="nil"/>
              <w:right w:val="nil"/>
            </w:tcBorders>
            <w:shd w:val="clear" w:color="auto" w:fill="auto"/>
            <w:vAlign w:val="center"/>
            <w:hideMark/>
          </w:tcPr>
          <w:p w14:paraId="6337022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47.1, 68.3</w:t>
            </w:r>
          </w:p>
        </w:tc>
        <w:tc>
          <w:tcPr>
            <w:tcW w:w="390" w:type="pct"/>
            <w:tcBorders>
              <w:top w:val="nil"/>
              <w:left w:val="nil"/>
              <w:bottom w:val="nil"/>
              <w:right w:val="single" w:sz="4" w:space="0" w:color="auto"/>
            </w:tcBorders>
            <w:shd w:val="clear" w:color="auto" w:fill="auto"/>
            <w:noWrap/>
            <w:vAlign w:val="center"/>
            <w:hideMark/>
          </w:tcPr>
          <w:p w14:paraId="505B525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CF9394C" w14:textId="77777777" w:rsidTr="00400523">
        <w:trPr>
          <w:trHeight w:val="288"/>
        </w:trPr>
        <w:tc>
          <w:tcPr>
            <w:tcW w:w="966" w:type="pct"/>
            <w:tcBorders>
              <w:top w:val="nil"/>
              <w:left w:val="nil"/>
              <w:bottom w:val="nil"/>
              <w:right w:val="nil"/>
            </w:tcBorders>
            <w:shd w:val="clear" w:color="auto" w:fill="auto"/>
            <w:vAlign w:val="center"/>
            <w:hideMark/>
          </w:tcPr>
          <w:p w14:paraId="7D2B6305"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Ethnicity</w:t>
            </w:r>
          </w:p>
        </w:tc>
        <w:tc>
          <w:tcPr>
            <w:tcW w:w="417" w:type="pct"/>
            <w:tcBorders>
              <w:top w:val="nil"/>
              <w:left w:val="nil"/>
              <w:bottom w:val="nil"/>
              <w:right w:val="nil"/>
            </w:tcBorders>
            <w:shd w:val="clear" w:color="auto" w:fill="auto"/>
            <w:vAlign w:val="center"/>
            <w:hideMark/>
          </w:tcPr>
          <w:p w14:paraId="0482B5AD"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25804EE5"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465F5EA3"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53BE7CF0"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4DCBE857"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229D33B0"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03D4B7DD"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129E535C"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0.012</w:t>
            </w:r>
          </w:p>
        </w:tc>
      </w:tr>
      <w:tr w:rsidR="00622270" w:rsidRPr="00000849" w14:paraId="3DBF3579" w14:textId="77777777" w:rsidTr="00400523">
        <w:trPr>
          <w:trHeight w:val="288"/>
        </w:trPr>
        <w:tc>
          <w:tcPr>
            <w:tcW w:w="966" w:type="pct"/>
            <w:tcBorders>
              <w:top w:val="nil"/>
              <w:left w:val="nil"/>
              <w:bottom w:val="nil"/>
              <w:right w:val="nil"/>
            </w:tcBorders>
            <w:shd w:val="clear" w:color="auto" w:fill="auto"/>
            <w:noWrap/>
            <w:vAlign w:val="center"/>
            <w:hideMark/>
          </w:tcPr>
          <w:p w14:paraId="301804E2"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Northern groups</w:t>
            </w:r>
          </w:p>
        </w:tc>
        <w:tc>
          <w:tcPr>
            <w:tcW w:w="417" w:type="pct"/>
            <w:tcBorders>
              <w:top w:val="nil"/>
              <w:left w:val="nil"/>
              <w:bottom w:val="nil"/>
              <w:right w:val="nil"/>
            </w:tcBorders>
            <w:shd w:val="clear" w:color="auto" w:fill="auto"/>
            <w:vAlign w:val="center"/>
            <w:hideMark/>
          </w:tcPr>
          <w:p w14:paraId="248017B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425</w:t>
            </w:r>
          </w:p>
        </w:tc>
        <w:tc>
          <w:tcPr>
            <w:tcW w:w="653" w:type="pct"/>
            <w:tcBorders>
              <w:top w:val="nil"/>
              <w:left w:val="nil"/>
              <w:bottom w:val="nil"/>
              <w:right w:val="nil"/>
            </w:tcBorders>
            <w:shd w:val="clear" w:color="auto" w:fill="auto"/>
            <w:vAlign w:val="center"/>
            <w:hideMark/>
          </w:tcPr>
          <w:p w14:paraId="611A712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64.3</w:t>
            </w:r>
          </w:p>
        </w:tc>
        <w:tc>
          <w:tcPr>
            <w:tcW w:w="557" w:type="pct"/>
            <w:tcBorders>
              <w:top w:val="nil"/>
              <w:left w:val="nil"/>
              <w:bottom w:val="nil"/>
              <w:right w:val="nil"/>
            </w:tcBorders>
            <w:shd w:val="clear" w:color="auto" w:fill="auto"/>
            <w:vAlign w:val="center"/>
            <w:hideMark/>
          </w:tcPr>
          <w:p w14:paraId="4E734B9E" w14:textId="3D526E75"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58.0, 70.1</w:t>
            </w:r>
          </w:p>
        </w:tc>
        <w:tc>
          <w:tcPr>
            <w:tcW w:w="391" w:type="pct"/>
            <w:tcBorders>
              <w:top w:val="nil"/>
              <w:left w:val="nil"/>
              <w:bottom w:val="nil"/>
              <w:right w:val="single" w:sz="4" w:space="0" w:color="auto"/>
            </w:tcBorders>
            <w:shd w:val="clear" w:color="auto" w:fill="auto"/>
            <w:noWrap/>
            <w:vAlign w:val="center"/>
            <w:hideMark/>
          </w:tcPr>
          <w:p w14:paraId="3828C89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0FA2FFD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1035</w:t>
            </w:r>
          </w:p>
        </w:tc>
        <w:tc>
          <w:tcPr>
            <w:tcW w:w="653" w:type="pct"/>
            <w:tcBorders>
              <w:top w:val="nil"/>
              <w:left w:val="nil"/>
              <w:bottom w:val="nil"/>
              <w:right w:val="nil"/>
            </w:tcBorders>
            <w:shd w:val="clear" w:color="auto" w:fill="auto"/>
            <w:vAlign w:val="center"/>
            <w:hideMark/>
          </w:tcPr>
          <w:p w14:paraId="7B3D0E6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31.3</w:t>
            </w:r>
          </w:p>
        </w:tc>
        <w:tc>
          <w:tcPr>
            <w:tcW w:w="557" w:type="pct"/>
            <w:tcBorders>
              <w:top w:val="nil"/>
              <w:left w:val="nil"/>
              <w:bottom w:val="nil"/>
              <w:right w:val="nil"/>
            </w:tcBorders>
            <w:shd w:val="clear" w:color="auto" w:fill="auto"/>
            <w:vAlign w:val="center"/>
            <w:hideMark/>
          </w:tcPr>
          <w:p w14:paraId="705D791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27.5, 35.4</w:t>
            </w:r>
          </w:p>
        </w:tc>
        <w:tc>
          <w:tcPr>
            <w:tcW w:w="390" w:type="pct"/>
            <w:tcBorders>
              <w:top w:val="nil"/>
              <w:left w:val="nil"/>
              <w:bottom w:val="nil"/>
              <w:right w:val="single" w:sz="4" w:space="0" w:color="auto"/>
            </w:tcBorders>
            <w:shd w:val="clear" w:color="auto" w:fill="auto"/>
            <w:noWrap/>
            <w:vAlign w:val="center"/>
            <w:hideMark/>
          </w:tcPr>
          <w:p w14:paraId="4CFAC60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A867355" w14:textId="77777777" w:rsidTr="00400523">
        <w:trPr>
          <w:trHeight w:val="288"/>
        </w:trPr>
        <w:tc>
          <w:tcPr>
            <w:tcW w:w="966" w:type="pct"/>
            <w:tcBorders>
              <w:top w:val="nil"/>
              <w:left w:val="nil"/>
              <w:bottom w:val="nil"/>
              <w:right w:val="nil"/>
            </w:tcBorders>
            <w:shd w:val="clear" w:color="auto" w:fill="auto"/>
            <w:vAlign w:val="center"/>
            <w:hideMark/>
          </w:tcPr>
          <w:p w14:paraId="6B734B2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Akan</w:t>
            </w:r>
          </w:p>
        </w:tc>
        <w:tc>
          <w:tcPr>
            <w:tcW w:w="417" w:type="pct"/>
            <w:tcBorders>
              <w:top w:val="nil"/>
              <w:left w:val="nil"/>
              <w:bottom w:val="nil"/>
              <w:right w:val="nil"/>
            </w:tcBorders>
            <w:shd w:val="clear" w:color="auto" w:fill="auto"/>
            <w:vAlign w:val="center"/>
            <w:hideMark/>
          </w:tcPr>
          <w:p w14:paraId="411816F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2051</w:t>
            </w:r>
          </w:p>
        </w:tc>
        <w:tc>
          <w:tcPr>
            <w:tcW w:w="653" w:type="pct"/>
            <w:tcBorders>
              <w:top w:val="nil"/>
              <w:left w:val="nil"/>
              <w:bottom w:val="nil"/>
              <w:right w:val="nil"/>
            </w:tcBorders>
            <w:shd w:val="clear" w:color="auto" w:fill="auto"/>
            <w:vAlign w:val="center"/>
            <w:hideMark/>
          </w:tcPr>
          <w:p w14:paraId="5435503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60.8</w:t>
            </w:r>
          </w:p>
        </w:tc>
        <w:tc>
          <w:tcPr>
            <w:tcW w:w="557" w:type="pct"/>
            <w:tcBorders>
              <w:top w:val="nil"/>
              <w:left w:val="nil"/>
              <w:bottom w:val="nil"/>
              <w:right w:val="nil"/>
            </w:tcBorders>
            <w:shd w:val="clear" w:color="auto" w:fill="auto"/>
            <w:vAlign w:val="center"/>
            <w:hideMark/>
          </w:tcPr>
          <w:p w14:paraId="1C52B242" w14:textId="1E6456B2"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57.6, 63.9</w:t>
            </w:r>
          </w:p>
        </w:tc>
        <w:tc>
          <w:tcPr>
            <w:tcW w:w="391" w:type="pct"/>
            <w:tcBorders>
              <w:top w:val="nil"/>
              <w:left w:val="nil"/>
              <w:bottom w:val="nil"/>
              <w:right w:val="single" w:sz="4" w:space="0" w:color="auto"/>
            </w:tcBorders>
            <w:shd w:val="clear" w:color="auto" w:fill="auto"/>
            <w:noWrap/>
            <w:vAlign w:val="center"/>
            <w:hideMark/>
          </w:tcPr>
          <w:p w14:paraId="2B8D5FE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9A3DC4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1701</w:t>
            </w:r>
          </w:p>
        </w:tc>
        <w:tc>
          <w:tcPr>
            <w:tcW w:w="653" w:type="pct"/>
            <w:tcBorders>
              <w:top w:val="nil"/>
              <w:left w:val="nil"/>
              <w:bottom w:val="nil"/>
              <w:right w:val="nil"/>
            </w:tcBorders>
            <w:shd w:val="clear" w:color="auto" w:fill="auto"/>
            <w:vAlign w:val="center"/>
            <w:hideMark/>
          </w:tcPr>
          <w:p w14:paraId="4E47849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32.5</w:t>
            </w:r>
          </w:p>
        </w:tc>
        <w:tc>
          <w:tcPr>
            <w:tcW w:w="557" w:type="pct"/>
            <w:tcBorders>
              <w:top w:val="nil"/>
              <w:left w:val="nil"/>
              <w:bottom w:val="nil"/>
              <w:right w:val="nil"/>
            </w:tcBorders>
            <w:shd w:val="clear" w:color="auto" w:fill="auto"/>
            <w:vAlign w:val="center"/>
            <w:hideMark/>
          </w:tcPr>
          <w:p w14:paraId="28B5553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29.7, 35.5</w:t>
            </w:r>
          </w:p>
        </w:tc>
        <w:tc>
          <w:tcPr>
            <w:tcW w:w="390" w:type="pct"/>
            <w:tcBorders>
              <w:top w:val="nil"/>
              <w:left w:val="nil"/>
              <w:bottom w:val="nil"/>
              <w:right w:val="single" w:sz="4" w:space="0" w:color="auto"/>
            </w:tcBorders>
            <w:shd w:val="clear" w:color="auto" w:fill="auto"/>
            <w:noWrap/>
            <w:vAlign w:val="center"/>
            <w:hideMark/>
          </w:tcPr>
          <w:p w14:paraId="4F91FA3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361AE3DE" w14:textId="77777777" w:rsidTr="00400523">
        <w:trPr>
          <w:trHeight w:val="288"/>
        </w:trPr>
        <w:tc>
          <w:tcPr>
            <w:tcW w:w="966" w:type="pct"/>
            <w:tcBorders>
              <w:top w:val="nil"/>
              <w:left w:val="nil"/>
              <w:bottom w:val="nil"/>
              <w:right w:val="nil"/>
            </w:tcBorders>
            <w:shd w:val="clear" w:color="auto" w:fill="auto"/>
            <w:vAlign w:val="center"/>
            <w:hideMark/>
          </w:tcPr>
          <w:p w14:paraId="430367E9"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Ga-Adangme</w:t>
            </w:r>
          </w:p>
        </w:tc>
        <w:tc>
          <w:tcPr>
            <w:tcW w:w="417" w:type="pct"/>
            <w:tcBorders>
              <w:top w:val="nil"/>
              <w:left w:val="nil"/>
              <w:bottom w:val="nil"/>
              <w:right w:val="nil"/>
            </w:tcBorders>
            <w:shd w:val="clear" w:color="auto" w:fill="auto"/>
            <w:vAlign w:val="center"/>
            <w:hideMark/>
          </w:tcPr>
          <w:p w14:paraId="74B61BE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432</w:t>
            </w:r>
          </w:p>
        </w:tc>
        <w:tc>
          <w:tcPr>
            <w:tcW w:w="653" w:type="pct"/>
            <w:tcBorders>
              <w:top w:val="nil"/>
              <w:left w:val="nil"/>
              <w:bottom w:val="nil"/>
              <w:right w:val="nil"/>
            </w:tcBorders>
            <w:shd w:val="clear" w:color="auto" w:fill="auto"/>
            <w:vAlign w:val="center"/>
            <w:hideMark/>
          </w:tcPr>
          <w:p w14:paraId="095A3B7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58.6</w:t>
            </w:r>
          </w:p>
        </w:tc>
        <w:tc>
          <w:tcPr>
            <w:tcW w:w="557" w:type="pct"/>
            <w:tcBorders>
              <w:top w:val="nil"/>
              <w:left w:val="nil"/>
              <w:bottom w:val="nil"/>
              <w:right w:val="nil"/>
            </w:tcBorders>
            <w:shd w:val="clear" w:color="auto" w:fill="auto"/>
            <w:vAlign w:val="center"/>
            <w:hideMark/>
          </w:tcPr>
          <w:p w14:paraId="65A86BD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52.7, 64.2</w:t>
            </w:r>
          </w:p>
        </w:tc>
        <w:tc>
          <w:tcPr>
            <w:tcW w:w="391" w:type="pct"/>
            <w:tcBorders>
              <w:top w:val="nil"/>
              <w:left w:val="nil"/>
              <w:bottom w:val="nil"/>
              <w:right w:val="single" w:sz="4" w:space="0" w:color="auto"/>
            </w:tcBorders>
            <w:shd w:val="clear" w:color="auto" w:fill="auto"/>
            <w:noWrap/>
            <w:vAlign w:val="center"/>
            <w:hideMark/>
          </w:tcPr>
          <w:p w14:paraId="093E23F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2FF6CD8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438</w:t>
            </w:r>
          </w:p>
        </w:tc>
        <w:tc>
          <w:tcPr>
            <w:tcW w:w="653" w:type="pct"/>
            <w:tcBorders>
              <w:top w:val="nil"/>
              <w:left w:val="nil"/>
              <w:bottom w:val="nil"/>
              <w:right w:val="nil"/>
            </w:tcBorders>
            <w:shd w:val="clear" w:color="auto" w:fill="auto"/>
            <w:vAlign w:val="center"/>
            <w:hideMark/>
          </w:tcPr>
          <w:p w14:paraId="2A37146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38.9</w:t>
            </w:r>
          </w:p>
        </w:tc>
        <w:tc>
          <w:tcPr>
            <w:tcW w:w="557" w:type="pct"/>
            <w:tcBorders>
              <w:top w:val="nil"/>
              <w:left w:val="nil"/>
              <w:bottom w:val="nil"/>
              <w:right w:val="nil"/>
            </w:tcBorders>
            <w:shd w:val="clear" w:color="auto" w:fill="auto"/>
            <w:vAlign w:val="center"/>
            <w:hideMark/>
          </w:tcPr>
          <w:p w14:paraId="1E175A6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32.5, 45.7</w:t>
            </w:r>
          </w:p>
        </w:tc>
        <w:tc>
          <w:tcPr>
            <w:tcW w:w="390" w:type="pct"/>
            <w:tcBorders>
              <w:top w:val="nil"/>
              <w:left w:val="nil"/>
              <w:bottom w:val="nil"/>
              <w:right w:val="single" w:sz="4" w:space="0" w:color="auto"/>
            </w:tcBorders>
            <w:shd w:val="clear" w:color="auto" w:fill="auto"/>
            <w:noWrap/>
            <w:vAlign w:val="center"/>
            <w:hideMark/>
          </w:tcPr>
          <w:p w14:paraId="00F44C8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474CA20E" w14:textId="77777777" w:rsidTr="00400523">
        <w:trPr>
          <w:trHeight w:val="288"/>
        </w:trPr>
        <w:tc>
          <w:tcPr>
            <w:tcW w:w="966" w:type="pct"/>
            <w:tcBorders>
              <w:top w:val="nil"/>
              <w:left w:val="nil"/>
              <w:bottom w:val="nil"/>
              <w:right w:val="nil"/>
            </w:tcBorders>
            <w:shd w:val="clear" w:color="auto" w:fill="auto"/>
            <w:vAlign w:val="center"/>
            <w:hideMark/>
          </w:tcPr>
          <w:p w14:paraId="40A4884D"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Others</w:t>
            </w:r>
          </w:p>
        </w:tc>
        <w:tc>
          <w:tcPr>
            <w:tcW w:w="417" w:type="pct"/>
            <w:tcBorders>
              <w:top w:val="nil"/>
              <w:left w:val="nil"/>
              <w:bottom w:val="nil"/>
              <w:right w:val="nil"/>
            </w:tcBorders>
            <w:shd w:val="clear" w:color="auto" w:fill="auto"/>
            <w:vAlign w:val="center"/>
            <w:hideMark/>
          </w:tcPr>
          <w:p w14:paraId="030DC4D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1270</w:t>
            </w:r>
          </w:p>
        </w:tc>
        <w:tc>
          <w:tcPr>
            <w:tcW w:w="653" w:type="pct"/>
            <w:tcBorders>
              <w:top w:val="nil"/>
              <w:left w:val="nil"/>
              <w:bottom w:val="nil"/>
              <w:right w:val="nil"/>
            </w:tcBorders>
            <w:shd w:val="clear" w:color="auto" w:fill="auto"/>
            <w:vAlign w:val="center"/>
            <w:hideMark/>
          </w:tcPr>
          <w:p w14:paraId="4245684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47.7</w:t>
            </w:r>
          </w:p>
        </w:tc>
        <w:tc>
          <w:tcPr>
            <w:tcW w:w="557" w:type="pct"/>
            <w:tcBorders>
              <w:top w:val="nil"/>
              <w:left w:val="nil"/>
              <w:bottom w:val="nil"/>
              <w:right w:val="nil"/>
            </w:tcBorders>
            <w:shd w:val="clear" w:color="auto" w:fill="auto"/>
            <w:vAlign w:val="center"/>
            <w:hideMark/>
          </w:tcPr>
          <w:p w14:paraId="7BBDAB5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43.3, 52.2</w:t>
            </w:r>
          </w:p>
        </w:tc>
        <w:tc>
          <w:tcPr>
            <w:tcW w:w="391" w:type="pct"/>
            <w:tcBorders>
              <w:top w:val="nil"/>
              <w:left w:val="nil"/>
              <w:bottom w:val="nil"/>
              <w:right w:val="single" w:sz="4" w:space="0" w:color="auto"/>
            </w:tcBorders>
            <w:shd w:val="clear" w:color="auto" w:fill="auto"/>
            <w:noWrap/>
            <w:vAlign w:val="center"/>
            <w:hideMark/>
          </w:tcPr>
          <w:p w14:paraId="3663AAC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289C9EA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346</w:t>
            </w:r>
          </w:p>
        </w:tc>
        <w:tc>
          <w:tcPr>
            <w:tcW w:w="653" w:type="pct"/>
            <w:tcBorders>
              <w:top w:val="nil"/>
              <w:left w:val="nil"/>
              <w:bottom w:val="nil"/>
              <w:right w:val="nil"/>
            </w:tcBorders>
            <w:shd w:val="clear" w:color="auto" w:fill="auto"/>
            <w:vAlign w:val="center"/>
            <w:hideMark/>
          </w:tcPr>
          <w:p w14:paraId="1B7ED27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48.2</w:t>
            </w:r>
          </w:p>
        </w:tc>
        <w:tc>
          <w:tcPr>
            <w:tcW w:w="557" w:type="pct"/>
            <w:tcBorders>
              <w:top w:val="nil"/>
              <w:left w:val="nil"/>
              <w:bottom w:val="nil"/>
              <w:right w:val="nil"/>
            </w:tcBorders>
            <w:shd w:val="clear" w:color="auto" w:fill="auto"/>
            <w:vAlign w:val="center"/>
            <w:hideMark/>
          </w:tcPr>
          <w:p w14:paraId="6B5C233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35.8, 60.8</w:t>
            </w:r>
          </w:p>
        </w:tc>
        <w:tc>
          <w:tcPr>
            <w:tcW w:w="390" w:type="pct"/>
            <w:tcBorders>
              <w:top w:val="nil"/>
              <w:left w:val="nil"/>
              <w:bottom w:val="nil"/>
              <w:right w:val="single" w:sz="4" w:space="0" w:color="auto"/>
            </w:tcBorders>
            <w:shd w:val="clear" w:color="auto" w:fill="auto"/>
            <w:noWrap/>
            <w:vAlign w:val="center"/>
            <w:hideMark/>
          </w:tcPr>
          <w:p w14:paraId="48C02A4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228860F0" w14:textId="77777777" w:rsidTr="00400523">
        <w:trPr>
          <w:trHeight w:val="288"/>
        </w:trPr>
        <w:tc>
          <w:tcPr>
            <w:tcW w:w="966" w:type="pct"/>
            <w:tcBorders>
              <w:top w:val="nil"/>
              <w:left w:val="nil"/>
              <w:bottom w:val="nil"/>
              <w:right w:val="nil"/>
            </w:tcBorders>
            <w:shd w:val="clear" w:color="auto" w:fill="auto"/>
            <w:vAlign w:val="center"/>
            <w:hideMark/>
          </w:tcPr>
          <w:p w14:paraId="61F1C13C"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xml:space="preserve">Marital status </w:t>
            </w:r>
          </w:p>
        </w:tc>
        <w:tc>
          <w:tcPr>
            <w:tcW w:w="417" w:type="pct"/>
            <w:tcBorders>
              <w:top w:val="nil"/>
              <w:left w:val="nil"/>
              <w:bottom w:val="nil"/>
              <w:right w:val="nil"/>
            </w:tcBorders>
            <w:shd w:val="clear" w:color="auto" w:fill="auto"/>
            <w:vAlign w:val="center"/>
            <w:hideMark/>
          </w:tcPr>
          <w:p w14:paraId="128F05F3"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13E3E504"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28D58499"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224CB9A0"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0.004</w:t>
            </w:r>
          </w:p>
        </w:tc>
        <w:tc>
          <w:tcPr>
            <w:tcW w:w="416" w:type="pct"/>
            <w:tcBorders>
              <w:top w:val="nil"/>
              <w:left w:val="nil"/>
              <w:bottom w:val="nil"/>
              <w:right w:val="nil"/>
            </w:tcBorders>
            <w:shd w:val="clear" w:color="auto" w:fill="auto"/>
            <w:vAlign w:val="center"/>
            <w:hideMark/>
          </w:tcPr>
          <w:p w14:paraId="7479F302"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056C834C"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2EF5BFEB"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24D074E3"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13BEF67C" w14:textId="77777777" w:rsidTr="00400523">
        <w:trPr>
          <w:trHeight w:val="480"/>
        </w:trPr>
        <w:tc>
          <w:tcPr>
            <w:tcW w:w="966" w:type="pct"/>
            <w:tcBorders>
              <w:top w:val="nil"/>
              <w:left w:val="nil"/>
              <w:bottom w:val="nil"/>
              <w:right w:val="nil"/>
            </w:tcBorders>
            <w:shd w:val="clear" w:color="auto" w:fill="auto"/>
            <w:vAlign w:val="center"/>
            <w:hideMark/>
          </w:tcPr>
          <w:p w14:paraId="64FBA363"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lastRenderedPageBreak/>
              <w:t>Currently married or cohabiting</w:t>
            </w:r>
          </w:p>
        </w:tc>
        <w:tc>
          <w:tcPr>
            <w:tcW w:w="417" w:type="pct"/>
            <w:tcBorders>
              <w:top w:val="nil"/>
              <w:left w:val="nil"/>
              <w:bottom w:val="nil"/>
              <w:right w:val="nil"/>
            </w:tcBorders>
            <w:shd w:val="clear" w:color="auto" w:fill="auto"/>
            <w:vAlign w:val="center"/>
            <w:hideMark/>
          </w:tcPr>
          <w:p w14:paraId="24B802C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2397</w:t>
            </w:r>
          </w:p>
        </w:tc>
        <w:tc>
          <w:tcPr>
            <w:tcW w:w="653" w:type="pct"/>
            <w:tcBorders>
              <w:top w:val="nil"/>
              <w:left w:val="nil"/>
              <w:bottom w:val="nil"/>
              <w:right w:val="nil"/>
            </w:tcBorders>
            <w:shd w:val="clear" w:color="auto" w:fill="auto"/>
            <w:vAlign w:val="center"/>
            <w:hideMark/>
          </w:tcPr>
          <w:p w14:paraId="424E6E4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54.7</w:t>
            </w:r>
          </w:p>
        </w:tc>
        <w:tc>
          <w:tcPr>
            <w:tcW w:w="557" w:type="pct"/>
            <w:tcBorders>
              <w:top w:val="nil"/>
              <w:left w:val="nil"/>
              <w:bottom w:val="nil"/>
              <w:right w:val="nil"/>
            </w:tcBorders>
            <w:shd w:val="clear" w:color="auto" w:fill="auto"/>
            <w:vAlign w:val="center"/>
            <w:hideMark/>
          </w:tcPr>
          <w:p w14:paraId="55E923D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51.6, 57.8</w:t>
            </w:r>
          </w:p>
        </w:tc>
        <w:tc>
          <w:tcPr>
            <w:tcW w:w="391" w:type="pct"/>
            <w:tcBorders>
              <w:top w:val="nil"/>
              <w:left w:val="nil"/>
              <w:bottom w:val="nil"/>
              <w:right w:val="single" w:sz="4" w:space="0" w:color="auto"/>
            </w:tcBorders>
            <w:shd w:val="clear" w:color="auto" w:fill="auto"/>
            <w:noWrap/>
            <w:vAlign w:val="center"/>
            <w:hideMark/>
          </w:tcPr>
          <w:p w14:paraId="6C10894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516E6B8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1998</w:t>
            </w:r>
          </w:p>
        </w:tc>
        <w:tc>
          <w:tcPr>
            <w:tcW w:w="653" w:type="pct"/>
            <w:tcBorders>
              <w:top w:val="nil"/>
              <w:left w:val="nil"/>
              <w:bottom w:val="nil"/>
              <w:right w:val="nil"/>
            </w:tcBorders>
            <w:shd w:val="clear" w:color="auto" w:fill="auto"/>
            <w:vAlign w:val="center"/>
            <w:hideMark/>
          </w:tcPr>
          <w:p w14:paraId="141F65D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31.7</w:t>
            </w:r>
          </w:p>
        </w:tc>
        <w:tc>
          <w:tcPr>
            <w:tcW w:w="557" w:type="pct"/>
            <w:tcBorders>
              <w:top w:val="nil"/>
              <w:left w:val="nil"/>
              <w:bottom w:val="nil"/>
              <w:right w:val="nil"/>
            </w:tcBorders>
            <w:shd w:val="clear" w:color="auto" w:fill="auto"/>
            <w:vAlign w:val="center"/>
            <w:hideMark/>
          </w:tcPr>
          <w:p w14:paraId="1391EBF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28.3, 35.3</w:t>
            </w:r>
          </w:p>
        </w:tc>
        <w:tc>
          <w:tcPr>
            <w:tcW w:w="390" w:type="pct"/>
            <w:tcBorders>
              <w:top w:val="nil"/>
              <w:left w:val="nil"/>
              <w:bottom w:val="nil"/>
              <w:right w:val="single" w:sz="4" w:space="0" w:color="auto"/>
            </w:tcBorders>
            <w:shd w:val="clear" w:color="auto" w:fill="auto"/>
            <w:noWrap/>
            <w:vAlign w:val="center"/>
            <w:hideMark/>
          </w:tcPr>
          <w:p w14:paraId="6016A29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1D379DE9" w14:textId="77777777" w:rsidTr="00400523">
        <w:trPr>
          <w:trHeight w:val="468"/>
        </w:trPr>
        <w:tc>
          <w:tcPr>
            <w:tcW w:w="966" w:type="pct"/>
            <w:tcBorders>
              <w:top w:val="nil"/>
              <w:left w:val="nil"/>
              <w:bottom w:val="nil"/>
              <w:right w:val="nil"/>
            </w:tcBorders>
            <w:shd w:val="clear" w:color="auto" w:fill="auto"/>
            <w:vAlign w:val="center"/>
            <w:hideMark/>
          </w:tcPr>
          <w:p w14:paraId="2002B8A8"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Previously or never married</w:t>
            </w:r>
          </w:p>
        </w:tc>
        <w:tc>
          <w:tcPr>
            <w:tcW w:w="417" w:type="pct"/>
            <w:tcBorders>
              <w:top w:val="nil"/>
              <w:left w:val="nil"/>
              <w:bottom w:val="nil"/>
              <w:right w:val="nil"/>
            </w:tcBorders>
            <w:shd w:val="clear" w:color="auto" w:fill="auto"/>
            <w:vAlign w:val="center"/>
            <w:hideMark/>
          </w:tcPr>
          <w:p w14:paraId="2372D50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1835</w:t>
            </w:r>
          </w:p>
        </w:tc>
        <w:tc>
          <w:tcPr>
            <w:tcW w:w="653" w:type="pct"/>
            <w:tcBorders>
              <w:top w:val="nil"/>
              <w:left w:val="nil"/>
              <w:bottom w:val="nil"/>
              <w:right w:val="nil"/>
            </w:tcBorders>
            <w:shd w:val="clear" w:color="auto" w:fill="auto"/>
            <w:vAlign w:val="center"/>
            <w:hideMark/>
          </w:tcPr>
          <w:p w14:paraId="076453A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60.2</w:t>
            </w:r>
          </w:p>
        </w:tc>
        <w:tc>
          <w:tcPr>
            <w:tcW w:w="557" w:type="pct"/>
            <w:tcBorders>
              <w:top w:val="nil"/>
              <w:left w:val="nil"/>
              <w:bottom w:val="nil"/>
              <w:right w:val="nil"/>
            </w:tcBorders>
            <w:shd w:val="clear" w:color="auto" w:fill="auto"/>
            <w:vAlign w:val="center"/>
            <w:hideMark/>
          </w:tcPr>
          <w:p w14:paraId="2EE8FD4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57.4, 63.0</w:t>
            </w:r>
          </w:p>
        </w:tc>
        <w:tc>
          <w:tcPr>
            <w:tcW w:w="391" w:type="pct"/>
            <w:tcBorders>
              <w:top w:val="nil"/>
              <w:left w:val="nil"/>
              <w:bottom w:val="nil"/>
              <w:right w:val="single" w:sz="4" w:space="0" w:color="auto"/>
            </w:tcBorders>
            <w:shd w:val="clear" w:color="auto" w:fill="auto"/>
            <w:noWrap/>
            <w:vAlign w:val="center"/>
            <w:hideMark/>
          </w:tcPr>
          <w:p w14:paraId="3B49C36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7D9C66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1522</w:t>
            </w:r>
          </w:p>
        </w:tc>
        <w:tc>
          <w:tcPr>
            <w:tcW w:w="653" w:type="pct"/>
            <w:tcBorders>
              <w:top w:val="nil"/>
              <w:left w:val="nil"/>
              <w:bottom w:val="nil"/>
              <w:right w:val="nil"/>
            </w:tcBorders>
            <w:shd w:val="clear" w:color="auto" w:fill="auto"/>
            <w:vAlign w:val="center"/>
            <w:hideMark/>
          </w:tcPr>
          <w:p w14:paraId="189DD0B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40.7</w:t>
            </w:r>
          </w:p>
        </w:tc>
        <w:tc>
          <w:tcPr>
            <w:tcW w:w="557" w:type="pct"/>
            <w:tcBorders>
              <w:top w:val="nil"/>
              <w:left w:val="nil"/>
              <w:bottom w:val="nil"/>
              <w:right w:val="nil"/>
            </w:tcBorders>
            <w:shd w:val="clear" w:color="auto" w:fill="auto"/>
            <w:vAlign w:val="center"/>
            <w:hideMark/>
          </w:tcPr>
          <w:p w14:paraId="795CA7C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37.5, 44.0</w:t>
            </w:r>
          </w:p>
        </w:tc>
        <w:tc>
          <w:tcPr>
            <w:tcW w:w="390" w:type="pct"/>
            <w:tcBorders>
              <w:top w:val="nil"/>
              <w:left w:val="nil"/>
              <w:bottom w:val="nil"/>
              <w:right w:val="single" w:sz="4" w:space="0" w:color="auto"/>
            </w:tcBorders>
            <w:shd w:val="clear" w:color="auto" w:fill="auto"/>
            <w:noWrap/>
            <w:vAlign w:val="center"/>
            <w:hideMark/>
          </w:tcPr>
          <w:p w14:paraId="729DC9C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1A46A2DB" w14:textId="77777777" w:rsidTr="00400523">
        <w:trPr>
          <w:trHeight w:val="288"/>
        </w:trPr>
        <w:tc>
          <w:tcPr>
            <w:tcW w:w="966" w:type="pct"/>
            <w:tcBorders>
              <w:top w:val="nil"/>
              <w:left w:val="nil"/>
              <w:bottom w:val="nil"/>
              <w:right w:val="nil"/>
            </w:tcBorders>
            <w:shd w:val="clear" w:color="auto" w:fill="auto"/>
            <w:vAlign w:val="center"/>
            <w:hideMark/>
          </w:tcPr>
          <w:p w14:paraId="79B1B128"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Educational level</w:t>
            </w:r>
          </w:p>
        </w:tc>
        <w:tc>
          <w:tcPr>
            <w:tcW w:w="417" w:type="pct"/>
            <w:tcBorders>
              <w:top w:val="nil"/>
              <w:left w:val="nil"/>
              <w:bottom w:val="nil"/>
              <w:right w:val="nil"/>
            </w:tcBorders>
            <w:shd w:val="clear" w:color="auto" w:fill="auto"/>
            <w:vAlign w:val="center"/>
            <w:hideMark/>
          </w:tcPr>
          <w:p w14:paraId="30E6509B"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0EAF1491"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6DB4B260"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482BF374"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0.003</w:t>
            </w:r>
          </w:p>
        </w:tc>
        <w:tc>
          <w:tcPr>
            <w:tcW w:w="416" w:type="pct"/>
            <w:tcBorders>
              <w:top w:val="nil"/>
              <w:left w:val="nil"/>
              <w:bottom w:val="nil"/>
              <w:right w:val="nil"/>
            </w:tcBorders>
            <w:shd w:val="clear" w:color="auto" w:fill="auto"/>
            <w:vAlign w:val="center"/>
            <w:hideMark/>
          </w:tcPr>
          <w:p w14:paraId="5927763E"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59EFFED7"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67106189"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7A7AA00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0.269</w:t>
            </w:r>
          </w:p>
        </w:tc>
      </w:tr>
      <w:tr w:rsidR="00622270" w:rsidRPr="00000849" w14:paraId="6528034F" w14:textId="77777777" w:rsidTr="00400523">
        <w:trPr>
          <w:trHeight w:val="288"/>
        </w:trPr>
        <w:tc>
          <w:tcPr>
            <w:tcW w:w="966" w:type="pct"/>
            <w:tcBorders>
              <w:top w:val="nil"/>
              <w:left w:val="nil"/>
              <w:bottom w:val="nil"/>
              <w:right w:val="nil"/>
            </w:tcBorders>
            <w:shd w:val="clear" w:color="auto" w:fill="auto"/>
            <w:vAlign w:val="center"/>
            <w:hideMark/>
          </w:tcPr>
          <w:p w14:paraId="22E25FC9"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Nil</w:t>
            </w:r>
          </w:p>
        </w:tc>
        <w:tc>
          <w:tcPr>
            <w:tcW w:w="417" w:type="pct"/>
            <w:tcBorders>
              <w:top w:val="nil"/>
              <w:left w:val="nil"/>
              <w:bottom w:val="nil"/>
              <w:right w:val="nil"/>
            </w:tcBorders>
            <w:shd w:val="clear" w:color="auto" w:fill="auto"/>
            <w:vAlign w:val="center"/>
            <w:hideMark/>
          </w:tcPr>
          <w:p w14:paraId="61816CA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2321</w:t>
            </w:r>
          </w:p>
        </w:tc>
        <w:tc>
          <w:tcPr>
            <w:tcW w:w="653" w:type="pct"/>
            <w:tcBorders>
              <w:top w:val="nil"/>
              <w:left w:val="nil"/>
              <w:bottom w:val="nil"/>
              <w:right w:val="nil"/>
            </w:tcBorders>
            <w:shd w:val="clear" w:color="auto" w:fill="auto"/>
            <w:vAlign w:val="center"/>
            <w:hideMark/>
          </w:tcPr>
          <w:p w14:paraId="3D31F2D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54.2</w:t>
            </w:r>
          </w:p>
        </w:tc>
        <w:tc>
          <w:tcPr>
            <w:tcW w:w="557" w:type="pct"/>
            <w:tcBorders>
              <w:top w:val="nil"/>
              <w:left w:val="nil"/>
              <w:bottom w:val="nil"/>
              <w:right w:val="nil"/>
            </w:tcBorders>
            <w:shd w:val="clear" w:color="auto" w:fill="auto"/>
            <w:vAlign w:val="center"/>
            <w:hideMark/>
          </w:tcPr>
          <w:p w14:paraId="403E40C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51.1, 57.2</w:t>
            </w:r>
          </w:p>
        </w:tc>
        <w:tc>
          <w:tcPr>
            <w:tcW w:w="391" w:type="pct"/>
            <w:tcBorders>
              <w:top w:val="nil"/>
              <w:left w:val="nil"/>
              <w:bottom w:val="nil"/>
              <w:right w:val="single" w:sz="4" w:space="0" w:color="auto"/>
            </w:tcBorders>
            <w:shd w:val="clear" w:color="auto" w:fill="auto"/>
            <w:noWrap/>
            <w:vAlign w:val="center"/>
            <w:hideMark/>
          </w:tcPr>
          <w:p w14:paraId="2F48EDB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BD5296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1757</w:t>
            </w:r>
          </w:p>
        </w:tc>
        <w:tc>
          <w:tcPr>
            <w:tcW w:w="653" w:type="pct"/>
            <w:tcBorders>
              <w:top w:val="nil"/>
              <w:left w:val="nil"/>
              <w:bottom w:val="nil"/>
              <w:right w:val="nil"/>
            </w:tcBorders>
            <w:shd w:val="clear" w:color="auto" w:fill="auto"/>
            <w:vAlign w:val="center"/>
            <w:hideMark/>
          </w:tcPr>
          <w:p w14:paraId="5BA221A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33.4</w:t>
            </w:r>
          </w:p>
        </w:tc>
        <w:tc>
          <w:tcPr>
            <w:tcW w:w="557" w:type="pct"/>
            <w:tcBorders>
              <w:top w:val="nil"/>
              <w:left w:val="nil"/>
              <w:bottom w:val="nil"/>
              <w:right w:val="nil"/>
            </w:tcBorders>
            <w:shd w:val="clear" w:color="auto" w:fill="auto"/>
            <w:vAlign w:val="center"/>
            <w:hideMark/>
          </w:tcPr>
          <w:p w14:paraId="75F2815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30.6, 36.3</w:t>
            </w:r>
          </w:p>
        </w:tc>
        <w:tc>
          <w:tcPr>
            <w:tcW w:w="390" w:type="pct"/>
            <w:tcBorders>
              <w:top w:val="nil"/>
              <w:left w:val="nil"/>
              <w:bottom w:val="nil"/>
              <w:right w:val="single" w:sz="4" w:space="0" w:color="auto"/>
            </w:tcBorders>
            <w:shd w:val="clear" w:color="auto" w:fill="auto"/>
            <w:noWrap/>
            <w:vAlign w:val="center"/>
            <w:hideMark/>
          </w:tcPr>
          <w:p w14:paraId="735A1B0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179B81AD" w14:textId="77777777" w:rsidTr="00400523">
        <w:trPr>
          <w:trHeight w:val="288"/>
        </w:trPr>
        <w:tc>
          <w:tcPr>
            <w:tcW w:w="966" w:type="pct"/>
            <w:tcBorders>
              <w:top w:val="nil"/>
              <w:left w:val="nil"/>
              <w:bottom w:val="nil"/>
              <w:right w:val="nil"/>
            </w:tcBorders>
            <w:shd w:val="clear" w:color="auto" w:fill="auto"/>
            <w:vAlign w:val="center"/>
            <w:hideMark/>
          </w:tcPr>
          <w:p w14:paraId="4B13D82C"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Primary or less</w:t>
            </w:r>
          </w:p>
        </w:tc>
        <w:tc>
          <w:tcPr>
            <w:tcW w:w="417" w:type="pct"/>
            <w:tcBorders>
              <w:top w:val="nil"/>
              <w:left w:val="nil"/>
              <w:bottom w:val="nil"/>
              <w:right w:val="nil"/>
            </w:tcBorders>
            <w:shd w:val="clear" w:color="auto" w:fill="auto"/>
            <w:vAlign w:val="center"/>
            <w:hideMark/>
          </w:tcPr>
          <w:p w14:paraId="5358EE1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888</w:t>
            </w:r>
          </w:p>
        </w:tc>
        <w:tc>
          <w:tcPr>
            <w:tcW w:w="653" w:type="pct"/>
            <w:tcBorders>
              <w:top w:val="nil"/>
              <w:left w:val="nil"/>
              <w:bottom w:val="nil"/>
              <w:right w:val="nil"/>
            </w:tcBorders>
            <w:shd w:val="clear" w:color="auto" w:fill="auto"/>
            <w:vAlign w:val="center"/>
            <w:hideMark/>
          </w:tcPr>
          <w:p w14:paraId="15B2EDF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60.2</w:t>
            </w:r>
          </w:p>
        </w:tc>
        <w:tc>
          <w:tcPr>
            <w:tcW w:w="557" w:type="pct"/>
            <w:tcBorders>
              <w:top w:val="nil"/>
              <w:left w:val="nil"/>
              <w:bottom w:val="nil"/>
              <w:right w:val="nil"/>
            </w:tcBorders>
            <w:shd w:val="clear" w:color="auto" w:fill="auto"/>
            <w:vAlign w:val="center"/>
            <w:hideMark/>
          </w:tcPr>
          <w:p w14:paraId="0C5F7E5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56.3, 64.0</w:t>
            </w:r>
          </w:p>
        </w:tc>
        <w:tc>
          <w:tcPr>
            <w:tcW w:w="391" w:type="pct"/>
            <w:tcBorders>
              <w:top w:val="nil"/>
              <w:left w:val="nil"/>
              <w:bottom w:val="nil"/>
              <w:right w:val="single" w:sz="4" w:space="0" w:color="auto"/>
            </w:tcBorders>
            <w:shd w:val="clear" w:color="auto" w:fill="auto"/>
            <w:noWrap/>
            <w:vAlign w:val="center"/>
            <w:hideMark/>
          </w:tcPr>
          <w:p w14:paraId="467D804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57AF0CF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849</w:t>
            </w:r>
          </w:p>
        </w:tc>
        <w:tc>
          <w:tcPr>
            <w:tcW w:w="653" w:type="pct"/>
            <w:tcBorders>
              <w:top w:val="nil"/>
              <w:left w:val="nil"/>
              <w:bottom w:val="nil"/>
              <w:right w:val="nil"/>
            </w:tcBorders>
            <w:shd w:val="clear" w:color="auto" w:fill="auto"/>
            <w:vAlign w:val="center"/>
            <w:hideMark/>
          </w:tcPr>
          <w:p w14:paraId="7192470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38.4</w:t>
            </w:r>
          </w:p>
        </w:tc>
        <w:tc>
          <w:tcPr>
            <w:tcW w:w="557" w:type="pct"/>
            <w:tcBorders>
              <w:top w:val="nil"/>
              <w:left w:val="nil"/>
              <w:bottom w:val="nil"/>
              <w:right w:val="nil"/>
            </w:tcBorders>
            <w:shd w:val="clear" w:color="auto" w:fill="auto"/>
            <w:vAlign w:val="center"/>
            <w:hideMark/>
          </w:tcPr>
          <w:p w14:paraId="13BB16A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32.4, 44.9</w:t>
            </w:r>
          </w:p>
        </w:tc>
        <w:tc>
          <w:tcPr>
            <w:tcW w:w="390" w:type="pct"/>
            <w:tcBorders>
              <w:top w:val="nil"/>
              <w:left w:val="nil"/>
              <w:bottom w:val="nil"/>
              <w:right w:val="single" w:sz="4" w:space="0" w:color="auto"/>
            </w:tcBorders>
            <w:shd w:val="clear" w:color="auto" w:fill="auto"/>
            <w:noWrap/>
            <w:vAlign w:val="center"/>
            <w:hideMark/>
          </w:tcPr>
          <w:p w14:paraId="0B60F97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16B64B7A" w14:textId="77777777" w:rsidTr="00400523">
        <w:trPr>
          <w:trHeight w:val="288"/>
        </w:trPr>
        <w:tc>
          <w:tcPr>
            <w:tcW w:w="966" w:type="pct"/>
            <w:tcBorders>
              <w:top w:val="nil"/>
              <w:left w:val="nil"/>
              <w:bottom w:val="nil"/>
              <w:right w:val="nil"/>
            </w:tcBorders>
            <w:shd w:val="clear" w:color="auto" w:fill="auto"/>
            <w:vAlign w:val="center"/>
            <w:hideMark/>
          </w:tcPr>
          <w:p w14:paraId="43CA9AB2"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Secondary or higher</w:t>
            </w:r>
          </w:p>
        </w:tc>
        <w:tc>
          <w:tcPr>
            <w:tcW w:w="417" w:type="pct"/>
            <w:tcBorders>
              <w:top w:val="nil"/>
              <w:left w:val="nil"/>
              <w:bottom w:val="nil"/>
              <w:right w:val="nil"/>
            </w:tcBorders>
            <w:shd w:val="clear" w:color="auto" w:fill="auto"/>
            <w:vAlign w:val="center"/>
            <w:hideMark/>
          </w:tcPr>
          <w:p w14:paraId="4E9D782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1021</w:t>
            </w:r>
          </w:p>
        </w:tc>
        <w:tc>
          <w:tcPr>
            <w:tcW w:w="653" w:type="pct"/>
            <w:tcBorders>
              <w:top w:val="nil"/>
              <w:left w:val="nil"/>
              <w:bottom w:val="nil"/>
              <w:right w:val="nil"/>
            </w:tcBorders>
            <w:shd w:val="clear" w:color="auto" w:fill="auto"/>
            <w:vAlign w:val="center"/>
            <w:hideMark/>
          </w:tcPr>
          <w:p w14:paraId="0A165F2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60.6</w:t>
            </w:r>
          </w:p>
        </w:tc>
        <w:tc>
          <w:tcPr>
            <w:tcW w:w="557" w:type="pct"/>
            <w:tcBorders>
              <w:top w:val="nil"/>
              <w:left w:val="nil"/>
              <w:bottom w:val="nil"/>
              <w:right w:val="nil"/>
            </w:tcBorders>
            <w:shd w:val="clear" w:color="auto" w:fill="auto"/>
            <w:vAlign w:val="center"/>
            <w:hideMark/>
          </w:tcPr>
          <w:p w14:paraId="174E55B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56.9, 64.3</w:t>
            </w:r>
          </w:p>
        </w:tc>
        <w:tc>
          <w:tcPr>
            <w:tcW w:w="391" w:type="pct"/>
            <w:tcBorders>
              <w:top w:val="nil"/>
              <w:left w:val="nil"/>
              <w:bottom w:val="nil"/>
              <w:right w:val="single" w:sz="4" w:space="0" w:color="auto"/>
            </w:tcBorders>
            <w:shd w:val="clear" w:color="auto" w:fill="auto"/>
            <w:noWrap/>
            <w:vAlign w:val="center"/>
            <w:hideMark/>
          </w:tcPr>
          <w:p w14:paraId="333ACD1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71DB622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914</w:t>
            </w:r>
          </w:p>
        </w:tc>
        <w:tc>
          <w:tcPr>
            <w:tcW w:w="653" w:type="pct"/>
            <w:tcBorders>
              <w:top w:val="nil"/>
              <w:left w:val="nil"/>
              <w:bottom w:val="nil"/>
              <w:right w:val="nil"/>
            </w:tcBorders>
            <w:shd w:val="clear" w:color="auto" w:fill="auto"/>
            <w:vAlign w:val="center"/>
            <w:hideMark/>
          </w:tcPr>
          <w:p w14:paraId="0851F1E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34.4</w:t>
            </w:r>
          </w:p>
        </w:tc>
        <w:tc>
          <w:tcPr>
            <w:tcW w:w="557" w:type="pct"/>
            <w:tcBorders>
              <w:top w:val="nil"/>
              <w:left w:val="nil"/>
              <w:bottom w:val="nil"/>
              <w:right w:val="nil"/>
            </w:tcBorders>
            <w:shd w:val="clear" w:color="auto" w:fill="auto"/>
            <w:vAlign w:val="center"/>
            <w:hideMark/>
          </w:tcPr>
          <w:p w14:paraId="4AB9DC2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30.2, 38.8</w:t>
            </w:r>
          </w:p>
        </w:tc>
        <w:tc>
          <w:tcPr>
            <w:tcW w:w="390" w:type="pct"/>
            <w:tcBorders>
              <w:top w:val="nil"/>
              <w:left w:val="nil"/>
              <w:bottom w:val="nil"/>
              <w:right w:val="single" w:sz="4" w:space="0" w:color="auto"/>
            </w:tcBorders>
            <w:shd w:val="clear" w:color="auto" w:fill="auto"/>
            <w:noWrap/>
            <w:vAlign w:val="center"/>
            <w:hideMark/>
          </w:tcPr>
          <w:p w14:paraId="573F5E3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045A8695" w14:textId="77777777" w:rsidTr="00400523">
        <w:trPr>
          <w:trHeight w:val="288"/>
        </w:trPr>
        <w:tc>
          <w:tcPr>
            <w:tcW w:w="966" w:type="pct"/>
            <w:tcBorders>
              <w:top w:val="nil"/>
              <w:left w:val="nil"/>
              <w:bottom w:val="nil"/>
              <w:right w:val="nil"/>
            </w:tcBorders>
            <w:shd w:val="clear" w:color="auto" w:fill="auto"/>
            <w:vAlign w:val="center"/>
            <w:hideMark/>
          </w:tcPr>
          <w:p w14:paraId="6A7A52FF"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Religious group</w:t>
            </w:r>
          </w:p>
        </w:tc>
        <w:tc>
          <w:tcPr>
            <w:tcW w:w="417" w:type="pct"/>
            <w:tcBorders>
              <w:top w:val="nil"/>
              <w:left w:val="nil"/>
              <w:bottom w:val="nil"/>
              <w:right w:val="nil"/>
            </w:tcBorders>
            <w:shd w:val="clear" w:color="auto" w:fill="auto"/>
            <w:vAlign w:val="center"/>
            <w:hideMark/>
          </w:tcPr>
          <w:p w14:paraId="71CEEC02"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2A40EDBB"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17ECF315"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78361F6D"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4F609EA5"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48B2F822"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14E6022D"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56EE394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0.405</w:t>
            </w:r>
          </w:p>
        </w:tc>
      </w:tr>
      <w:tr w:rsidR="00622270" w:rsidRPr="00000849" w14:paraId="6D43A3CF" w14:textId="77777777" w:rsidTr="00400523">
        <w:trPr>
          <w:trHeight w:val="288"/>
        </w:trPr>
        <w:tc>
          <w:tcPr>
            <w:tcW w:w="966" w:type="pct"/>
            <w:tcBorders>
              <w:top w:val="nil"/>
              <w:left w:val="nil"/>
              <w:bottom w:val="nil"/>
              <w:right w:val="nil"/>
            </w:tcBorders>
            <w:shd w:val="clear" w:color="auto" w:fill="auto"/>
            <w:vAlign w:val="center"/>
            <w:hideMark/>
          </w:tcPr>
          <w:p w14:paraId="1FE9BB87"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Christian</w:t>
            </w:r>
          </w:p>
        </w:tc>
        <w:tc>
          <w:tcPr>
            <w:tcW w:w="417" w:type="pct"/>
            <w:tcBorders>
              <w:top w:val="nil"/>
              <w:left w:val="nil"/>
              <w:bottom w:val="nil"/>
              <w:right w:val="nil"/>
            </w:tcBorders>
            <w:shd w:val="clear" w:color="auto" w:fill="auto"/>
            <w:vAlign w:val="center"/>
            <w:hideMark/>
          </w:tcPr>
          <w:p w14:paraId="64CBE2C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2925</w:t>
            </w:r>
          </w:p>
        </w:tc>
        <w:tc>
          <w:tcPr>
            <w:tcW w:w="653" w:type="pct"/>
            <w:tcBorders>
              <w:top w:val="nil"/>
              <w:left w:val="nil"/>
              <w:bottom w:val="nil"/>
              <w:right w:val="nil"/>
            </w:tcBorders>
            <w:shd w:val="clear" w:color="auto" w:fill="auto"/>
            <w:vAlign w:val="center"/>
            <w:hideMark/>
          </w:tcPr>
          <w:p w14:paraId="7CC73FE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59.2</w:t>
            </w:r>
          </w:p>
        </w:tc>
        <w:tc>
          <w:tcPr>
            <w:tcW w:w="557" w:type="pct"/>
            <w:tcBorders>
              <w:top w:val="nil"/>
              <w:left w:val="nil"/>
              <w:bottom w:val="nil"/>
              <w:right w:val="nil"/>
            </w:tcBorders>
            <w:shd w:val="clear" w:color="auto" w:fill="auto"/>
            <w:vAlign w:val="center"/>
            <w:hideMark/>
          </w:tcPr>
          <w:p w14:paraId="02EC9FA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56.5, 61.9</w:t>
            </w:r>
          </w:p>
        </w:tc>
        <w:tc>
          <w:tcPr>
            <w:tcW w:w="391" w:type="pct"/>
            <w:tcBorders>
              <w:top w:val="nil"/>
              <w:left w:val="nil"/>
              <w:bottom w:val="nil"/>
              <w:right w:val="single" w:sz="4" w:space="0" w:color="auto"/>
            </w:tcBorders>
            <w:shd w:val="clear" w:color="auto" w:fill="auto"/>
            <w:noWrap/>
            <w:vAlign w:val="center"/>
            <w:hideMark/>
          </w:tcPr>
          <w:p w14:paraId="4AB5657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2C026EF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2528</w:t>
            </w:r>
          </w:p>
        </w:tc>
        <w:tc>
          <w:tcPr>
            <w:tcW w:w="653" w:type="pct"/>
            <w:tcBorders>
              <w:top w:val="nil"/>
              <w:left w:val="nil"/>
              <w:bottom w:val="nil"/>
              <w:right w:val="nil"/>
            </w:tcBorders>
            <w:shd w:val="clear" w:color="auto" w:fill="auto"/>
            <w:vAlign w:val="center"/>
            <w:hideMark/>
          </w:tcPr>
          <w:p w14:paraId="7468817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34.6</w:t>
            </w:r>
          </w:p>
        </w:tc>
        <w:tc>
          <w:tcPr>
            <w:tcW w:w="557" w:type="pct"/>
            <w:tcBorders>
              <w:top w:val="nil"/>
              <w:left w:val="nil"/>
              <w:bottom w:val="nil"/>
              <w:right w:val="nil"/>
            </w:tcBorders>
            <w:shd w:val="clear" w:color="auto" w:fill="auto"/>
            <w:vAlign w:val="center"/>
            <w:hideMark/>
          </w:tcPr>
          <w:p w14:paraId="683C0D8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31.5, 37.8</w:t>
            </w:r>
          </w:p>
        </w:tc>
        <w:tc>
          <w:tcPr>
            <w:tcW w:w="390" w:type="pct"/>
            <w:tcBorders>
              <w:top w:val="nil"/>
              <w:left w:val="nil"/>
              <w:bottom w:val="nil"/>
              <w:right w:val="single" w:sz="4" w:space="0" w:color="auto"/>
            </w:tcBorders>
            <w:shd w:val="clear" w:color="auto" w:fill="auto"/>
            <w:noWrap/>
            <w:vAlign w:val="center"/>
            <w:hideMark/>
          </w:tcPr>
          <w:p w14:paraId="62E080C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88DFA57" w14:textId="77777777" w:rsidTr="00400523">
        <w:trPr>
          <w:trHeight w:val="288"/>
        </w:trPr>
        <w:tc>
          <w:tcPr>
            <w:tcW w:w="966" w:type="pct"/>
            <w:tcBorders>
              <w:top w:val="nil"/>
              <w:left w:val="nil"/>
              <w:bottom w:val="nil"/>
              <w:right w:val="nil"/>
            </w:tcBorders>
            <w:shd w:val="clear" w:color="auto" w:fill="auto"/>
            <w:vAlign w:val="center"/>
            <w:hideMark/>
          </w:tcPr>
          <w:p w14:paraId="56F03429"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Islam</w:t>
            </w:r>
          </w:p>
        </w:tc>
        <w:tc>
          <w:tcPr>
            <w:tcW w:w="417" w:type="pct"/>
            <w:tcBorders>
              <w:top w:val="nil"/>
              <w:left w:val="nil"/>
              <w:bottom w:val="nil"/>
              <w:right w:val="nil"/>
            </w:tcBorders>
            <w:shd w:val="clear" w:color="auto" w:fill="auto"/>
            <w:vAlign w:val="center"/>
            <w:hideMark/>
          </w:tcPr>
          <w:p w14:paraId="580DDB6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673</w:t>
            </w:r>
          </w:p>
        </w:tc>
        <w:tc>
          <w:tcPr>
            <w:tcW w:w="653" w:type="pct"/>
            <w:tcBorders>
              <w:top w:val="nil"/>
              <w:left w:val="nil"/>
              <w:bottom w:val="nil"/>
              <w:right w:val="nil"/>
            </w:tcBorders>
            <w:shd w:val="clear" w:color="auto" w:fill="auto"/>
            <w:vAlign w:val="center"/>
            <w:hideMark/>
          </w:tcPr>
          <w:p w14:paraId="26A664A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57.1</w:t>
            </w:r>
          </w:p>
        </w:tc>
        <w:tc>
          <w:tcPr>
            <w:tcW w:w="557" w:type="pct"/>
            <w:tcBorders>
              <w:top w:val="nil"/>
              <w:left w:val="nil"/>
              <w:bottom w:val="nil"/>
              <w:right w:val="nil"/>
            </w:tcBorders>
            <w:shd w:val="clear" w:color="auto" w:fill="auto"/>
            <w:vAlign w:val="center"/>
            <w:hideMark/>
          </w:tcPr>
          <w:p w14:paraId="586FD53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50.9, 63.2</w:t>
            </w:r>
          </w:p>
        </w:tc>
        <w:tc>
          <w:tcPr>
            <w:tcW w:w="391" w:type="pct"/>
            <w:tcBorders>
              <w:top w:val="nil"/>
              <w:left w:val="nil"/>
              <w:bottom w:val="nil"/>
              <w:right w:val="single" w:sz="4" w:space="0" w:color="auto"/>
            </w:tcBorders>
            <w:shd w:val="clear" w:color="auto" w:fill="auto"/>
            <w:noWrap/>
            <w:vAlign w:val="center"/>
            <w:hideMark/>
          </w:tcPr>
          <w:p w14:paraId="5552D56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5D19C0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657</w:t>
            </w:r>
          </w:p>
        </w:tc>
        <w:tc>
          <w:tcPr>
            <w:tcW w:w="653" w:type="pct"/>
            <w:tcBorders>
              <w:top w:val="nil"/>
              <w:left w:val="nil"/>
              <w:bottom w:val="nil"/>
              <w:right w:val="nil"/>
            </w:tcBorders>
            <w:shd w:val="clear" w:color="auto" w:fill="auto"/>
            <w:vAlign w:val="center"/>
            <w:hideMark/>
          </w:tcPr>
          <w:p w14:paraId="355B503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38.1</w:t>
            </w:r>
          </w:p>
        </w:tc>
        <w:tc>
          <w:tcPr>
            <w:tcW w:w="557" w:type="pct"/>
            <w:tcBorders>
              <w:top w:val="nil"/>
              <w:left w:val="nil"/>
              <w:bottom w:val="nil"/>
              <w:right w:val="nil"/>
            </w:tcBorders>
            <w:shd w:val="clear" w:color="auto" w:fill="auto"/>
            <w:vAlign w:val="center"/>
            <w:hideMark/>
          </w:tcPr>
          <w:p w14:paraId="0B215D7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33.3, 43.1</w:t>
            </w:r>
          </w:p>
        </w:tc>
        <w:tc>
          <w:tcPr>
            <w:tcW w:w="390" w:type="pct"/>
            <w:tcBorders>
              <w:top w:val="nil"/>
              <w:left w:val="nil"/>
              <w:bottom w:val="nil"/>
              <w:right w:val="single" w:sz="4" w:space="0" w:color="auto"/>
            </w:tcBorders>
            <w:shd w:val="clear" w:color="auto" w:fill="auto"/>
            <w:noWrap/>
            <w:vAlign w:val="center"/>
            <w:hideMark/>
          </w:tcPr>
          <w:p w14:paraId="1A0B985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AE4EDCF" w14:textId="77777777" w:rsidTr="00400523">
        <w:trPr>
          <w:trHeight w:val="288"/>
        </w:trPr>
        <w:tc>
          <w:tcPr>
            <w:tcW w:w="966" w:type="pct"/>
            <w:tcBorders>
              <w:top w:val="nil"/>
              <w:left w:val="nil"/>
              <w:bottom w:val="nil"/>
              <w:right w:val="nil"/>
            </w:tcBorders>
            <w:shd w:val="clear" w:color="auto" w:fill="auto"/>
            <w:vAlign w:val="center"/>
            <w:hideMark/>
          </w:tcPr>
          <w:p w14:paraId="79C9E492"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Other</w:t>
            </w:r>
          </w:p>
        </w:tc>
        <w:tc>
          <w:tcPr>
            <w:tcW w:w="417" w:type="pct"/>
            <w:tcBorders>
              <w:top w:val="nil"/>
              <w:left w:val="nil"/>
              <w:bottom w:val="nil"/>
              <w:right w:val="nil"/>
            </w:tcBorders>
            <w:shd w:val="clear" w:color="auto" w:fill="auto"/>
            <w:vAlign w:val="center"/>
            <w:hideMark/>
          </w:tcPr>
          <w:p w14:paraId="5152B6B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644</w:t>
            </w:r>
          </w:p>
        </w:tc>
        <w:tc>
          <w:tcPr>
            <w:tcW w:w="653" w:type="pct"/>
            <w:tcBorders>
              <w:top w:val="nil"/>
              <w:left w:val="nil"/>
              <w:bottom w:val="nil"/>
              <w:right w:val="nil"/>
            </w:tcBorders>
            <w:shd w:val="clear" w:color="auto" w:fill="auto"/>
            <w:vAlign w:val="center"/>
            <w:hideMark/>
          </w:tcPr>
          <w:p w14:paraId="6D395AA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46.1</w:t>
            </w:r>
          </w:p>
        </w:tc>
        <w:tc>
          <w:tcPr>
            <w:tcW w:w="557" w:type="pct"/>
            <w:tcBorders>
              <w:top w:val="nil"/>
              <w:left w:val="nil"/>
              <w:bottom w:val="nil"/>
              <w:right w:val="nil"/>
            </w:tcBorders>
            <w:shd w:val="clear" w:color="auto" w:fill="auto"/>
            <w:vAlign w:val="center"/>
            <w:hideMark/>
          </w:tcPr>
          <w:p w14:paraId="4C58C63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40.8, 51.5</w:t>
            </w:r>
          </w:p>
        </w:tc>
        <w:tc>
          <w:tcPr>
            <w:tcW w:w="391" w:type="pct"/>
            <w:tcBorders>
              <w:top w:val="nil"/>
              <w:left w:val="nil"/>
              <w:bottom w:val="nil"/>
              <w:right w:val="single" w:sz="4" w:space="0" w:color="auto"/>
            </w:tcBorders>
            <w:shd w:val="clear" w:color="auto" w:fill="auto"/>
            <w:noWrap/>
            <w:vAlign w:val="center"/>
            <w:hideMark/>
          </w:tcPr>
          <w:p w14:paraId="04B9E3E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A691BA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335</w:t>
            </w:r>
          </w:p>
        </w:tc>
        <w:tc>
          <w:tcPr>
            <w:tcW w:w="653" w:type="pct"/>
            <w:tcBorders>
              <w:top w:val="nil"/>
              <w:left w:val="nil"/>
              <w:bottom w:val="nil"/>
              <w:right w:val="nil"/>
            </w:tcBorders>
            <w:shd w:val="clear" w:color="auto" w:fill="auto"/>
            <w:vAlign w:val="center"/>
            <w:hideMark/>
          </w:tcPr>
          <w:p w14:paraId="5D562CA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33.0</w:t>
            </w:r>
          </w:p>
        </w:tc>
        <w:tc>
          <w:tcPr>
            <w:tcW w:w="557" w:type="pct"/>
            <w:tcBorders>
              <w:top w:val="nil"/>
              <w:left w:val="nil"/>
              <w:bottom w:val="nil"/>
              <w:right w:val="nil"/>
            </w:tcBorders>
            <w:shd w:val="clear" w:color="auto" w:fill="auto"/>
            <w:vAlign w:val="center"/>
            <w:hideMark/>
          </w:tcPr>
          <w:p w14:paraId="4DFD01B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26.2, 40.6</w:t>
            </w:r>
          </w:p>
        </w:tc>
        <w:tc>
          <w:tcPr>
            <w:tcW w:w="390" w:type="pct"/>
            <w:tcBorders>
              <w:top w:val="nil"/>
              <w:left w:val="nil"/>
              <w:bottom w:val="nil"/>
              <w:right w:val="single" w:sz="4" w:space="0" w:color="auto"/>
            </w:tcBorders>
            <w:shd w:val="clear" w:color="auto" w:fill="auto"/>
            <w:noWrap/>
            <w:vAlign w:val="center"/>
            <w:hideMark/>
          </w:tcPr>
          <w:p w14:paraId="7E371ED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24430893" w14:textId="77777777" w:rsidTr="00400523">
        <w:trPr>
          <w:trHeight w:val="288"/>
        </w:trPr>
        <w:tc>
          <w:tcPr>
            <w:tcW w:w="966" w:type="pct"/>
            <w:tcBorders>
              <w:top w:val="nil"/>
              <w:left w:val="nil"/>
              <w:bottom w:val="nil"/>
              <w:right w:val="nil"/>
            </w:tcBorders>
            <w:shd w:val="clear" w:color="auto" w:fill="auto"/>
            <w:vAlign w:val="center"/>
            <w:hideMark/>
          </w:tcPr>
          <w:p w14:paraId="6B8418C8"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Work history past 7 days</w:t>
            </w:r>
          </w:p>
        </w:tc>
        <w:tc>
          <w:tcPr>
            <w:tcW w:w="417" w:type="pct"/>
            <w:tcBorders>
              <w:top w:val="nil"/>
              <w:left w:val="nil"/>
              <w:bottom w:val="nil"/>
              <w:right w:val="nil"/>
            </w:tcBorders>
            <w:shd w:val="clear" w:color="auto" w:fill="auto"/>
            <w:vAlign w:val="center"/>
            <w:hideMark/>
          </w:tcPr>
          <w:p w14:paraId="45B790CA"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2E3A7106"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130EAC47"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34F3E301"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0B587495"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5B7D3C16"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6E770E87"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68753884"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0132AB88" w14:textId="77777777" w:rsidTr="00400523">
        <w:trPr>
          <w:trHeight w:val="288"/>
        </w:trPr>
        <w:tc>
          <w:tcPr>
            <w:tcW w:w="966" w:type="pct"/>
            <w:tcBorders>
              <w:top w:val="nil"/>
              <w:left w:val="nil"/>
              <w:bottom w:val="nil"/>
              <w:right w:val="nil"/>
            </w:tcBorders>
            <w:shd w:val="clear" w:color="auto" w:fill="auto"/>
            <w:vAlign w:val="center"/>
            <w:hideMark/>
          </w:tcPr>
          <w:p w14:paraId="3AACB756"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Not currently working</w:t>
            </w:r>
          </w:p>
        </w:tc>
        <w:tc>
          <w:tcPr>
            <w:tcW w:w="417" w:type="pct"/>
            <w:tcBorders>
              <w:top w:val="nil"/>
              <w:left w:val="nil"/>
              <w:bottom w:val="nil"/>
              <w:right w:val="nil"/>
            </w:tcBorders>
            <w:shd w:val="clear" w:color="auto" w:fill="auto"/>
            <w:vAlign w:val="center"/>
            <w:hideMark/>
          </w:tcPr>
          <w:p w14:paraId="0F02201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1299</w:t>
            </w:r>
          </w:p>
        </w:tc>
        <w:tc>
          <w:tcPr>
            <w:tcW w:w="653" w:type="pct"/>
            <w:tcBorders>
              <w:top w:val="nil"/>
              <w:left w:val="nil"/>
              <w:bottom w:val="nil"/>
              <w:right w:val="nil"/>
            </w:tcBorders>
            <w:shd w:val="clear" w:color="auto" w:fill="auto"/>
            <w:vAlign w:val="center"/>
            <w:hideMark/>
          </w:tcPr>
          <w:p w14:paraId="5F9678A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63.1</w:t>
            </w:r>
          </w:p>
        </w:tc>
        <w:tc>
          <w:tcPr>
            <w:tcW w:w="557" w:type="pct"/>
            <w:tcBorders>
              <w:top w:val="nil"/>
              <w:left w:val="nil"/>
              <w:bottom w:val="nil"/>
              <w:right w:val="nil"/>
            </w:tcBorders>
            <w:shd w:val="clear" w:color="auto" w:fill="auto"/>
            <w:vAlign w:val="center"/>
            <w:hideMark/>
          </w:tcPr>
          <w:p w14:paraId="2AA0B95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59.6, 66.5</w:t>
            </w:r>
          </w:p>
        </w:tc>
        <w:tc>
          <w:tcPr>
            <w:tcW w:w="391" w:type="pct"/>
            <w:tcBorders>
              <w:top w:val="nil"/>
              <w:left w:val="nil"/>
              <w:bottom w:val="nil"/>
              <w:right w:val="single" w:sz="4" w:space="0" w:color="auto"/>
            </w:tcBorders>
            <w:shd w:val="clear" w:color="auto" w:fill="auto"/>
            <w:noWrap/>
            <w:vAlign w:val="center"/>
            <w:hideMark/>
          </w:tcPr>
          <w:p w14:paraId="72F37B1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01C754C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1175</w:t>
            </w:r>
          </w:p>
        </w:tc>
        <w:tc>
          <w:tcPr>
            <w:tcW w:w="653" w:type="pct"/>
            <w:tcBorders>
              <w:top w:val="nil"/>
              <w:left w:val="nil"/>
              <w:bottom w:val="nil"/>
              <w:right w:val="nil"/>
            </w:tcBorders>
            <w:shd w:val="clear" w:color="auto" w:fill="auto"/>
            <w:vAlign w:val="center"/>
            <w:hideMark/>
          </w:tcPr>
          <w:p w14:paraId="570BAA7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45.8</w:t>
            </w:r>
          </w:p>
        </w:tc>
        <w:tc>
          <w:tcPr>
            <w:tcW w:w="557" w:type="pct"/>
            <w:tcBorders>
              <w:top w:val="nil"/>
              <w:left w:val="nil"/>
              <w:bottom w:val="nil"/>
              <w:right w:val="nil"/>
            </w:tcBorders>
            <w:shd w:val="clear" w:color="auto" w:fill="auto"/>
            <w:vAlign w:val="center"/>
            <w:hideMark/>
          </w:tcPr>
          <w:p w14:paraId="759740B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41.5, 50.2</w:t>
            </w:r>
          </w:p>
        </w:tc>
        <w:tc>
          <w:tcPr>
            <w:tcW w:w="390" w:type="pct"/>
            <w:tcBorders>
              <w:top w:val="nil"/>
              <w:left w:val="nil"/>
              <w:bottom w:val="nil"/>
              <w:right w:val="single" w:sz="4" w:space="0" w:color="auto"/>
            </w:tcBorders>
            <w:shd w:val="clear" w:color="auto" w:fill="auto"/>
            <w:noWrap/>
            <w:vAlign w:val="center"/>
            <w:hideMark/>
          </w:tcPr>
          <w:p w14:paraId="469B9BA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41D4EC89" w14:textId="77777777" w:rsidTr="00400523">
        <w:trPr>
          <w:trHeight w:val="288"/>
        </w:trPr>
        <w:tc>
          <w:tcPr>
            <w:tcW w:w="966" w:type="pct"/>
            <w:tcBorders>
              <w:top w:val="nil"/>
              <w:left w:val="nil"/>
              <w:bottom w:val="nil"/>
              <w:right w:val="nil"/>
            </w:tcBorders>
            <w:shd w:val="clear" w:color="auto" w:fill="auto"/>
            <w:vAlign w:val="center"/>
            <w:hideMark/>
          </w:tcPr>
          <w:p w14:paraId="0FEB2BCB"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Currently working</w:t>
            </w:r>
          </w:p>
        </w:tc>
        <w:tc>
          <w:tcPr>
            <w:tcW w:w="417" w:type="pct"/>
            <w:tcBorders>
              <w:top w:val="nil"/>
              <w:left w:val="nil"/>
              <w:bottom w:val="nil"/>
              <w:right w:val="nil"/>
            </w:tcBorders>
            <w:shd w:val="clear" w:color="auto" w:fill="auto"/>
            <w:vAlign w:val="center"/>
            <w:hideMark/>
          </w:tcPr>
          <w:p w14:paraId="4BFBC4B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2939</w:t>
            </w:r>
          </w:p>
        </w:tc>
        <w:tc>
          <w:tcPr>
            <w:tcW w:w="653" w:type="pct"/>
            <w:tcBorders>
              <w:top w:val="nil"/>
              <w:left w:val="nil"/>
              <w:bottom w:val="nil"/>
              <w:right w:val="nil"/>
            </w:tcBorders>
            <w:shd w:val="clear" w:color="auto" w:fill="auto"/>
            <w:vAlign w:val="center"/>
            <w:hideMark/>
          </w:tcPr>
          <w:p w14:paraId="14B782A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54.3</w:t>
            </w:r>
          </w:p>
        </w:tc>
        <w:tc>
          <w:tcPr>
            <w:tcW w:w="557" w:type="pct"/>
            <w:tcBorders>
              <w:top w:val="nil"/>
              <w:left w:val="nil"/>
              <w:bottom w:val="nil"/>
              <w:right w:val="nil"/>
            </w:tcBorders>
            <w:shd w:val="clear" w:color="auto" w:fill="auto"/>
            <w:vAlign w:val="center"/>
            <w:hideMark/>
          </w:tcPr>
          <w:p w14:paraId="5F1B354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51.5, 57.0</w:t>
            </w:r>
          </w:p>
        </w:tc>
        <w:tc>
          <w:tcPr>
            <w:tcW w:w="391" w:type="pct"/>
            <w:tcBorders>
              <w:top w:val="nil"/>
              <w:left w:val="nil"/>
              <w:bottom w:val="nil"/>
              <w:right w:val="single" w:sz="4" w:space="0" w:color="auto"/>
            </w:tcBorders>
            <w:shd w:val="clear" w:color="auto" w:fill="auto"/>
            <w:noWrap/>
            <w:vAlign w:val="center"/>
            <w:hideMark/>
          </w:tcPr>
          <w:p w14:paraId="31D8AA8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012076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2163</w:t>
            </w:r>
          </w:p>
        </w:tc>
        <w:tc>
          <w:tcPr>
            <w:tcW w:w="653" w:type="pct"/>
            <w:tcBorders>
              <w:top w:val="nil"/>
              <w:left w:val="nil"/>
              <w:bottom w:val="nil"/>
              <w:right w:val="nil"/>
            </w:tcBorders>
            <w:shd w:val="clear" w:color="auto" w:fill="auto"/>
            <w:vAlign w:val="center"/>
            <w:hideMark/>
          </w:tcPr>
          <w:p w14:paraId="2EB2F3E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30.4</w:t>
            </w:r>
          </w:p>
        </w:tc>
        <w:tc>
          <w:tcPr>
            <w:tcW w:w="557" w:type="pct"/>
            <w:tcBorders>
              <w:top w:val="nil"/>
              <w:left w:val="nil"/>
              <w:bottom w:val="nil"/>
              <w:right w:val="nil"/>
            </w:tcBorders>
            <w:shd w:val="clear" w:color="auto" w:fill="auto"/>
            <w:vAlign w:val="center"/>
            <w:hideMark/>
          </w:tcPr>
          <w:p w14:paraId="2242C31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27.8, 33.1</w:t>
            </w:r>
          </w:p>
        </w:tc>
        <w:tc>
          <w:tcPr>
            <w:tcW w:w="390" w:type="pct"/>
            <w:tcBorders>
              <w:top w:val="nil"/>
              <w:left w:val="nil"/>
              <w:bottom w:val="nil"/>
              <w:right w:val="single" w:sz="4" w:space="0" w:color="auto"/>
            </w:tcBorders>
            <w:shd w:val="clear" w:color="auto" w:fill="auto"/>
            <w:noWrap/>
            <w:vAlign w:val="center"/>
            <w:hideMark/>
          </w:tcPr>
          <w:p w14:paraId="76427C8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B947D8C" w14:textId="77777777" w:rsidTr="00400523">
        <w:trPr>
          <w:trHeight w:val="450"/>
        </w:trPr>
        <w:tc>
          <w:tcPr>
            <w:tcW w:w="966" w:type="pct"/>
            <w:tcBorders>
              <w:top w:val="nil"/>
              <w:left w:val="nil"/>
              <w:bottom w:val="nil"/>
              <w:right w:val="nil"/>
            </w:tcBorders>
            <w:shd w:val="clear" w:color="auto" w:fill="auto"/>
            <w:vAlign w:val="center"/>
            <w:hideMark/>
          </w:tcPr>
          <w:p w14:paraId="20832973"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Employer in current or most recent job</w:t>
            </w:r>
          </w:p>
        </w:tc>
        <w:tc>
          <w:tcPr>
            <w:tcW w:w="417" w:type="pct"/>
            <w:tcBorders>
              <w:top w:val="nil"/>
              <w:left w:val="nil"/>
              <w:bottom w:val="nil"/>
              <w:right w:val="nil"/>
            </w:tcBorders>
            <w:shd w:val="clear" w:color="auto" w:fill="auto"/>
            <w:vAlign w:val="center"/>
            <w:hideMark/>
          </w:tcPr>
          <w:p w14:paraId="62D9E6E9"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5C7C5315"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288C2FB0"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250E2B5C"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0.010</w:t>
            </w:r>
          </w:p>
        </w:tc>
        <w:tc>
          <w:tcPr>
            <w:tcW w:w="416" w:type="pct"/>
            <w:tcBorders>
              <w:top w:val="nil"/>
              <w:left w:val="nil"/>
              <w:bottom w:val="nil"/>
              <w:right w:val="nil"/>
            </w:tcBorders>
            <w:shd w:val="clear" w:color="auto" w:fill="auto"/>
            <w:vAlign w:val="center"/>
            <w:hideMark/>
          </w:tcPr>
          <w:p w14:paraId="2BA239A5"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098A44E3"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1881790E"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3A0DD79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0.591</w:t>
            </w:r>
          </w:p>
        </w:tc>
      </w:tr>
      <w:tr w:rsidR="00622270" w:rsidRPr="00000849" w14:paraId="38BC8E46" w14:textId="77777777" w:rsidTr="00400523">
        <w:trPr>
          <w:trHeight w:val="288"/>
        </w:trPr>
        <w:tc>
          <w:tcPr>
            <w:tcW w:w="966" w:type="pct"/>
            <w:tcBorders>
              <w:top w:val="nil"/>
              <w:left w:val="nil"/>
              <w:bottom w:val="nil"/>
              <w:right w:val="nil"/>
            </w:tcBorders>
            <w:shd w:val="clear" w:color="auto" w:fill="auto"/>
            <w:vAlign w:val="center"/>
            <w:hideMark/>
          </w:tcPr>
          <w:p w14:paraId="0AA17081"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Informal</w:t>
            </w:r>
          </w:p>
        </w:tc>
        <w:tc>
          <w:tcPr>
            <w:tcW w:w="417" w:type="pct"/>
            <w:tcBorders>
              <w:top w:val="nil"/>
              <w:left w:val="nil"/>
              <w:bottom w:val="nil"/>
              <w:right w:val="nil"/>
            </w:tcBorders>
            <w:shd w:val="clear" w:color="auto" w:fill="auto"/>
            <w:vAlign w:val="center"/>
            <w:hideMark/>
          </w:tcPr>
          <w:p w14:paraId="6E65B61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294</w:t>
            </w:r>
          </w:p>
        </w:tc>
        <w:tc>
          <w:tcPr>
            <w:tcW w:w="653" w:type="pct"/>
            <w:tcBorders>
              <w:top w:val="nil"/>
              <w:left w:val="nil"/>
              <w:bottom w:val="nil"/>
              <w:right w:val="nil"/>
            </w:tcBorders>
            <w:shd w:val="clear" w:color="auto" w:fill="auto"/>
            <w:vAlign w:val="center"/>
            <w:hideMark/>
          </w:tcPr>
          <w:p w14:paraId="4F07772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53.3</w:t>
            </w:r>
          </w:p>
        </w:tc>
        <w:tc>
          <w:tcPr>
            <w:tcW w:w="557" w:type="pct"/>
            <w:tcBorders>
              <w:top w:val="nil"/>
              <w:left w:val="nil"/>
              <w:bottom w:val="nil"/>
              <w:right w:val="nil"/>
            </w:tcBorders>
            <w:shd w:val="clear" w:color="auto" w:fill="auto"/>
            <w:vAlign w:val="center"/>
            <w:hideMark/>
          </w:tcPr>
          <w:p w14:paraId="6C731B7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45.2, 61.2</w:t>
            </w:r>
          </w:p>
        </w:tc>
        <w:tc>
          <w:tcPr>
            <w:tcW w:w="391" w:type="pct"/>
            <w:tcBorders>
              <w:top w:val="nil"/>
              <w:left w:val="nil"/>
              <w:bottom w:val="nil"/>
              <w:right w:val="single" w:sz="4" w:space="0" w:color="auto"/>
            </w:tcBorders>
            <w:shd w:val="clear" w:color="auto" w:fill="auto"/>
            <w:noWrap/>
            <w:vAlign w:val="center"/>
            <w:hideMark/>
          </w:tcPr>
          <w:p w14:paraId="16F1673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461191C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643</w:t>
            </w:r>
          </w:p>
        </w:tc>
        <w:tc>
          <w:tcPr>
            <w:tcW w:w="653" w:type="pct"/>
            <w:tcBorders>
              <w:top w:val="nil"/>
              <w:left w:val="nil"/>
              <w:bottom w:val="nil"/>
              <w:right w:val="nil"/>
            </w:tcBorders>
            <w:shd w:val="clear" w:color="auto" w:fill="auto"/>
            <w:vAlign w:val="center"/>
            <w:hideMark/>
          </w:tcPr>
          <w:p w14:paraId="2B136A1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34.4</w:t>
            </w:r>
          </w:p>
        </w:tc>
        <w:tc>
          <w:tcPr>
            <w:tcW w:w="557" w:type="pct"/>
            <w:tcBorders>
              <w:top w:val="nil"/>
              <w:left w:val="nil"/>
              <w:bottom w:val="nil"/>
              <w:right w:val="nil"/>
            </w:tcBorders>
            <w:shd w:val="clear" w:color="auto" w:fill="auto"/>
            <w:vAlign w:val="center"/>
            <w:hideMark/>
          </w:tcPr>
          <w:p w14:paraId="22DA07E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29.3, 39.8</w:t>
            </w:r>
          </w:p>
        </w:tc>
        <w:tc>
          <w:tcPr>
            <w:tcW w:w="390" w:type="pct"/>
            <w:tcBorders>
              <w:top w:val="nil"/>
              <w:left w:val="nil"/>
              <w:bottom w:val="nil"/>
              <w:right w:val="single" w:sz="4" w:space="0" w:color="auto"/>
            </w:tcBorders>
            <w:shd w:val="clear" w:color="auto" w:fill="auto"/>
            <w:noWrap/>
            <w:vAlign w:val="center"/>
            <w:hideMark/>
          </w:tcPr>
          <w:p w14:paraId="216D824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4ABBF12E" w14:textId="77777777" w:rsidTr="00400523">
        <w:trPr>
          <w:trHeight w:val="288"/>
        </w:trPr>
        <w:tc>
          <w:tcPr>
            <w:tcW w:w="966" w:type="pct"/>
            <w:tcBorders>
              <w:top w:val="nil"/>
              <w:left w:val="nil"/>
              <w:bottom w:val="nil"/>
              <w:right w:val="nil"/>
            </w:tcBorders>
            <w:shd w:val="clear" w:color="auto" w:fill="auto"/>
            <w:vAlign w:val="center"/>
            <w:hideMark/>
          </w:tcPr>
          <w:p w14:paraId="34AAED92"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Self-employed</w:t>
            </w:r>
          </w:p>
        </w:tc>
        <w:tc>
          <w:tcPr>
            <w:tcW w:w="417" w:type="pct"/>
            <w:tcBorders>
              <w:top w:val="nil"/>
              <w:left w:val="nil"/>
              <w:bottom w:val="nil"/>
              <w:right w:val="nil"/>
            </w:tcBorders>
            <w:shd w:val="clear" w:color="auto" w:fill="auto"/>
            <w:vAlign w:val="center"/>
            <w:hideMark/>
          </w:tcPr>
          <w:p w14:paraId="1C68C13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3302</w:t>
            </w:r>
          </w:p>
        </w:tc>
        <w:tc>
          <w:tcPr>
            <w:tcW w:w="653" w:type="pct"/>
            <w:tcBorders>
              <w:top w:val="nil"/>
              <w:left w:val="nil"/>
              <w:bottom w:val="nil"/>
              <w:right w:val="nil"/>
            </w:tcBorders>
            <w:shd w:val="clear" w:color="auto" w:fill="auto"/>
            <w:vAlign w:val="center"/>
            <w:hideMark/>
          </w:tcPr>
          <w:p w14:paraId="79C9709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55.8</w:t>
            </w:r>
          </w:p>
        </w:tc>
        <w:tc>
          <w:tcPr>
            <w:tcW w:w="557" w:type="pct"/>
            <w:tcBorders>
              <w:top w:val="nil"/>
              <w:left w:val="nil"/>
              <w:bottom w:val="nil"/>
              <w:right w:val="nil"/>
            </w:tcBorders>
            <w:shd w:val="clear" w:color="auto" w:fill="auto"/>
            <w:vAlign w:val="center"/>
            <w:hideMark/>
          </w:tcPr>
          <w:p w14:paraId="3FF206C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53.2, 58.4</w:t>
            </w:r>
          </w:p>
        </w:tc>
        <w:tc>
          <w:tcPr>
            <w:tcW w:w="391" w:type="pct"/>
            <w:tcBorders>
              <w:top w:val="nil"/>
              <w:left w:val="nil"/>
              <w:bottom w:val="nil"/>
              <w:right w:val="single" w:sz="4" w:space="0" w:color="auto"/>
            </w:tcBorders>
            <w:shd w:val="clear" w:color="auto" w:fill="auto"/>
            <w:noWrap/>
            <w:vAlign w:val="center"/>
            <w:hideMark/>
          </w:tcPr>
          <w:p w14:paraId="42FA248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157558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2424</w:t>
            </w:r>
          </w:p>
        </w:tc>
        <w:tc>
          <w:tcPr>
            <w:tcW w:w="653" w:type="pct"/>
            <w:tcBorders>
              <w:top w:val="nil"/>
              <w:left w:val="nil"/>
              <w:bottom w:val="nil"/>
              <w:right w:val="nil"/>
            </w:tcBorders>
            <w:shd w:val="clear" w:color="auto" w:fill="auto"/>
            <w:vAlign w:val="center"/>
            <w:hideMark/>
          </w:tcPr>
          <w:p w14:paraId="5E78449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34.1</w:t>
            </w:r>
          </w:p>
        </w:tc>
        <w:tc>
          <w:tcPr>
            <w:tcW w:w="557" w:type="pct"/>
            <w:tcBorders>
              <w:top w:val="nil"/>
              <w:left w:val="nil"/>
              <w:bottom w:val="nil"/>
              <w:right w:val="nil"/>
            </w:tcBorders>
            <w:shd w:val="clear" w:color="auto" w:fill="auto"/>
            <w:vAlign w:val="center"/>
            <w:hideMark/>
          </w:tcPr>
          <w:p w14:paraId="46ECA2C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31.2, 37.1</w:t>
            </w:r>
          </w:p>
        </w:tc>
        <w:tc>
          <w:tcPr>
            <w:tcW w:w="390" w:type="pct"/>
            <w:tcBorders>
              <w:top w:val="nil"/>
              <w:left w:val="nil"/>
              <w:bottom w:val="nil"/>
              <w:right w:val="single" w:sz="4" w:space="0" w:color="auto"/>
            </w:tcBorders>
            <w:shd w:val="clear" w:color="auto" w:fill="auto"/>
            <w:noWrap/>
            <w:vAlign w:val="center"/>
            <w:hideMark/>
          </w:tcPr>
          <w:p w14:paraId="7F2CCC0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62BC9C2" w14:textId="77777777" w:rsidTr="00400523">
        <w:trPr>
          <w:trHeight w:val="288"/>
        </w:trPr>
        <w:tc>
          <w:tcPr>
            <w:tcW w:w="966" w:type="pct"/>
            <w:tcBorders>
              <w:top w:val="nil"/>
              <w:left w:val="nil"/>
              <w:bottom w:val="nil"/>
              <w:right w:val="nil"/>
            </w:tcBorders>
            <w:shd w:val="clear" w:color="auto" w:fill="auto"/>
            <w:vAlign w:val="center"/>
            <w:hideMark/>
          </w:tcPr>
          <w:p w14:paraId="272040D6"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Public sector</w:t>
            </w:r>
          </w:p>
        </w:tc>
        <w:tc>
          <w:tcPr>
            <w:tcW w:w="417" w:type="pct"/>
            <w:tcBorders>
              <w:top w:val="nil"/>
              <w:left w:val="nil"/>
              <w:bottom w:val="nil"/>
              <w:right w:val="nil"/>
            </w:tcBorders>
            <w:shd w:val="clear" w:color="auto" w:fill="auto"/>
            <w:vAlign w:val="center"/>
            <w:hideMark/>
          </w:tcPr>
          <w:p w14:paraId="1B64246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412</w:t>
            </w:r>
          </w:p>
        </w:tc>
        <w:tc>
          <w:tcPr>
            <w:tcW w:w="653" w:type="pct"/>
            <w:tcBorders>
              <w:top w:val="nil"/>
              <w:left w:val="nil"/>
              <w:bottom w:val="nil"/>
              <w:right w:val="nil"/>
            </w:tcBorders>
            <w:shd w:val="clear" w:color="auto" w:fill="auto"/>
            <w:vAlign w:val="center"/>
            <w:hideMark/>
          </w:tcPr>
          <w:p w14:paraId="6BD4D13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64.3</w:t>
            </w:r>
          </w:p>
        </w:tc>
        <w:tc>
          <w:tcPr>
            <w:tcW w:w="557" w:type="pct"/>
            <w:tcBorders>
              <w:top w:val="nil"/>
              <w:left w:val="nil"/>
              <w:bottom w:val="nil"/>
              <w:right w:val="nil"/>
            </w:tcBorders>
            <w:shd w:val="clear" w:color="auto" w:fill="auto"/>
            <w:vAlign w:val="center"/>
            <w:hideMark/>
          </w:tcPr>
          <w:p w14:paraId="5E6B105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59.1, 69.2</w:t>
            </w:r>
          </w:p>
        </w:tc>
        <w:tc>
          <w:tcPr>
            <w:tcW w:w="391" w:type="pct"/>
            <w:tcBorders>
              <w:top w:val="nil"/>
              <w:left w:val="nil"/>
              <w:bottom w:val="nil"/>
              <w:right w:val="single" w:sz="4" w:space="0" w:color="auto"/>
            </w:tcBorders>
            <w:shd w:val="clear" w:color="auto" w:fill="auto"/>
            <w:noWrap/>
            <w:vAlign w:val="center"/>
            <w:hideMark/>
          </w:tcPr>
          <w:p w14:paraId="4C5F6A1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0376F2C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223</w:t>
            </w:r>
          </w:p>
        </w:tc>
        <w:tc>
          <w:tcPr>
            <w:tcW w:w="653" w:type="pct"/>
            <w:tcBorders>
              <w:top w:val="nil"/>
              <w:left w:val="nil"/>
              <w:bottom w:val="nil"/>
              <w:right w:val="nil"/>
            </w:tcBorders>
            <w:shd w:val="clear" w:color="auto" w:fill="auto"/>
            <w:vAlign w:val="center"/>
            <w:hideMark/>
          </w:tcPr>
          <w:p w14:paraId="054D0CD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33.3</w:t>
            </w:r>
          </w:p>
        </w:tc>
        <w:tc>
          <w:tcPr>
            <w:tcW w:w="557" w:type="pct"/>
            <w:tcBorders>
              <w:top w:val="nil"/>
              <w:left w:val="nil"/>
              <w:bottom w:val="nil"/>
              <w:right w:val="nil"/>
            </w:tcBorders>
            <w:shd w:val="clear" w:color="auto" w:fill="auto"/>
            <w:vAlign w:val="center"/>
            <w:hideMark/>
          </w:tcPr>
          <w:p w14:paraId="77F19B2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26.3, 41.0</w:t>
            </w:r>
          </w:p>
        </w:tc>
        <w:tc>
          <w:tcPr>
            <w:tcW w:w="390" w:type="pct"/>
            <w:tcBorders>
              <w:top w:val="nil"/>
              <w:left w:val="nil"/>
              <w:bottom w:val="nil"/>
              <w:right w:val="single" w:sz="4" w:space="0" w:color="auto"/>
            </w:tcBorders>
            <w:shd w:val="clear" w:color="auto" w:fill="auto"/>
            <w:noWrap/>
            <w:vAlign w:val="center"/>
            <w:hideMark/>
          </w:tcPr>
          <w:p w14:paraId="0ADABA6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2DEFAB0F" w14:textId="77777777" w:rsidTr="00400523">
        <w:trPr>
          <w:trHeight w:val="288"/>
        </w:trPr>
        <w:tc>
          <w:tcPr>
            <w:tcW w:w="966" w:type="pct"/>
            <w:tcBorders>
              <w:top w:val="nil"/>
              <w:left w:val="nil"/>
              <w:bottom w:val="nil"/>
              <w:right w:val="nil"/>
            </w:tcBorders>
            <w:shd w:val="clear" w:color="auto" w:fill="auto"/>
            <w:vAlign w:val="center"/>
            <w:hideMark/>
          </w:tcPr>
          <w:p w14:paraId="38E8027A"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Private sector</w:t>
            </w:r>
          </w:p>
        </w:tc>
        <w:tc>
          <w:tcPr>
            <w:tcW w:w="417" w:type="pct"/>
            <w:tcBorders>
              <w:top w:val="nil"/>
              <w:left w:val="nil"/>
              <w:bottom w:val="nil"/>
              <w:right w:val="nil"/>
            </w:tcBorders>
            <w:shd w:val="clear" w:color="auto" w:fill="auto"/>
            <w:vAlign w:val="center"/>
            <w:hideMark/>
          </w:tcPr>
          <w:p w14:paraId="37B3C47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163</w:t>
            </w:r>
          </w:p>
        </w:tc>
        <w:tc>
          <w:tcPr>
            <w:tcW w:w="653" w:type="pct"/>
            <w:tcBorders>
              <w:top w:val="nil"/>
              <w:left w:val="nil"/>
              <w:bottom w:val="nil"/>
              <w:right w:val="nil"/>
            </w:tcBorders>
            <w:shd w:val="clear" w:color="auto" w:fill="auto"/>
            <w:vAlign w:val="center"/>
            <w:hideMark/>
          </w:tcPr>
          <w:p w14:paraId="06858B7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65.7</w:t>
            </w:r>
          </w:p>
        </w:tc>
        <w:tc>
          <w:tcPr>
            <w:tcW w:w="557" w:type="pct"/>
            <w:tcBorders>
              <w:top w:val="nil"/>
              <w:left w:val="nil"/>
              <w:bottom w:val="nil"/>
              <w:right w:val="nil"/>
            </w:tcBorders>
            <w:shd w:val="clear" w:color="auto" w:fill="auto"/>
            <w:vAlign w:val="center"/>
            <w:hideMark/>
          </w:tcPr>
          <w:p w14:paraId="4C42F89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56.6, 73.8</w:t>
            </w:r>
          </w:p>
        </w:tc>
        <w:tc>
          <w:tcPr>
            <w:tcW w:w="391" w:type="pct"/>
            <w:tcBorders>
              <w:top w:val="nil"/>
              <w:left w:val="nil"/>
              <w:bottom w:val="nil"/>
              <w:right w:val="single" w:sz="4" w:space="0" w:color="auto"/>
            </w:tcBorders>
            <w:shd w:val="clear" w:color="auto" w:fill="auto"/>
            <w:noWrap/>
            <w:vAlign w:val="center"/>
            <w:hideMark/>
          </w:tcPr>
          <w:p w14:paraId="4048905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AD5B29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110</w:t>
            </w:r>
          </w:p>
        </w:tc>
        <w:tc>
          <w:tcPr>
            <w:tcW w:w="653" w:type="pct"/>
            <w:tcBorders>
              <w:top w:val="nil"/>
              <w:left w:val="nil"/>
              <w:bottom w:val="nil"/>
              <w:right w:val="nil"/>
            </w:tcBorders>
            <w:shd w:val="clear" w:color="auto" w:fill="auto"/>
            <w:vAlign w:val="center"/>
            <w:hideMark/>
          </w:tcPr>
          <w:p w14:paraId="33304C8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41.8</w:t>
            </w:r>
          </w:p>
        </w:tc>
        <w:tc>
          <w:tcPr>
            <w:tcW w:w="557" w:type="pct"/>
            <w:tcBorders>
              <w:top w:val="nil"/>
              <w:left w:val="nil"/>
              <w:bottom w:val="nil"/>
              <w:right w:val="nil"/>
            </w:tcBorders>
            <w:shd w:val="clear" w:color="auto" w:fill="auto"/>
            <w:vAlign w:val="center"/>
            <w:hideMark/>
          </w:tcPr>
          <w:p w14:paraId="5EF4A77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29.1, 55.6</w:t>
            </w:r>
          </w:p>
        </w:tc>
        <w:tc>
          <w:tcPr>
            <w:tcW w:w="390" w:type="pct"/>
            <w:tcBorders>
              <w:top w:val="nil"/>
              <w:left w:val="nil"/>
              <w:bottom w:val="nil"/>
              <w:right w:val="single" w:sz="4" w:space="0" w:color="auto"/>
            </w:tcBorders>
            <w:shd w:val="clear" w:color="auto" w:fill="auto"/>
            <w:noWrap/>
            <w:vAlign w:val="center"/>
            <w:hideMark/>
          </w:tcPr>
          <w:p w14:paraId="6AC8701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09C3CDDF" w14:textId="77777777" w:rsidTr="00400523">
        <w:trPr>
          <w:trHeight w:val="288"/>
        </w:trPr>
        <w:tc>
          <w:tcPr>
            <w:tcW w:w="966" w:type="pct"/>
            <w:tcBorders>
              <w:top w:val="nil"/>
              <w:left w:val="nil"/>
              <w:bottom w:val="nil"/>
              <w:right w:val="nil"/>
            </w:tcBorders>
            <w:shd w:val="clear" w:color="auto" w:fill="auto"/>
            <w:vAlign w:val="center"/>
            <w:hideMark/>
          </w:tcPr>
          <w:p w14:paraId="5E822900"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xml:space="preserve">Wealth quintile </w:t>
            </w:r>
          </w:p>
        </w:tc>
        <w:tc>
          <w:tcPr>
            <w:tcW w:w="417" w:type="pct"/>
            <w:tcBorders>
              <w:top w:val="nil"/>
              <w:left w:val="nil"/>
              <w:bottom w:val="nil"/>
              <w:right w:val="nil"/>
            </w:tcBorders>
            <w:shd w:val="clear" w:color="auto" w:fill="auto"/>
            <w:vAlign w:val="center"/>
            <w:hideMark/>
          </w:tcPr>
          <w:p w14:paraId="426BDAF0"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3EBAFF48"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26E03BAF"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035E69D7"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580F1899"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562F87F6"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787FD529"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5B217C34"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1DE9D5B6" w14:textId="77777777" w:rsidTr="00400523">
        <w:trPr>
          <w:trHeight w:val="288"/>
        </w:trPr>
        <w:tc>
          <w:tcPr>
            <w:tcW w:w="966" w:type="pct"/>
            <w:tcBorders>
              <w:top w:val="nil"/>
              <w:left w:val="nil"/>
              <w:bottom w:val="nil"/>
              <w:right w:val="nil"/>
            </w:tcBorders>
            <w:shd w:val="clear" w:color="auto" w:fill="auto"/>
            <w:vAlign w:val="center"/>
            <w:hideMark/>
          </w:tcPr>
          <w:p w14:paraId="37BD9F35"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Q1 (Poorest)</w:t>
            </w:r>
          </w:p>
        </w:tc>
        <w:tc>
          <w:tcPr>
            <w:tcW w:w="417" w:type="pct"/>
            <w:tcBorders>
              <w:top w:val="nil"/>
              <w:left w:val="nil"/>
              <w:bottom w:val="nil"/>
              <w:right w:val="nil"/>
            </w:tcBorders>
            <w:shd w:val="clear" w:color="auto" w:fill="auto"/>
            <w:vAlign w:val="center"/>
            <w:hideMark/>
          </w:tcPr>
          <w:p w14:paraId="00917AC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875</w:t>
            </w:r>
          </w:p>
        </w:tc>
        <w:tc>
          <w:tcPr>
            <w:tcW w:w="653" w:type="pct"/>
            <w:tcBorders>
              <w:top w:val="nil"/>
              <w:left w:val="nil"/>
              <w:bottom w:val="nil"/>
              <w:right w:val="nil"/>
            </w:tcBorders>
            <w:shd w:val="clear" w:color="auto" w:fill="auto"/>
            <w:vAlign w:val="center"/>
            <w:hideMark/>
          </w:tcPr>
          <w:p w14:paraId="681F61C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42.2</w:t>
            </w:r>
          </w:p>
        </w:tc>
        <w:tc>
          <w:tcPr>
            <w:tcW w:w="557" w:type="pct"/>
            <w:tcBorders>
              <w:top w:val="nil"/>
              <w:left w:val="nil"/>
              <w:bottom w:val="nil"/>
              <w:right w:val="nil"/>
            </w:tcBorders>
            <w:shd w:val="clear" w:color="auto" w:fill="auto"/>
            <w:vAlign w:val="center"/>
            <w:hideMark/>
          </w:tcPr>
          <w:p w14:paraId="16F61DE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37.0, 47.6</w:t>
            </w:r>
          </w:p>
        </w:tc>
        <w:tc>
          <w:tcPr>
            <w:tcW w:w="391" w:type="pct"/>
            <w:tcBorders>
              <w:top w:val="nil"/>
              <w:left w:val="nil"/>
              <w:bottom w:val="nil"/>
              <w:right w:val="single" w:sz="4" w:space="0" w:color="auto"/>
            </w:tcBorders>
            <w:shd w:val="clear" w:color="auto" w:fill="auto"/>
            <w:noWrap/>
            <w:vAlign w:val="center"/>
            <w:hideMark/>
          </w:tcPr>
          <w:p w14:paraId="7AE6F93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09F3B74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966</w:t>
            </w:r>
          </w:p>
        </w:tc>
        <w:tc>
          <w:tcPr>
            <w:tcW w:w="653" w:type="pct"/>
            <w:tcBorders>
              <w:top w:val="nil"/>
              <w:left w:val="nil"/>
              <w:bottom w:val="nil"/>
              <w:right w:val="nil"/>
            </w:tcBorders>
            <w:shd w:val="clear" w:color="auto" w:fill="auto"/>
            <w:vAlign w:val="center"/>
            <w:hideMark/>
          </w:tcPr>
          <w:p w14:paraId="65CBFCC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26.7</w:t>
            </w:r>
          </w:p>
        </w:tc>
        <w:tc>
          <w:tcPr>
            <w:tcW w:w="557" w:type="pct"/>
            <w:tcBorders>
              <w:top w:val="nil"/>
              <w:left w:val="nil"/>
              <w:bottom w:val="nil"/>
              <w:right w:val="nil"/>
            </w:tcBorders>
            <w:shd w:val="clear" w:color="auto" w:fill="auto"/>
            <w:vAlign w:val="center"/>
            <w:hideMark/>
          </w:tcPr>
          <w:p w14:paraId="5DAD6F8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23.1, 30.6</w:t>
            </w:r>
          </w:p>
        </w:tc>
        <w:tc>
          <w:tcPr>
            <w:tcW w:w="390" w:type="pct"/>
            <w:tcBorders>
              <w:top w:val="nil"/>
              <w:left w:val="nil"/>
              <w:bottom w:val="nil"/>
              <w:right w:val="single" w:sz="4" w:space="0" w:color="auto"/>
            </w:tcBorders>
            <w:shd w:val="clear" w:color="auto" w:fill="auto"/>
            <w:noWrap/>
            <w:vAlign w:val="center"/>
            <w:hideMark/>
          </w:tcPr>
          <w:p w14:paraId="619B827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1CB5000C" w14:textId="77777777" w:rsidTr="00400523">
        <w:trPr>
          <w:trHeight w:val="288"/>
        </w:trPr>
        <w:tc>
          <w:tcPr>
            <w:tcW w:w="966" w:type="pct"/>
            <w:tcBorders>
              <w:top w:val="nil"/>
              <w:left w:val="nil"/>
              <w:bottom w:val="nil"/>
              <w:right w:val="nil"/>
            </w:tcBorders>
            <w:shd w:val="clear" w:color="auto" w:fill="auto"/>
            <w:vAlign w:val="center"/>
            <w:hideMark/>
          </w:tcPr>
          <w:p w14:paraId="2EB8745F"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Q2</w:t>
            </w:r>
          </w:p>
        </w:tc>
        <w:tc>
          <w:tcPr>
            <w:tcW w:w="417" w:type="pct"/>
            <w:tcBorders>
              <w:top w:val="nil"/>
              <w:left w:val="nil"/>
              <w:bottom w:val="nil"/>
              <w:right w:val="nil"/>
            </w:tcBorders>
            <w:shd w:val="clear" w:color="auto" w:fill="auto"/>
            <w:vAlign w:val="center"/>
            <w:hideMark/>
          </w:tcPr>
          <w:p w14:paraId="75551E6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1003</w:t>
            </w:r>
          </w:p>
        </w:tc>
        <w:tc>
          <w:tcPr>
            <w:tcW w:w="653" w:type="pct"/>
            <w:tcBorders>
              <w:top w:val="nil"/>
              <w:left w:val="nil"/>
              <w:bottom w:val="nil"/>
              <w:right w:val="nil"/>
            </w:tcBorders>
            <w:shd w:val="clear" w:color="auto" w:fill="auto"/>
            <w:vAlign w:val="center"/>
            <w:hideMark/>
          </w:tcPr>
          <w:p w14:paraId="5D7C309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53.5</w:t>
            </w:r>
          </w:p>
        </w:tc>
        <w:tc>
          <w:tcPr>
            <w:tcW w:w="557" w:type="pct"/>
            <w:tcBorders>
              <w:top w:val="nil"/>
              <w:left w:val="nil"/>
              <w:bottom w:val="nil"/>
              <w:right w:val="nil"/>
            </w:tcBorders>
            <w:shd w:val="clear" w:color="auto" w:fill="auto"/>
            <w:vAlign w:val="center"/>
            <w:hideMark/>
          </w:tcPr>
          <w:p w14:paraId="0061866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49.6, 57.4</w:t>
            </w:r>
          </w:p>
        </w:tc>
        <w:tc>
          <w:tcPr>
            <w:tcW w:w="391" w:type="pct"/>
            <w:tcBorders>
              <w:top w:val="nil"/>
              <w:left w:val="nil"/>
              <w:bottom w:val="nil"/>
              <w:right w:val="single" w:sz="4" w:space="0" w:color="auto"/>
            </w:tcBorders>
            <w:shd w:val="clear" w:color="auto" w:fill="auto"/>
            <w:noWrap/>
            <w:vAlign w:val="center"/>
            <w:hideMark/>
          </w:tcPr>
          <w:p w14:paraId="386DB39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38FC56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870</w:t>
            </w:r>
          </w:p>
        </w:tc>
        <w:tc>
          <w:tcPr>
            <w:tcW w:w="653" w:type="pct"/>
            <w:tcBorders>
              <w:top w:val="nil"/>
              <w:left w:val="nil"/>
              <w:bottom w:val="nil"/>
              <w:right w:val="nil"/>
            </w:tcBorders>
            <w:shd w:val="clear" w:color="auto" w:fill="auto"/>
            <w:vAlign w:val="center"/>
            <w:hideMark/>
          </w:tcPr>
          <w:p w14:paraId="1D95F4D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35.0</w:t>
            </w:r>
          </w:p>
        </w:tc>
        <w:tc>
          <w:tcPr>
            <w:tcW w:w="557" w:type="pct"/>
            <w:tcBorders>
              <w:top w:val="nil"/>
              <w:left w:val="nil"/>
              <w:bottom w:val="nil"/>
              <w:right w:val="nil"/>
            </w:tcBorders>
            <w:shd w:val="clear" w:color="auto" w:fill="auto"/>
            <w:vAlign w:val="center"/>
            <w:hideMark/>
          </w:tcPr>
          <w:p w14:paraId="1CDD9FF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31.0, 39.2</w:t>
            </w:r>
          </w:p>
        </w:tc>
        <w:tc>
          <w:tcPr>
            <w:tcW w:w="390" w:type="pct"/>
            <w:tcBorders>
              <w:top w:val="nil"/>
              <w:left w:val="nil"/>
              <w:bottom w:val="nil"/>
              <w:right w:val="single" w:sz="4" w:space="0" w:color="auto"/>
            </w:tcBorders>
            <w:shd w:val="clear" w:color="auto" w:fill="auto"/>
            <w:noWrap/>
            <w:vAlign w:val="center"/>
            <w:hideMark/>
          </w:tcPr>
          <w:p w14:paraId="7D4E766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0595D62E" w14:textId="77777777" w:rsidTr="00400523">
        <w:trPr>
          <w:trHeight w:val="288"/>
        </w:trPr>
        <w:tc>
          <w:tcPr>
            <w:tcW w:w="966" w:type="pct"/>
            <w:tcBorders>
              <w:top w:val="nil"/>
              <w:left w:val="nil"/>
              <w:bottom w:val="nil"/>
              <w:right w:val="nil"/>
            </w:tcBorders>
            <w:shd w:val="clear" w:color="auto" w:fill="auto"/>
            <w:vAlign w:val="center"/>
            <w:hideMark/>
          </w:tcPr>
          <w:p w14:paraId="66CF96E9"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lastRenderedPageBreak/>
              <w:t>Q3</w:t>
            </w:r>
          </w:p>
        </w:tc>
        <w:tc>
          <w:tcPr>
            <w:tcW w:w="417" w:type="pct"/>
            <w:tcBorders>
              <w:top w:val="nil"/>
              <w:left w:val="nil"/>
              <w:bottom w:val="nil"/>
              <w:right w:val="nil"/>
            </w:tcBorders>
            <w:shd w:val="clear" w:color="auto" w:fill="auto"/>
            <w:vAlign w:val="center"/>
            <w:hideMark/>
          </w:tcPr>
          <w:p w14:paraId="44DD5E9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943</w:t>
            </w:r>
          </w:p>
        </w:tc>
        <w:tc>
          <w:tcPr>
            <w:tcW w:w="653" w:type="pct"/>
            <w:tcBorders>
              <w:top w:val="nil"/>
              <w:left w:val="nil"/>
              <w:bottom w:val="nil"/>
              <w:right w:val="nil"/>
            </w:tcBorders>
            <w:shd w:val="clear" w:color="auto" w:fill="auto"/>
            <w:vAlign w:val="center"/>
            <w:hideMark/>
          </w:tcPr>
          <w:p w14:paraId="7B82503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58.0</w:t>
            </w:r>
          </w:p>
        </w:tc>
        <w:tc>
          <w:tcPr>
            <w:tcW w:w="557" w:type="pct"/>
            <w:tcBorders>
              <w:top w:val="nil"/>
              <w:left w:val="nil"/>
              <w:bottom w:val="nil"/>
              <w:right w:val="nil"/>
            </w:tcBorders>
            <w:shd w:val="clear" w:color="auto" w:fill="auto"/>
            <w:vAlign w:val="center"/>
            <w:hideMark/>
          </w:tcPr>
          <w:p w14:paraId="514C693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53.8, 62.0</w:t>
            </w:r>
          </w:p>
        </w:tc>
        <w:tc>
          <w:tcPr>
            <w:tcW w:w="391" w:type="pct"/>
            <w:tcBorders>
              <w:top w:val="nil"/>
              <w:left w:val="nil"/>
              <w:bottom w:val="nil"/>
              <w:right w:val="single" w:sz="4" w:space="0" w:color="auto"/>
            </w:tcBorders>
            <w:shd w:val="clear" w:color="auto" w:fill="auto"/>
            <w:noWrap/>
            <w:vAlign w:val="center"/>
            <w:hideMark/>
          </w:tcPr>
          <w:p w14:paraId="7B6DE40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41D2F54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660</w:t>
            </w:r>
          </w:p>
        </w:tc>
        <w:tc>
          <w:tcPr>
            <w:tcW w:w="653" w:type="pct"/>
            <w:tcBorders>
              <w:top w:val="nil"/>
              <w:left w:val="nil"/>
              <w:bottom w:val="nil"/>
              <w:right w:val="nil"/>
            </w:tcBorders>
            <w:shd w:val="clear" w:color="auto" w:fill="auto"/>
            <w:vAlign w:val="center"/>
            <w:hideMark/>
          </w:tcPr>
          <w:p w14:paraId="551993D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37.7</w:t>
            </w:r>
          </w:p>
        </w:tc>
        <w:tc>
          <w:tcPr>
            <w:tcW w:w="557" w:type="pct"/>
            <w:tcBorders>
              <w:top w:val="nil"/>
              <w:left w:val="nil"/>
              <w:bottom w:val="nil"/>
              <w:right w:val="nil"/>
            </w:tcBorders>
            <w:shd w:val="clear" w:color="auto" w:fill="auto"/>
            <w:vAlign w:val="center"/>
            <w:hideMark/>
          </w:tcPr>
          <w:p w14:paraId="514A800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31.2, 44.8</w:t>
            </w:r>
          </w:p>
        </w:tc>
        <w:tc>
          <w:tcPr>
            <w:tcW w:w="390" w:type="pct"/>
            <w:tcBorders>
              <w:top w:val="nil"/>
              <w:left w:val="nil"/>
              <w:bottom w:val="nil"/>
              <w:right w:val="single" w:sz="4" w:space="0" w:color="auto"/>
            </w:tcBorders>
            <w:shd w:val="clear" w:color="auto" w:fill="auto"/>
            <w:noWrap/>
            <w:vAlign w:val="center"/>
            <w:hideMark/>
          </w:tcPr>
          <w:p w14:paraId="321E078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0F60E353" w14:textId="77777777" w:rsidTr="00400523">
        <w:trPr>
          <w:trHeight w:val="288"/>
        </w:trPr>
        <w:tc>
          <w:tcPr>
            <w:tcW w:w="966" w:type="pct"/>
            <w:tcBorders>
              <w:top w:val="nil"/>
              <w:left w:val="nil"/>
              <w:bottom w:val="nil"/>
              <w:right w:val="nil"/>
            </w:tcBorders>
            <w:shd w:val="clear" w:color="auto" w:fill="auto"/>
            <w:vAlign w:val="center"/>
            <w:hideMark/>
          </w:tcPr>
          <w:p w14:paraId="60466446"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Q4</w:t>
            </w:r>
          </w:p>
        </w:tc>
        <w:tc>
          <w:tcPr>
            <w:tcW w:w="417" w:type="pct"/>
            <w:tcBorders>
              <w:top w:val="nil"/>
              <w:left w:val="nil"/>
              <w:bottom w:val="nil"/>
              <w:right w:val="nil"/>
            </w:tcBorders>
            <w:shd w:val="clear" w:color="auto" w:fill="auto"/>
            <w:vAlign w:val="center"/>
            <w:hideMark/>
          </w:tcPr>
          <w:p w14:paraId="0781A8C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784</w:t>
            </w:r>
          </w:p>
        </w:tc>
        <w:tc>
          <w:tcPr>
            <w:tcW w:w="653" w:type="pct"/>
            <w:tcBorders>
              <w:top w:val="nil"/>
              <w:left w:val="nil"/>
              <w:bottom w:val="nil"/>
              <w:right w:val="nil"/>
            </w:tcBorders>
            <w:shd w:val="clear" w:color="auto" w:fill="auto"/>
            <w:vAlign w:val="center"/>
            <w:hideMark/>
          </w:tcPr>
          <w:p w14:paraId="14356C0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64.3</w:t>
            </w:r>
          </w:p>
        </w:tc>
        <w:tc>
          <w:tcPr>
            <w:tcW w:w="557" w:type="pct"/>
            <w:tcBorders>
              <w:top w:val="nil"/>
              <w:left w:val="nil"/>
              <w:bottom w:val="nil"/>
              <w:right w:val="nil"/>
            </w:tcBorders>
            <w:shd w:val="clear" w:color="auto" w:fill="auto"/>
            <w:vAlign w:val="center"/>
            <w:hideMark/>
          </w:tcPr>
          <w:p w14:paraId="607D50A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59.8, 68.6</w:t>
            </w:r>
          </w:p>
        </w:tc>
        <w:tc>
          <w:tcPr>
            <w:tcW w:w="391" w:type="pct"/>
            <w:tcBorders>
              <w:top w:val="nil"/>
              <w:left w:val="nil"/>
              <w:bottom w:val="nil"/>
              <w:right w:val="single" w:sz="4" w:space="0" w:color="auto"/>
            </w:tcBorders>
            <w:shd w:val="clear" w:color="auto" w:fill="auto"/>
            <w:noWrap/>
            <w:vAlign w:val="center"/>
            <w:hideMark/>
          </w:tcPr>
          <w:p w14:paraId="428C254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57E21D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579</w:t>
            </w:r>
          </w:p>
        </w:tc>
        <w:tc>
          <w:tcPr>
            <w:tcW w:w="653" w:type="pct"/>
            <w:tcBorders>
              <w:top w:val="nil"/>
              <w:left w:val="nil"/>
              <w:bottom w:val="nil"/>
              <w:right w:val="nil"/>
            </w:tcBorders>
            <w:shd w:val="clear" w:color="auto" w:fill="auto"/>
            <w:vAlign w:val="center"/>
            <w:hideMark/>
          </w:tcPr>
          <w:p w14:paraId="22E58FF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37.0</w:t>
            </w:r>
          </w:p>
        </w:tc>
        <w:tc>
          <w:tcPr>
            <w:tcW w:w="557" w:type="pct"/>
            <w:tcBorders>
              <w:top w:val="nil"/>
              <w:left w:val="nil"/>
              <w:bottom w:val="nil"/>
              <w:right w:val="nil"/>
            </w:tcBorders>
            <w:shd w:val="clear" w:color="auto" w:fill="auto"/>
            <w:vAlign w:val="center"/>
            <w:hideMark/>
          </w:tcPr>
          <w:p w14:paraId="5BD10CE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32.1, 42.2</w:t>
            </w:r>
          </w:p>
        </w:tc>
        <w:tc>
          <w:tcPr>
            <w:tcW w:w="390" w:type="pct"/>
            <w:tcBorders>
              <w:top w:val="nil"/>
              <w:left w:val="nil"/>
              <w:bottom w:val="nil"/>
              <w:right w:val="single" w:sz="4" w:space="0" w:color="auto"/>
            </w:tcBorders>
            <w:shd w:val="clear" w:color="auto" w:fill="auto"/>
            <w:noWrap/>
            <w:vAlign w:val="center"/>
            <w:hideMark/>
          </w:tcPr>
          <w:p w14:paraId="7DE83A9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7D7BFF4" w14:textId="77777777" w:rsidTr="00400523">
        <w:trPr>
          <w:trHeight w:val="288"/>
        </w:trPr>
        <w:tc>
          <w:tcPr>
            <w:tcW w:w="966" w:type="pct"/>
            <w:tcBorders>
              <w:top w:val="nil"/>
              <w:left w:val="nil"/>
              <w:bottom w:val="nil"/>
              <w:right w:val="nil"/>
            </w:tcBorders>
            <w:shd w:val="clear" w:color="auto" w:fill="auto"/>
            <w:vAlign w:val="center"/>
            <w:hideMark/>
          </w:tcPr>
          <w:p w14:paraId="12FDA918"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Q5 (Richest)</w:t>
            </w:r>
          </w:p>
        </w:tc>
        <w:tc>
          <w:tcPr>
            <w:tcW w:w="417" w:type="pct"/>
            <w:tcBorders>
              <w:top w:val="nil"/>
              <w:left w:val="nil"/>
              <w:bottom w:val="nil"/>
              <w:right w:val="nil"/>
            </w:tcBorders>
            <w:shd w:val="clear" w:color="auto" w:fill="auto"/>
            <w:vAlign w:val="center"/>
            <w:hideMark/>
          </w:tcPr>
          <w:p w14:paraId="284CAB3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649</w:t>
            </w:r>
          </w:p>
        </w:tc>
        <w:tc>
          <w:tcPr>
            <w:tcW w:w="653" w:type="pct"/>
            <w:tcBorders>
              <w:top w:val="nil"/>
              <w:left w:val="nil"/>
              <w:bottom w:val="nil"/>
              <w:right w:val="nil"/>
            </w:tcBorders>
            <w:shd w:val="clear" w:color="auto" w:fill="auto"/>
            <w:vAlign w:val="center"/>
            <w:hideMark/>
          </w:tcPr>
          <w:p w14:paraId="2050A72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69.3</w:t>
            </w:r>
          </w:p>
        </w:tc>
        <w:tc>
          <w:tcPr>
            <w:tcW w:w="557" w:type="pct"/>
            <w:tcBorders>
              <w:top w:val="nil"/>
              <w:left w:val="nil"/>
              <w:bottom w:val="nil"/>
              <w:right w:val="nil"/>
            </w:tcBorders>
            <w:shd w:val="clear" w:color="auto" w:fill="auto"/>
            <w:vAlign w:val="center"/>
            <w:hideMark/>
          </w:tcPr>
          <w:p w14:paraId="512A7FE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6678B15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F38C90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445</w:t>
            </w:r>
          </w:p>
        </w:tc>
        <w:tc>
          <w:tcPr>
            <w:tcW w:w="653" w:type="pct"/>
            <w:tcBorders>
              <w:top w:val="nil"/>
              <w:left w:val="nil"/>
              <w:bottom w:val="nil"/>
              <w:right w:val="nil"/>
            </w:tcBorders>
            <w:shd w:val="clear" w:color="auto" w:fill="auto"/>
            <w:vAlign w:val="center"/>
            <w:hideMark/>
          </w:tcPr>
          <w:p w14:paraId="0083CFC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42.3</w:t>
            </w:r>
          </w:p>
        </w:tc>
        <w:tc>
          <w:tcPr>
            <w:tcW w:w="557" w:type="pct"/>
            <w:tcBorders>
              <w:top w:val="nil"/>
              <w:left w:val="nil"/>
              <w:bottom w:val="nil"/>
              <w:right w:val="nil"/>
            </w:tcBorders>
            <w:shd w:val="clear" w:color="auto" w:fill="auto"/>
            <w:vAlign w:val="center"/>
            <w:hideMark/>
          </w:tcPr>
          <w:p w14:paraId="5BC6E9C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35.9, 49.0</w:t>
            </w:r>
          </w:p>
        </w:tc>
        <w:tc>
          <w:tcPr>
            <w:tcW w:w="390" w:type="pct"/>
            <w:tcBorders>
              <w:top w:val="nil"/>
              <w:left w:val="nil"/>
              <w:bottom w:val="nil"/>
              <w:right w:val="single" w:sz="4" w:space="0" w:color="auto"/>
            </w:tcBorders>
            <w:shd w:val="clear" w:color="auto" w:fill="auto"/>
            <w:noWrap/>
            <w:vAlign w:val="center"/>
            <w:hideMark/>
          </w:tcPr>
          <w:p w14:paraId="79031AA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25305145" w14:textId="77777777" w:rsidTr="00400523">
        <w:trPr>
          <w:trHeight w:val="288"/>
        </w:trPr>
        <w:tc>
          <w:tcPr>
            <w:tcW w:w="966" w:type="pct"/>
            <w:tcBorders>
              <w:top w:val="nil"/>
              <w:left w:val="nil"/>
              <w:bottom w:val="nil"/>
              <w:right w:val="nil"/>
            </w:tcBorders>
            <w:shd w:val="clear" w:color="auto" w:fill="auto"/>
            <w:vAlign w:val="center"/>
            <w:hideMark/>
          </w:tcPr>
          <w:p w14:paraId="3260992B"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Self-rated health status</w:t>
            </w:r>
          </w:p>
        </w:tc>
        <w:tc>
          <w:tcPr>
            <w:tcW w:w="417" w:type="pct"/>
            <w:tcBorders>
              <w:top w:val="nil"/>
              <w:left w:val="nil"/>
              <w:bottom w:val="nil"/>
              <w:right w:val="nil"/>
            </w:tcBorders>
            <w:shd w:val="clear" w:color="auto" w:fill="auto"/>
            <w:vAlign w:val="center"/>
            <w:hideMark/>
          </w:tcPr>
          <w:p w14:paraId="3EE0CDA8"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513E7801"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648E8D43"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4BCE277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0.077</w:t>
            </w:r>
          </w:p>
        </w:tc>
        <w:tc>
          <w:tcPr>
            <w:tcW w:w="416" w:type="pct"/>
            <w:tcBorders>
              <w:top w:val="nil"/>
              <w:left w:val="nil"/>
              <w:bottom w:val="nil"/>
              <w:right w:val="nil"/>
            </w:tcBorders>
            <w:shd w:val="clear" w:color="auto" w:fill="auto"/>
            <w:vAlign w:val="center"/>
            <w:hideMark/>
          </w:tcPr>
          <w:p w14:paraId="3ECC0DA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35351703"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50C0A947"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0A2AE4CF"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40FD4222" w14:textId="77777777" w:rsidTr="00400523">
        <w:trPr>
          <w:trHeight w:val="288"/>
        </w:trPr>
        <w:tc>
          <w:tcPr>
            <w:tcW w:w="966" w:type="pct"/>
            <w:tcBorders>
              <w:top w:val="nil"/>
              <w:left w:val="nil"/>
              <w:bottom w:val="nil"/>
              <w:right w:val="nil"/>
            </w:tcBorders>
            <w:shd w:val="clear" w:color="auto" w:fill="auto"/>
            <w:vAlign w:val="center"/>
            <w:hideMark/>
          </w:tcPr>
          <w:p w14:paraId="49AA8E8B"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Very good or good</w:t>
            </w:r>
          </w:p>
        </w:tc>
        <w:tc>
          <w:tcPr>
            <w:tcW w:w="417" w:type="pct"/>
            <w:tcBorders>
              <w:top w:val="nil"/>
              <w:left w:val="nil"/>
              <w:bottom w:val="nil"/>
              <w:right w:val="nil"/>
            </w:tcBorders>
            <w:shd w:val="clear" w:color="auto" w:fill="auto"/>
            <w:vAlign w:val="center"/>
            <w:hideMark/>
          </w:tcPr>
          <w:p w14:paraId="2F2B597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1712</w:t>
            </w:r>
          </w:p>
        </w:tc>
        <w:tc>
          <w:tcPr>
            <w:tcW w:w="653" w:type="pct"/>
            <w:tcBorders>
              <w:top w:val="nil"/>
              <w:left w:val="nil"/>
              <w:bottom w:val="nil"/>
              <w:right w:val="nil"/>
            </w:tcBorders>
            <w:shd w:val="clear" w:color="auto" w:fill="auto"/>
            <w:vAlign w:val="center"/>
            <w:hideMark/>
          </w:tcPr>
          <w:p w14:paraId="2D14047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58.1</w:t>
            </w:r>
          </w:p>
        </w:tc>
        <w:tc>
          <w:tcPr>
            <w:tcW w:w="557" w:type="pct"/>
            <w:tcBorders>
              <w:top w:val="nil"/>
              <w:left w:val="nil"/>
              <w:bottom w:val="nil"/>
              <w:right w:val="nil"/>
            </w:tcBorders>
            <w:shd w:val="clear" w:color="auto" w:fill="auto"/>
            <w:vAlign w:val="center"/>
            <w:hideMark/>
          </w:tcPr>
          <w:p w14:paraId="73FB579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54.7, 61.3</w:t>
            </w:r>
          </w:p>
        </w:tc>
        <w:tc>
          <w:tcPr>
            <w:tcW w:w="391" w:type="pct"/>
            <w:tcBorders>
              <w:top w:val="nil"/>
              <w:left w:val="nil"/>
              <w:bottom w:val="nil"/>
              <w:right w:val="single" w:sz="4" w:space="0" w:color="auto"/>
            </w:tcBorders>
            <w:shd w:val="clear" w:color="auto" w:fill="auto"/>
            <w:noWrap/>
            <w:vAlign w:val="center"/>
            <w:hideMark/>
          </w:tcPr>
          <w:p w14:paraId="0C5B1A7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E12F11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2138</w:t>
            </w:r>
          </w:p>
        </w:tc>
        <w:tc>
          <w:tcPr>
            <w:tcW w:w="653" w:type="pct"/>
            <w:tcBorders>
              <w:top w:val="nil"/>
              <w:left w:val="nil"/>
              <w:bottom w:val="nil"/>
              <w:right w:val="nil"/>
            </w:tcBorders>
            <w:shd w:val="clear" w:color="auto" w:fill="auto"/>
            <w:vAlign w:val="center"/>
            <w:hideMark/>
          </w:tcPr>
          <w:p w14:paraId="57B8D3F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31.5</w:t>
            </w:r>
          </w:p>
        </w:tc>
        <w:tc>
          <w:tcPr>
            <w:tcW w:w="557" w:type="pct"/>
            <w:tcBorders>
              <w:top w:val="nil"/>
              <w:left w:val="nil"/>
              <w:bottom w:val="nil"/>
              <w:right w:val="nil"/>
            </w:tcBorders>
            <w:shd w:val="clear" w:color="auto" w:fill="auto"/>
            <w:vAlign w:val="center"/>
            <w:hideMark/>
          </w:tcPr>
          <w:p w14:paraId="68A913F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28.5, 34.6</w:t>
            </w:r>
          </w:p>
        </w:tc>
        <w:tc>
          <w:tcPr>
            <w:tcW w:w="390" w:type="pct"/>
            <w:tcBorders>
              <w:top w:val="nil"/>
              <w:left w:val="nil"/>
              <w:bottom w:val="nil"/>
              <w:right w:val="single" w:sz="4" w:space="0" w:color="auto"/>
            </w:tcBorders>
            <w:shd w:val="clear" w:color="auto" w:fill="auto"/>
            <w:noWrap/>
            <w:vAlign w:val="center"/>
            <w:hideMark/>
          </w:tcPr>
          <w:p w14:paraId="39706F2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17807B4C" w14:textId="77777777" w:rsidTr="00400523">
        <w:trPr>
          <w:trHeight w:val="288"/>
        </w:trPr>
        <w:tc>
          <w:tcPr>
            <w:tcW w:w="966" w:type="pct"/>
            <w:tcBorders>
              <w:top w:val="nil"/>
              <w:left w:val="nil"/>
              <w:bottom w:val="nil"/>
              <w:right w:val="nil"/>
            </w:tcBorders>
            <w:shd w:val="clear" w:color="auto" w:fill="auto"/>
            <w:vAlign w:val="center"/>
            <w:hideMark/>
          </w:tcPr>
          <w:p w14:paraId="4EDEFA47"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Moderate</w:t>
            </w:r>
          </w:p>
        </w:tc>
        <w:tc>
          <w:tcPr>
            <w:tcW w:w="417" w:type="pct"/>
            <w:tcBorders>
              <w:top w:val="nil"/>
              <w:left w:val="nil"/>
              <w:bottom w:val="nil"/>
              <w:right w:val="nil"/>
            </w:tcBorders>
            <w:shd w:val="clear" w:color="auto" w:fill="auto"/>
            <w:vAlign w:val="center"/>
            <w:hideMark/>
          </w:tcPr>
          <w:p w14:paraId="5B344D2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1819</w:t>
            </w:r>
          </w:p>
        </w:tc>
        <w:tc>
          <w:tcPr>
            <w:tcW w:w="653" w:type="pct"/>
            <w:tcBorders>
              <w:top w:val="nil"/>
              <w:left w:val="nil"/>
              <w:bottom w:val="nil"/>
              <w:right w:val="nil"/>
            </w:tcBorders>
            <w:shd w:val="clear" w:color="auto" w:fill="auto"/>
            <w:vAlign w:val="center"/>
            <w:hideMark/>
          </w:tcPr>
          <w:p w14:paraId="0080EFC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54.6</w:t>
            </w:r>
          </w:p>
        </w:tc>
        <w:tc>
          <w:tcPr>
            <w:tcW w:w="557" w:type="pct"/>
            <w:tcBorders>
              <w:top w:val="nil"/>
              <w:left w:val="nil"/>
              <w:bottom w:val="nil"/>
              <w:right w:val="nil"/>
            </w:tcBorders>
            <w:shd w:val="clear" w:color="auto" w:fill="auto"/>
            <w:vAlign w:val="center"/>
            <w:hideMark/>
          </w:tcPr>
          <w:p w14:paraId="6D7C06A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51.3, 57.8</w:t>
            </w:r>
          </w:p>
        </w:tc>
        <w:tc>
          <w:tcPr>
            <w:tcW w:w="391" w:type="pct"/>
            <w:tcBorders>
              <w:top w:val="nil"/>
              <w:left w:val="nil"/>
              <w:bottom w:val="nil"/>
              <w:right w:val="single" w:sz="4" w:space="0" w:color="auto"/>
            </w:tcBorders>
            <w:shd w:val="clear" w:color="auto" w:fill="auto"/>
            <w:noWrap/>
            <w:vAlign w:val="center"/>
            <w:hideMark/>
          </w:tcPr>
          <w:p w14:paraId="4A19031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C97C86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1022</w:t>
            </w:r>
          </w:p>
        </w:tc>
        <w:tc>
          <w:tcPr>
            <w:tcW w:w="653" w:type="pct"/>
            <w:tcBorders>
              <w:top w:val="nil"/>
              <w:left w:val="nil"/>
              <w:bottom w:val="nil"/>
              <w:right w:val="nil"/>
            </w:tcBorders>
            <w:shd w:val="clear" w:color="auto" w:fill="auto"/>
            <w:vAlign w:val="center"/>
            <w:hideMark/>
          </w:tcPr>
          <w:p w14:paraId="25EF920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39.9</w:t>
            </w:r>
          </w:p>
        </w:tc>
        <w:tc>
          <w:tcPr>
            <w:tcW w:w="557" w:type="pct"/>
            <w:tcBorders>
              <w:top w:val="nil"/>
              <w:left w:val="nil"/>
              <w:bottom w:val="nil"/>
              <w:right w:val="nil"/>
            </w:tcBorders>
            <w:shd w:val="clear" w:color="auto" w:fill="auto"/>
            <w:vAlign w:val="center"/>
            <w:hideMark/>
          </w:tcPr>
          <w:p w14:paraId="72C1C70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36.1, 43.8</w:t>
            </w:r>
          </w:p>
        </w:tc>
        <w:tc>
          <w:tcPr>
            <w:tcW w:w="390" w:type="pct"/>
            <w:tcBorders>
              <w:top w:val="nil"/>
              <w:left w:val="nil"/>
              <w:bottom w:val="nil"/>
              <w:right w:val="single" w:sz="4" w:space="0" w:color="auto"/>
            </w:tcBorders>
            <w:shd w:val="clear" w:color="auto" w:fill="auto"/>
            <w:noWrap/>
            <w:vAlign w:val="center"/>
            <w:hideMark/>
          </w:tcPr>
          <w:p w14:paraId="0EFCF8A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9E1DE25" w14:textId="77777777" w:rsidTr="00400523">
        <w:trPr>
          <w:trHeight w:val="288"/>
        </w:trPr>
        <w:tc>
          <w:tcPr>
            <w:tcW w:w="966" w:type="pct"/>
            <w:tcBorders>
              <w:top w:val="nil"/>
              <w:left w:val="nil"/>
              <w:bottom w:val="nil"/>
              <w:right w:val="nil"/>
            </w:tcBorders>
            <w:shd w:val="clear" w:color="auto" w:fill="auto"/>
            <w:vAlign w:val="center"/>
            <w:hideMark/>
          </w:tcPr>
          <w:p w14:paraId="3706CBB5"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Poor or very poor</w:t>
            </w:r>
          </w:p>
        </w:tc>
        <w:tc>
          <w:tcPr>
            <w:tcW w:w="417" w:type="pct"/>
            <w:tcBorders>
              <w:top w:val="nil"/>
              <w:left w:val="nil"/>
              <w:bottom w:val="nil"/>
              <w:right w:val="nil"/>
            </w:tcBorders>
            <w:shd w:val="clear" w:color="auto" w:fill="auto"/>
            <w:vAlign w:val="center"/>
            <w:hideMark/>
          </w:tcPr>
          <w:p w14:paraId="1AC1A1F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722</w:t>
            </w:r>
          </w:p>
        </w:tc>
        <w:tc>
          <w:tcPr>
            <w:tcW w:w="653" w:type="pct"/>
            <w:tcBorders>
              <w:top w:val="nil"/>
              <w:left w:val="nil"/>
              <w:bottom w:val="nil"/>
              <w:right w:val="nil"/>
            </w:tcBorders>
            <w:shd w:val="clear" w:color="auto" w:fill="auto"/>
            <w:vAlign w:val="center"/>
            <w:hideMark/>
          </w:tcPr>
          <w:p w14:paraId="116F57F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60.3</w:t>
            </w:r>
          </w:p>
        </w:tc>
        <w:tc>
          <w:tcPr>
            <w:tcW w:w="557" w:type="pct"/>
            <w:tcBorders>
              <w:top w:val="nil"/>
              <w:left w:val="nil"/>
              <w:bottom w:val="nil"/>
              <w:right w:val="nil"/>
            </w:tcBorders>
            <w:shd w:val="clear" w:color="auto" w:fill="auto"/>
            <w:vAlign w:val="center"/>
            <w:hideMark/>
          </w:tcPr>
          <w:p w14:paraId="778DC93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55.6, 64.8</w:t>
            </w:r>
          </w:p>
        </w:tc>
        <w:tc>
          <w:tcPr>
            <w:tcW w:w="391" w:type="pct"/>
            <w:tcBorders>
              <w:top w:val="nil"/>
              <w:left w:val="nil"/>
              <w:bottom w:val="nil"/>
              <w:right w:val="single" w:sz="4" w:space="0" w:color="auto"/>
            </w:tcBorders>
            <w:shd w:val="clear" w:color="auto" w:fill="auto"/>
            <w:noWrap/>
            <w:vAlign w:val="center"/>
            <w:hideMark/>
          </w:tcPr>
          <w:p w14:paraId="156DF95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703198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352</w:t>
            </w:r>
          </w:p>
        </w:tc>
        <w:tc>
          <w:tcPr>
            <w:tcW w:w="653" w:type="pct"/>
            <w:tcBorders>
              <w:top w:val="nil"/>
              <w:left w:val="nil"/>
              <w:bottom w:val="nil"/>
              <w:right w:val="nil"/>
            </w:tcBorders>
            <w:shd w:val="clear" w:color="auto" w:fill="auto"/>
            <w:vAlign w:val="center"/>
            <w:hideMark/>
          </w:tcPr>
          <w:p w14:paraId="0CF64BB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46.1</w:t>
            </w:r>
          </w:p>
        </w:tc>
        <w:tc>
          <w:tcPr>
            <w:tcW w:w="557" w:type="pct"/>
            <w:tcBorders>
              <w:top w:val="nil"/>
              <w:left w:val="nil"/>
              <w:bottom w:val="nil"/>
              <w:right w:val="nil"/>
            </w:tcBorders>
            <w:shd w:val="clear" w:color="auto" w:fill="auto"/>
            <w:vAlign w:val="center"/>
            <w:hideMark/>
          </w:tcPr>
          <w:p w14:paraId="5FC3B43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39.2, 53.2</w:t>
            </w:r>
          </w:p>
        </w:tc>
        <w:tc>
          <w:tcPr>
            <w:tcW w:w="390" w:type="pct"/>
            <w:tcBorders>
              <w:top w:val="nil"/>
              <w:left w:val="nil"/>
              <w:bottom w:val="nil"/>
              <w:right w:val="single" w:sz="4" w:space="0" w:color="auto"/>
            </w:tcBorders>
            <w:shd w:val="clear" w:color="auto" w:fill="auto"/>
            <w:noWrap/>
            <w:vAlign w:val="center"/>
            <w:hideMark/>
          </w:tcPr>
          <w:p w14:paraId="71E5DB8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3A26BD4F" w14:textId="77777777" w:rsidTr="00400523">
        <w:trPr>
          <w:trHeight w:val="491"/>
        </w:trPr>
        <w:tc>
          <w:tcPr>
            <w:tcW w:w="966" w:type="pct"/>
            <w:tcBorders>
              <w:top w:val="nil"/>
              <w:left w:val="nil"/>
              <w:bottom w:val="nil"/>
              <w:right w:val="nil"/>
            </w:tcBorders>
            <w:shd w:val="clear" w:color="auto" w:fill="auto"/>
            <w:vAlign w:val="center"/>
            <w:hideMark/>
          </w:tcPr>
          <w:p w14:paraId="69141C5D"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Difficulty moving around past 30 days</w:t>
            </w:r>
          </w:p>
        </w:tc>
        <w:tc>
          <w:tcPr>
            <w:tcW w:w="417" w:type="pct"/>
            <w:tcBorders>
              <w:top w:val="nil"/>
              <w:left w:val="nil"/>
              <w:bottom w:val="nil"/>
              <w:right w:val="nil"/>
            </w:tcBorders>
            <w:shd w:val="clear" w:color="auto" w:fill="auto"/>
            <w:vAlign w:val="center"/>
            <w:hideMark/>
          </w:tcPr>
          <w:p w14:paraId="4390FD6B"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2C56BF59"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16F78C21"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31C79CD0"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51D7B4B3"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5B3C0866"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291B14F0"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0EFEF389"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5CBCDF3D" w14:textId="77777777" w:rsidTr="00400523">
        <w:trPr>
          <w:trHeight w:val="288"/>
        </w:trPr>
        <w:tc>
          <w:tcPr>
            <w:tcW w:w="966" w:type="pct"/>
            <w:tcBorders>
              <w:top w:val="nil"/>
              <w:left w:val="nil"/>
              <w:bottom w:val="nil"/>
              <w:right w:val="nil"/>
            </w:tcBorders>
            <w:shd w:val="clear" w:color="auto" w:fill="auto"/>
            <w:vAlign w:val="center"/>
            <w:hideMark/>
          </w:tcPr>
          <w:p w14:paraId="7B3940E2"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Nil or mild difficulty</w:t>
            </w:r>
          </w:p>
        </w:tc>
        <w:tc>
          <w:tcPr>
            <w:tcW w:w="417" w:type="pct"/>
            <w:tcBorders>
              <w:top w:val="nil"/>
              <w:left w:val="nil"/>
              <w:bottom w:val="nil"/>
              <w:right w:val="nil"/>
            </w:tcBorders>
            <w:shd w:val="clear" w:color="auto" w:fill="auto"/>
            <w:vAlign w:val="center"/>
            <w:hideMark/>
          </w:tcPr>
          <w:p w14:paraId="5E7B1F5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3206</w:t>
            </w:r>
          </w:p>
        </w:tc>
        <w:tc>
          <w:tcPr>
            <w:tcW w:w="653" w:type="pct"/>
            <w:tcBorders>
              <w:top w:val="nil"/>
              <w:left w:val="nil"/>
              <w:bottom w:val="nil"/>
              <w:right w:val="nil"/>
            </w:tcBorders>
            <w:shd w:val="clear" w:color="auto" w:fill="auto"/>
            <w:vAlign w:val="center"/>
            <w:hideMark/>
          </w:tcPr>
          <w:p w14:paraId="346EA64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55.0</w:t>
            </w:r>
          </w:p>
        </w:tc>
        <w:tc>
          <w:tcPr>
            <w:tcW w:w="557" w:type="pct"/>
            <w:tcBorders>
              <w:top w:val="nil"/>
              <w:left w:val="nil"/>
              <w:bottom w:val="nil"/>
              <w:right w:val="nil"/>
            </w:tcBorders>
            <w:shd w:val="clear" w:color="auto" w:fill="auto"/>
            <w:vAlign w:val="center"/>
            <w:hideMark/>
          </w:tcPr>
          <w:p w14:paraId="13ED987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52.3, 57.6</w:t>
            </w:r>
          </w:p>
        </w:tc>
        <w:tc>
          <w:tcPr>
            <w:tcW w:w="391" w:type="pct"/>
            <w:tcBorders>
              <w:top w:val="nil"/>
              <w:left w:val="nil"/>
              <w:bottom w:val="nil"/>
              <w:right w:val="single" w:sz="4" w:space="0" w:color="auto"/>
            </w:tcBorders>
            <w:shd w:val="clear" w:color="auto" w:fill="auto"/>
            <w:noWrap/>
            <w:vAlign w:val="center"/>
            <w:hideMark/>
          </w:tcPr>
          <w:p w14:paraId="1CFE8FD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CE185B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2832</w:t>
            </w:r>
          </w:p>
        </w:tc>
        <w:tc>
          <w:tcPr>
            <w:tcW w:w="653" w:type="pct"/>
            <w:tcBorders>
              <w:top w:val="nil"/>
              <w:left w:val="nil"/>
              <w:bottom w:val="nil"/>
              <w:right w:val="nil"/>
            </w:tcBorders>
            <w:shd w:val="clear" w:color="auto" w:fill="auto"/>
            <w:vAlign w:val="center"/>
            <w:hideMark/>
          </w:tcPr>
          <w:p w14:paraId="22D4CB4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33.0</w:t>
            </w:r>
          </w:p>
        </w:tc>
        <w:tc>
          <w:tcPr>
            <w:tcW w:w="557" w:type="pct"/>
            <w:tcBorders>
              <w:top w:val="nil"/>
              <w:left w:val="nil"/>
              <w:bottom w:val="nil"/>
              <w:right w:val="nil"/>
            </w:tcBorders>
            <w:shd w:val="clear" w:color="auto" w:fill="auto"/>
            <w:vAlign w:val="center"/>
            <w:hideMark/>
          </w:tcPr>
          <w:p w14:paraId="5887230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30.3, 35.9</w:t>
            </w:r>
          </w:p>
        </w:tc>
        <w:tc>
          <w:tcPr>
            <w:tcW w:w="390" w:type="pct"/>
            <w:tcBorders>
              <w:top w:val="nil"/>
              <w:left w:val="nil"/>
              <w:bottom w:val="nil"/>
              <w:right w:val="single" w:sz="4" w:space="0" w:color="auto"/>
            </w:tcBorders>
            <w:shd w:val="clear" w:color="auto" w:fill="auto"/>
            <w:noWrap/>
            <w:vAlign w:val="center"/>
            <w:hideMark/>
          </w:tcPr>
          <w:p w14:paraId="5356D0C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2A4FA6B0" w14:textId="77777777" w:rsidTr="00400523">
        <w:trPr>
          <w:trHeight w:val="288"/>
        </w:trPr>
        <w:tc>
          <w:tcPr>
            <w:tcW w:w="966" w:type="pct"/>
            <w:tcBorders>
              <w:top w:val="nil"/>
              <w:left w:val="nil"/>
              <w:bottom w:val="nil"/>
              <w:right w:val="nil"/>
            </w:tcBorders>
            <w:shd w:val="clear" w:color="auto" w:fill="auto"/>
            <w:vAlign w:val="center"/>
            <w:hideMark/>
          </w:tcPr>
          <w:p w14:paraId="54CD20F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Moderate difficulty</w:t>
            </w:r>
          </w:p>
        </w:tc>
        <w:tc>
          <w:tcPr>
            <w:tcW w:w="417" w:type="pct"/>
            <w:tcBorders>
              <w:top w:val="nil"/>
              <w:left w:val="nil"/>
              <w:bottom w:val="nil"/>
              <w:right w:val="nil"/>
            </w:tcBorders>
            <w:shd w:val="clear" w:color="auto" w:fill="auto"/>
            <w:vAlign w:val="center"/>
            <w:hideMark/>
          </w:tcPr>
          <w:p w14:paraId="5C77977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740</w:t>
            </w:r>
          </w:p>
        </w:tc>
        <w:tc>
          <w:tcPr>
            <w:tcW w:w="653" w:type="pct"/>
            <w:tcBorders>
              <w:top w:val="nil"/>
              <w:left w:val="nil"/>
              <w:bottom w:val="nil"/>
              <w:right w:val="nil"/>
            </w:tcBorders>
            <w:shd w:val="clear" w:color="auto" w:fill="auto"/>
            <w:vAlign w:val="center"/>
            <w:hideMark/>
          </w:tcPr>
          <w:p w14:paraId="72F9F52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62.1</w:t>
            </w:r>
          </w:p>
        </w:tc>
        <w:tc>
          <w:tcPr>
            <w:tcW w:w="557" w:type="pct"/>
            <w:tcBorders>
              <w:top w:val="nil"/>
              <w:left w:val="nil"/>
              <w:bottom w:val="nil"/>
              <w:right w:val="nil"/>
            </w:tcBorders>
            <w:shd w:val="clear" w:color="auto" w:fill="auto"/>
            <w:vAlign w:val="center"/>
            <w:hideMark/>
          </w:tcPr>
          <w:p w14:paraId="7A40072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58.1, 66.0</w:t>
            </w:r>
          </w:p>
        </w:tc>
        <w:tc>
          <w:tcPr>
            <w:tcW w:w="391" w:type="pct"/>
            <w:tcBorders>
              <w:top w:val="nil"/>
              <w:left w:val="nil"/>
              <w:bottom w:val="nil"/>
              <w:right w:val="single" w:sz="4" w:space="0" w:color="auto"/>
            </w:tcBorders>
            <w:shd w:val="clear" w:color="auto" w:fill="auto"/>
            <w:noWrap/>
            <w:vAlign w:val="center"/>
            <w:hideMark/>
          </w:tcPr>
          <w:p w14:paraId="05605A5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5C765B0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452</w:t>
            </w:r>
          </w:p>
        </w:tc>
        <w:tc>
          <w:tcPr>
            <w:tcW w:w="653" w:type="pct"/>
            <w:tcBorders>
              <w:top w:val="nil"/>
              <w:left w:val="nil"/>
              <w:bottom w:val="nil"/>
              <w:right w:val="nil"/>
            </w:tcBorders>
            <w:shd w:val="clear" w:color="auto" w:fill="auto"/>
            <w:vAlign w:val="center"/>
            <w:hideMark/>
          </w:tcPr>
          <w:p w14:paraId="438DECF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39.9</w:t>
            </w:r>
          </w:p>
        </w:tc>
        <w:tc>
          <w:tcPr>
            <w:tcW w:w="557" w:type="pct"/>
            <w:tcBorders>
              <w:top w:val="nil"/>
              <w:left w:val="nil"/>
              <w:bottom w:val="nil"/>
              <w:right w:val="nil"/>
            </w:tcBorders>
            <w:shd w:val="clear" w:color="auto" w:fill="auto"/>
            <w:vAlign w:val="center"/>
            <w:hideMark/>
          </w:tcPr>
          <w:p w14:paraId="36C86AA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33.7, 46.5</w:t>
            </w:r>
          </w:p>
        </w:tc>
        <w:tc>
          <w:tcPr>
            <w:tcW w:w="390" w:type="pct"/>
            <w:tcBorders>
              <w:top w:val="nil"/>
              <w:left w:val="nil"/>
              <w:bottom w:val="nil"/>
              <w:right w:val="single" w:sz="4" w:space="0" w:color="auto"/>
            </w:tcBorders>
            <w:shd w:val="clear" w:color="auto" w:fill="auto"/>
            <w:noWrap/>
            <w:vAlign w:val="center"/>
            <w:hideMark/>
          </w:tcPr>
          <w:p w14:paraId="41B0D8A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E4FF553" w14:textId="77777777" w:rsidTr="00400523">
        <w:trPr>
          <w:trHeight w:val="468"/>
        </w:trPr>
        <w:tc>
          <w:tcPr>
            <w:tcW w:w="966" w:type="pct"/>
            <w:tcBorders>
              <w:top w:val="nil"/>
              <w:left w:val="nil"/>
              <w:bottom w:val="nil"/>
              <w:right w:val="nil"/>
            </w:tcBorders>
            <w:shd w:val="clear" w:color="auto" w:fill="auto"/>
            <w:vAlign w:val="center"/>
            <w:hideMark/>
          </w:tcPr>
          <w:p w14:paraId="4CBA6469"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Severe difficulty or can't move</w:t>
            </w:r>
          </w:p>
        </w:tc>
        <w:tc>
          <w:tcPr>
            <w:tcW w:w="417" w:type="pct"/>
            <w:tcBorders>
              <w:top w:val="nil"/>
              <w:left w:val="nil"/>
              <w:bottom w:val="nil"/>
              <w:right w:val="nil"/>
            </w:tcBorders>
            <w:shd w:val="clear" w:color="auto" w:fill="auto"/>
            <w:vAlign w:val="center"/>
            <w:hideMark/>
          </w:tcPr>
          <w:p w14:paraId="25AAEC0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306</w:t>
            </w:r>
          </w:p>
        </w:tc>
        <w:tc>
          <w:tcPr>
            <w:tcW w:w="653" w:type="pct"/>
            <w:tcBorders>
              <w:top w:val="nil"/>
              <w:left w:val="nil"/>
              <w:bottom w:val="nil"/>
              <w:right w:val="nil"/>
            </w:tcBorders>
            <w:shd w:val="clear" w:color="auto" w:fill="auto"/>
            <w:vAlign w:val="center"/>
            <w:hideMark/>
          </w:tcPr>
          <w:p w14:paraId="292CD6B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65.4</w:t>
            </w:r>
          </w:p>
        </w:tc>
        <w:tc>
          <w:tcPr>
            <w:tcW w:w="557" w:type="pct"/>
            <w:tcBorders>
              <w:top w:val="nil"/>
              <w:left w:val="nil"/>
              <w:bottom w:val="nil"/>
              <w:right w:val="nil"/>
            </w:tcBorders>
            <w:shd w:val="clear" w:color="auto" w:fill="auto"/>
            <w:vAlign w:val="center"/>
            <w:hideMark/>
          </w:tcPr>
          <w:p w14:paraId="38367AC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58.9, 71.3</w:t>
            </w:r>
          </w:p>
        </w:tc>
        <w:tc>
          <w:tcPr>
            <w:tcW w:w="391" w:type="pct"/>
            <w:tcBorders>
              <w:top w:val="nil"/>
              <w:left w:val="nil"/>
              <w:bottom w:val="nil"/>
              <w:right w:val="single" w:sz="4" w:space="0" w:color="auto"/>
            </w:tcBorders>
            <w:shd w:val="clear" w:color="auto" w:fill="auto"/>
            <w:noWrap/>
            <w:vAlign w:val="center"/>
            <w:hideMark/>
          </w:tcPr>
          <w:p w14:paraId="1D11230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578706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228</w:t>
            </w:r>
          </w:p>
        </w:tc>
        <w:tc>
          <w:tcPr>
            <w:tcW w:w="653" w:type="pct"/>
            <w:tcBorders>
              <w:top w:val="nil"/>
              <w:left w:val="nil"/>
              <w:bottom w:val="nil"/>
              <w:right w:val="nil"/>
            </w:tcBorders>
            <w:shd w:val="clear" w:color="auto" w:fill="auto"/>
            <w:vAlign w:val="center"/>
            <w:hideMark/>
          </w:tcPr>
          <w:p w14:paraId="687CB1C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52.1</w:t>
            </w:r>
          </w:p>
        </w:tc>
        <w:tc>
          <w:tcPr>
            <w:tcW w:w="557" w:type="pct"/>
            <w:tcBorders>
              <w:top w:val="nil"/>
              <w:left w:val="nil"/>
              <w:bottom w:val="nil"/>
              <w:right w:val="nil"/>
            </w:tcBorders>
            <w:shd w:val="clear" w:color="auto" w:fill="auto"/>
            <w:vAlign w:val="center"/>
            <w:hideMark/>
          </w:tcPr>
          <w:p w14:paraId="12BCE60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43.5, 60.7</w:t>
            </w:r>
          </w:p>
        </w:tc>
        <w:tc>
          <w:tcPr>
            <w:tcW w:w="390" w:type="pct"/>
            <w:tcBorders>
              <w:top w:val="nil"/>
              <w:left w:val="nil"/>
              <w:bottom w:val="nil"/>
              <w:right w:val="single" w:sz="4" w:space="0" w:color="auto"/>
            </w:tcBorders>
            <w:shd w:val="clear" w:color="auto" w:fill="auto"/>
            <w:noWrap/>
            <w:vAlign w:val="center"/>
            <w:hideMark/>
          </w:tcPr>
          <w:p w14:paraId="73D1600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1F34D4FF" w14:textId="77777777" w:rsidTr="00400523">
        <w:trPr>
          <w:trHeight w:val="552"/>
        </w:trPr>
        <w:tc>
          <w:tcPr>
            <w:tcW w:w="966" w:type="pct"/>
            <w:tcBorders>
              <w:top w:val="nil"/>
              <w:left w:val="nil"/>
              <w:bottom w:val="nil"/>
              <w:right w:val="nil"/>
            </w:tcBorders>
            <w:shd w:val="clear" w:color="auto" w:fill="auto"/>
            <w:vAlign w:val="center"/>
            <w:hideMark/>
          </w:tcPr>
          <w:p w14:paraId="5C835E52"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Difficulty with daily living activities</w:t>
            </w:r>
          </w:p>
        </w:tc>
        <w:tc>
          <w:tcPr>
            <w:tcW w:w="417" w:type="pct"/>
            <w:tcBorders>
              <w:top w:val="nil"/>
              <w:left w:val="nil"/>
              <w:bottom w:val="nil"/>
              <w:right w:val="nil"/>
            </w:tcBorders>
            <w:shd w:val="clear" w:color="auto" w:fill="auto"/>
            <w:vAlign w:val="center"/>
            <w:hideMark/>
          </w:tcPr>
          <w:p w14:paraId="36C662A8"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73C38BF6"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2FDD60C4"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5AD6178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0.307</w:t>
            </w:r>
          </w:p>
        </w:tc>
        <w:tc>
          <w:tcPr>
            <w:tcW w:w="416" w:type="pct"/>
            <w:tcBorders>
              <w:top w:val="nil"/>
              <w:left w:val="nil"/>
              <w:bottom w:val="nil"/>
              <w:right w:val="nil"/>
            </w:tcBorders>
            <w:shd w:val="clear" w:color="auto" w:fill="auto"/>
            <w:vAlign w:val="center"/>
            <w:hideMark/>
          </w:tcPr>
          <w:p w14:paraId="62520F4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01200FB4"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46070CC2"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17815A4D"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0.003</w:t>
            </w:r>
          </w:p>
        </w:tc>
      </w:tr>
      <w:tr w:rsidR="00622270" w:rsidRPr="00000849" w14:paraId="376D5FB4" w14:textId="77777777" w:rsidTr="00400523">
        <w:trPr>
          <w:trHeight w:val="288"/>
        </w:trPr>
        <w:tc>
          <w:tcPr>
            <w:tcW w:w="966" w:type="pct"/>
            <w:tcBorders>
              <w:top w:val="nil"/>
              <w:left w:val="nil"/>
              <w:bottom w:val="nil"/>
              <w:right w:val="nil"/>
            </w:tcBorders>
            <w:shd w:val="clear" w:color="auto" w:fill="auto"/>
            <w:vAlign w:val="center"/>
            <w:hideMark/>
          </w:tcPr>
          <w:p w14:paraId="48DC09E9"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Nil</w:t>
            </w:r>
          </w:p>
        </w:tc>
        <w:tc>
          <w:tcPr>
            <w:tcW w:w="417" w:type="pct"/>
            <w:tcBorders>
              <w:top w:val="nil"/>
              <w:left w:val="nil"/>
              <w:bottom w:val="nil"/>
              <w:right w:val="nil"/>
            </w:tcBorders>
            <w:shd w:val="clear" w:color="auto" w:fill="auto"/>
            <w:vAlign w:val="center"/>
            <w:hideMark/>
          </w:tcPr>
          <w:p w14:paraId="3C75103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785</w:t>
            </w:r>
          </w:p>
        </w:tc>
        <w:tc>
          <w:tcPr>
            <w:tcW w:w="653" w:type="pct"/>
            <w:tcBorders>
              <w:top w:val="nil"/>
              <w:left w:val="nil"/>
              <w:bottom w:val="nil"/>
              <w:right w:val="nil"/>
            </w:tcBorders>
            <w:shd w:val="clear" w:color="auto" w:fill="auto"/>
            <w:vAlign w:val="center"/>
            <w:hideMark/>
          </w:tcPr>
          <w:p w14:paraId="71FC601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59.5</w:t>
            </w:r>
          </w:p>
        </w:tc>
        <w:tc>
          <w:tcPr>
            <w:tcW w:w="557" w:type="pct"/>
            <w:tcBorders>
              <w:top w:val="nil"/>
              <w:left w:val="nil"/>
              <w:bottom w:val="nil"/>
              <w:right w:val="nil"/>
            </w:tcBorders>
            <w:shd w:val="clear" w:color="auto" w:fill="auto"/>
            <w:vAlign w:val="center"/>
            <w:hideMark/>
          </w:tcPr>
          <w:p w14:paraId="79FEC56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54.7, 64.1</w:t>
            </w:r>
          </w:p>
        </w:tc>
        <w:tc>
          <w:tcPr>
            <w:tcW w:w="391" w:type="pct"/>
            <w:tcBorders>
              <w:top w:val="nil"/>
              <w:left w:val="nil"/>
              <w:bottom w:val="nil"/>
              <w:right w:val="single" w:sz="4" w:space="0" w:color="auto"/>
            </w:tcBorders>
            <w:shd w:val="clear" w:color="auto" w:fill="auto"/>
            <w:noWrap/>
            <w:vAlign w:val="center"/>
            <w:hideMark/>
          </w:tcPr>
          <w:p w14:paraId="3DE77D5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74C0881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1350</w:t>
            </w:r>
          </w:p>
        </w:tc>
        <w:tc>
          <w:tcPr>
            <w:tcW w:w="653" w:type="pct"/>
            <w:tcBorders>
              <w:top w:val="nil"/>
              <w:left w:val="nil"/>
              <w:bottom w:val="nil"/>
              <w:right w:val="nil"/>
            </w:tcBorders>
            <w:shd w:val="clear" w:color="auto" w:fill="auto"/>
            <w:vAlign w:val="center"/>
            <w:hideMark/>
          </w:tcPr>
          <w:p w14:paraId="19319C2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33.6</w:t>
            </w:r>
          </w:p>
        </w:tc>
        <w:tc>
          <w:tcPr>
            <w:tcW w:w="557" w:type="pct"/>
            <w:tcBorders>
              <w:top w:val="nil"/>
              <w:left w:val="nil"/>
              <w:bottom w:val="nil"/>
              <w:right w:val="nil"/>
            </w:tcBorders>
            <w:shd w:val="clear" w:color="auto" w:fill="auto"/>
            <w:vAlign w:val="center"/>
            <w:hideMark/>
          </w:tcPr>
          <w:p w14:paraId="1F3FFD8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29.8, 37.7</w:t>
            </w:r>
          </w:p>
        </w:tc>
        <w:tc>
          <w:tcPr>
            <w:tcW w:w="390" w:type="pct"/>
            <w:tcBorders>
              <w:top w:val="nil"/>
              <w:left w:val="nil"/>
              <w:bottom w:val="nil"/>
              <w:right w:val="single" w:sz="4" w:space="0" w:color="auto"/>
            </w:tcBorders>
            <w:shd w:val="clear" w:color="auto" w:fill="auto"/>
            <w:noWrap/>
            <w:vAlign w:val="center"/>
            <w:hideMark/>
          </w:tcPr>
          <w:p w14:paraId="74ECEAF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841D414" w14:textId="77777777" w:rsidTr="00400523">
        <w:trPr>
          <w:trHeight w:val="288"/>
        </w:trPr>
        <w:tc>
          <w:tcPr>
            <w:tcW w:w="966" w:type="pct"/>
            <w:tcBorders>
              <w:top w:val="nil"/>
              <w:left w:val="nil"/>
              <w:bottom w:val="nil"/>
              <w:right w:val="nil"/>
            </w:tcBorders>
            <w:shd w:val="clear" w:color="auto" w:fill="auto"/>
            <w:vAlign w:val="center"/>
            <w:hideMark/>
          </w:tcPr>
          <w:p w14:paraId="79FD53FB"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Mild to mod difficulty</w:t>
            </w:r>
          </w:p>
        </w:tc>
        <w:tc>
          <w:tcPr>
            <w:tcW w:w="417" w:type="pct"/>
            <w:tcBorders>
              <w:top w:val="nil"/>
              <w:left w:val="nil"/>
              <w:bottom w:val="nil"/>
              <w:right w:val="nil"/>
            </w:tcBorders>
            <w:shd w:val="clear" w:color="auto" w:fill="auto"/>
            <w:vAlign w:val="center"/>
            <w:hideMark/>
          </w:tcPr>
          <w:p w14:paraId="068BAAF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2754</w:t>
            </w:r>
          </w:p>
        </w:tc>
        <w:tc>
          <w:tcPr>
            <w:tcW w:w="653" w:type="pct"/>
            <w:tcBorders>
              <w:top w:val="nil"/>
              <w:left w:val="nil"/>
              <w:bottom w:val="nil"/>
              <w:right w:val="nil"/>
            </w:tcBorders>
            <w:shd w:val="clear" w:color="auto" w:fill="auto"/>
            <w:vAlign w:val="center"/>
            <w:hideMark/>
          </w:tcPr>
          <w:p w14:paraId="372B677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56.0</w:t>
            </w:r>
          </w:p>
        </w:tc>
        <w:tc>
          <w:tcPr>
            <w:tcW w:w="557" w:type="pct"/>
            <w:tcBorders>
              <w:top w:val="nil"/>
              <w:left w:val="nil"/>
              <w:bottom w:val="nil"/>
              <w:right w:val="nil"/>
            </w:tcBorders>
            <w:shd w:val="clear" w:color="auto" w:fill="auto"/>
            <w:vAlign w:val="center"/>
            <w:hideMark/>
          </w:tcPr>
          <w:p w14:paraId="172D9CA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53.4, 58.6</w:t>
            </w:r>
          </w:p>
        </w:tc>
        <w:tc>
          <w:tcPr>
            <w:tcW w:w="391" w:type="pct"/>
            <w:tcBorders>
              <w:top w:val="nil"/>
              <w:left w:val="nil"/>
              <w:bottom w:val="nil"/>
              <w:right w:val="single" w:sz="4" w:space="0" w:color="auto"/>
            </w:tcBorders>
            <w:shd w:val="clear" w:color="auto" w:fill="auto"/>
            <w:noWrap/>
            <w:vAlign w:val="center"/>
            <w:hideMark/>
          </w:tcPr>
          <w:p w14:paraId="4BE034C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7356466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1869</w:t>
            </w:r>
          </w:p>
        </w:tc>
        <w:tc>
          <w:tcPr>
            <w:tcW w:w="653" w:type="pct"/>
            <w:tcBorders>
              <w:top w:val="nil"/>
              <w:left w:val="nil"/>
              <w:bottom w:val="nil"/>
              <w:right w:val="nil"/>
            </w:tcBorders>
            <w:shd w:val="clear" w:color="auto" w:fill="auto"/>
            <w:vAlign w:val="center"/>
            <w:hideMark/>
          </w:tcPr>
          <w:p w14:paraId="4FD8DF5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34.6</w:t>
            </w:r>
          </w:p>
        </w:tc>
        <w:tc>
          <w:tcPr>
            <w:tcW w:w="557" w:type="pct"/>
            <w:tcBorders>
              <w:top w:val="nil"/>
              <w:left w:val="nil"/>
              <w:bottom w:val="nil"/>
              <w:right w:val="nil"/>
            </w:tcBorders>
            <w:shd w:val="clear" w:color="auto" w:fill="auto"/>
            <w:vAlign w:val="center"/>
            <w:hideMark/>
          </w:tcPr>
          <w:p w14:paraId="4DFE31A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31.2, 38.2</w:t>
            </w:r>
          </w:p>
        </w:tc>
        <w:tc>
          <w:tcPr>
            <w:tcW w:w="390" w:type="pct"/>
            <w:tcBorders>
              <w:top w:val="nil"/>
              <w:left w:val="nil"/>
              <w:bottom w:val="nil"/>
              <w:right w:val="single" w:sz="4" w:space="0" w:color="auto"/>
            </w:tcBorders>
            <w:shd w:val="clear" w:color="auto" w:fill="auto"/>
            <w:noWrap/>
            <w:vAlign w:val="center"/>
            <w:hideMark/>
          </w:tcPr>
          <w:p w14:paraId="2BC2B97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2921FA95" w14:textId="77777777" w:rsidTr="00400523">
        <w:trPr>
          <w:trHeight w:val="468"/>
        </w:trPr>
        <w:tc>
          <w:tcPr>
            <w:tcW w:w="966" w:type="pct"/>
            <w:tcBorders>
              <w:top w:val="nil"/>
              <w:left w:val="nil"/>
              <w:bottom w:val="nil"/>
              <w:right w:val="nil"/>
            </w:tcBorders>
            <w:shd w:val="clear" w:color="auto" w:fill="auto"/>
            <w:vAlign w:val="center"/>
            <w:hideMark/>
          </w:tcPr>
          <w:p w14:paraId="4071E2E0"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Severe disability/inability</w:t>
            </w:r>
          </w:p>
        </w:tc>
        <w:tc>
          <w:tcPr>
            <w:tcW w:w="417" w:type="pct"/>
            <w:tcBorders>
              <w:top w:val="nil"/>
              <w:left w:val="nil"/>
              <w:bottom w:val="nil"/>
              <w:right w:val="nil"/>
            </w:tcBorders>
            <w:shd w:val="clear" w:color="auto" w:fill="auto"/>
            <w:vAlign w:val="center"/>
            <w:hideMark/>
          </w:tcPr>
          <w:p w14:paraId="6C197C8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705</w:t>
            </w:r>
          </w:p>
        </w:tc>
        <w:tc>
          <w:tcPr>
            <w:tcW w:w="653" w:type="pct"/>
            <w:tcBorders>
              <w:top w:val="nil"/>
              <w:left w:val="nil"/>
              <w:bottom w:val="nil"/>
              <w:right w:val="nil"/>
            </w:tcBorders>
            <w:shd w:val="clear" w:color="auto" w:fill="auto"/>
            <w:vAlign w:val="center"/>
            <w:hideMark/>
          </w:tcPr>
          <w:p w14:paraId="28CAEFA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57.8</w:t>
            </w:r>
          </w:p>
        </w:tc>
        <w:tc>
          <w:tcPr>
            <w:tcW w:w="557" w:type="pct"/>
            <w:tcBorders>
              <w:top w:val="nil"/>
              <w:left w:val="nil"/>
              <w:bottom w:val="nil"/>
              <w:right w:val="nil"/>
            </w:tcBorders>
            <w:shd w:val="clear" w:color="auto" w:fill="auto"/>
            <w:vAlign w:val="center"/>
            <w:hideMark/>
          </w:tcPr>
          <w:p w14:paraId="0C58C4E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53.4, 62.1</w:t>
            </w:r>
          </w:p>
        </w:tc>
        <w:tc>
          <w:tcPr>
            <w:tcW w:w="391" w:type="pct"/>
            <w:tcBorders>
              <w:top w:val="nil"/>
              <w:left w:val="nil"/>
              <w:bottom w:val="nil"/>
              <w:right w:val="single" w:sz="4" w:space="0" w:color="auto"/>
            </w:tcBorders>
            <w:shd w:val="clear" w:color="auto" w:fill="auto"/>
            <w:noWrap/>
            <w:vAlign w:val="center"/>
            <w:hideMark/>
          </w:tcPr>
          <w:p w14:paraId="448635E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BCE6E9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286</w:t>
            </w:r>
          </w:p>
        </w:tc>
        <w:tc>
          <w:tcPr>
            <w:tcW w:w="653" w:type="pct"/>
            <w:tcBorders>
              <w:top w:val="nil"/>
              <w:left w:val="nil"/>
              <w:bottom w:val="nil"/>
              <w:right w:val="nil"/>
            </w:tcBorders>
            <w:shd w:val="clear" w:color="auto" w:fill="auto"/>
            <w:vAlign w:val="center"/>
            <w:hideMark/>
          </w:tcPr>
          <w:p w14:paraId="6974FC2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48.9</w:t>
            </w:r>
          </w:p>
        </w:tc>
        <w:tc>
          <w:tcPr>
            <w:tcW w:w="557" w:type="pct"/>
            <w:tcBorders>
              <w:top w:val="nil"/>
              <w:left w:val="nil"/>
              <w:bottom w:val="nil"/>
              <w:right w:val="nil"/>
            </w:tcBorders>
            <w:shd w:val="clear" w:color="auto" w:fill="auto"/>
            <w:vAlign w:val="center"/>
            <w:hideMark/>
          </w:tcPr>
          <w:p w14:paraId="47FB577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42.7, 55.2</w:t>
            </w:r>
          </w:p>
        </w:tc>
        <w:tc>
          <w:tcPr>
            <w:tcW w:w="390" w:type="pct"/>
            <w:tcBorders>
              <w:top w:val="nil"/>
              <w:left w:val="nil"/>
              <w:bottom w:val="nil"/>
              <w:right w:val="single" w:sz="4" w:space="0" w:color="auto"/>
            </w:tcBorders>
            <w:shd w:val="clear" w:color="auto" w:fill="auto"/>
            <w:noWrap/>
            <w:vAlign w:val="center"/>
            <w:hideMark/>
          </w:tcPr>
          <w:p w14:paraId="10563EA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538CCCBB" w14:textId="77777777" w:rsidTr="00400523">
        <w:trPr>
          <w:trHeight w:val="468"/>
        </w:trPr>
        <w:tc>
          <w:tcPr>
            <w:tcW w:w="966" w:type="pct"/>
            <w:tcBorders>
              <w:top w:val="nil"/>
              <w:left w:val="nil"/>
              <w:bottom w:val="nil"/>
              <w:right w:val="nil"/>
            </w:tcBorders>
            <w:shd w:val="clear" w:color="auto" w:fill="auto"/>
            <w:vAlign w:val="center"/>
            <w:hideMark/>
          </w:tcPr>
          <w:p w14:paraId="1796FCC0"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OPD visits over the past 12 months</w:t>
            </w:r>
          </w:p>
        </w:tc>
        <w:tc>
          <w:tcPr>
            <w:tcW w:w="417" w:type="pct"/>
            <w:tcBorders>
              <w:top w:val="nil"/>
              <w:left w:val="nil"/>
              <w:bottom w:val="nil"/>
              <w:right w:val="nil"/>
            </w:tcBorders>
            <w:shd w:val="clear" w:color="auto" w:fill="auto"/>
            <w:vAlign w:val="center"/>
            <w:hideMark/>
          </w:tcPr>
          <w:p w14:paraId="166B0454"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2291D54C"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4FB082B9"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4193E34D"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6183D09F"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18E740D3"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7AAEA90E"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1998661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0.465</w:t>
            </w:r>
          </w:p>
        </w:tc>
      </w:tr>
      <w:tr w:rsidR="00622270" w:rsidRPr="00000849" w14:paraId="0F318D43" w14:textId="77777777" w:rsidTr="00400523">
        <w:trPr>
          <w:trHeight w:val="288"/>
        </w:trPr>
        <w:tc>
          <w:tcPr>
            <w:tcW w:w="966" w:type="pct"/>
            <w:tcBorders>
              <w:top w:val="nil"/>
              <w:left w:val="nil"/>
              <w:bottom w:val="nil"/>
              <w:right w:val="nil"/>
            </w:tcBorders>
            <w:shd w:val="clear" w:color="auto" w:fill="auto"/>
            <w:vAlign w:val="center"/>
            <w:hideMark/>
          </w:tcPr>
          <w:p w14:paraId="5B970B95" w14:textId="373E786D"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once/year or less</w:t>
            </w:r>
          </w:p>
        </w:tc>
        <w:tc>
          <w:tcPr>
            <w:tcW w:w="417" w:type="pct"/>
            <w:tcBorders>
              <w:top w:val="nil"/>
              <w:left w:val="nil"/>
              <w:bottom w:val="nil"/>
              <w:right w:val="nil"/>
            </w:tcBorders>
            <w:shd w:val="clear" w:color="auto" w:fill="auto"/>
            <w:vAlign w:val="center"/>
            <w:hideMark/>
          </w:tcPr>
          <w:p w14:paraId="4CA4315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2413</w:t>
            </w:r>
          </w:p>
        </w:tc>
        <w:tc>
          <w:tcPr>
            <w:tcW w:w="653" w:type="pct"/>
            <w:tcBorders>
              <w:top w:val="nil"/>
              <w:left w:val="nil"/>
              <w:bottom w:val="nil"/>
              <w:right w:val="nil"/>
            </w:tcBorders>
            <w:shd w:val="clear" w:color="auto" w:fill="auto"/>
            <w:vAlign w:val="center"/>
            <w:hideMark/>
          </w:tcPr>
          <w:p w14:paraId="5204B04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55.7</w:t>
            </w:r>
          </w:p>
        </w:tc>
        <w:tc>
          <w:tcPr>
            <w:tcW w:w="557" w:type="pct"/>
            <w:tcBorders>
              <w:top w:val="nil"/>
              <w:left w:val="nil"/>
              <w:bottom w:val="nil"/>
              <w:right w:val="nil"/>
            </w:tcBorders>
            <w:shd w:val="clear" w:color="auto" w:fill="auto"/>
            <w:vAlign w:val="center"/>
            <w:hideMark/>
          </w:tcPr>
          <w:p w14:paraId="18EAF14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52.8, 58.6</w:t>
            </w:r>
          </w:p>
        </w:tc>
        <w:tc>
          <w:tcPr>
            <w:tcW w:w="391" w:type="pct"/>
            <w:tcBorders>
              <w:top w:val="nil"/>
              <w:left w:val="nil"/>
              <w:bottom w:val="nil"/>
              <w:right w:val="single" w:sz="4" w:space="0" w:color="auto"/>
            </w:tcBorders>
            <w:shd w:val="clear" w:color="auto" w:fill="auto"/>
            <w:noWrap/>
            <w:vAlign w:val="center"/>
            <w:hideMark/>
          </w:tcPr>
          <w:p w14:paraId="0836083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BE5989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1745</w:t>
            </w:r>
          </w:p>
        </w:tc>
        <w:tc>
          <w:tcPr>
            <w:tcW w:w="653" w:type="pct"/>
            <w:tcBorders>
              <w:top w:val="nil"/>
              <w:left w:val="nil"/>
              <w:bottom w:val="nil"/>
              <w:right w:val="nil"/>
            </w:tcBorders>
            <w:shd w:val="clear" w:color="auto" w:fill="auto"/>
            <w:vAlign w:val="center"/>
            <w:hideMark/>
          </w:tcPr>
          <w:p w14:paraId="521ADF2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36.0</w:t>
            </w:r>
          </w:p>
        </w:tc>
        <w:tc>
          <w:tcPr>
            <w:tcW w:w="557" w:type="pct"/>
            <w:tcBorders>
              <w:top w:val="nil"/>
              <w:left w:val="nil"/>
              <w:bottom w:val="nil"/>
              <w:right w:val="nil"/>
            </w:tcBorders>
            <w:shd w:val="clear" w:color="auto" w:fill="auto"/>
            <w:vAlign w:val="center"/>
            <w:hideMark/>
          </w:tcPr>
          <w:p w14:paraId="6BF0756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32.1, 40.1</w:t>
            </w:r>
          </w:p>
        </w:tc>
        <w:tc>
          <w:tcPr>
            <w:tcW w:w="390" w:type="pct"/>
            <w:tcBorders>
              <w:top w:val="nil"/>
              <w:left w:val="nil"/>
              <w:bottom w:val="nil"/>
              <w:right w:val="single" w:sz="4" w:space="0" w:color="auto"/>
            </w:tcBorders>
            <w:shd w:val="clear" w:color="auto" w:fill="auto"/>
            <w:noWrap/>
            <w:vAlign w:val="center"/>
            <w:hideMark/>
          </w:tcPr>
          <w:p w14:paraId="02D5934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2522E81F" w14:textId="77777777" w:rsidTr="00400523">
        <w:trPr>
          <w:trHeight w:val="288"/>
        </w:trPr>
        <w:tc>
          <w:tcPr>
            <w:tcW w:w="966" w:type="pct"/>
            <w:tcBorders>
              <w:top w:val="nil"/>
              <w:left w:val="nil"/>
              <w:bottom w:val="nil"/>
              <w:right w:val="nil"/>
            </w:tcBorders>
            <w:shd w:val="clear" w:color="auto" w:fill="auto"/>
            <w:vAlign w:val="center"/>
            <w:hideMark/>
          </w:tcPr>
          <w:p w14:paraId="7B04FB28" w14:textId="4D030BA4"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&gt;once/year</w:t>
            </w:r>
          </w:p>
        </w:tc>
        <w:tc>
          <w:tcPr>
            <w:tcW w:w="417" w:type="pct"/>
            <w:tcBorders>
              <w:top w:val="nil"/>
              <w:left w:val="nil"/>
              <w:bottom w:val="nil"/>
              <w:right w:val="nil"/>
            </w:tcBorders>
            <w:shd w:val="clear" w:color="auto" w:fill="auto"/>
            <w:vAlign w:val="center"/>
            <w:hideMark/>
          </w:tcPr>
          <w:p w14:paraId="09243A1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1497</w:t>
            </w:r>
          </w:p>
        </w:tc>
        <w:tc>
          <w:tcPr>
            <w:tcW w:w="653" w:type="pct"/>
            <w:tcBorders>
              <w:top w:val="nil"/>
              <w:left w:val="nil"/>
              <w:bottom w:val="nil"/>
              <w:right w:val="nil"/>
            </w:tcBorders>
            <w:shd w:val="clear" w:color="auto" w:fill="auto"/>
            <w:vAlign w:val="center"/>
            <w:hideMark/>
          </w:tcPr>
          <w:p w14:paraId="4DD5A1A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62.6</w:t>
            </w:r>
          </w:p>
        </w:tc>
        <w:tc>
          <w:tcPr>
            <w:tcW w:w="557" w:type="pct"/>
            <w:tcBorders>
              <w:top w:val="nil"/>
              <w:left w:val="nil"/>
              <w:bottom w:val="nil"/>
              <w:right w:val="nil"/>
            </w:tcBorders>
            <w:shd w:val="clear" w:color="auto" w:fill="auto"/>
            <w:vAlign w:val="center"/>
            <w:hideMark/>
          </w:tcPr>
          <w:p w14:paraId="17A6817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59.5, 65.6</w:t>
            </w:r>
          </w:p>
        </w:tc>
        <w:tc>
          <w:tcPr>
            <w:tcW w:w="391" w:type="pct"/>
            <w:tcBorders>
              <w:top w:val="nil"/>
              <w:left w:val="nil"/>
              <w:bottom w:val="nil"/>
              <w:right w:val="single" w:sz="4" w:space="0" w:color="auto"/>
            </w:tcBorders>
            <w:shd w:val="clear" w:color="auto" w:fill="auto"/>
            <w:noWrap/>
            <w:vAlign w:val="center"/>
            <w:hideMark/>
          </w:tcPr>
          <w:p w14:paraId="69C0B1B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206F191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739</w:t>
            </w:r>
          </w:p>
        </w:tc>
        <w:tc>
          <w:tcPr>
            <w:tcW w:w="653" w:type="pct"/>
            <w:tcBorders>
              <w:top w:val="nil"/>
              <w:left w:val="nil"/>
              <w:bottom w:val="nil"/>
              <w:right w:val="nil"/>
            </w:tcBorders>
            <w:shd w:val="clear" w:color="auto" w:fill="auto"/>
            <w:vAlign w:val="center"/>
            <w:hideMark/>
          </w:tcPr>
          <w:p w14:paraId="61217B9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38.1</w:t>
            </w:r>
          </w:p>
        </w:tc>
        <w:tc>
          <w:tcPr>
            <w:tcW w:w="557" w:type="pct"/>
            <w:tcBorders>
              <w:top w:val="nil"/>
              <w:left w:val="nil"/>
              <w:bottom w:val="nil"/>
              <w:right w:val="nil"/>
            </w:tcBorders>
            <w:shd w:val="clear" w:color="auto" w:fill="auto"/>
            <w:vAlign w:val="center"/>
            <w:hideMark/>
          </w:tcPr>
          <w:p w14:paraId="5C90191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33.7, 42.8</w:t>
            </w:r>
          </w:p>
        </w:tc>
        <w:tc>
          <w:tcPr>
            <w:tcW w:w="390" w:type="pct"/>
            <w:tcBorders>
              <w:top w:val="nil"/>
              <w:left w:val="nil"/>
              <w:bottom w:val="nil"/>
              <w:right w:val="single" w:sz="4" w:space="0" w:color="auto"/>
            </w:tcBorders>
            <w:shd w:val="clear" w:color="auto" w:fill="auto"/>
            <w:noWrap/>
            <w:vAlign w:val="center"/>
            <w:hideMark/>
          </w:tcPr>
          <w:p w14:paraId="1F1F662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317D05C" w14:textId="77777777" w:rsidTr="00400523">
        <w:trPr>
          <w:trHeight w:val="288"/>
        </w:trPr>
        <w:tc>
          <w:tcPr>
            <w:tcW w:w="966" w:type="pct"/>
            <w:tcBorders>
              <w:top w:val="nil"/>
              <w:left w:val="nil"/>
              <w:bottom w:val="nil"/>
              <w:right w:val="nil"/>
            </w:tcBorders>
            <w:shd w:val="clear" w:color="auto" w:fill="auto"/>
            <w:vAlign w:val="center"/>
            <w:hideMark/>
          </w:tcPr>
          <w:p w14:paraId="472FB053"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Physical activity level</w:t>
            </w:r>
          </w:p>
        </w:tc>
        <w:tc>
          <w:tcPr>
            <w:tcW w:w="417" w:type="pct"/>
            <w:tcBorders>
              <w:top w:val="nil"/>
              <w:left w:val="nil"/>
              <w:bottom w:val="nil"/>
              <w:right w:val="nil"/>
            </w:tcBorders>
            <w:shd w:val="clear" w:color="auto" w:fill="auto"/>
            <w:vAlign w:val="center"/>
            <w:hideMark/>
          </w:tcPr>
          <w:p w14:paraId="0B8C2970"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1B1E5387"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75773177"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78B190BF"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4F0AEC97"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vAlign w:val="center"/>
            <w:hideMark/>
          </w:tcPr>
          <w:p w14:paraId="71234AC6"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71F879AD"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6460C37A"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3BC0F5B3" w14:textId="77777777" w:rsidTr="00400523">
        <w:trPr>
          <w:trHeight w:val="288"/>
        </w:trPr>
        <w:tc>
          <w:tcPr>
            <w:tcW w:w="966" w:type="pct"/>
            <w:tcBorders>
              <w:top w:val="nil"/>
              <w:left w:val="nil"/>
              <w:bottom w:val="nil"/>
              <w:right w:val="nil"/>
            </w:tcBorders>
            <w:shd w:val="clear" w:color="auto" w:fill="auto"/>
            <w:vAlign w:val="center"/>
            <w:hideMark/>
          </w:tcPr>
          <w:p w14:paraId="23A14FD0"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lastRenderedPageBreak/>
              <w:t>Low physical activity</w:t>
            </w:r>
          </w:p>
        </w:tc>
        <w:tc>
          <w:tcPr>
            <w:tcW w:w="417" w:type="pct"/>
            <w:tcBorders>
              <w:top w:val="nil"/>
              <w:left w:val="nil"/>
              <w:bottom w:val="nil"/>
              <w:right w:val="nil"/>
            </w:tcBorders>
            <w:shd w:val="clear" w:color="auto" w:fill="auto"/>
            <w:vAlign w:val="center"/>
            <w:hideMark/>
          </w:tcPr>
          <w:p w14:paraId="7E7F9D3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1048</w:t>
            </w:r>
          </w:p>
        </w:tc>
        <w:tc>
          <w:tcPr>
            <w:tcW w:w="653" w:type="pct"/>
            <w:tcBorders>
              <w:top w:val="nil"/>
              <w:left w:val="nil"/>
              <w:bottom w:val="nil"/>
              <w:right w:val="nil"/>
            </w:tcBorders>
            <w:shd w:val="clear" w:color="auto" w:fill="auto"/>
            <w:vAlign w:val="center"/>
            <w:hideMark/>
          </w:tcPr>
          <w:p w14:paraId="00BEA80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63.0</w:t>
            </w:r>
          </w:p>
        </w:tc>
        <w:tc>
          <w:tcPr>
            <w:tcW w:w="557" w:type="pct"/>
            <w:tcBorders>
              <w:top w:val="nil"/>
              <w:left w:val="nil"/>
              <w:bottom w:val="nil"/>
              <w:right w:val="nil"/>
            </w:tcBorders>
            <w:shd w:val="clear" w:color="auto" w:fill="auto"/>
            <w:vAlign w:val="center"/>
            <w:hideMark/>
          </w:tcPr>
          <w:p w14:paraId="2D413A8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59.2, 66.7</w:t>
            </w:r>
          </w:p>
        </w:tc>
        <w:tc>
          <w:tcPr>
            <w:tcW w:w="391" w:type="pct"/>
            <w:tcBorders>
              <w:top w:val="nil"/>
              <w:left w:val="nil"/>
              <w:bottom w:val="nil"/>
              <w:right w:val="single" w:sz="4" w:space="0" w:color="auto"/>
            </w:tcBorders>
            <w:shd w:val="clear" w:color="auto" w:fill="auto"/>
            <w:noWrap/>
            <w:vAlign w:val="center"/>
            <w:hideMark/>
          </w:tcPr>
          <w:p w14:paraId="3A6E73E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A605E3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1349</w:t>
            </w:r>
          </w:p>
        </w:tc>
        <w:tc>
          <w:tcPr>
            <w:tcW w:w="653" w:type="pct"/>
            <w:tcBorders>
              <w:top w:val="nil"/>
              <w:left w:val="nil"/>
              <w:bottom w:val="nil"/>
              <w:right w:val="nil"/>
            </w:tcBorders>
            <w:shd w:val="clear" w:color="auto" w:fill="auto"/>
            <w:vAlign w:val="center"/>
            <w:hideMark/>
          </w:tcPr>
          <w:p w14:paraId="1E0BFDB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41.0</w:t>
            </w:r>
          </w:p>
        </w:tc>
        <w:tc>
          <w:tcPr>
            <w:tcW w:w="557" w:type="pct"/>
            <w:tcBorders>
              <w:top w:val="nil"/>
              <w:left w:val="nil"/>
              <w:bottom w:val="nil"/>
              <w:right w:val="nil"/>
            </w:tcBorders>
            <w:shd w:val="clear" w:color="auto" w:fill="auto"/>
            <w:vAlign w:val="center"/>
            <w:hideMark/>
          </w:tcPr>
          <w:p w14:paraId="4D1107C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37.5, 44.7</w:t>
            </w:r>
          </w:p>
        </w:tc>
        <w:tc>
          <w:tcPr>
            <w:tcW w:w="390" w:type="pct"/>
            <w:tcBorders>
              <w:top w:val="nil"/>
              <w:left w:val="nil"/>
              <w:bottom w:val="nil"/>
              <w:right w:val="single" w:sz="4" w:space="0" w:color="auto"/>
            </w:tcBorders>
            <w:shd w:val="clear" w:color="auto" w:fill="auto"/>
            <w:noWrap/>
            <w:vAlign w:val="center"/>
            <w:hideMark/>
          </w:tcPr>
          <w:p w14:paraId="216372B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29FD6F52" w14:textId="77777777" w:rsidTr="00400523">
        <w:trPr>
          <w:trHeight w:val="468"/>
        </w:trPr>
        <w:tc>
          <w:tcPr>
            <w:tcW w:w="966" w:type="pct"/>
            <w:tcBorders>
              <w:top w:val="nil"/>
              <w:left w:val="nil"/>
              <w:bottom w:val="nil"/>
              <w:right w:val="nil"/>
            </w:tcBorders>
            <w:shd w:val="clear" w:color="auto" w:fill="auto"/>
            <w:vAlign w:val="center"/>
            <w:hideMark/>
          </w:tcPr>
          <w:p w14:paraId="749EB5C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Moderate physical activity</w:t>
            </w:r>
          </w:p>
        </w:tc>
        <w:tc>
          <w:tcPr>
            <w:tcW w:w="417" w:type="pct"/>
            <w:tcBorders>
              <w:top w:val="nil"/>
              <w:left w:val="nil"/>
              <w:bottom w:val="nil"/>
              <w:right w:val="nil"/>
            </w:tcBorders>
            <w:shd w:val="clear" w:color="auto" w:fill="auto"/>
            <w:vAlign w:val="center"/>
            <w:hideMark/>
          </w:tcPr>
          <w:p w14:paraId="07B1A19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1481</w:t>
            </w:r>
          </w:p>
        </w:tc>
        <w:tc>
          <w:tcPr>
            <w:tcW w:w="653" w:type="pct"/>
            <w:tcBorders>
              <w:top w:val="nil"/>
              <w:left w:val="nil"/>
              <w:bottom w:val="nil"/>
              <w:right w:val="nil"/>
            </w:tcBorders>
            <w:shd w:val="clear" w:color="auto" w:fill="auto"/>
            <w:vAlign w:val="center"/>
            <w:hideMark/>
          </w:tcPr>
          <w:p w14:paraId="4491CE9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53.3</w:t>
            </w:r>
          </w:p>
        </w:tc>
        <w:tc>
          <w:tcPr>
            <w:tcW w:w="557" w:type="pct"/>
            <w:tcBorders>
              <w:top w:val="nil"/>
              <w:left w:val="nil"/>
              <w:bottom w:val="nil"/>
              <w:right w:val="nil"/>
            </w:tcBorders>
            <w:shd w:val="clear" w:color="auto" w:fill="auto"/>
            <w:vAlign w:val="center"/>
            <w:hideMark/>
          </w:tcPr>
          <w:p w14:paraId="28AF466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50.1, 56.5</w:t>
            </w:r>
          </w:p>
        </w:tc>
        <w:tc>
          <w:tcPr>
            <w:tcW w:w="391" w:type="pct"/>
            <w:tcBorders>
              <w:top w:val="nil"/>
              <w:left w:val="nil"/>
              <w:bottom w:val="nil"/>
              <w:right w:val="single" w:sz="4" w:space="0" w:color="auto"/>
            </w:tcBorders>
            <w:shd w:val="clear" w:color="auto" w:fill="auto"/>
            <w:noWrap/>
            <w:vAlign w:val="center"/>
            <w:hideMark/>
          </w:tcPr>
          <w:p w14:paraId="672DC00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12DA79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1351</w:t>
            </w:r>
          </w:p>
        </w:tc>
        <w:tc>
          <w:tcPr>
            <w:tcW w:w="653" w:type="pct"/>
            <w:tcBorders>
              <w:top w:val="nil"/>
              <w:left w:val="nil"/>
              <w:bottom w:val="nil"/>
              <w:right w:val="nil"/>
            </w:tcBorders>
            <w:shd w:val="clear" w:color="auto" w:fill="auto"/>
            <w:vAlign w:val="center"/>
            <w:hideMark/>
          </w:tcPr>
          <w:p w14:paraId="2F83F34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33.0</w:t>
            </w:r>
          </w:p>
        </w:tc>
        <w:tc>
          <w:tcPr>
            <w:tcW w:w="557" w:type="pct"/>
            <w:tcBorders>
              <w:top w:val="nil"/>
              <w:left w:val="nil"/>
              <w:bottom w:val="nil"/>
              <w:right w:val="nil"/>
            </w:tcBorders>
            <w:shd w:val="clear" w:color="auto" w:fill="auto"/>
            <w:vAlign w:val="center"/>
            <w:hideMark/>
          </w:tcPr>
          <w:p w14:paraId="74198C7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28.8, 37.5</w:t>
            </w:r>
          </w:p>
        </w:tc>
        <w:tc>
          <w:tcPr>
            <w:tcW w:w="390" w:type="pct"/>
            <w:tcBorders>
              <w:top w:val="nil"/>
              <w:left w:val="nil"/>
              <w:bottom w:val="nil"/>
              <w:right w:val="single" w:sz="4" w:space="0" w:color="auto"/>
            </w:tcBorders>
            <w:shd w:val="clear" w:color="auto" w:fill="auto"/>
            <w:noWrap/>
            <w:vAlign w:val="center"/>
            <w:hideMark/>
          </w:tcPr>
          <w:p w14:paraId="132E939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56A5ACFE" w14:textId="77777777" w:rsidTr="00400523">
        <w:trPr>
          <w:trHeight w:val="288"/>
        </w:trPr>
        <w:tc>
          <w:tcPr>
            <w:tcW w:w="966" w:type="pct"/>
            <w:tcBorders>
              <w:top w:val="nil"/>
              <w:left w:val="nil"/>
              <w:bottom w:val="nil"/>
              <w:right w:val="nil"/>
            </w:tcBorders>
            <w:shd w:val="clear" w:color="auto" w:fill="auto"/>
            <w:vAlign w:val="center"/>
            <w:hideMark/>
          </w:tcPr>
          <w:p w14:paraId="7AA45B47"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High physical activity</w:t>
            </w:r>
          </w:p>
        </w:tc>
        <w:tc>
          <w:tcPr>
            <w:tcW w:w="417" w:type="pct"/>
            <w:tcBorders>
              <w:top w:val="nil"/>
              <w:left w:val="nil"/>
              <w:bottom w:val="nil"/>
              <w:right w:val="nil"/>
            </w:tcBorders>
            <w:shd w:val="clear" w:color="auto" w:fill="auto"/>
            <w:vAlign w:val="center"/>
            <w:hideMark/>
          </w:tcPr>
          <w:p w14:paraId="0E4E9F5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1725</w:t>
            </w:r>
          </w:p>
        </w:tc>
        <w:tc>
          <w:tcPr>
            <w:tcW w:w="653" w:type="pct"/>
            <w:tcBorders>
              <w:top w:val="nil"/>
              <w:left w:val="nil"/>
              <w:bottom w:val="nil"/>
              <w:right w:val="nil"/>
            </w:tcBorders>
            <w:shd w:val="clear" w:color="auto" w:fill="auto"/>
            <w:vAlign w:val="center"/>
            <w:hideMark/>
          </w:tcPr>
          <w:p w14:paraId="7944944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56.3</w:t>
            </w:r>
          </w:p>
        </w:tc>
        <w:tc>
          <w:tcPr>
            <w:tcW w:w="557" w:type="pct"/>
            <w:tcBorders>
              <w:top w:val="nil"/>
              <w:left w:val="nil"/>
              <w:bottom w:val="nil"/>
              <w:right w:val="nil"/>
            </w:tcBorders>
            <w:shd w:val="clear" w:color="auto" w:fill="auto"/>
            <w:vAlign w:val="center"/>
            <w:hideMark/>
          </w:tcPr>
          <w:p w14:paraId="56F8DA9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52.7, 59.7</w:t>
            </w:r>
          </w:p>
        </w:tc>
        <w:tc>
          <w:tcPr>
            <w:tcW w:w="391" w:type="pct"/>
            <w:tcBorders>
              <w:top w:val="nil"/>
              <w:left w:val="nil"/>
              <w:bottom w:val="nil"/>
              <w:right w:val="single" w:sz="4" w:space="0" w:color="auto"/>
            </w:tcBorders>
            <w:shd w:val="clear" w:color="auto" w:fill="auto"/>
            <w:noWrap/>
            <w:vAlign w:val="center"/>
            <w:hideMark/>
          </w:tcPr>
          <w:p w14:paraId="23E7475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7AA8EF6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820</w:t>
            </w:r>
          </w:p>
        </w:tc>
        <w:tc>
          <w:tcPr>
            <w:tcW w:w="653" w:type="pct"/>
            <w:tcBorders>
              <w:top w:val="nil"/>
              <w:left w:val="nil"/>
              <w:bottom w:val="nil"/>
              <w:right w:val="nil"/>
            </w:tcBorders>
            <w:shd w:val="clear" w:color="auto" w:fill="auto"/>
            <w:vAlign w:val="center"/>
            <w:hideMark/>
          </w:tcPr>
          <w:p w14:paraId="3DF54CF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28.2</w:t>
            </w:r>
          </w:p>
        </w:tc>
        <w:tc>
          <w:tcPr>
            <w:tcW w:w="557" w:type="pct"/>
            <w:tcBorders>
              <w:top w:val="nil"/>
              <w:left w:val="nil"/>
              <w:bottom w:val="nil"/>
              <w:right w:val="nil"/>
            </w:tcBorders>
            <w:shd w:val="clear" w:color="auto" w:fill="auto"/>
            <w:vAlign w:val="center"/>
            <w:hideMark/>
          </w:tcPr>
          <w:p w14:paraId="06964DA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23.7, 33.2</w:t>
            </w:r>
          </w:p>
        </w:tc>
        <w:tc>
          <w:tcPr>
            <w:tcW w:w="390" w:type="pct"/>
            <w:tcBorders>
              <w:top w:val="nil"/>
              <w:left w:val="nil"/>
              <w:bottom w:val="nil"/>
              <w:right w:val="single" w:sz="4" w:space="0" w:color="auto"/>
            </w:tcBorders>
            <w:shd w:val="clear" w:color="auto" w:fill="auto"/>
            <w:noWrap/>
            <w:vAlign w:val="center"/>
            <w:hideMark/>
          </w:tcPr>
          <w:p w14:paraId="4F2E337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BCE9F7D" w14:textId="77777777" w:rsidTr="00400523">
        <w:trPr>
          <w:trHeight w:val="450"/>
        </w:trPr>
        <w:tc>
          <w:tcPr>
            <w:tcW w:w="966" w:type="pct"/>
            <w:tcBorders>
              <w:top w:val="nil"/>
              <w:left w:val="nil"/>
              <w:bottom w:val="nil"/>
              <w:right w:val="nil"/>
            </w:tcBorders>
            <w:shd w:val="clear" w:color="auto" w:fill="auto"/>
            <w:vAlign w:val="center"/>
            <w:hideMark/>
          </w:tcPr>
          <w:p w14:paraId="2CEA5F85"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BMI category</w:t>
            </w:r>
          </w:p>
        </w:tc>
        <w:tc>
          <w:tcPr>
            <w:tcW w:w="417" w:type="pct"/>
            <w:tcBorders>
              <w:top w:val="nil"/>
              <w:left w:val="nil"/>
              <w:bottom w:val="nil"/>
              <w:right w:val="nil"/>
            </w:tcBorders>
            <w:shd w:val="clear" w:color="auto" w:fill="auto"/>
            <w:vAlign w:val="center"/>
            <w:hideMark/>
          </w:tcPr>
          <w:p w14:paraId="365F4397"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noWrap/>
            <w:vAlign w:val="bottom"/>
            <w:hideMark/>
          </w:tcPr>
          <w:p w14:paraId="7FB0BC43"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3A335053"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5D9D4EE7"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76E8CA15"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noWrap/>
            <w:vAlign w:val="bottom"/>
            <w:hideMark/>
          </w:tcPr>
          <w:p w14:paraId="5B9D837C"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44CA0FA0"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16C65654"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54F0F99A" w14:textId="77777777" w:rsidTr="00400523">
        <w:trPr>
          <w:trHeight w:val="288"/>
        </w:trPr>
        <w:tc>
          <w:tcPr>
            <w:tcW w:w="966" w:type="pct"/>
            <w:tcBorders>
              <w:top w:val="nil"/>
              <w:left w:val="nil"/>
              <w:bottom w:val="nil"/>
              <w:right w:val="nil"/>
            </w:tcBorders>
            <w:shd w:val="clear" w:color="auto" w:fill="auto"/>
            <w:vAlign w:val="center"/>
            <w:hideMark/>
          </w:tcPr>
          <w:p w14:paraId="40C98608"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Underweight</w:t>
            </w:r>
          </w:p>
        </w:tc>
        <w:tc>
          <w:tcPr>
            <w:tcW w:w="417" w:type="pct"/>
            <w:tcBorders>
              <w:top w:val="nil"/>
              <w:left w:val="nil"/>
              <w:bottom w:val="nil"/>
              <w:right w:val="nil"/>
            </w:tcBorders>
            <w:shd w:val="clear" w:color="auto" w:fill="auto"/>
            <w:vAlign w:val="center"/>
            <w:hideMark/>
          </w:tcPr>
          <w:p w14:paraId="0E27B20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629</w:t>
            </w:r>
          </w:p>
        </w:tc>
        <w:tc>
          <w:tcPr>
            <w:tcW w:w="653" w:type="pct"/>
            <w:tcBorders>
              <w:top w:val="nil"/>
              <w:left w:val="nil"/>
              <w:bottom w:val="nil"/>
              <w:right w:val="nil"/>
            </w:tcBorders>
            <w:shd w:val="clear" w:color="auto" w:fill="auto"/>
            <w:vAlign w:val="center"/>
            <w:hideMark/>
          </w:tcPr>
          <w:p w14:paraId="23E6921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41.4</w:t>
            </w:r>
          </w:p>
        </w:tc>
        <w:tc>
          <w:tcPr>
            <w:tcW w:w="557" w:type="pct"/>
            <w:tcBorders>
              <w:top w:val="nil"/>
              <w:left w:val="nil"/>
              <w:bottom w:val="nil"/>
              <w:right w:val="nil"/>
            </w:tcBorders>
            <w:shd w:val="clear" w:color="auto" w:fill="auto"/>
            <w:vAlign w:val="center"/>
            <w:hideMark/>
          </w:tcPr>
          <w:p w14:paraId="5F7E348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36.0, 47.1</w:t>
            </w:r>
          </w:p>
        </w:tc>
        <w:tc>
          <w:tcPr>
            <w:tcW w:w="391" w:type="pct"/>
            <w:tcBorders>
              <w:top w:val="nil"/>
              <w:left w:val="nil"/>
              <w:bottom w:val="nil"/>
              <w:right w:val="single" w:sz="4" w:space="0" w:color="auto"/>
            </w:tcBorders>
            <w:shd w:val="clear" w:color="auto" w:fill="auto"/>
            <w:noWrap/>
            <w:vAlign w:val="center"/>
            <w:hideMark/>
          </w:tcPr>
          <w:p w14:paraId="07B1C1D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496506D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427</w:t>
            </w:r>
          </w:p>
        </w:tc>
        <w:tc>
          <w:tcPr>
            <w:tcW w:w="653" w:type="pct"/>
            <w:tcBorders>
              <w:top w:val="nil"/>
              <w:left w:val="nil"/>
              <w:bottom w:val="nil"/>
              <w:right w:val="nil"/>
            </w:tcBorders>
            <w:shd w:val="clear" w:color="auto" w:fill="auto"/>
            <w:vAlign w:val="center"/>
            <w:hideMark/>
          </w:tcPr>
          <w:p w14:paraId="43C3CAA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30.2</w:t>
            </w:r>
          </w:p>
        </w:tc>
        <w:tc>
          <w:tcPr>
            <w:tcW w:w="557" w:type="pct"/>
            <w:tcBorders>
              <w:top w:val="nil"/>
              <w:left w:val="nil"/>
              <w:bottom w:val="nil"/>
              <w:right w:val="nil"/>
            </w:tcBorders>
            <w:shd w:val="clear" w:color="auto" w:fill="auto"/>
            <w:vAlign w:val="center"/>
            <w:hideMark/>
          </w:tcPr>
          <w:p w14:paraId="494362F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25.0, 35.9</w:t>
            </w:r>
          </w:p>
        </w:tc>
        <w:tc>
          <w:tcPr>
            <w:tcW w:w="390" w:type="pct"/>
            <w:tcBorders>
              <w:top w:val="nil"/>
              <w:left w:val="nil"/>
              <w:bottom w:val="nil"/>
              <w:right w:val="single" w:sz="4" w:space="0" w:color="auto"/>
            </w:tcBorders>
            <w:shd w:val="clear" w:color="auto" w:fill="auto"/>
            <w:noWrap/>
            <w:vAlign w:val="center"/>
            <w:hideMark/>
          </w:tcPr>
          <w:p w14:paraId="393914F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4FDF058B" w14:textId="77777777" w:rsidTr="00400523">
        <w:trPr>
          <w:trHeight w:val="288"/>
        </w:trPr>
        <w:tc>
          <w:tcPr>
            <w:tcW w:w="966" w:type="pct"/>
            <w:tcBorders>
              <w:top w:val="nil"/>
              <w:left w:val="nil"/>
              <w:bottom w:val="nil"/>
              <w:right w:val="nil"/>
            </w:tcBorders>
            <w:shd w:val="clear" w:color="auto" w:fill="auto"/>
            <w:vAlign w:val="center"/>
            <w:hideMark/>
          </w:tcPr>
          <w:p w14:paraId="3BA45A05"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Normal weight</w:t>
            </w:r>
          </w:p>
        </w:tc>
        <w:tc>
          <w:tcPr>
            <w:tcW w:w="417" w:type="pct"/>
            <w:tcBorders>
              <w:top w:val="nil"/>
              <w:left w:val="nil"/>
              <w:bottom w:val="nil"/>
              <w:right w:val="nil"/>
            </w:tcBorders>
            <w:shd w:val="clear" w:color="auto" w:fill="auto"/>
            <w:vAlign w:val="center"/>
            <w:hideMark/>
          </w:tcPr>
          <w:p w14:paraId="2B1E39D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2337</w:t>
            </w:r>
          </w:p>
        </w:tc>
        <w:tc>
          <w:tcPr>
            <w:tcW w:w="653" w:type="pct"/>
            <w:tcBorders>
              <w:top w:val="nil"/>
              <w:left w:val="nil"/>
              <w:bottom w:val="nil"/>
              <w:right w:val="nil"/>
            </w:tcBorders>
            <w:shd w:val="clear" w:color="auto" w:fill="auto"/>
            <w:vAlign w:val="center"/>
            <w:hideMark/>
          </w:tcPr>
          <w:p w14:paraId="419D1C7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53.3</w:t>
            </w:r>
          </w:p>
        </w:tc>
        <w:tc>
          <w:tcPr>
            <w:tcW w:w="557" w:type="pct"/>
            <w:tcBorders>
              <w:top w:val="nil"/>
              <w:left w:val="nil"/>
              <w:bottom w:val="nil"/>
              <w:right w:val="nil"/>
            </w:tcBorders>
            <w:shd w:val="clear" w:color="auto" w:fill="auto"/>
            <w:vAlign w:val="center"/>
            <w:hideMark/>
          </w:tcPr>
          <w:p w14:paraId="435A89C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50.5, 56.1</w:t>
            </w:r>
          </w:p>
        </w:tc>
        <w:tc>
          <w:tcPr>
            <w:tcW w:w="391" w:type="pct"/>
            <w:tcBorders>
              <w:top w:val="nil"/>
              <w:left w:val="nil"/>
              <w:bottom w:val="nil"/>
              <w:right w:val="single" w:sz="4" w:space="0" w:color="auto"/>
            </w:tcBorders>
            <w:shd w:val="clear" w:color="auto" w:fill="auto"/>
            <w:noWrap/>
            <w:vAlign w:val="center"/>
            <w:hideMark/>
          </w:tcPr>
          <w:p w14:paraId="036565A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3F8710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1840</w:t>
            </w:r>
          </w:p>
        </w:tc>
        <w:tc>
          <w:tcPr>
            <w:tcW w:w="653" w:type="pct"/>
            <w:tcBorders>
              <w:top w:val="nil"/>
              <w:left w:val="nil"/>
              <w:bottom w:val="nil"/>
              <w:right w:val="nil"/>
            </w:tcBorders>
            <w:shd w:val="clear" w:color="auto" w:fill="auto"/>
            <w:vAlign w:val="center"/>
            <w:hideMark/>
          </w:tcPr>
          <w:p w14:paraId="4D152BC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29.9</w:t>
            </w:r>
          </w:p>
        </w:tc>
        <w:tc>
          <w:tcPr>
            <w:tcW w:w="557" w:type="pct"/>
            <w:tcBorders>
              <w:top w:val="nil"/>
              <w:left w:val="nil"/>
              <w:bottom w:val="nil"/>
              <w:right w:val="nil"/>
            </w:tcBorders>
            <w:shd w:val="clear" w:color="auto" w:fill="auto"/>
            <w:vAlign w:val="center"/>
            <w:hideMark/>
          </w:tcPr>
          <w:p w14:paraId="403E46E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26.7, 33.3</w:t>
            </w:r>
          </w:p>
        </w:tc>
        <w:tc>
          <w:tcPr>
            <w:tcW w:w="390" w:type="pct"/>
            <w:tcBorders>
              <w:top w:val="nil"/>
              <w:left w:val="nil"/>
              <w:bottom w:val="nil"/>
              <w:right w:val="single" w:sz="4" w:space="0" w:color="auto"/>
            </w:tcBorders>
            <w:shd w:val="clear" w:color="auto" w:fill="auto"/>
            <w:noWrap/>
            <w:vAlign w:val="center"/>
            <w:hideMark/>
          </w:tcPr>
          <w:p w14:paraId="3032767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5BE44105" w14:textId="77777777" w:rsidTr="00400523">
        <w:trPr>
          <w:trHeight w:val="288"/>
        </w:trPr>
        <w:tc>
          <w:tcPr>
            <w:tcW w:w="966" w:type="pct"/>
            <w:tcBorders>
              <w:top w:val="nil"/>
              <w:left w:val="nil"/>
              <w:bottom w:val="nil"/>
              <w:right w:val="nil"/>
            </w:tcBorders>
            <w:shd w:val="clear" w:color="auto" w:fill="auto"/>
            <w:vAlign w:val="center"/>
            <w:hideMark/>
          </w:tcPr>
          <w:p w14:paraId="39E472D3"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Overweight</w:t>
            </w:r>
          </w:p>
        </w:tc>
        <w:tc>
          <w:tcPr>
            <w:tcW w:w="417" w:type="pct"/>
            <w:tcBorders>
              <w:top w:val="nil"/>
              <w:left w:val="nil"/>
              <w:bottom w:val="nil"/>
              <w:right w:val="nil"/>
            </w:tcBorders>
            <w:shd w:val="clear" w:color="auto" w:fill="auto"/>
            <w:vAlign w:val="center"/>
            <w:hideMark/>
          </w:tcPr>
          <w:p w14:paraId="0C15CD8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785</w:t>
            </w:r>
          </w:p>
        </w:tc>
        <w:tc>
          <w:tcPr>
            <w:tcW w:w="653" w:type="pct"/>
            <w:tcBorders>
              <w:top w:val="nil"/>
              <w:left w:val="nil"/>
              <w:bottom w:val="nil"/>
              <w:right w:val="nil"/>
            </w:tcBorders>
            <w:shd w:val="clear" w:color="auto" w:fill="auto"/>
            <w:vAlign w:val="center"/>
            <w:hideMark/>
          </w:tcPr>
          <w:p w14:paraId="3B79F1A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69.0</w:t>
            </w:r>
          </w:p>
        </w:tc>
        <w:tc>
          <w:tcPr>
            <w:tcW w:w="557" w:type="pct"/>
            <w:tcBorders>
              <w:top w:val="nil"/>
              <w:left w:val="nil"/>
              <w:bottom w:val="nil"/>
              <w:right w:val="nil"/>
            </w:tcBorders>
            <w:shd w:val="clear" w:color="auto" w:fill="auto"/>
            <w:vAlign w:val="center"/>
            <w:hideMark/>
          </w:tcPr>
          <w:p w14:paraId="5038966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64.9, 72.8</w:t>
            </w:r>
          </w:p>
        </w:tc>
        <w:tc>
          <w:tcPr>
            <w:tcW w:w="391" w:type="pct"/>
            <w:tcBorders>
              <w:top w:val="nil"/>
              <w:left w:val="nil"/>
              <w:bottom w:val="nil"/>
              <w:right w:val="single" w:sz="4" w:space="0" w:color="auto"/>
            </w:tcBorders>
            <w:shd w:val="clear" w:color="auto" w:fill="auto"/>
            <w:noWrap/>
            <w:vAlign w:val="center"/>
            <w:hideMark/>
          </w:tcPr>
          <w:p w14:paraId="25EF5F4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B275A3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679</w:t>
            </w:r>
          </w:p>
        </w:tc>
        <w:tc>
          <w:tcPr>
            <w:tcW w:w="653" w:type="pct"/>
            <w:tcBorders>
              <w:top w:val="nil"/>
              <w:left w:val="nil"/>
              <w:bottom w:val="nil"/>
              <w:right w:val="nil"/>
            </w:tcBorders>
            <w:shd w:val="clear" w:color="auto" w:fill="auto"/>
            <w:vAlign w:val="center"/>
            <w:hideMark/>
          </w:tcPr>
          <w:p w14:paraId="5FBDFDD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41.5</w:t>
            </w:r>
          </w:p>
        </w:tc>
        <w:tc>
          <w:tcPr>
            <w:tcW w:w="557" w:type="pct"/>
            <w:tcBorders>
              <w:top w:val="nil"/>
              <w:left w:val="nil"/>
              <w:bottom w:val="nil"/>
              <w:right w:val="nil"/>
            </w:tcBorders>
            <w:shd w:val="clear" w:color="auto" w:fill="auto"/>
            <w:vAlign w:val="center"/>
            <w:hideMark/>
          </w:tcPr>
          <w:p w14:paraId="16C05B7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36.5, 46.7</w:t>
            </w:r>
          </w:p>
        </w:tc>
        <w:tc>
          <w:tcPr>
            <w:tcW w:w="390" w:type="pct"/>
            <w:tcBorders>
              <w:top w:val="nil"/>
              <w:left w:val="nil"/>
              <w:bottom w:val="nil"/>
              <w:right w:val="single" w:sz="4" w:space="0" w:color="auto"/>
            </w:tcBorders>
            <w:shd w:val="clear" w:color="auto" w:fill="auto"/>
            <w:noWrap/>
            <w:vAlign w:val="center"/>
            <w:hideMark/>
          </w:tcPr>
          <w:p w14:paraId="6C81410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0937FEC6" w14:textId="77777777" w:rsidTr="00400523">
        <w:trPr>
          <w:trHeight w:val="288"/>
        </w:trPr>
        <w:tc>
          <w:tcPr>
            <w:tcW w:w="966" w:type="pct"/>
            <w:tcBorders>
              <w:top w:val="nil"/>
              <w:left w:val="nil"/>
              <w:bottom w:val="nil"/>
              <w:right w:val="nil"/>
            </w:tcBorders>
            <w:shd w:val="clear" w:color="auto" w:fill="auto"/>
            <w:vAlign w:val="center"/>
            <w:hideMark/>
          </w:tcPr>
          <w:p w14:paraId="5E9F4D95"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Obese</w:t>
            </w:r>
          </w:p>
        </w:tc>
        <w:tc>
          <w:tcPr>
            <w:tcW w:w="417" w:type="pct"/>
            <w:tcBorders>
              <w:top w:val="nil"/>
              <w:left w:val="nil"/>
              <w:bottom w:val="nil"/>
              <w:right w:val="nil"/>
            </w:tcBorders>
            <w:shd w:val="clear" w:color="auto" w:fill="auto"/>
            <w:vAlign w:val="center"/>
            <w:hideMark/>
          </w:tcPr>
          <w:p w14:paraId="2070352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401</w:t>
            </w:r>
          </w:p>
        </w:tc>
        <w:tc>
          <w:tcPr>
            <w:tcW w:w="653" w:type="pct"/>
            <w:tcBorders>
              <w:top w:val="nil"/>
              <w:left w:val="nil"/>
              <w:bottom w:val="nil"/>
              <w:right w:val="nil"/>
            </w:tcBorders>
            <w:shd w:val="clear" w:color="auto" w:fill="auto"/>
            <w:vAlign w:val="center"/>
            <w:hideMark/>
          </w:tcPr>
          <w:p w14:paraId="0BB3115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73.3</w:t>
            </w:r>
          </w:p>
        </w:tc>
        <w:tc>
          <w:tcPr>
            <w:tcW w:w="557" w:type="pct"/>
            <w:tcBorders>
              <w:top w:val="nil"/>
              <w:left w:val="nil"/>
              <w:bottom w:val="nil"/>
              <w:right w:val="nil"/>
            </w:tcBorders>
            <w:shd w:val="clear" w:color="auto" w:fill="auto"/>
            <w:vAlign w:val="center"/>
            <w:hideMark/>
          </w:tcPr>
          <w:p w14:paraId="6FAC6AE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68.5, 77.6</w:t>
            </w:r>
          </w:p>
        </w:tc>
        <w:tc>
          <w:tcPr>
            <w:tcW w:w="391" w:type="pct"/>
            <w:tcBorders>
              <w:top w:val="nil"/>
              <w:left w:val="nil"/>
              <w:bottom w:val="nil"/>
              <w:right w:val="single" w:sz="4" w:space="0" w:color="auto"/>
            </w:tcBorders>
            <w:shd w:val="clear" w:color="auto" w:fill="auto"/>
            <w:noWrap/>
            <w:vAlign w:val="center"/>
            <w:hideMark/>
          </w:tcPr>
          <w:p w14:paraId="448EF4C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3B50E7F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378</w:t>
            </w:r>
          </w:p>
        </w:tc>
        <w:tc>
          <w:tcPr>
            <w:tcW w:w="653" w:type="pct"/>
            <w:tcBorders>
              <w:top w:val="nil"/>
              <w:left w:val="nil"/>
              <w:bottom w:val="nil"/>
              <w:right w:val="nil"/>
            </w:tcBorders>
            <w:shd w:val="clear" w:color="auto" w:fill="auto"/>
            <w:vAlign w:val="center"/>
            <w:hideMark/>
          </w:tcPr>
          <w:p w14:paraId="29E06DC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44.0</w:t>
            </w:r>
          </w:p>
        </w:tc>
        <w:tc>
          <w:tcPr>
            <w:tcW w:w="557" w:type="pct"/>
            <w:tcBorders>
              <w:top w:val="nil"/>
              <w:left w:val="nil"/>
              <w:bottom w:val="nil"/>
              <w:right w:val="nil"/>
            </w:tcBorders>
            <w:shd w:val="clear" w:color="auto" w:fill="auto"/>
            <w:vAlign w:val="center"/>
            <w:hideMark/>
          </w:tcPr>
          <w:p w14:paraId="21E09D8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37.7, 50.5</w:t>
            </w:r>
          </w:p>
        </w:tc>
        <w:tc>
          <w:tcPr>
            <w:tcW w:w="390" w:type="pct"/>
            <w:tcBorders>
              <w:top w:val="nil"/>
              <w:left w:val="nil"/>
              <w:bottom w:val="nil"/>
              <w:right w:val="single" w:sz="4" w:space="0" w:color="auto"/>
            </w:tcBorders>
            <w:shd w:val="clear" w:color="auto" w:fill="auto"/>
            <w:noWrap/>
            <w:vAlign w:val="center"/>
            <w:hideMark/>
          </w:tcPr>
          <w:p w14:paraId="4108E26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22DF7871" w14:textId="77777777" w:rsidTr="00400523">
        <w:trPr>
          <w:trHeight w:val="426"/>
        </w:trPr>
        <w:tc>
          <w:tcPr>
            <w:tcW w:w="966" w:type="pct"/>
            <w:tcBorders>
              <w:top w:val="nil"/>
              <w:left w:val="nil"/>
              <w:bottom w:val="nil"/>
              <w:right w:val="nil"/>
            </w:tcBorders>
            <w:shd w:val="clear" w:color="auto" w:fill="auto"/>
            <w:vAlign w:val="center"/>
            <w:hideMark/>
          </w:tcPr>
          <w:p w14:paraId="4435B238"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xml:space="preserve">Waist circumference </w:t>
            </w:r>
          </w:p>
        </w:tc>
        <w:tc>
          <w:tcPr>
            <w:tcW w:w="417" w:type="pct"/>
            <w:tcBorders>
              <w:top w:val="nil"/>
              <w:left w:val="nil"/>
              <w:bottom w:val="nil"/>
              <w:right w:val="nil"/>
            </w:tcBorders>
            <w:shd w:val="clear" w:color="auto" w:fill="auto"/>
            <w:vAlign w:val="center"/>
            <w:hideMark/>
          </w:tcPr>
          <w:p w14:paraId="5B02E256"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18B1EED6"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7D24494D"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741D0CB3"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197D2771"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noWrap/>
            <w:vAlign w:val="bottom"/>
            <w:hideMark/>
          </w:tcPr>
          <w:p w14:paraId="715EC9A1"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5C6A0C70"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6B6C14B4"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4D3EFD53" w14:textId="77777777" w:rsidTr="00400523">
        <w:trPr>
          <w:trHeight w:val="288"/>
        </w:trPr>
        <w:tc>
          <w:tcPr>
            <w:tcW w:w="966" w:type="pct"/>
            <w:tcBorders>
              <w:top w:val="nil"/>
              <w:left w:val="nil"/>
              <w:bottom w:val="nil"/>
              <w:right w:val="nil"/>
            </w:tcBorders>
            <w:shd w:val="clear" w:color="auto" w:fill="auto"/>
            <w:vAlign w:val="center"/>
            <w:hideMark/>
          </w:tcPr>
          <w:p w14:paraId="721C43AA"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&lt;80 cm</w:t>
            </w:r>
          </w:p>
        </w:tc>
        <w:tc>
          <w:tcPr>
            <w:tcW w:w="417" w:type="pct"/>
            <w:tcBorders>
              <w:top w:val="nil"/>
              <w:left w:val="nil"/>
              <w:bottom w:val="nil"/>
              <w:right w:val="nil"/>
            </w:tcBorders>
            <w:shd w:val="clear" w:color="auto" w:fill="auto"/>
            <w:vAlign w:val="center"/>
            <w:hideMark/>
          </w:tcPr>
          <w:p w14:paraId="415CCEF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1600</w:t>
            </w:r>
          </w:p>
        </w:tc>
        <w:tc>
          <w:tcPr>
            <w:tcW w:w="653" w:type="pct"/>
            <w:tcBorders>
              <w:top w:val="nil"/>
              <w:left w:val="nil"/>
              <w:bottom w:val="nil"/>
              <w:right w:val="nil"/>
            </w:tcBorders>
            <w:shd w:val="clear" w:color="auto" w:fill="auto"/>
            <w:vAlign w:val="center"/>
            <w:hideMark/>
          </w:tcPr>
          <w:p w14:paraId="207BA28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47.7</w:t>
            </w:r>
          </w:p>
        </w:tc>
        <w:tc>
          <w:tcPr>
            <w:tcW w:w="557" w:type="pct"/>
            <w:tcBorders>
              <w:top w:val="nil"/>
              <w:left w:val="nil"/>
              <w:bottom w:val="nil"/>
              <w:right w:val="nil"/>
            </w:tcBorders>
            <w:shd w:val="clear" w:color="auto" w:fill="auto"/>
            <w:vAlign w:val="center"/>
            <w:hideMark/>
          </w:tcPr>
          <w:p w14:paraId="421710F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44.1, 51.3</w:t>
            </w:r>
          </w:p>
        </w:tc>
        <w:tc>
          <w:tcPr>
            <w:tcW w:w="391" w:type="pct"/>
            <w:tcBorders>
              <w:top w:val="nil"/>
              <w:left w:val="nil"/>
              <w:bottom w:val="nil"/>
              <w:right w:val="single" w:sz="4" w:space="0" w:color="auto"/>
            </w:tcBorders>
            <w:shd w:val="clear" w:color="auto" w:fill="auto"/>
            <w:noWrap/>
            <w:vAlign w:val="center"/>
            <w:hideMark/>
          </w:tcPr>
          <w:p w14:paraId="09F30AE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4BF72A9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1085</w:t>
            </w:r>
          </w:p>
        </w:tc>
        <w:tc>
          <w:tcPr>
            <w:tcW w:w="653" w:type="pct"/>
            <w:tcBorders>
              <w:top w:val="nil"/>
              <w:left w:val="nil"/>
              <w:bottom w:val="nil"/>
              <w:right w:val="nil"/>
            </w:tcBorders>
            <w:shd w:val="clear" w:color="auto" w:fill="auto"/>
            <w:vAlign w:val="center"/>
            <w:hideMark/>
          </w:tcPr>
          <w:p w14:paraId="6429024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27.3</w:t>
            </w:r>
          </w:p>
        </w:tc>
        <w:tc>
          <w:tcPr>
            <w:tcW w:w="557" w:type="pct"/>
            <w:tcBorders>
              <w:top w:val="nil"/>
              <w:left w:val="nil"/>
              <w:bottom w:val="nil"/>
              <w:right w:val="nil"/>
            </w:tcBorders>
            <w:shd w:val="clear" w:color="auto" w:fill="auto"/>
            <w:vAlign w:val="center"/>
            <w:hideMark/>
          </w:tcPr>
          <w:p w14:paraId="14490C1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23.6, 31.2</w:t>
            </w:r>
          </w:p>
        </w:tc>
        <w:tc>
          <w:tcPr>
            <w:tcW w:w="390" w:type="pct"/>
            <w:tcBorders>
              <w:top w:val="nil"/>
              <w:left w:val="nil"/>
              <w:bottom w:val="nil"/>
              <w:right w:val="single" w:sz="4" w:space="0" w:color="auto"/>
            </w:tcBorders>
            <w:shd w:val="clear" w:color="auto" w:fill="auto"/>
            <w:noWrap/>
            <w:vAlign w:val="center"/>
            <w:hideMark/>
          </w:tcPr>
          <w:p w14:paraId="5161FEA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5B21CCF7" w14:textId="77777777" w:rsidTr="00400523">
        <w:trPr>
          <w:trHeight w:val="288"/>
        </w:trPr>
        <w:tc>
          <w:tcPr>
            <w:tcW w:w="966" w:type="pct"/>
            <w:tcBorders>
              <w:top w:val="nil"/>
              <w:left w:val="nil"/>
              <w:bottom w:val="nil"/>
              <w:right w:val="nil"/>
            </w:tcBorders>
            <w:shd w:val="clear" w:color="auto" w:fill="auto"/>
            <w:vAlign w:val="center"/>
            <w:hideMark/>
          </w:tcPr>
          <w:p w14:paraId="04894760"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&gt;=80 to &lt;90 cm</w:t>
            </w:r>
          </w:p>
        </w:tc>
        <w:tc>
          <w:tcPr>
            <w:tcW w:w="417" w:type="pct"/>
            <w:tcBorders>
              <w:top w:val="nil"/>
              <w:left w:val="nil"/>
              <w:bottom w:val="nil"/>
              <w:right w:val="nil"/>
            </w:tcBorders>
            <w:shd w:val="clear" w:color="auto" w:fill="auto"/>
            <w:vAlign w:val="center"/>
            <w:hideMark/>
          </w:tcPr>
          <w:p w14:paraId="2183E8C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1335</w:t>
            </w:r>
          </w:p>
        </w:tc>
        <w:tc>
          <w:tcPr>
            <w:tcW w:w="653" w:type="pct"/>
            <w:tcBorders>
              <w:top w:val="nil"/>
              <w:left w:val="nil"/>
              <w:bottom w:val="nil"/>
              <w:right w:val="nil"/>
            </w:tcBorders>
            <w:shd w:val="clear" w:color="auto" w:fill="auto"/>
            <w:vAlign w:val="center"/>
            <w:hideMark/>
          </w:tcPr>
          <w:p w14:paraId="5C859E9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55.3</w:t>
            </w:r>
          </w:p>
        </w:tc>
        <w:tc>
          <w:tcPr>
            <w:tcW w:w="557" w:type="pct"/>
            <w:tcBorders>
              <w:top w:val="nil"/>
              <w:left w:val="nil"/>
              <w:bottom w:val="nil"/>
              <w:right w:val="nil"/>
            </w:tcBorders>
            <w:shd w:val="clear" w:color="auto" w:fill="auto"/>
            <w:vAlign w:val="center"/>
            <w:hideMark/>
          </w:tcPr>
          <w:p w14:paraId="0D20E1B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51.3, 59.3</w:t>
            </w:r>
          </w:p>
        </w:tc>
        <w:tc>
          <w:tcPr>
            <w:tcW w:w="391" w:type="pct"/>
            <w:tcBorders>
              <w:top w:val="nil"/>
              <w:left w:val="nil"/>
              <w:bottom w:val="nil"/>
              <w:right w:val="single" w:sz="4" w:space="0" w:color="auto"/>
            </w:tcBorders>
            <w:shd w:val="clear" w:color="auto" w:fill="auto"/>
            <w:noWrap/>
            <w:vAlign w:val="center"/>
            <w:hideMark/>
          </w:tcPr>
          <w:p w14:paraId="417FF66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51DC8B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1140</w:t>
            </w:r>
          </w:p>
        </w:tc>
        <w:tc>
          <w:tcPr>
            <w:tcW w:w="653" w:type="pct"/>
            <w:tcBorders>
              <w:top w:val="nil"/>
              <w:left w:val="nil"/>
              <w:bottom w:val="nil"/>
              <w:right w:val="nil"/>
            </w:tcBorders>
            <w:shd w:val="clear" w:color="auto" w:fill="auto"/>
            <w:vAlign w:val="center"/>
            <w:hideMark/>
          </w:tcPr>
          <w:p w14:paraId="42A98D1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32.4</w:t>
            </w:r>
          </w:p>
        </w:tc>
        <w:tc>
          <w:tcPr>
            <w:tcW w:w="557" w:type="pct"/>
            <w:tcBorders>
              <w:top w:val="nil"/>
              <w:left w:val="nil"/>
              <w:bottom w:val="nil"/>
              <w:right w:val="nil"/>
            </w:tcBorders>
            <w:shd w:val="clear" w:color="auto" w:fill="auto"/>
            <w:vAlign w:val="center"/>
            <w:hideMark/>
          </w:tcPr>
          <w:p w14:paraId="7D95795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28.9, 36.1</w:t>
            </w:r>
          </w:p>
        </w:tc>
        <w:tc>
          <w:tcPr>
            <w:tcW w:w="390" w:type="pct"/>
            <w:tcBorders>
              <w:top w:val="nil"/>
              <w:left w:val="nil"/>
              <w:bottom w:val="nil"/>
              <w:right w:val="single" w:sz="4" w:space="0" w:color="auto"/>
            </w:tcBorders>
            <w:shd w:val="clear" w:color="auto" w:fill="auto"/>
            <w:noWrap/>
            <w:vAlign w:val="center"/>
            <w:hideMark/>
          </w:tcPr>
          <w:p w14:paraId="6A5C4F2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5ED79EC8" w14:textId="77777777" w:rsidTr="00400523">
        <w:trPr>
          <w:trHeight w:val="288"/>
        </w:trPr>
        <w:tc>
          <w:tcPr>
            <w:tcW w:w="966" w:type="pct"/>
            <w:tcBorders>
              <w:top w:val="nil"/>
              <w:left w:val="nil"/>
              <w:bottom w:val="nil"/>
              <w:right w:val="nil"/>
            </w:tcBorders>
            <w:shd w:val="clear" w:color="auto" w:fill="auto"/>
            <w:vAlign w:val="center"/>
            <w:hideMark/>
          </w:tcPr>
          <w:p w14:paraId="3AC0FD9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&gt;=90 cm</w:t>
            </w:r>
          </w:p>
        </w:tc>
        <w:tc>
          <w:tcPr>
            <w:tcW w:w="417" w:type="pct"/>
            <w:tcBorders>
              <w:top w:val="nil"/>
              <w:left w:val="nil"/>
              <w:bottom w:val="nil"/>
              <w:right w:val="nil"/>
            </w:tcBorders>
            <w:shd w:val="clear" w:color="auto" w:fill="auto"/>
            <w:vAlign w:val="center"/>
            <w:hideMark/>
          </w:tcPr>
          <w:p w14:paraId="18CE60B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1226</w:t>
            </w:r>
          </w:p>
        </w:tc>
        <w:tc>
          <w:tcPr>
            <w:tcW w:w="653" w:type="pct"/>
            <w:tcBorders>
              <w:top w:val="nil"/>
              <w:left w:val="nil"/>
              <w:bottom w:val="nil"/>
              <w:right w:val="nil"/>
            </w:tcBorders>
            <w:shd w:val="clear" w:color="auto" w:fill="auto"/>
            <w:vAlign w:val="center"/>
            <w:hideMark/>
          </w:tcPr>
          <w:p w14:paraId="4061A09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68.7</w:t>
            </w:r>
          </w:p>
        </w:tc>
        <w:tc>
          <w:tcPr>
            <w:tcW w:w="557" w:type="pct"/>
            <w:tcBorders>
              <w:top w:val="nil"/>
              <w:left w:val="nil"/>
              <w:bottom w:val="nil"/>
              <w:right w:val="nil"/>
            </w:tcBorders>
            <w:shd w:val="clear" w:color="auto" w:fill="auto"/>
            <w:vAlign w:val="center"/>
            <w:hideMark/>
          </w:tcPr>
          <w:p w14:paraId="7C5B166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65.4, 71.9</w:t>
            </w:r>
          </w:p>
        </w:tc>
        <w:tc>
          <w:tcPr>
            <w:tcW w:w="391" w:type="pct"/>
            <w:tcBorders>
              <w:top w:val="nil"/>
              <w:left w:val="nil"/>
              <w:bottom w:val="nil"/>
              <w:right w:val="single" w:sz="4" w:space="0" w:color="auto"/>
            </w:tcBorders>
            <w:shd w:val="clear" w:color="auto" w:fill="auto"/>
            <w:noWrap/>
            <w:vAlign w:val="center"/>
            <w:hideMark/>
          </w:tcPr>
          <w:p w14:paraId="4D773AD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7218563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1129</w:t>
            </w:r>
          </w:p>
        </w:tc>
        <w:tc>
          <w:tcPr>
            <w:tcW w:w="653" w:type="pct"/>
            <w:tcBorders>
              <w:top w:val="nil"/>
              <w:left w:val="nil"/>
              <w:bottom w:val="nil"/>
              <w:right w:val="nil"/>
            </w:tcBorders>
            <w:shd w:val="clear" w:color="auto" w:fill="auto"/>
            <w:vAlign w:val="center"/>
            <w:hideMark/>
          </w:tcPr>
          <w:p w14:paraId="2AAF6FB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42.3</w:t>
            </w:r>
          </w:p>
        </w:tc>
        <w:tc>
          <w:tcPr>
            <w:tcW w:w="557" w:type="pct"/>
            <w:tcBorders>
              <w:top w:val="nil"/>
              <w:left w:val="nil"/>
              <w:bottom w:val="nil"/>
              <w:right w:val="nil"/>
            </w:tcBorders>
            <w:shd w:val="clear" w:color="auto" w:fill="auto"/>
            <w:vAlign w:val="center"/>
            <w:hideMark/>
          </w:tcPr>
          <w:p w14:paraId="275D981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37.5, 47.2</w:t>
            </w:r>
          </w:p>
        </w:tc>
        <w:tc>
          <w:tcPr>
            <w:tcW w:w="390" w:type="pct"/>
            <w:tcBorders>
              <w:top w:val="nil"/>
              <w:left w:val="nil"/>
              <w:bottom w:val="nil"/>
              <w:right w:val="single" w:sz="4" w:space="0" w:color="auto"/>
            </w:tcBorders>
            <w:shd w:val="clear" w:color="auto" w:fill="auto"/>
            <w:noWrap/>
            <w:vAlign w:val="center"/>
            <w:hideMark/>
          </w:tcPr>
          <w:p w14:paraId="4CA1B28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1F7CB079" w14:textId="77777777" w:rsidTr="00400523">
        <w:trPr>
          <w:trHeight w:val="288"/>
        </w:trPr>
        <w:tc>
          <w:tcPr>
            <w:tcW w:w="966" w:type="pct"/>
            <w:tcBorders>
              <w:top w:val="nil"/>
              <w:left w:val="nil"/>
              <w:bottom w:val="nil"/>
              <w:right w:val="nil"/>
            </w:tcBorders>
            <w:shd w:val="clear" w:color="auto" w:fill="auto"/>
            <w:vAlign w:val="center"/>
            <w:hideMark/>
          </w:tcPr>
          <w:p w14:paraId="10F3405E"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Hip circumference</w:t>
            </w:r>
          </w:p>
        </w:tc>
        <w:tc>
          <w:tcPr>
            <w:tcW w:w="417" w:type="pct"/>
            <w:tcBorders>
              <w:top w:val="nil"/>
              <w:left w:val="nil"/>
              <w:bottom w:val="nil"/>
              <w:right w:val="nil"/>
            </w:tcBorders>
            <w:shd w:val="clear" w:color="auto" w:fill="auto"/>
            <w:vAlign w:val="center"/>
            <w:hideMark/>
          </w:tcPr>
          <w:p w14:paraId="5EF9043A"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12241A1D"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0E0A7360"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41F8DD20"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0347F7C2"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noWrap/>
            <w:vAlign w:val="bottom"/>
            <w:hideMark/>
          </w:tcPr>
          <w:p w14:paraId="7AF88CDD"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2C40EDC1"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51EDCC12"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r>
      <w:tr w:rsidR="00622270" w:rsidRPr="00000849" w14:paraId="7C3E200D" w14:textId="77777777" w:rsidTr="00400523">
        <w:trPr>
          <w:trHeight w:val="288"/>
        </w:trPr>
        <w:tc>
          <w:tcPr>
            <w:tcW w:w="966" w:type="pct"/>
            <w:tcBorders>
              <w:top w:val="nil"/>
              <w:left w:val="nil"/>
              <w:bottom w:val="nil"/>
              <w:right w:val="nil"/>
            </w:tcBorders>
            <w:shd w:val="clear" w:color="auto" w:fill="auto"/>
            <w:vAlign w:val="center"/>
            <w:hideMark/>
          </w:tcPr>
          <w:p w14:paraId="0D8AE727"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&lt;90 cm</w:t>
            </w:r>
          </w:p>
        </w:tc>
        <w:tc>
          <w:tcPr>
            <w:tcW w:w="417" w:type="pct"/>
            <w:tcBorders>
              <w:top w:val="nil"/>
              <w:left w:val="nil"/>
              <w:bottom w:val="nil"/>
              <w:right w:val="nil"/>
            </w:tcBorders>
            <w:shd w:val="clear" w:color="auto" w:fill="auto"/>
            <w:vAlign w:val="center"/>
            <w:hideMark/>
          </w:tcPr>
          <w:p w14:paraId="24D28AC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1980</w:t>
            </w:r>
          </w:p>
        </w:tc>
        <w:tc>
          <w:tcPr>
            <w:tcW w:w="653" w:type="pct"/>
            <w:tcBorders>
              <w:top w:val="nil"/>
              <w:left w:val="nil"/>
              <w:bottom w:val="nil"/>
              <w:right w:val="nil"/>
            </w:tcBorders>
            <w:shd w:val="clear" w:color="auto" w:fill="auto"/>
            <w:vAlign w:val="center"/>
            <w:hideMark/>
          </w:tcPr>
          <w:p w14:paraId="3C23A6D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48.0</w:t>
            </w:r>
          </w:p>
        </w:tc>
        <w:tc>
          <w:tcPr>
            <w:tcW w:w="557" w:type="pct"/>
            <w:tcBorders>
              <w:top w:val="nil"/>
              <w:left w:val="nil"/>
              <w:bottom w:val="nil"/>
              <w:right w:val="nil"/>
            </w:tcBorders>
            <w:shd w:val="clear" w:color="auto" w:fill="auto"/>
            <w:vAlign w:val="center"/>
            <w:hideMark/>
          </w:tcPr>
          <w:p w14:paraId="3EC3CA0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44.9, 51.1</w:t>
            </w:r>
          </w:p>
        </w:tc>
        <w:tc>
          <w:tcPr>
            <w:tcW w:w="391" w:type="pct"/>
            <w:tcBorders>
              <w:top w:val="nil"/>
              <w:left w:val="nil"/>
              <w:bottom w:val="nil"/>
              <w:right w:val="single" w:sz="4" w:space="0" w:color="auto"/>
            </w:tcBorders>
            <w:shd w:val="clear" w:color="auto" w:fill="auto"/>
            <w:noWrap/>
            <w:vAlign w:val="center"/>
            <w:hideMark/>
          </w:tcPr>
          <w:p w14:paraId="7829BB5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7405DCA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1355</w:t>
            </w:r>
          </w:p>
        </w:tc>
        <w:tc>
          <w:tcPr>
            <w:tcW w:w="653" w:type="pct"/>
            <w:tcBorders>
              <w:top w:val="nil"/>
              <w:left w:val="nil"/>
              <w:bottom w:val="nil"/>
              <w:right w:val="nil"/>
            </w:tcBorders>
            <w:shd w:val="clear" w:color="auto" w:fill="auto"/>
            <w:vAlign w:val="center"/>
            <w:hideMark/>
          </w:tcPr>
          <w:p w14:paraId="1FEF459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29.2</w:t>
            </w:r>
          </w:p>
        </w:tc>
        <w:tc>
          <w:tcPr>
            <w:tcW w:w="557" w:type="pct"/>
            <w:tcBorders>
              <w:top w:val="nil"/>
              <w:left w:val="nil"/>
              <w:bottom w:val="nil"/>
              <w:right w:val="nil"/>
            </w:tcBorders>
            <w:shd w:val="clear" w:color="auto" w:fill="auto"/>
            <w:vAlign w:val="center"/>
            <w:hideMark/>
          </w:tcPr>
          <w:p w14:paraId="394D97F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26.2, 32.4</w:t>
            </w:r>
          </w:p>
        </w:tc>
        <w:tc>
          <w:tcPr>
            <w:tcW w:w="390" w:type="pct"/>
            <w:tcBorders>
              <w:top w:val="nil"/>
              <w:left w:val="nil"/>
              <w:bottom w:val="nil"/>
              <w:right w:val="single" w:sz="4" w:space="0" w:color="auto"/>
            </w:tcBorders>
            <w:shd w:val="clear" w:color="auto" w:fill="auto"/>
            <w:noWrap/>
            <w:vAlign w:val="center"/>
            <w:hideMark/>
          </w:tcPr>
          <w:p w14:paraId="70CC682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CD521AD" w14:textId="77777777" w:rsidTr="00400523">
        <w:trPr>
          <w:trHeight w:val="288"/>
        </w:trPr>
        <w:tc>
          <w:tcPr>
            <w:tcW w:w="966" w:type="pct"/>
            <w:tcBorders>
              <w:top w:val="nil"/>
              <w:left w:val="nil"/>
              <w:bottom w:val="nil"/>
              <w:right w:val="nil"/>
            </w:tcBorders>
            <w:shd w:val="clear" w:color="auto" w:fill="auto"/>
            <w:vAlign w:val="center"/>
            <w:hideMark/>
          </w:tcPr>
          <w:p w14:paraId="76607FF7"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&gt;=90 to &lt;100 cm</w:t>
            </w:r>
          </w:p>
        </w:tc>
        <w:tc>
          <w:tcPr>
            <w:tcW w:w="417" w:type="pct"/>
            <w:tcBorders>
              <w:top w:val="nil"/>
              <w:left w:val="nil"/>
              <w:bottom w:val="nil"/>
              <w:right w:val="nil"/>
            </w:tcBorders>
            <w:shd w:val="clear" w:color="auto" w:fill="auto"/>
            <w:vAlign w:val="center"/>
            <w:hideMark/>
          </w:tcPr>
          <w:p w14:paraId="6F1A20A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1278</w:t>
            </w:r>
          </w:p>
        </w:tc>
        <w:tc>
          <w:tcPr>
            <w:tcW w:w="653" w:type="pct"/>
            <w:tcBorders>
              <w:top w:val="nil"/>
              <w:left w:val="nil"/>
              <w:bottom w:val="nil"/>
              <w:right w:val="nil"/>
            </w:tcBorders>
            <w:shd w:val="clear" w:color="auto" w:fill="auto"/>
            <w:vAlign w:val="center"/>
            <w:hideMark/>
          </w:tcPr>
          <w:p w14:paraId="5862FB6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59.3</w:t>
            </w:r>
          </w:p>
        </w:tc>
        <w:tc>
          <w:tcPr>
            <w:tcW w:w="557" w:type="pct"/>
            <w:tcBorders>
              <w:top w:val="nil"/>
              <w:left w:val="nil"/>
              <w:bottom w:val="nil"/>
              <w:right w:val="nil"/>
            </w:tcBorders>
            <w:shd w:val="clear" w:color="auto" w:fill="auto"/>
            <w:vAlign w:val="center"/>
            <w:hideMark/>
          </w:tcPr>
          <w:p w14:paraId="6854B2A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55.4, 63.1</w:t>
            </w:r>
          </w:p>
        </w:tc>
        <w:tc>
          <w:tcPr>
            <w:tcW w:w="391" w:type="pct"/>
            <w:tcBorders>
              <w:top w:val="nil"/>
              <w:left w:val="nil"/>
              <w:bottom w:val="nil"/>
              <w:right w:val="single" w:sz="4" w:space="0" w:color="auto"/>
            </w:tcBorders>
            <w:shd w:val="clear" w:color="auto" w:fill="auto"/>
            <w:noWrap/>
            <w:vAlign w:val="center"/>
            <w:hideMark/>
          </w:tcPr>
          <w:p w14:paraId="1456AF0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5C844FE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1097</w:t>
            </w:r>
          </w:p>
        </w:tc>
        <w:tc>
          <w:tcPr>
            <w:tcW w:w="653" w:type="pct"/>
            <w:tcBorders>
              <w:top w:val="nil"/>
              <w:left w:val="nil"/>
              <w:bottom w:val="nil"/>
              <w:right w:val="nil"/>
            </w:tcBorders>
            <w:shd w:val="clear" w:color="auto" w:fill="auto"/>
            <w:vAlign w:val="center"/>
            <w:hideMark/>
          </w:tcPr>
          <w:p w14:paraId="5AFAB7B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35.5</w:t>
            </w:r>
          </w:p>
        </w:tc>
        <w:tc>
          <w:tcPr>
            <w:tcW w:w="557" w:type="pct"/>
            <w:tcBorders>
              <w:top w:val="nil"/>
              <w:left w:val="nil"/>
              <w:bottom w:val="nil"/>
              <w:right w:val="nil"/>
            </w:tcBorders>
            <w:shd w:val="clear" w:color="auto" w:fill="auto"/>
            <w:vAlign w:val="center"/>
            <w:hideMark/>
          </w:tcPr>
          <w:p w14:paraId="5F6612E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30.9, 40.4</w:t>
            </w:r>
          </w:p>
        </w:tc>
        <w:tc>
          <w:tcPr>
            <w:tcW w:w="390" w:type="pct"/>
            <w:tcBorders>
              <w:top w:val="nil"/>
              <w:left w:val="nil"/>
              <w:bottom w:val="nil"/>
              <w:right w:val="single" w:sz="4" w:space="0" w:color="auto"/>
            </w:tcBorders>
            <w:shd w:val="clear" w:color="auto" w:fill="auto"/>
            <w:noWrap/>
            <w:vAlign w:val="center"/>
            <w:hideMark/>
          </w:tcPr>
          <w:p w14:paraId="69EF658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0CA75503" w14:textId="77777777" w:rsidTr="00400523">
        <w:trPr>
          <w:trHeight w:val="288"/>
        </w:trPr>
        <w:tc>
          <w:tcPr>
            <w:tcW w:w="966" w:type="pct"/>
            <w:tcBorders>
              <w:top w:val="nil"/>
              <w:left w:val="nil"/>
              <w:bottom w:val="nil"/>
              <w:right w:val="nil"/>
            </w:tcBorders>
            <w:shd w:val="clear" w:color="auto" w:fill="auto"/>
            <w:vAlign w:val="center"/>
            <w:hideMark/>
          </w:tcPr>
          <w:p w14:paraId="1779D23A"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&gt;=100 cm</w:t>
            </w:r>
          </w:p>
        </w:tc>
        <w:tc>
          <w:tcPr>
            <w:tcW w:w="417" w:type="pct"/>
            <w:tcBorders>
              <w:top w:val="nil"/>
              <w:left w:val="nil"/>
              <w:bottom w:val="nil"/>
              <w:right w:val="nil"/>
            </w:tcBorders>
            <w:shd w:val="clear" w:color="auto" w:fill="auto"/>
            <w:vAlign w:val="center"/>
            <w:hideMark/>
          </w:tcPr>
          <w:p w14:paraId="3782AF9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902</w:t>
            </w:r>
          </w:p>
        </w:tc>
        <w:tc>
          <w:tcPr>
            <w:tcW w:w="653" w:type="pct"/>
            <w:tcBorders>
              <w:top w:val="nil"/>
              <w:left w:val="nil"/>
              <w:bottom w:val="nil"/>
              <w:right w:val="nil"/>
            </w:tcBorders>
            <w:shd w:val="clear" w:color="auto" w:fill="auto"/>
            <w:vAlign w:val="center"/>
            <w:hideMark/>
          </w:tcPr>
          <w:p w14:paraId="2B9740B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70.4</w:t>
            </w:r>
          </w:p>
        </w:tc>
        <w:tc>
          <w:tcPr>
            <w:tcW w:w="557" w:type="pct"/>
            <w:tcBorders>
              <w:top w:val="nil"/>
              <w:left w:val="nil"/>
              <w:bottom w:val="nil"/>
              <w:right w:val="nil"/>
            </w:tcBorders>
            <w:shd w:val="clear" w:color="auto" w:fill="auto"/>
            <w:vAlign w:val="center"/>
            <w:hideMark/>
          </w:tcPr>
          <w:p w14:paraId="649ABF4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66.9, 73.7</w:t>
            </w:r>
          </w:p>
        </w:tc>
        <w:tc>
          <w:tcPr>
            <w:tcW w:w="391" w:type="pct"/>
            <w:tcBorders>
              <w:top w:val="nil"/>
              <w:left w:val="nil"/>
              <w:bottom w:val="nil"/>
              <w:right w:val="single" w:sz="4" w:space="0" w:color="auto"/>
            </w:tcBorders>
            <w:shd w:val="clear" w:color="auto" w:fill="auto"/>
            <w:noWrap/>
            <w:vAlign w:val="center"/>
            <w:hideMark/>
          </w:tcPr>
          <w:p w14:paraId="1FA8672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A8AEA2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824</w:t>
            </w:r>
          </w:p>
        </w:tc>
        <w:tc>
          <w:tcPr>
            <w:tcW w:w="653" w:type="pct"/>
            <w:tcBorders>
              <w:top w:val="nil"/>
              <w:left w:val="nil"/>
              <w:bottom w:val="nil"/>
              <w:right w:val="nil"/>
            </w:tcBorders>
            <w:shd w:val="clear" w:color="auto" w:fill="auto"/>
            <w:vAlign w:val="center"/>
            <w:hideMark/>
          </w:tcPr>
          <w:p w14:paraId="5E46054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41.8</w:t>
            </w:r>
          </w:p>
        </w:tc>
        <w:tc>
          <w:tcPr>
            <w:tcW w:w="557" w:type="pct"/>
            <w:tcBorders>
              <w:top w:val="nil"/>
              <w:left w:val="nil"/>
              <w:bottom w:val="nil"/>
              <w:right w:val="nil"/>
            </w:tcBorders>
            <w:shd w:val="clear" w:color="auto" w:fill="auto"/>
            <w:vAlign w:val="center"/>
            <w:hideMark/>
          </w:tcPr>
          <w:p w14:paraId="3F46561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37.4, 46.3</w:t>
            </w:r>
          </w:p>
        </w:tc>
        <w:tc>
          <w:tcPr>
            <w:tcW w:w="390" w:type="pct"/>
            <w:tcBorders>
              <w:top w:val="nil"/>
              <w:left w:val="nil"/>
              <w:bottom w:val="nil"/>
              <w:right w:val="single" w:sz="4" w:space="0" w:color="auto"/>
            </w:tcBorders>
            <w:shd w:val="clear" w:color="auto" w:fill="auto"/>
            <w:noWrap/>
            <w:vAlign w:val="center"/>
            <w:hideMark/>
          </w:tcPr>
          <w:p w14:paraId="086127D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43602F19" w14:textId="77777777" w:rsidTr="00400523">
        <w:trPr>
          <w:trHeight w:val="288"/>
        </w:trPr>
        <w:tc>
          <w:tcPr>
            <w:tcW w:w="966" w:type="pct"/>
            <w:tcBorders>
              <w:top w:val="nil"/>
              <w:left w:val="nil"/>
              <w:bottom w:val="nil"/>
              <w:right w:val="nil"/>
            </w:tcBorders>
            <w:shd w:val="clear" w:color="auto" w:fill="auto"/>
            <w:vAlign w:val="center"/>
            <w:hideMark/>
          </w:tcPr>
          <w:p w14:paraId="0A75063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p>
        </w:tc>
        <w:tc>
          <w:tcPr>
            <w:tcW w:w="417" w:type="pct"/>
            <w:tcBorders>
              <w:top w:val="nil"/>
              <w:left w:val="nil"/>
              <w:bottom w:val="nil"/>
              <w:right w:val="nil"/>
            </w:tcBorders>
            <w:shd w:val="clear" w:color="auto" w:fill="auto"/>
            <w:vAlign w:val="center"/>
            <w:hideMark/>
          </w:tcPr>
          <w:p w14:paraId="467C59AD" w14:textId="77777777" w:rsidR="00D04A4F" w:rsidRPr="00000849" w:rsidRDefault="00D04A4F" w:rsidP="00DF03DC">
            <w:pPr>
              <w:spacing w:after="0" w:line="240" w:lineRule="auto"/>
              <w:ind w:firstLineChars="100" w:firstLine="200"/>
              <w:rPr>
                <w:rFonts w:ascii="Times New Roman" w:eastAsia="Times New Roman" w:hAnsi="Times New Roman" w:cs="Times New Roman"/>
                <w:sz w:val="20"/>
                <w:szCs w:val="20"/>
                <w:lang w:val="en-US"/>
              </w:rPr>
            </w:pPr>
          </w:p>
        </w:tc>
        <w:tc>
          <w:tcPr>
            <w:tcW w:w="653" w:type="pct"/>
            <w:tcBorders>
              <w:top w:val="nil"/>
              <w:left w:val="nil"/>
              <w:bottom w:val="nil"/>
              <w:right w:val="nil"/>
            </w:tcBorders>
            <w:shd w:val="clear" w:color="auto" w:fill="auto"/>
            <w:vAlign w:val="center"/>
            <w:hideMark/>
          </w:tcPr>
          <w:p w14:paraId="2B8918B1"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458505C8"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1B3BAE7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5B9FBDE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1A4612A1"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0D4562B0"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39E7B64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34F11EA4" w14:textId="77777777" w:rsidTr="00400523">
        <w:trPr>
          <w:trHeight w:val="288"/>
        </w:trPr>
        <w:tc>
          <w:tcPr>
            <w:tcW w:w="966" w:type="pct"/>
            <w:tcBorders>
              <w:top w:val="nil"/>
              <w:left w:val="nil"/>
              <w:bottom w:val="nil"/>
              <w:right w:val="nil"/>
            </w:tcBorders>
            <w:shd w:val="clear" w:color="auto" w:fill="auto"/>
            <w:vAlign w:val="center"/>
            <w:hideMark/>
          </w:tcPr>
          <w:p w14:paraId="5BFBA9D2"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WHR category</w:t>
            </w:r>
          </w:p>
        </w:tc>
        <w:tc>
          <w:tcPr>
            <w:tcW w:w="417" w:type="pct"/>
            <w:tcBorders>
              <w:top w:val="nil"/>
              <w:left w:val="nil"/>
              <w:bottom w:val="nil"/>
              <w:right w:val="nil"/>
            </w:tcBorders>
            <w:shd w:val="clear" w:color="auto" w:fill="auto"/>
            <w:vAlign w:val="center"/>
            <w:hideMark/>
          </w:tcPr>
          <w:p w14:paraId="60AED207"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noWrap/>
            <w:vAlign w:val="bottom"/>
            <w:hideMark/>
          </w:tcPr>
          <w:p w14:paraId="2DBC303C"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27933189"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54E01009"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32D41D1C"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noWrap/>
            <w:vAlign w:val="bottom"/>
            <w:hideMark/>
          </w:tcPr>
          <w:p w14:paraId="0E6D8DF9"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1BEC31EC"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4F43E18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0.202</w:t>
            </w:r>
          </w:p>
        </w:tc>
      </w:tr>
      <w:tr w:rsidR="00622270" w:rsidRPr="00000849" w14:paraId="175BE399" w14:textId="77777777" w:rsidTr="00400523">
        <w:trPr>
          <w:trHeight w:val="288"/>
        </w:trPr>
        <w:tc>
          <w:tcPr>
            <w:tcW w:w="966" w:type="pct"/>
            <w:tcBorders>
              <w:top w:val="nil"/>
              <w:left w:val="nil"/>
              <w:bottom w:val="nil"/>
              <w:right w:val="nil"/>
            </w:tcBorders>
            <w:shd w:val="clear" w:color="auto" w:fill="auto"/>
            <w:vAlign w:val="center"/>
            <w:hideMark/>
          </w:tcPr>
          <w:p w14:paraId="21315C69"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Normal WHR</w:t>
            </w:r>
          </w:p>
        </w:tc>
        <w:tc>
          <w:tcPr>
            <w:tcW w:w="417" w:type="pct"/>
            <w:tcBorders>
              <w:top w:val="nil"/>
              <w:left w:val="nil"/>
              <w:bottom w:val="nil"/>
              <w:right w:val="nil"/>
            </w:tcBorders>
            <w:shd w:val="clear" w:color="auto" w:fill="auto"/>
            <w:vAlign w:val="center"/>
            <w:hideMark/>
          </w:tcPr>
          <w:p w14:paraId="7DB2F20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955</w:t>
            </w:r>
          </w:p>
        </w:tc>
        <w:tc>
          <w:tcPr>
            <w:tcW w:w="653" w:type="pct"/>
            <w:tcBorders>
              <w:top w:val="nil"/>
              <w:left w:val="nil"/>
              <w:bottom w:val="nil"/>
              <w:right w:val="nil"/>
            </w:tcBorders>
            <w:shd w:val="clear" w:color="auto" w:fill="auto"/>
            <w:vAlign w:val="center"/>
            <w:hideMark/>
          </w:tcPr>
          <w:p w14:paraId="54FBADC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50.5</w:t>
            </w:r>
          </w:p>
        </w:tc>
        <w:tc>
          <w:tcPr>
            <w:tcW w:w="557" w:type="pct"/>
            <w:tcBorders>
              <w:top w:val="nil"/>
              <w:left w:val="nil"/>
              <w:bottom w:val="nil"/>
              <w:right w:val="nil"/>
            </w:tcBorders>
            <w:shd w:val="clear" w:color="auto" w:fill="auto"/>
            <w:vAlign w:val="center"/>
            <w:hideMark/>
          </w:tcPr>
          <w:p w14:paraId="56460D1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46.3, 54.8</w:t>
            </w:r>
          </w:p>
        </w:tc>
        <w:tc>
          <w:tcPr>
            <w:tcW w:w="391" w:type="pct"/>
            <w:tcBorders>
              <w:top w:val="nil"/>
              <w:left w:val="nil"/>
              <w:bottom w:val="nil"/>
              <w:right w:val="single" w:sz="4" w:space="0" w:color="auto"/>
            </w:tcBorders>
            <w:shd w:val="clear" w:color="auto" w:fill="auto"/>
            <w:noWrap/>
            <w:vAlign w:val="center"/>
            <w:hideMark/>
          </w:tcPr>
          <w:p w14:paraId="58714A3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0D3889B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715</w:t>
            </w:r>
          </w:p>
        </w:tc>
        <w:tc>
          <w:tcPr>
            <w:tcW w:w="653" w:type="pct"/>
            <w:tcBorders>
              <w:top w:val="nil"/>
              <w:left w:val="nil"/>
              <w:bottom w:val="nil"/>
              <w:right w:val="nil"/>
            </w:tcBorders>
            <w:shd w:val="clear" w:color="auto" w:fill="auto"/>
            <w:vAlign w:val="center"/>
            <w:hideMark/>
          </w:tcPr>
          <w:p w14:paraId="4D08806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32.0</w:t>
            </w:r>
          </w:p>
        </w:tc>
        <w:tc>
          <w:tcPr>
            <w:tcW w:w="557" w:type="pct"/>
            <w:tcBorders>
              <w:top w:val="nil"/>
              <w:left w:val="nil"/>
              <w:bottom w:val="nil"/>
              <w:right w:val="nil"/>
            </w:tcBorders>
            <w:shd w:val="clear" w:color="auto" w:fill="auto"/>
            <w:vAlign w:val="center"/>
            <w:hideMark/>
          </w:tcPr>
          <w:p w14:paraId="5A33F05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27.3, 37.1</w:t>
            </w:r>
          </w:p>
        </w:tc>
        <w:tc>
          <w:tcPr>
            <w:tcW w:w="390" w:type="pct"/>
            <w:tcBorders>
              <w:top w:val="nil"/>
              <w:left w:val="nil"/>
              <w:bottom w:val="nil"/>
              <w:right w:val="single" w:sz="4" w:space="0" w:color="auto"/>
            </w:tcBorders>
            <w:shd w:val="clear" w:color="auto" w:fill="auto"/>
            <w:noWrap/>
            <w:vAlign w:val="center"/>
            <w:hideMark/>
          </w:tcPr>
          <w:p w14:paraId="15977D5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3D2376C0" w14:textId="77777777" w:rsidTr="00400523">
        <w:trPr>
          <w:trHeight w:val="521"/>
        </w:trPr>
        <w:tc>
          <w:tcPr>
            <w:tcW w:w="966" w:type="pct"/>
            <w:tcBorders>
              <w:top w:val="nil"/>
              <w:left w:val="nil"/>
              <w:bottom w:val="nil"/>
              <w:right w:val="nil"/>
            </w:tcBorders>
            <w:shd w:val="clear" w:color="auto" w:fill="auto"/>
            <w:vAlign w:val="center"/>
            <w:hideMark/>
          </w:tcPr>
          <w:p w14:paraId="3B372373"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Abnormal WHR&gt;0.85W / &gt;0.90M</w:t>
            </w:r>
          </w:p>
        </w:tc>
        <w:tc>
          <w:tcPr>
            <w:tcW w:w="417" w:type="pct"/>
            <w:tcBorders>
              <w:top w:val="nil"/>
              <w:left w:val="nil"/>
              <w:bottom w:val="nil"/>
              <w:right w:val="nil"/>
            </w:tcBorders>
            <w:shd w:val="clear" w:color="auto" w:fill="auto"/>
            <w:vAlign w:val="center"/>
            <w:hideMark/>
          </w:tcPr>
          <w:p w14:paraId="4D57B57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3203</w:t>
            </w:r>
          </w:p>
        </w:tc>
        <w:tc>
          <w:tcPr>
            <w:tcW w:w="653" w:type="pct"/>
            <w:tcBorders>
              <w:top w:val="nil"/>
              <w:left w:val="nil"/>
              <w:bottom w:val="nil"/>
              <w:right w:val="nil"/>
            </w:tcBorders>
            <w:shd w:val="clear" w:color="auto" w:fill="auto"/>
            <w:vAlign w:val="center"/>
            <w:hideMark/>
          </w:tcPr>
          <w:p w14:paraId="38D9630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58.3</w:t>
            </w:r>
          </w:p>
        </w:tc>
        <w:tc>
          <w:tcPr>
            <w:tcW w:w="557" w:type="pct"/>
            <w:tcBorders>
              <w:top w:val="nil"/>
              <w:left w:val="nil"/>
              <w:bottom w:val="nil"/>
              <w:right w:val="nil"/>
            </w:tcBorders>
            <w:shd w:val="clear" w:color="auto" w:fill="auto"/>
            <w:vAlign w:val="center"/>
            <w:hideMark/>
          </w:tcPr>
          <w:p w14:paraId="06B90AB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55.7, 60.9</w:t>
            </w:r>
          </w:p>
        </w:tc>
        <w:tc>
          <w:tcPr>
            <w:tcW w:w="391" w:type="pct"/>
            <w:tcBorders>
              <w:top w:val="nil"/>
              <w:left w:val="nil"/>
              <w:bottom w:val="nil"/>
              <w:right w:val="single" w:sz="4" w:space="0" w:color="auto"/>
            </w:tcBorders>
            <w:shd w:val="clear" w:color="auto" w:fill="auto"/>
            <w:noWrap/>
            <w:vAlign w:val="center"/>
            <w:hideMark/>
          </w:tcPr>
          <w:p w14:paraId="03DCDC0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4AF1F8A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2553</w:t>
            </w:r>
          </w:p>
        </w:tc>
        <w:tc>
          <w:tcPr>
            <w:tcW w:w="653" w:type="pct"/>
            <w:tcBorders>
              <w:top w:val="nil"/>
              <w:left w:val="nil"/>
              <w:bottom w:val="nil"/>
              <w:right w:val="nil"/>
            </w:tcBorders>
            <w:shd w:val="clear" w:color="auto" w:fill="auto"/>
            <w:vAlign w:val="center"/>
            <w:hideMark/>
          </w:tcPr>
          <w:p w14:paraId="3FDDA93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35.9</w:t>
            </w:r>
          </w:p>
        </w:tc>
        <w:tc>
          <w:tcPr>
            <w:tcW w:w="557" w:type="pct"/>
            <w:tcBorders>
              <w:top w:val="nil"/>
              <w:left w:val="nil"/>
              <w:bottom w:val="nil"/>
              <w:right w:val="nil"/>
            </w:tcBorders>
            <w:shd w:val="clear" w:color="auto" w:fill="auto"/>
            <w:vAlign w:val="center"/>
            <w:hideMark/>
          </w:tcPr>
          <w:p w14:paraId="35B073F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32.8, 39.1</w:t>
            </w:r>
          </w:p>
        </w:tc>
        <w:tc>
          <w:tcPr>
            <w:tcW w:w="390" w:type="pct"/>
            <w:tcBorders>
              <w:top w:val="nil"/>
              <w:left w:val="nil"/>
              <w:bottom w:val="nil"/>
              <w:right w:val="single" w:sz="4" w:space="0" w:color="auto"/>
            </w:tcBorders>
            <w:shd w:val="clear" w:color="auto" w:fill="auto"/>
            <w:noWrap/>
            <w:vAlign w:val="center"/>
            <w:hideMark/>
          </w:tcPr>
          <w:p w14:paraId="4D5CFF2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01F9850" w14:textId="77777777" w:rsidTr="00400523">
        <w:trPr>
          <w:trHeight w:val="288"/>
        </w:trPr>
        <w:tc>
          <w:tcPr>
            <w:tcW w:w="966" w:type="pct"/>
            <w:tcBorders>
              <w:top w:val="nil"/>
              <w:left w:val="nil"/>
              <w:bottom w:val="nil"/>
              <w:right w:val="nil"/>
            </w:tcBorders>
            <w:shd w:val="clear" w:color="auto" w:fill="auto"/>
            <w:noWrap/>
            <w:vAlign w:val="bottom"/>
            <w:hideMark/>
          </w:tcPr>
          <w:p w14:paraId="148F657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p>
        </w:tc>
        <w:tc>
          <w:tcPr>
            <w:tcW w:w="417" w:type="pct"/>
            <w:tcBorders>
              <w:top w:val="nil"/>
              <w:left w:val="nil"/>
              <w:bottom w:val="nil"/>
              <w:right w:val="nil"/>
            </w:tcBorders>
            <w:shd w:val="clear" w:color="auto" w:fill="auto"/>
            <w:vAlign w:val="center"/>
            <w:hideMark/>
          </w:tcPr>
          <w:p w14:paraId="5C34452B"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653" w:type="pct"/>
            <w:tcBorders>
              <w:top w:val="nil"/>
              <w:left w:val="nil"/>
              <w:bottom w:val="nil"/>
              <w:right w:val="nil"/>
            </w:tcBorders>
            <w:shd w:val="clear" w:color="auto" w:fill="auto"/>
            <w:noWrap/>
            <w:vAlign w:val="bottom"/>
            <w:hideMark/>
          </w:tcPr>
          <w:p w14:paraId="5C4E72A3"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4890C642"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7512B32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96FF5E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noWrap/>
            <w:vAlign w:val="bottom"/>
            <w:hideMark/>
          </w:tcPr>
          <w:p w14:paraId="073A4A43"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623F928D"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3BE61D7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0AF79FF7" w14:textId="77777777" w:rsidTr="00400523">
        <w:trPr>
          <w:trHeight w:val="288"/>
        </w:trPr>
        <w:tc>
          <w:tcPr>
            <w:tcW w:w="966" w:type="pct"/>
            <w:tcBorders>
              <w:top w:val="nil"/>
              <w:left w:val="nil"/>
              <w:bottom w:val="nil"/>
              <w:right w:val="nil"/>
            </w:tcBorders>
            <w:shd w:val="clear" w:color="auto" w:fill="auto"/>
            <w:vAlign w:val="center"/>
            <w:hideMark/>
          </w:tcPr>
          <w:p w14:paraId="0723392A"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lastRenderedPageBreak/>
              <w:t>Smoke behaviour</w:t>
            </w:r>
          </w:p>
        </w:tc>
        <w:tc>
          <w:tcPr>
            <w:tcW w:w="417" w:type="pct"/>
            <w:tcBorders>
              <w:top w:val="nil"/>
              <w:left w:val="nil"/>
              <w:bottom w:val="nil"/>
              <w:right w:val="nil"/>
            </w:tcBorders>
            <w:shd w:val="clear" w:color="auto" w:fill="auto"/>
            <w:vAlign w:val="center"/>
            <w:hideMark/>
          </w:tcPr>
          <w:p w14:paraId="6D54BCB9"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noWrap/>
            <w:vAlign w:val="bottom"/>
            <w:hideMark/>
          </w:tcPr>
          <w:p w14:paraId="66D8F573"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2C4D1A84"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24FEF659"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&lt;0.001</w:t>
            </w:r>
          </w:p>
        </w:tc>
        <w:tc>
          <w:tcPr>
            <w:tcW w:w="416" w:type="pct"/>
            <w:tcBorders>
              <w:top w:val="nil"/>
              <w:left w:val="nil"/>
              <w:bottom w:val="nil"/>
              <w:right w:val="nil"/>
            </w:tcBorders>
            <w:shd w:val="clear" w:color="auto" w:fill="auto"/>
            <w:vAlign w:val="center"/>
            <w:hideMark/>
          </w:tcPr>
          <w:p w14:paraId="643D773E"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noWrap/>
            <w:vAlign w:val="bottom"/>
            <w:hideMark/>
          </w:tcPr>
          <w:p w14:paraId="2514673B"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1AC916E1"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2F7F846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0.143</w:t>
            </w:r>
          </w:p>
        </w:tc>
      </w:tr>
      <w:tr w:rsidR="00622270" w:rsidRPr="00000849" w14:paraId="1AF3C1F5" w14:textId="77777777" w:rsidTr="00400523">
        <w:trPr>
          <w:trHeight w:val="288"/>
        </w:trPr>
        <w:tc>
          <w:tcPr>
            <w:tcW w:w="966" w:type="pct"/>
            <w:tcBorders>
              <w:top w:val="nil"/>
              <w:left w:val="nil"/>
              <w:bottom w:val="nil"/>
              <w:right w:val="nil"/>
            </w:tcBorders>
            <w:shd w:val="clear" w:color="auto" w:fill="auto"/>
            <w:vAlign w:val="center"/>
            <w:hideMark/>
          </w:tcPr>
          <w:p w14:paraId="58C076C2"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Never smoker</w:t>
            </w:r>
          </w:p>
        </w:tc>
        <w:tc>
          <w:tcPr>
            <w:tcW w:w="417" w:type="pct"/>
            <w:tcBorders>
              <w:top w:val="nil"/>
              <w:left w:val="nil"/>
              <w:bottom w:val="nil"/>
              <w:right w:val="nil"/>
            </w:tcBorders>
            <w:shd w:val="clear" w:color="auto" w:fill="auto"/>
            <w:vAlign w:val="center"/>
            <w:hideMark/>
          </w:tcPr>
          <w:p w14:paraId="6A98DAD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3148</w:t>
            </w:r>
          </w:p>
        </w:tc>
        <w:tc>
          <w:tcPr>
            <w:tcW w:w="653" w:type="pct"/>
            <w:tcBorders>
              <w:top w:val="nil"/>
              <w:left w:val="nil"/>
              <w:bottom w:val="nil"/>
              <w:right w:val="nil"/>
            </w:tcBorders>
            <w:shd w:val="clear" w:color="auto" w:fill="auto"/>
            <w:vAlign w:val="center"/>
            <w:hideMark/>
          </w:tcPr>
          <w:p w14:paraId="05119A8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58.2</w:t>
            </w:r>
          </w:p>
        </w:tc>
        <w:tc>
          <w:tcPr>
            <w:tcW w:w="557" w:type="pct"/>
            <w:tcBorders>
              <w:top w:val="nil"/>
              <w:left w:val="nil"/>
              <w:bottom w:val="nil"/>
              <w:right w:val="nil"/>
            </w:tcBorders>
            <w:shd w:val="clear" w:color="auto" w:fill="auto"/>
            <w:vAlign w:val="center"/>
            <w:hideMark/>
          </w:tcPr>
          <w:p w14:paraId="0F619D5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55.7, 60.7</w:t>
            </w:r>
          </w:p>
        </w:tc>
        <w:tc>
          <w:tcPr>
            <w:tcW w:w="391" w:type="pct"/>
            <w:tcBorders>
              <w:top w:val="nil"/>
              <w:left w:val="nil"/>
              <w:bottom w:val="nil"/>
              <w:right w:val="single" w:sz="4" w:space="0" w:color="auto"/>
            </w:tcBorders>
            <w:shd w:val="clear" w:color="auto" w:fill="auto"/>
            <w:noWrap/>
            <w:vAlign w:val="center"/>
            <w:hideMark/>
          </w:tcPr>
          <w:p w14:paraId="2EDCB3F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63F1FE5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3261</w:t>
            </w:r>
          </w:p>
        </w:tc>
        <w:tc>
          <w:tcPr>
            <w:tcW w:w="653" w:type="pct"/>
            <w:tcBorders>
              <w:top w:val="nil"/>
              <w:left w:val="nil"/>
              <w:bottom w:val="nil"/>
              <w:right w:val="nil"/>
            </w:tcBorders>
            <w:shd w:val="clear" w:color="auto" w:fill="auto"/>
            <w:vAlign w:val="center"/>
            <w:hideMark/>
          </w:tcPr>
          <w:p w14:paraId="55B8805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34.1</w:t>
            </w:r>
          </w:p>
        </w:tc>
        <w:tc>
          <w:tcPr>
            <w:tcW w:w="557" w:type="pct"/>
            <w:tcBorders>
              <w:top w:val="nil"/>
              <w:left w:val="nil"/>
              <w:bottom w:val="nil"/>
              <w:right w:val="nil"/>
            </w:tcBorders>
            <w:shd w:val="clear" w:color="auto" w:fill="auto"/>
            <w:vAlign w:val="center"/>
            <w:hideMark/>
          </w:tcPr>
          <w:p w14:paraId="221F7C4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31.8, 36.5</w:t>
            </w:r>
          </w:p>
        </w:tc>
        <w:tc>
          <w:tcPr>
            <w:tcW w:w="390" w:type="pct"/>
            <w:tcBorders>
              <w:top w:val="nil"/>
              <w:left w:val="nil"/>
              <w:bottom w:val="nil"/>
              <w:right w:val="single" w:sz="4" w:space="0" w:color="auto"/>
            </w:tcBorders>
            <w:shd w:val="clear" w:color="auto" w:fill="auto"/>
            <w:noWrap/>
            <w:vAlign w:val="center"/>
            <w:hideMark/>
          </w:tcPr>
          <w:p w14:paraId="2CF00D0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72D6CCC" w14:textId="77777777" w:rsidTr="00400523">
        <w:trPr>
          <w:trHeight w:val="288"/>
        </w:trPr>
        <w:tc>
          <w:tcPr>
            <w:tcW w:w="966" w:type="pct"/>
            <w:tcBorders>
              <w:top w:val="nil"/>
              <w:left w:val="nil"/>
              <w:bottom w:val="nil"/>
              <w:right w:val="nil"/>
            </w:tcBorders>
            <w:shd w:val="clear" w:color="auto" w:fill="auto"/>
            <w:vAlign w:val="center"/>
            <w:hideMark/>
          </w:tcPr>
          <w:p w14:paraId="146487DB"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Former smoker</w:t>
            </w:r>
          </w:p>
        </w:tc>
        <w:tc>
          <w:tcPr>
            <w:tcW w:w="417" w:type="pct"/>
            <w:tcBorders>
              <w:top w:val="nil"/>
              <w:left w:val="nil"/>
              <w:bottom w:val="nil"/>
              <w:right w:val="nil"/>
            </w:tcBorders>
            <w:shd w:val="clear" w:color="auto" w:fill="auto"/>
            <w:vAlign w:val="center"/>
            <w:hideMark/>
          </w:tcPr>
          <w:p w14:paraId="6FBCAAB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568</w:t>
            </w:r>
          </w:p>
        </w:tc>
        <w:tc>
          <w:tcPr>
            <w:tcW w:w="653" w:type="pct"/>
            <w:tcBorders>
              <w:top w:val="nil"/>
              <w:left w:val="nil"/>
              <w:bottom w:val="nil"/>
              <w:right w:val="nil"/>
            </w:tcBorders>
            <w:shd w:val="clear" w:color="auto" w:fill="auto"/>
            <w:vAlign w:val="center"/>
            <w:hideMark/>
          </w:tcPr>
          <w:p w14:paraId="33EDCCE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59.6</w:t>
            </w:r>
          </w:p>
        </w:tc>
        <w:tc>
          <w:tcPr>
            <w:tcW w:w="557" w:type="pct"/>
            <w:tcBorders>
              <w:top w:val="nil"/>
              <w:left w:val="nil"/>
              <w:bottom w:val="nil"/>
              <w:right w:val="nil"/>
            </w:tcBorders>
            <w:shd w:val="clear" w:color="auto" w:fill="auto"/>
            <w:vAlign w:val="center"/>
            <w:hideMark/>
          </w:tcPr>
          <w:p w14:paraId="44DA8A2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54.5, 64.5</w:t>
            </w:r>
          </w:p>
        </w:tc>
        <w:tc>
          <w:tcPr>
            <w:tcW w:w="391" w:type="pct"/>
            <w:tcBorders>
              <w:top w:val="nil"/>
              <w:left w:val="nil"/>
              <w:bottom w:val="nil"/>
              <w:right w:val="single" w:sz="4" w:space="0" w:color="auto"/>
            </w:tcBorders>
            <w:shd w:val="clear" w:color="auto" w:fill="auto"/>
            <w:noWrap/>
            <w:vAlign w:val="center"/>
            <w:hideMark/>
          </w:tcPr>
          <w:p w14:paraId="0EF35BB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2911D83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106</w:t>
            </w:r>
          </w:p>
        </w:tc>
        <w:tc>
          <w:tcPr>
            <w:tcW w:w="653" w:type="pct"/>
            <w:tcBorders>
              <w:top w:val="nil"/>
              <w:left w:val="nil"/>
              <w:bottom w:val="nil"/>
              <w:right w:val="nil"/>
            </w:tcBorders>
            <w:shd w:val="clear" w:color="auto" w:fill="auto"/>
            <w:vAlign w:val="center"/>
            <w:hideMark/>
          </w:tcPr>
          <w:p w14:paraId="2C9F947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53.1</w:t>
            </w:r>
          </w:p>
        </w:tc>
        <w:tc>
          <w:tcPr>
            <w:tcW w:w="557" w:type="pct"/>
            <w:tcBorders>
              <w:top w:val="nil"/>
              <w:left w:val="nil"/>
              <w:bottom w:val="nil"/>
              <w:right w:val="nil"/>
            </w:tcBorders>
            <w:shd w:val="clear" w:color="auto" w:fill="auto"/>
            <w:vAlign w:val="center"/>
            <w:hideMark/>
          </w:tcPr>
          <w:p w14:paraId="010E4ED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35.6, 70.0</w:t>
            </w:r>
          </w:p>
        </w:tc>
        <w:tc>
          <w:tcPr>
            <w:tcW w:w="390" w:type="pct"/>
            <w:tcBorders>
              <w:top w:val="nil"/>
              <w:left w:val="nil"/>
              <w:bottom w:val="nil"/>
              <w:right w:val="single" w:sz="4" w:space="0" w:color="auto"/>
            </w:tcBorders>
            <w:shd w:val="clear" w:color="auto" w:fill="auto"/>
            <w:noWrap/>
            <w:vAlign w:val="center"/>
            <w:hideMark/>
          </w:tcPr>
          <w:p w14:paraId="1CF3C39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6CE987B6" w14:textId="77777777" w:rsidTr="00400523">
        <w:trPr>
          <w:trHeight w:val="288"/>
        </w:trPr>
        <w:tc>
          <w:tcPr>
            <w:tcW w:w="966" w:type="pct"/>
            <w:tcBorders>
              <w:top w:val="nil"/>
              <w:left w:val="nil"/>
              <w:bottom w:val="nil"/>
              <w:right w:val="nil"/>
            </w:tcBorders>
            <w:shd w:val="clear" w:color="auto" w:fill="auto"/>
            <w:vAlign w:val="center"/>
            <w:hideMark/>
          </w:tcPr>
          <w:p w14:paraId="54B3C6D1"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Current smoker</w:t>
            </w:r>
          </w:p>
        </w:tc>
        <w:tc>
          <w:tcPr>
            <w:tcW w:w="417" w:type="pct"/>
            <w:tcBorders>
              <w:top w:val="nil"/>
              <w:left w:val="nil"/>
              <w:bottom w:val="nil"/>
              <w:right w:val="nil"/>
            </w:tcBorders>
            <w:shd w:val="clear" w:color="auto" w:fill="auto"/>
            <w:vAlign w:val="center"/>
            <w:hideMark/>
          </w:tcPr>
          <w:p w14:paraId="0FDF31A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524</w:t>
            </w:r>
          </w:p>
        </w:tc>
        <w:tc>
          <w:tcPr>
            <w:tcW w:w="653" w:type="pct"/>
            <w:tcBorders>
              <w:top w:val="nil"/>
              <w:left w:val="nil"/>
              <w:bottom w:val="nil"/>
              <w:right w:val="nil"/>
            </w:tcBorders>
            <w:shd w:val="clear" w:color="auto" w:fill="auto"/>
            <w:vAlign w:val="center"/>
            <w:hideMark/>
          </w:tcPr>
          <w:p w14:paraId="00813CA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45.1</w:t>
            </w:r>
          </w:p>
        </w:tc>
        <w:tc>
          <w:tcPr>
            <w:tcW w:w="557" w:type="pct"/>
            <w:tcBorders>
              <w:top w:val="nil"/>
              <w:left w:val="nil"/>
              <w:bottom w:val="nil"/>
              <w:right w:val="nil"/>
            </w:tcBorders>
            <w:shd w:val="clear" w:color="auto" w:fill="auto"/>
            <w:vAlign w:val="center"/>
            <w:hideMark/>
          </w:tcPr>
          <w:p w14:paraId="78FF6EE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39.4, 50.8</w:t>
            </w:r>
          </w:p>
        </w:tc>
        <w:tc>
          <w:tcPr>
            <w:tcW w:w="391" w:type="pct"/>
            <w:tcBorders>
              <w:top w:val="nil"/>
              <w:left w:val="nil"/>
              <w:bottom w:val="nil"/>
              <w:right w:val="single" w:sz="4" w:space="0" w:color="auto"/>
            </w:tcBorders>
            <w:shd w:val="clear" w:color="auto" w:fill="auto"/>
            <w:noWrap/>
            <w:vAlign w:val="center"/>
            <w:hideMark/>
          </w:tcPr>
          <w:p w14:paraId="7A4DCD1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5C29E0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143</w:t>
            </w:r>
          </w:p>
        </w:tc>
        <w:tc>
          <w:tcPr>
            <w:tcW w:w="653" w:type="pct"/>
            <w:tcBorders>
              <w:top w:val="nil"/>
              <w:left w:val="nil"/>
              <w:bottom w:val="nil"/>
              <w:right w:val="nil"/>
            </w:tcBorders>
            <w:shd w:val="clear" w:color="auto" w:fill="auto"/>
            <w:vAlign w:val="center"/>
            <w:hideMark/>
          </w:tcPr>
          <w:p w14:paraId="6635AAA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39.1</w:t>
            </w:r>
          </w:p>
        </w:tc>
        <w:tc>
          <w:tcPr>
            <w:tcW w:w="557" w:type="pct"/>
            <w:tcBorders>
              <w:top w:val="nil"/>
              <w:left w:val="nil"/>
              <w:bottom w:val="nil"/>
              <w:right w:val="nil"/>
            </w:tcBorders>
            <w:shd w:val="clear" w:color="auto" w:fill="auto"/>
            <w:vAlign w:val="center"/>
            <w:hideMark/>
          </w:tcPr>
          <w:p w14:paraId="33E03A9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21.7, 59.8</w:t>
            </w:r>
          </w:p>
        </w:tc>
        <w:tc>
          <w:tcPr>
            <w:tcW w:w="390" w:type="pct"/>
            <w:tcBorders>
              <w:top w:val="nil"/>
              <w:left w:val="nil"/>
              <w:bottom w:val="nil"/>
              <w:right w:val="single" w:sz="4" w:space="0" w:color="auto"/>
            </w:tcBorders>
            <w:shd w:val="clear" w:color="auto" w:fill="auto"/>
            <w:noWrap/>
            <w:vAlign w:val="center"/>
            <w:hideMark/>
          </w:tcPr>
          <w:p w14:paraId="3C343A4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7B40A41F" w14:textId="77777777" w:rsidTr="00400523">
        <w:trPr>
          <w:trHeight w:val="288"/>
        </w:trPr>
        <w:tc>
          <w:tcPr>
            <w:tcW w:w="966" w:type="pct"/>
            <w:tcBorders>
              <w:top w:val="nil"/>
              <w:left w:val="nil"/>
              <w:bottom w:val="nil"/>
              <w:right w:val="nil"/>
            </w:tcBorders>
            <w:shd w:val="clear" w:color="auto" w:fill="auto"/>
            <w:vAlign w:val="center"/>
            <w:hideMark/>
          </w:tcPr>
          <w:p w14:paraId="31FE041D"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Alcohol consumption</w:t>
            </w:r>
          </w:p>
        </w:tc>
        <w:tc>
          <w:tcPr>
            <w:tcW w:w="417" w:type="pct"/>
            <w:tcBorders>
              <w:top w:val="nil"/>
              <w:left w:val="nil"/>
              <w:bottom w:val="nil"/>
              <w:right w:val="nil"/>
            </w:tcBorders>
            <w:shd w:val="clear" w:color="auto" w:fill="auto"/>
            <w:vAlign w:val="center"/>
            <w:hideMark/>
          </w:tcPr>
          <w:p w14:paraId="78F0A2A0"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vAlign w:val="center"/>
            <w:hideMark/>
          </w:tcPr>
          <w:p w14:paraId="429BC903"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vAlign w:val="center"/>
            <w:hideMark/>
          </w:tcPr>
          <w:p w14:paraId="6D7B5FB7"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3113D157"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0.032</w:t>
            </w:r>
          </w:p>
        </w:tc>
        <w:tc>
          <w:tcPr>
            <w:tcW w:w="416" w:type="pct"/>
            <w:tcBorders>
              <w:top w:val="nil"/>
              <w:left w:val="nil"/>
              <w:bottom w:val="nil"/>
              <w:right w:val="nil"/>
            </w:tcBorders>
            <w:shd w:val="clear" w:color="auto" w:fill="auto"/>
            <w:vAlign w:val="center"/>
            <w:hideMark/>
          </w:tcPr>
          <w:p w14:paraId="6052B2C5"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noWrap/>
            <w:vAlign w:val="bottom"/>
            <w:hideMark/>
          </w:tcPr>
          <w:p w14:paraId="5FA12A4C"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44E093AE"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768E4D87"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0.032</w:t>
            </w:r>
          </w:p>
        </w:tc>
      </w:tr>
      <w:tr w:rsidR="00622270" w:rsidRPr="00000849" w14:paraId="134DCE00" w14:textId="77777777" w:rsidTr="00400523">
        <w:trPr>
          <w:trHeight w:val="288"/>
        </w:trPr>
        <w:tc>
          <w:tcPr>
            <w:tcW w:w="966" w:type="pct"/>
            <w:tcBorders>
              <w:top w:val="nil"/>
              <w:left w:val="nil"/>
              <w:bottom w:val="nil"/>
              <w:right w:val="nil"/>
            </w:tcBorders>
            <w:shd w:val="clear" w:color="auto" w:fill="auto"/>
            <w:vAlign w:val="center"/>
            <w:hideMark/>
          </w:tcPr>
          <w:p w14:paraId="79E52B39"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Lifetime abstainer</w:t>
            </w:r>
          </w:p>
        </w:tc>
        <w:tc>
          <w:tcPr>
            <w:tcW w:w="417" w:type="pct"/>
            <w:tcBorders>
              <w:top w:val="nil"/>
              <w:left w:val="nil"/>
              <w:bottom w:val="nil"/>
              <w:right w:val="nil"/>
            </w:tcBorders>
            <w:shd w:val="clear" w:color="auto" w:fill="auto"/>
            <w:vAlign w:val="center"/>
            <w:hideMark/>
          </w:tcPr>
          <w:p w14:paraId="67B8348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1762</w:t>
            </w:r>
          </w:p>
        </w:tc>
        <w:tc>
          <w:tcPr>
            <w:tcW w:w="653" w:type="pct"/>
            <w:tcBorders>
              <w:top w:val="nil"/>
              <w:left w:val="nil"/>
              <w:bottom w:val="nil"/>
              <w:right w:val="nil"/>
            </w:tcBorders>
            <w:shd w:val="clear" w:color="auto" w:fill="auto"/>
            <w:vAlign w:val="center"/>
            <w:hideMark/>
          </w:tcPr>
          <w:p w14:paraId="20C4CF0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59.7</w:t>
            </w:r>
          </w:p>
        </w:tc>
        <w:tc>
          <w:tcPr>
            <w:tcW w:w="557" w:type="pct"/>
            <w:tcBorders>
              <w:top w:val="nil"/>
              <w:left w:val="nil"/>
              <w:bottom w:val="nil"/>
              <w:right w:val="nil"/>
            </w:tcBorders>
            <w:shd w:val="clear" w:color="auto" w:fill="auto"/>
            <w:vAlign w:val="center"/>
            <w:hideMark/>
          </w:tcPr>
          <w:p w14:paraId="3947162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56.5, 62.8</w:t>
            </w:r>
          </w:p>
        </w:tc>
        <w:tc>
          <w:tcPr>
            <w:tcW w:w="391" w:type="pct"/>
            <w:tcBorders>
              <w:top w:val="nil"/>
              <w:left w:val="nil"/>
              <w:bottom w:val="nil"/>
              <w:right w:val="single" w:sz="4" w:space="0" w:color="auto"/>
            </w:tcBorders>
            <w:shd w:val="clear" w:color="auto" w:fill="auto"/>
            <w:noWrap/>
            <w:vAlign w:val="center"/>
            <w:hideMark/>
          </w:tcPr>
          <w:p w14:paraId="7729FBD5"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20AF0B8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2456</w:t>
            </w:r>
          </w:p>
        </w:tc>
        <w:tc>
          <w:tcPr>
            <w:tcW w:w="653" w:type="pct"/>
            <w:tcBorders>
              <w:top w:val="nil"/>
              <w:left w:val="nil"/>
              <w:bottom w:val="nil"/>
              <w:right w:val="nil"/>
            </w:tcBorders>
            <w:shd w:val="clear" w:color="auto" w:fill="auto"/>
            <w:vAlign w:val="center"/>
            <w:hideMark/>
          </w:tcPr>
          <w:p w14:paraId="7659D1F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34.7</w:t>
            </w:r>
          </w:p>
        </w:tc>
        <w:tc>
          <w:tcPr>
            <w:tcW w:w="557" w:type="pct"/>
            <w:tcBorders>
              <w:top w:val="nil"/>
              <w:left w:val="nil"/>
              <w:bottom w:val="nil"/>
              <w:right w:val="nil"/>
            </w:tcBorders>
            <w:shd w:val="clear" w:color="auto" w:fill="auto"/>
            <w:vAlign w:val="center"/>
            <w:hideMark/>
          </w:tcPr>
          <w:p w14:paraId="6ED8089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32.2, 37.3</w:t>
            </w:r>
          </w:p>
        </w:tc>
        <w:tc>
          <w:tcPr>
            <w:tcW w:w="390" w:type="pct"/>
            <w:tcBorders>
              <w:top w:val="nil"/>
              <w:left w:val="nil"/>
              <w:bottom w:val="nil"/>
              <w:right w:val="single" w:sz="4" w:space="0" w:color="auto"/>
            </w:tcBorders>
            <w:shd w:val="clear" w:color="auto" w:fill="auto"/>
            <w:noWrap/>
            <w:vAlign w:val="center"/>
            <w:hideMark/>
          </w:tcPr>
          <w:p w14:paraId="70CE03A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403B05F3" w14:textId="77777777" w:rsidTr="00400523">
        <w:trPr>
          <w:trHeight w:val="288"/>
        </w:trPr>
        <w:tc>
          <w:tcPr>
            <w:tcW w:w="966" w:type="pct"/>
            <w:tcBorders>
              <w:top w:val="nil"/>
              <w:left w:val="nil"/>
              <w:bottom w:val="nil"/>
              <w:right w:val="nil"/>
            </w:tcBorders>
            <w:shd w:val="clear" w:color="auto" w:fill="auto"/>
            <w:vAlign w:val="center"/>
            <w:hideMark/>
          </w:tcPr>
          <w:p w14:paraId="2AE4A20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Non-heavy drinker</w:t>
            </w:r>
          </w:p>
        </w:tc>
        <w:tc>
          <w:tcPr>
            <w:tcW w:w="417" w:type="pct"/>
            <w:tcBorders>
              <w:top w:val="nil"/>
              <w:left w:val="nil"/>
              <w:bottom w:val="nil"/>
              <w:right w:val="nil"/>
            </w:tcBorders>
            <w:shd w:val="clear" w:color="auto" w:fill="auto"/>
            <w:vAlign w:val="center"/>
            <w:hideMark/>
          </w:tcPr>
          <w:p w14:paraId="2029B49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2398</w:t>
            </w:r>
          </w:p>
        </w:tc>
        <w:tc>
          <w:tcPr>
            <w:tcW w:w="653" w:type="pct"/>
            <w:tcBorders>
              <w:top w:val="nil"/>
              <w:left w:val="nil"/>
              <w:bottom w:val="nil"/>
              <w:right w:val="nil"/>
            </w:tcBorders>
            <w:shd w:val="clear" w:color="auto" w:fill="auto"/>
            <w:vAlign w:val="center"/>
            <w:hideMark/>
          </w:tcPr>
          <w:p w14:paraId="7B013BC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54.9</w:t>
            </w:r>
          </w:p>
        </w:tc>
        <w:tc>
          <w:tcPr>
            <w:tcW w:w="557" w:type="pct"/>
            <w:tcBorders>
              <w:top w:val="nil"/>
              <w:left w:val="nil"/>
              <w:bottom w:val="nil"/>
              <w:right w:val="nil"/>
            </w:tcBorders>
            <w:shd w:val="clear" w:color="auto" w:fill="auto"/>
            <w:vAlign w:val="center"/>
            <w:hideMark/>
          </w:tcPr>
          <w:p w14:paraId="795FFD7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52.0, 57.8</w:t>
            </w:r>
          </w:p>
        </w:tc>
        <w:tc>
          <w:tcPr>
            <w:tcW w:w="391" w:type="pct"/>
            <w:tcBorders>
              <w:top w:val="nil"/>
              <w:left w:val="nil"/>
              <w:bottom w:val="nil"/>
              <w:right w:val="single" w:sz="4" w:space="0" w:color="auto"/>
            </w:tcBorders>
            <w:shd w:val="clear" w:color="auto" w:fill="auto"/>
            <w:noWrap/>
            <w:vAlign w:val="center"/>
            <w:hideMark/>
          </w:tcPr>
          <w:p w14:paraId="728C925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15D68C5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1005</w:t>
            </w:r>
          </w:p>
        </w:tc>
        <w:tc>
          <w:tcPr>
            <w:tcW w:w="653" w:type="pct"/>
            <w:tcBorders>
              <w:top w:val="nil"/>
              <w:left w:val="nil"/>
              <w:bottom w:val="nil"/>
              <w:right w:val="nil"/>
            </w:tcBorders>
            <w:shd w:val="clear" w:color="auto" w:fill="auto"/>
            <w:vAlign w:val="center"/>
            <w:hideMark/>
          </w:tcPr>
          <w:p w14:paraId="62D2A7C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36.8</w:t>
            </w:r>
          </w:p>
        </w:tc>
        <w:tc>
          <w:tcPr>
            <w:tcW w:w="557" w:type="pct"/>
            <w:tcBorders>
              <w:top w:val="nil"/>
              <w:left w:val="nil"/>
              <w:bottom w:val="nil"/>
              <w:right w:val="nil"/>
            </w:tcBorders>
            <w:shd w:val="clear" w:color="auto" w:fill="auto"/>
            <w:vAlign w:val="center"/>
            <w:hideMark/>
          </w:tcPr>
          <w:p w14:paraId="467AF2F4"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32.0, 41.8</w:t>
            </w:r>
          </w:p>
        </w:tc>
        <w:tc>
          <w:tcPr>
            <w:tcW w:w="390" w:type="pct"/>
            <w:tcBorders>
              <w:top w:val="nil"/>
              <w:left w:val="nil"/>
              <w:bottom w:val="nil"/>
              <w:right w:val="single" w:sz="4" w:space="0" w:color="auto"/>
            </w:tcBorders>
            <w:shd w:val="clear" w:color="auto" w:fill="auto"/>
            <w:noWrap/>
            <w:vAlign w:val="center"/>
            <w:hideMark/>
          </w:tcPr>
          <w:p w14:paraId="75C751E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16FD56A9" w14:textId="77777777" w:rsidTr="00400523">
        <w:trPr>
          <w:trHeight w:val="288"/>
        </w:trPr>
        <w:tc>
          <w:tcPr>
            <w:tcW w:w="966" w:type="pct"/>
            <w:tcBorders>
              <w:top w:val="nil"/>
              <w:left w:val="nil"/>
              <w:bottom w:val="nil"/>
              <w:right w:val="nil"/>
            </w:tcBorders>
            <w:shd w:val="clear" w:color="auto" w:fill="auto"/>
            <w:vAlign w:val="center"/>
            <w:hideMark/>
          </w:tcPr>
          <w:p w14:paraId="33600349"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Heavy drinker</w:t>
            </w:r>
          </w:p>
        </w:tc>
        <w:tc>
          <w:tcPr>
            <w:tcW w:w="417" w:type="pct"/>
            <w:tcBorders>
              <w:top w:val="nil"/>
              <w:left w:val="nil"/>
              <w:bottom w:val="nil"/>
              <w:right w:val="nil"/>
            </w:tcBorders>
            <w:shd w:val="clear" w:color="auto" w:fill="auto"/>
            <w:vAlign w:val="center"/>
            <w:hideMark/>
          </w:tcPr>
          <w:p w14:paraId="056AD05B"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85</w:t>
            </w:r>
          </w:p>
        </w:tc>
        <w:tc>
          <w:tcPr>
            <w:tcW w:w="653" w:type="pct"/>
            <w:tcBorders>
              <w:top w:val="nil"/>
              <w:left w:val="nil"/>
              <w:bottom w:val="nil"/>
              <w:right w:val="nil"/>
            </w:tcBorders>
            <w:shd w:val="clear" w:color="auto" w:fill="auto"/>
            <w:vAlign w:val="center"/>
            <w:hideMark/>
          </w:tcPr>
          <w:p w14:paraId="6DC7D57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55.6</w:t>
            </w:r>
          </w:p>
        </w:tc>
        <w:tc>
          <w:tcPr>
            <w:tcW w:w="557" w:type="pct"/>
            <w:tcBorders>
              <w:top w:val="nil"/>
              <w:left w:val="nil"/>
              <w:bottom w:val="nil"/>
              <w:right w:val="nil"/>
            </w:tcBorders>
            <w:shd w:val="clear" w:color="auto" w:fill="auto"/>
            <w:vAlign w:val="center"/>
            <w:hideMark/>
          </w:tcPr>
          <w:p w14:paraId="265484EE"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44.3, 66.4</w:t>
            </w:r>
          </w:p>
        </w:tc>
        <w:tc>
          <w:tcPr>
            <w:tcW w:w="391" w:type="pct"/>
            <w:tcBorders>
              <w:top w:val="nil"/>
              <w:left w:val="nil"/>
              <w:bottom w:val="nil"/>
              <w:right w:val="single" w:sz="4" w:space="0" w:color="auto"/>
            </w:tcBorders>
            <w:shd w:val="clear" w:color="auto" w:fill="auto"/>
            <w:noWrap/>
            <w:vAlign w:val="center"/>
            <w:hideMark/>
          </w:tcPr>
          <w:p w14:paraId="137C648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262915CA"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49</w:t>
            </w:r>
          </w:p>
        </w:tc>
        <w:tc>
          <w:tcPr>
            <w:tcW w:w="653" w:type="pct"/>
            <w:tcBorders>
              <w:top w:val="nil"/>
              <w:left w:val="nil"/>
              <w:bottom w:val="nil"/>
              <w:right w:val="nil"/>
            </w:tcBorders>
            <w:shd w:val="clear" w:color="auto" w:fill="auto"/>
            <w:vAlign w:val="center"/>
            <w:hideMark/>
          </w:tcPr>
          <w:p w14:paraId="1135A73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13.5</w:t>
            </w:r>
          </w:p>
        </w:tc>
        <w:tc>
          <w:tcPr>
            <w:tcW w:w="557" w:type="pct"/>
            <w:tcBorders>
              <w:top w:val="nil"/>
              <w:left w:val="nil"/>
              <w:bottom w:val="nil"/>
              <w:right w:val="nil"/>
            </w:tcBorders>
            <w:shd w:val="clear" w:color="auto" w:fill="auto"/>
            <w:vAlign w:val="center"/>
            <w:hideMark/>
          </w:tcPr>
          <w:p w14:paraId="525C079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7.02, 24.4</w:t>
            </w:r>
          </w:p>
        </w:tc>
        <w:tc>
          <w:tcPr>
            <w:tcW w:w="390" w:type="pct"/>
            <w:tcBorders>
              <w:top w:val="nil"/>
              <w:left w:val="nil"/>
              <w:bottom w:val="nil"/>
              <w:right w:val="single" w:sz="4" w:space="0" w:color="auto"/>
            </w:tcBorders>
            <w:shd w:val="clear" w:color="auto" w:fill="auto"/>
            <w:noWrap/>
            <w:vAlign w:val="center"/>
            <w:hideMark/>
          </w:tcPr>
          <w:p w14:paraId="2F9B672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5AE9BE4B" w14:textId="77777777" w:rsidTr="00400523">
        <w:trPr>
          <w:trHeight w:val="288"/>
        </w:trPr>
        <w:tc>
          <w:tcPr>
            <w:tcW w:w="966" w:type="pct"/>
            <w:tcBorders>
              <w:top w:val="nil"/>
              <w:left w:val="nil"/>
              <w:bottom w:val="nil"/>
              <w:right w:val="nil"/>
            </w:tcBorders>
            <w:shd w:val="clear" w:color="auto" w:fill="auto"/>
            <w:vAlign w:val="center"/>
            <w:hideMark/>
          </w:tcPr>
          <w:p w14:paraId="0FF24001"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Daily fruit/veg serving</w:t>
            </w:r>
          </w:p>
        </w:tc>
        <w:tc>
          <w:tcPr>
            <w:tcW w:w="417" w:type="pct"/>
            <w:tcBorders>
              <w:top w:val="nil"/>
              <w:left w:val="nil"/>
              <w:bottom w:val="nil"/>
              <w:right w:val="nil"/>
            </w:tcBorders>
            <w:shd w:val="clear" w:color="auto" w:fill="auto"/>
            <w:vAlign w:val="center"/>
            <w:hideMark/>
          </w:tcPr>
          <w:p w14:paraId="5B8E1917" w14:textId="77777777" w:rsidR="00D04A4F" w:rsidRPr="00000849" w:rsidRDefault="00D04A4F" w:rsidP="00DF03DC">
            <w:pPr>
              <w:spacing w:after="0" w:line="240" w:lineRule="auto"/>
              <w:rPr>
                <w:rFonts w:ascii="Calibri" w:eastAsia="Times New Roman" w:hAnsi="Calibri" w:cs="Calibri"/>
                <w:color w:val="000000"/>
                <w:sz w:val="20"/>
                <w:szCs w:val="20"/>
                <w:lang w:val="en-US"/>
              </w:rPr>
            </w:pPr>
          </w:p>
        </w:tc>
        <w:tc>
          <w:tcPr>
            <w:tcW w:w="653" w:type="pct"/>
            <w:tcBorders>
              <w:top w:val="nil"/>
              <w:left w:val="nil"/>
              <w:bottom w:val="nil"/>
              <w:right w:val="nil"/>
            </w:tcBorders>
            <w:shd w:val="clear" w:color="auto" w:fill="auto"/>
            <w:noWrap/>
            <w:vAlign w:val="bottom"/>
            <w:hideMark/>
          </w:tcPr>
          <w:p w14:paraId="75656011"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4D236EC6"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1" w:type="pct"/>
            <w:tcBorders>
              <w:top w:val="nil"/>
              <w:left w:val="nil"/>
              <w:bottom w:val="nil"/>
              <w:right w:val="single" w:sz="4" w:space="0" w:color="auto"/>
            </w:tcBorders>
            <w:shd w:val="clear" w:color="auto" w:fill="auto"/>
            <w:noWrap/>
            <w:vAlign w:val="center"/>
            <w:hideMark/>
          </w:tcPr>
          <w:p w14:paraId="635D92D8"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0.009</w:t>
            </w:r>
          </w:p>
        </w:tc>
        <w:tc>
          <w:tcPr>
            <w:tcW w:w="416" w:type="pct"/>
            <w:tcBorders>
              <w:top w:val="nil"/>
              <w:left w:val="nil"/>
              <w:bottom w:val="nil"/>
              <w:right w:val="nil"/>
            </w:tcBorders>
            <w:shd w:val="clear" w:color="auto" w:fill="auto"/>
            <w:vAlign w:val="center"/>
            <w:hideMark/>
          </w:tcPr>
          <w:p w14:paraId="17D75E69" w14:textId="77777777" w:rsidR="00D04A4F" w:rsidRPr="00000849" w:rsidRDefault="00D04A4F" w:rsidP="00DF03DC">
            <w:pPr>
              <w:spacing w:after="0" w:line="240" w:lineRule="auto"/>
              <w:jc w:val="center"/>
              <w:rPr>
                <w:rFonts w:ascii="Calibri" w:eastAsia="Times New Roman" w:hAnsi="Calibri" w:cs="Calibri"/>
                <w:b/>
                <w:bCs/>
                <w:color w:val="000000"/>
                <w:sz w:val="20"/>
                <w:szCs w:val="20"/>
                <w:lang w:val="en-US"/>
              </w:rPr>
            </w:pPr>
          </w:p>
        </w:tc>
        <w:tc>
          <w:tcPr>
            <w:tcW w:w="653" w:type="pct"/>
            <w:tcBorders>
              <w:top w:val="nil"/>
              <w:left w:val="nil"/>
              <w:bottom w:val="nil"/>
              <w:right w:val="nil"/>
            </w:tcBorders>
            <w:shd w:val="clear" w:color="auto" w:fill="auto"/>
            <w:noWrap/>
            <w:vAlign w:val="bottom"/>
            <w:hideMark/>
          </w:tcPr>
          <w:p w14:paraId="3C4D91E0" w14:textId="77777777" w:rsidR="00D04A4F" w:rsidRPr="00000849" w:rsidRDefault="00D04A4F" w:rsidP="00DF03DC">
            <w:pPr>
              <w:spacing w:after="0" w:line="240" w:lineRule="auto"/>
              <w:jc w:val="center"/>
              <w:rPr>
                <w:rFonts w:ascii="Times New Roman" w:eastAsia="Times New Roman" w:hAnsi="Times New Roman" w:cs="Times New Roman"/>
                <w:sz w:val="20"/>
                <w:szCs w:val="20"/>
                <w:lang w:val="en-US"/>
              </w:rPr>
            </w:pPr>
          </w:p>
        </w:tc>
        <w:tc>
          <w:tcPr>
            <w:tcW w:w="557" w:type="pct"/>
            <w:tcBorders>
              <w:top w:val="nil"/>
              <w:left w:val="nil"/>
              <w:bottom w:val="nil"/>
              <w:right w:val="nil"/>
            </w:tcBorders>
            <w:shd w:val="clear" w:color="auto" w:fill="auto"/>
            <w:noWrap/>
            <w:vAlign w:val="bottom"/>
            <w:hideMark/>
          </w:tcPr>
          <w:p w14:paraId="06E20CE7" w14:textId="77777777" w:rsidR="00D04A4F" w:rsidRPr="00000849" w:rsidRDefault="00D04A4F" w:rsidP="00DF03DC">
            <w:pPr>
              <w:spacing w:after="0" w:line="240" w:lineRule="auto"/>
              <w:rPr>
                <w:rFonts w:ascii="Times New Roman" w:eastAsia="Times New Roman" w:hAnsi="Times New Roman" w:cs="Times New Roman"/>
                <w:sz w:val="20"/>
                <w:szCs w:val="20"/>
                <w:lang w:val="en-US"/>
              </w:rPr>
            </w:pPr>
          </w:p>
        </w:tc>
        <w:tc>
          <w:tcPr>
            <w:tcW w:w="390" w:type="pct"/>
            <w:tcBorders>
              <w:top w:val="nil"/>
              <w:left w:val="nil"/>
              <w:bottom w:val="nil"/>
              <w:right w:val="single" w:sz="4" w:space="0" w:color="auto"/>
            </w:tcBorders>
            <w:shd w:val="clear" w:color="auto" w:fill="auto"/>
            <w:noWrap/>
            <w:vAlign w:val="center"/>
            <w:hideMark/>
          </w:tcPr>
          <w:p w14:paraId="2915BB2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0.051</w:t>
            </w:r>
          </w:p>
        </w:tc>
      </w:tr>
      <w:tr w:rsidR="00622270" w:rsidRPr="00000849" w14:paraId="12F27824" w14:textId="77777777" w:rsidTr="00400523">
        <w:trPr>
          <w:trHeight w:val="521"/>
        </w:trPr>
        <w:tc>
          <w:tcPr>
            <w:tcW w:w="966" w:type="pct"/>
            <w:tcBorders>
              <w:top w:val="nil"/>
              <w:left w:val="nil"/>
              <w:bottom w:val="nil"/>
              <w:right w:val="nil"/>
            </w:tcBorders>
            <w:shd w:val="clear" w:color="auto" w:fill="auto"/>
            <w:vAlign w:val="center"/>
            <w:hideMark/>
          </w:tcPr>
          <w:p w14:paraId="543623A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&gt;=5 daily fruit-veg serving</w:t>
            </w:r>
          </w:p>
        </w:tc>
        <w:tc>
          <w:tcPr>
            <w:tcW w:w="417" w:type="pct"/>
            <w:tcBorders>
              <w:top w:val="nil"/>
              <w:left w:val="nil"/>
              <w:bottom w:val="nil"/>
              <w:right w:val="nil"/>
            </w:tcBorders>
            <w:shd w:val="clear" w:color="auto" w:fill="auto"/>
            <w:vAlign w:val="center"/>
            <w:hideMark/>
          </w:tcPr>
          <w:p w14:paraId="3C039B49"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1278</w:t>
            </w:r>
          </w:p>
        </w:tc>
        <w:tc>
          <w:tcPr>
            <w:tcW w:w="653" w:type="pct"/>
            <w:tcBorders>
              <w:top w:val="nil"/>
              <w:left w:val="nil"/>
              <w:bottom w:val="nil"/>
              <w:right w:val="nil"/>
            </w:tcBorders>
            <w:shd w:val="clear" w:color="auto" w:fill="auto"/>
            <w:vAlign w:val="center"/>
            <w:hideMark/>
          </w:tcPr>
          <w:p w14:paraId="71690786"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60.7</w:t>
            </w:r>
          </w:p>
        </w:tc>
        <w:tc>
          <w:tcPr>
            <w:tcW w:w="557" w:type="pct"/>
            <w:tcBorders>
              <w:top w:val="nil"/>
              <w:left w:val="nil"/>
              <w:bottom w:val="nil"/>
              <w:right w:val="nil"/>
            </w:tcBorders>
            <w:shd w:val="clear" w:color="auto" w:fill="auto"/>
            <w:vAlign w:val="center"/>
            <w:hideMark/>
          </w:tcPr>
          <w:p w14:paraId="65528EDF"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57.3, 63.9</w:t>
            </w:r>
          </w:p>
        </w:tc>
        <w:tc>
          <w:tcPr>
            <w:tcW w:w="391" w:type="pct"/>
            <w:tcBorders>
              <w:top w:val="nil"/>
              <w:left w:val="nil"/>
              <w:bottom w:val="nil"/>
              <w:right w:val="single" w:sz="4" w:space="0" w:color="auto"/>
            </w:tcBorders>
            <w:shd w:val="clear" w:color="auto" w:fill="auto"/>
            <w:noWrap/>
            <w:vAlign w:val="center"/>
            <w:hideMark/>
          </w:tcPr>
          <w:p w14:paraId="2B3FF022"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4EEC0A2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1596</w:t>
            </w:r>
          </w:p>
        </w:tc>
        <w:tc>
          <w:tcPr>
            <w:tcW w:w="653" w:type="pct"/>
            <w:tcBorders>
              <w:top w:val="nil"/>
              <w:left w:val="nil"/>
              <w:bottom w:val="nil"/>
              <w:right w:val="nil"/>
            </w:tcBorders>
            <w:shd w:val="clear" w:color="auto" w:fill="auto"/>
            <w:vAlign w:val="center"/>
            <w:hideMark/>
          </w:tcPr>
          <w:p w14:paraId="504DCCFC"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37.9</w:t>
            </w:r>
          </w:p>
        </w:tc>
        <w:tc>
          <w:tcPr>
            <w:tcW w:w="557" w:type="pct"/>
            <w:tcBorders>
              <w:top w:val="nil"/>
              <w:left w:val="nil"/>
              <w:bottom w:val="nil"/>
              <w:right w:val="nil"/>
            </w:tcBorders>
            <w:shd w:val="clear" w:color="auto" w:fill="auto"/>
            <w:vAlign w:val="center"/>
            <w:hideMark/>
          </w:tcPr>
          <w:p w14:paraId="53BDCB71"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33.6, 42.5</w:t>
            </w:r>
          </w:p>
        </w:tc>
        <w:tc>
          <w:tcPr>
            <w:tcW w:w="390" w:type="pct"/>
            <w:tcBorders>
              <w:top w:val="nil"/>
              <w:left w:val="nil"/>
              <w:bottom w:val="nil"/>
              <w:right w:val="single" w:sz="4" w:space="0" w:color="auto"/>
            </w:tcBorders>
            <w:shd w:val="clear" w:color="auto" w:fill="auto"/>
            <w:noWrap/>
            <w:vAlign w:val="bottom"/>
            <w:hideMark/>
          </w:tcPr>
          <w:p w14:paraId="33329D78"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622270" w:rsidRPr="00000849" w14:paraId="03B5569F" w14:textId="77777777" w:rsidTr="00400523">
        <w:trPr>
          <w:trHeight w:val="630"/>
        </w:trPr>
        <w:tc>
          <w:tcPr>
            <w:tcW w:w="966" w:type="pct"/>
            <w:tcBorders>
              <w:top w:val="nil"/>
              <w:left w:val="nil"/>
              <w:bottom w:val="nil"/>
              <w:right w:val="nil"/>
            </w:tcBorders>
            <w:shd w:val="clear" w:color="auto" w:fill="auto"/>
            <w:vAlign w:val="center"/>
            <w:hideMark/>
          </w:tcPr>
          <w:p w14:paraId="7AF7B9FE" w14:textId="77777777" w:rsidR="00D04A4F" w:rsidRPr="00000849" w:rsidRDefault="00D04A4F" w:rsidP="00DF03DC">
            <w:pPr>
              <w:spacing w:after="0" w:line="240" w:lineRule="auto"/>
              <w:ind w:firstLineChars="100" w:firstLine="200"/>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&lt;5 daily fruit-veg servings</w:t>
            </w:r>
          </w:p>
        </w:tc>
        <w:tc>
          <w:tcPr>
            <w:tcW w:w="417" w:type="pct"/>
            <w:tcBorders>
              <w:top w:val="nil"/>
              <w:left w:val="nil"/>
              <w:bottom w:val="nil"/>
              <w:right w:val="nil"/>
            </w:tcBorders>
            <w:shd w:val="clear" w:color="auto" w:fill="auto"/>
            <w:vAlign w:val="center"/>
            <w:hideMark/>
          </w:tcPr>
          <w:p w14:paraId="0CA738F7"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2940</w:t>
            </w:r>
          </w:p>
        </w:tc>
        <w:tc>
          <w:tcPr>
            <w:tcW w:w="653" w:type="pct"/>
            <w:tcBorders>
              <w:top w:val="nil"/>
              <w:left w:val="nil"/>
              <w:bottom w:val="nil"/>
              <w:right w:val="nil"/>
            </w:tcBorders>
            <w:shd w:val="clear" w:color="auto" w:fill="auto"/>
            <w:vAlign w:val="center"/>
            <w:hideMark/>
          </w:tcPr>
          <w:p w14:paraId="06412098"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55.4</w:t>
            </w:r>
          </w:p>
        </w:tc>
        <w:tc>
          <w:tcPr>
            <w:tcW w:w="557" w:type="pct"/>
            <w:tcBorders>
              <w:top w:val="nil"/>
              <w:left w:val="nil"/>
              <w:bottom w:val="nil"/>
              <w:right w:val="nil"/>
            </w:tcBorders>
            <w:shd w:val="clear" w:color="auto" w:fill="auto"/>
            <w:vAlign w:val="center"/>
            <w:hideMark/>
          </w:tcPr>
          <w:p w14:paraId="0B8C17E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52.6, 58.2</w:t>
            </w:r>
          </w:p>
        </w:tc>
        <w:tc>
          <w:tcPr>
            <w:tcW w:w="391" w:type="pct"/>
            <w:tcBorders>
              <w:top w:val="nil"/>
              <w:left w:val="nil"/>
              <w:bottom w:val="nil"/>
              <w:right w:val="single" w:sz="4" w:space="0" w:color="auto"/>
            </w:tcBorders>
            <w:shd w:val="clear" w:color="auto" w:fill="auto"/>
            <w:noWrap/>
            <w:vAlign w:val="center"/>
            <w:hideMark/>
          </w:tcPr>
          <w:p w14:paraId="187E9520"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416" w:type="pct"/>
            <w:tcBorders>
              <w:top w:val="nil"/>
              <w:left w:val="nil"/>
              <w:bottom w:val="nil"/>
              <w:right w:val="nil"/>
            </w:tcBorders>
            <w:shd w:val="clear" w:color="auto" w:fill="auto"/>
            <w:vAlign w:val="center"/>
            <w:hideMark/>
          </w:tcPr>
          <w:p w14:paraId="4B2B9EA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1749</w:t>
            </w:r>
          </w:p>
        </w:tc>
        <w:tc>
          <w:tcPr>
            <w:tcW w:w="653" w:type="pct"/>
            <w:tcBorders>
              <w:top w:val="nil"/>
              <w:left w:val="nil"/>
              <w:bottom w:val="nil"/>
              <w:right w:val="nil"/>
            </w:tcBorders>
            <w:shd w:val="clear" w:color="auto" w:fill="auto"/>
            <w:vAlign w:val="center"/>
            <w:hideMark/>
          </w:tcPr>
          <w:p w14:paraId="63733993"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32.4</w:t>
            </w:r>
          </w:p>
        </w:tc>
        <w:tc>
          <w:tcPr>
            <w:tcW w:w="557" w:type="pct"/>
            <w:tcBorders>
              <w:top w:val="nil"/>
              <w:left w:val="nil"/>
              <w:bottom w:val="nil"/>
              <w:right w:val="nil"/>
            </w:tcBorders>
            <w:shd w:val="clear" w:color="auto" w:fill="auto"/>
            <w:vAlign w:val="center"/>
            <w:hideMark/>
          </w:tcPr>
          <w:p w14:paraId="5674975D" w14:textId="77777777" w:rsidR="00D04A4F" w:rsidRPr="00000849" w:rsidRDefault="00D04A4F" w:rsidP="00DF03DC">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29.3, 35.6</w:t>
            </w:r>
          </w:p>
        </w:tc>
        <w:tc>
          <w:tcPr>
            <w:tcW w:w="390" w:type="pct"/>
            <w:tcBorders>
              <w:top w:val="nil"/>
              <w:left w:val="nil"/>
              <w:bottom w:val="nil"/>
              <w:right w:val="single" w:sz="4" w:space="0" w:color="auto"/>
            </w:tcBorders>
            <w:shd w:val="clear" w:color="auto" w:fill="auto"/>
            <w:noWrap/>
            <w:vAlign w:val="bottom"/>
            <w:hideMark/>
          </w:tcPr>
          <w:p w14:paraId="51DFB841" w14:textId="77777777" w:rsidR="00D04A4F" w:rsidRPr="00000849" w:rsidRDefault="00D04A4F" w:rsidP="00DF03DC">
            <w:pPr>
              <w:spacing w:after="0" w:line="240" w:lineRule="auto"/>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bl>
    <w:p w14:paraId="2F4D2203" w14:textId="77777777" w:rsidR="00B91C61" w:rsidRPr="00000849" w:rsidRDefault="00B91C61"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sz w:val="18"/>
          <w:szCs w:val="18"/>
        </w:rPr>
      </w:pPr>
    </w:p>
    <w:p w14:paraId="3DCF978D" w14:textId="5053861F" w:rsidR="00EB4BFD" w:rsidRPr="00000849" w:rsidRDefault="00B91C61"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sz w:val="20"/>
          <w:szCs w:val="20"/>
        </w:rPr>
      </w:pPr>
      <w:r w:rsidRPr="00000849">
        <w:rPr>
          <w:rFonts w:asciiTheme="minorHAnsi" w:hAnsiTheme="minorHAnsi" w:cstheme="minorHAnsi"/>
          <w:color w:val="383838"/>
          <w:sz w:val="18"/>
          <w:szCs w:val="18"/>
        </w:rPr>
        <w:t xml:space="preserve">BMI=body mass index; </w:t>
      </w:r>
      <w:r w:rsidR="00DF03DC" w:rsidRPr="00000849">
        <w:rPr>
          <w:rFonts w:asciiTheme="minorHAnsi" w:hAnsiTheme="minorHAnsi" w:cstheme="minorHAnsi"/>
          <w:color w:val="383838"/>
          <w:sz w:val="18"/>
          <w:szCs w:val="18"/>
        </w:rPr>
        <w:t>W1=</w:t>
      </w:r>
      <w:r w:rsidR="00AA0A34" w:rsidRPr="00000849">
        <w:rPr>
          <w:rFonts w:asciiTheme="minorHAnsi" w:hAnsiTheme="minorHAnsi" w:cstheme="minorHAnsi"/>
          <w:color w:val="383838"/>
          <w:sz w:val="18"/>
          <w:szCs w:val="18"/>
        </w:rPr>
        <w:t>Wave 1</w:t>
      </w:r>
      <w:r w:rsidR="00DF03DC" w:rsidRPr="00000849">
        <w:rPr>
          <w:rFonts w:asciiTheme="minorHAnsi" w:hAnsiTheme="minorHAnsi" w:cstheme="minorHAnsi"/>
          <w:color w:val="383838"/>
          <w:sz w:val="18"/>
          <w:szCs w:val="18"/>
        </w:rPr>
        <w:t>; W2=</w:t>
      </w:r>
      <w:r w:rsidR="00AA0A34" w:rsidRPr="00000849">
        <w:rPr>
          <w:rFonts w:asciiTheme="minorHAnsi" w:hAnsiTheme="minorHAnsi" w:cstheme="minorHAnsi"/>
          <w:color w:val="383838"/>
          <w:sz w:val="18"/>
          <w:szCs w:val="18"/>
        </w:rPr>
        <w:t>Wave 2</w:t>
      </w:r>
      <w:r w:rsidRPr="00000849">
        <w:rPr>
          <w:rFonts w:asciiTheme="minorHAnsi" w:hAnsiTheme="minorHAnsi" w:cstheme="minorHAnsi"/>
          <w:color w:val="383838"/>
          <w:sz w:val="18"/>
          <w:szCs w:val="18"/>
        </w:rPr>
        <w:t>; WHR=waist-to-hip ratio</w:t>
      </w:r>
    </w:p>
    <w:p w14:paraId="3CAC814E" w14:textId="25BE506E" w:rsidR="00EB4BFD" w:rsidRPr="00000849" w:rsidRDefault="00EB4BFD"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65C3B7F2" w14:textId="77777777" w:rsidR="00EB4BFD" w:rsidRPr="00000849" w:rsidRDefault="00EB4BFD"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sectPr w:rsidR="00EB4BFD" w:rsidRPr="00000849" w:rsidSect="00622270">
          <w:pgSz w:w="16838" w:h="11906" w:orient="landscape"/>
          <w:pgMar w:top="2155" w:right="1440" w:bottom="1440" w:left="1440" w:header="708" w:footer="708" w:gutter="0"/>
          <w:cols w:space="708"/>
          <w:docGrid w:linePitch="360"/>
        </w:sectPr>
      </w:pPr>
    </w:p>
    <w:p w14:paraId="7E130BD7" w14:textId="77777777" w:rsidR="00400523" w:rsidRPr="00000849" w:rsidRDefault="00400523" w:rsidP="004E2350">
      <w:pPr>
        <w:pStyle w:val="Heading3"/>
      </w:pPr>
      <w:bookmarkStart w:id="90" w:name="_Toc51472131"/>
      <w:r w:rsidRPr="00000849">
        <w:lastRenderedPageBreak/>
        <w:t>5.3.2</w:t>
      </w:r>
      <w:r w:rsidRPr="00000849">
        <w:tab/>
        <w:t>Distribution of prevalence by various factors in each study wave</w:t>
      </w:r>
      <w:bookmarkEnd w:id="90"/>
    </w:p>
    <w:p w14:paraId="3BBA3775" w14:textId="77777777" w:rsidR="00400523" w:rsidRPr="00000849" w:rsidRDefault="00400523" w:rsidP="00400523">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71EE632F" w14:textId="5D68409F" w:rsidR="00400523" w:rsidRPr="00000849" w:rsidRDefault="00400523" w:rsidP="00400523">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prevalence of hypertension was associated with certain demographic, socioeconomic and lifestyle factors in the two study waves (Table 5.2).  The prevalence was higher among urban residents (than among rural residents), Greater Accra Region (GAR) residents (than among residents of other regions), those not currently working (than among those working), those in richer households (than in poorer households), those with difficulty moving around (than among those with no or little difficulty), low level physical activity (than among those more physically active) and those with higher adiposity measures (than among those with lower adiposity measures).  The differences in the prevalence of hypertension between these comparison groups in each study wave were statistically significant.  The prevalence of hypertension increased with increasing BMI, hip, waist circumference and wealth quintile within each study wave.</w:t>
      </w:r>
    </w:p>
    <w:p w14:paraId="6160008D" w14:textId="77777777" w:rsidR="00400523" w:rsidRPr="00000849" w:rsidRDefault="00400523" w:rsidP="00400523">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The widest disparities in prevalence were observed with the highest and lowest categories in geographical residence (urban-rural, administrative region), wealth quintiles and obesity-related measures (BMI, waist and hip circumference).  It was 1.7-2.2 times as high among GAR residents as among residents in the Northern regions.  Similarly, it was 1.4-1.6 times as high in obese subjects as in those with normal BMI.</w:t>
      </w:r>
    </w:p>
    <w:p w14:paraId="466843DB" w14:textId="7D8478EC" w:rsidR="00ED3D14" w:rsidRPr="00000849" w:rsidRDefault="00AA70C9" w:rsidP="003E0BF6">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There were </w:t>
      </w:r>
      <w:r w:rsidR="00714DB8" w:rsidRPr="00000849">
        <w:rPr>
          <w:rFonts w:asciiTheme="minorHAnsi" w:hAnsiTheme="minorHAnsi" w:cstheme="minorHAnsi"/>
          <w:color w:val="383838"/>
        </w:rPr>
        <w:t>inconsistent</w:t>
      </w:r>
      <w:r w:rsidRPr="00000849">
        <w:rPr>
          <w:rFonts w:asciiTheme="minorHAnsi" w:hAnsiTheme="minorHAnsi" w:cstheme="minorHAnsi"/>
          <w:color w:val="383838"/>
        </w:rPr>
        <w:t xml:space="preserve"> patterns.  </w:t>
      </w:r>
      <w:r w:rsidR="00714DB8" w:rsidRPr="00000849">
        <w:rPr>
          <w:rFonts w:asciiTheme="minorHAnsi" w:hAnsiTheme="minorHAnsi" w:cstheme="minorHAnsi"/>
          <w:color w:val="383838"/>
        </w:rPr>
        <w:t>In terms of alcohol consumption</w:t>
      </w:r>
      <w:r w:rsidR="00ED3D14" w:rsidRPr="00000849">
        <w:rPr>
          <w:rFonts w:asciiTheme="minorHAnsi" w:hAnsiTheme="minorHAnsi" w:cstheme="minorHAnsi"/>
          <w:color w:val="383838"/>
        </w:rPr>
        <w:t>, t</w:t>
      </w:r>
      <w:r w:rsidRPr="00000849">
        <w:rPr>
          <w:rFonts w:asciiTheme="minorHAnsi" w:hAnsiTheme="minorHAnsi" w:cstheme="minorHAnsi"/>
          <w:color w:val="383838"/>
        </w:rPr>
        <w:t xml:space="preserve">he </w:t>
      </w:r>
      <w:r w:rsidR="00714DB8" w:rsidRPr="00000849">
        <w:rPr>
          <w:rFonts w:asciiTheme="minorHAnsi" w:hAnsiTheme="minorHAnsi" w:cstheme="minorHAnsi"/>
          <w:color w:val="383838"/>
        </w:rPr>
        <w:t xml:space="preserve">highest </w:t>
      </w:r>
      <w:r w:rsidRPr="00000849">
        <w:rPr>
          <w:rFonts w:asciiTheme="minorHAnsi" w:hAnsiTheme="minorHAnsi" w:cstheme="minorHAnsi"/>
          <w:color w:val="383838"/>
        </w:rPr>
        <w:t xml:space="preserve">prevalence of hypertension was </w:t>
      </w:r>
      <w:r w:rsidR="00714DB8" w:rsidRPr="00000849">
        <w:rPr>
          <w:rFonts w:asciiTheme="minorHAnsi" w:hAnsiTheme="minorHAnsi" w:cstheme="minorHAnsi"/>
          <w:color w:val="383838"/>
        </w:rPr>
        <w:t>among</w:t>
      </w:r>
      <w:r w:rsidRPr="00000849">
        <w:rPr>
          <w:rFonts w:asciiTheme="minorHAnsi" w:hAnsiTheme="minorHAnsi" w:cstheme="minorHAnsi"/>
          <w:color w:val="383838"/>
        </w:rPr>
        <w:t xml:space="preserve"> lifetime alcohol abstainers </w:t>
      </w:r>
      <w:r w:rsidR="00ED3D14" w:rsidRPr="00000849">
        <w:rPr>
          <w:rFonts w:asciiTheme="minorHAnsi" w:hAnsiTheme="minorHAnsi" w:cstheme="minorHAnsi"/>
          <w:color w:val="383838"/>
        </w:rPr>
        <w:t xml:space="preserve">in W1 </w:t>
      </w:r>
      <w:r w:rsidR="00714DB8" w:rsidRPr="00000849">
        <w:rPr>
          <w:rFonts w:asciiTheme="minorHAnsi" w:hAnsiTheme="minorHAnsi" w:cstheme="minorHAnsi"/>
          <w:color w:val="383838"/>
        </w:rPr>
        <w:t>compared to</w:t>
      </w:r>
      <w:r w:rsidR="00ED3D14" w:rsidRPr="00000849">
        <w:rPr>
          <w:rFonts w:asciiTheme="minorHAnsi" w:hAnsiTheme="minorHAnsi" w:cstheme="minorHAnsi"/>
          <w:color w:val="383838"/>
        </w:rPr>
        <w:t xml:space="preserve"> moderate drinkers in W2.  Several variables – sex, ethnicity, marital status, educational </w:t>
      </w:r>
      <w:r w:rsidR="00ED3D14" w:rsidRPr="00000849">
        <w:rPr>
          <w:rFonts w:asciiTheme="minorHAnsi" w:hAnsiTheme="minorHAnsi" w:cstheme="minorHAnsi"/>
          <w:color w:val="383838"/>
        </w:rPr>
        <w:lastRenderedPageBreak/>
        <w:t xml:space="preserve">level, type of most recent or current job, religion, frequency of outpatient visits in the past year, smoking status and </w:t>
      </w:r>
      <w:r w:rsidR="00F5552E" w:rsidRPr="00000849">
        <w:rPr>
          <w:rFonts w:asciiTheme="minorHAnsi" w:hAnsiTheme="minorHAnsi" w:cstheme="minorHAnsi"/>
          <w:color w:val="383838"/>
        </w:rPr>
        <w:t>daily fruit/vegetable consumption were significantly related to hypertension in W1 but not in W2.</w:t>
      </w:r>
    </w:p>
    <w:p w14:paraId="187BE4C0" w14:textId="77777777" w:rsidR="00714E28" w:rsidRPr="00000849" w:rsidRDefault="00714E28"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46DB36CD" w14:textId="59DD5011" w:rsidR="00BA21ED" w:rsidRPr="00000849" w:rsidRDefault="002006AA" w:rsidP="00A61BAB">
      <w:pPr>
        <w:pStyle w:val="Heading2"/>
      </w:pPr>
      <w:bookmarkStart w:id="91" w:name="_Toc51472132"/>
      <w:r w:rsidRPr="00000849">
        <w:t>5.</w:t>
      </w:r>
      <w:r w:rsidR="003E120D" w:rsidRPr="00000849">
        <w:t>4</w:t>
      </w:r>
      <w:r w:rsidR="003E120D" w:rsidRPr="00000849">
        <w:tab/>
      </w:r>
      <w:r w:rsidR="00714E28" w:rsidRPr="00000849">
        <w:t>Prevalence of g</w:t>
      </w:r>
      <w:r w:rsidR="00BA21ED" w:rsidRPr="00000849">
        <w:t>rades of hypertension</w:t>
      </w:r>
      <w:bookmarkEnd w:id="91"/>
      <w:r w:rsidR="00BA21ED" w:rsidRPr="00000849">
        <w:t xml:space="preserve"> </w:t>
      </w:r>
    </w:p>
    <w:p w14:paraId="6BD8F2D1" w14:textId="7CE82F50" w:rsidR="00D06869" w:rsidRPr="00000849" w:rsidRDefault="00D06869" w:rsidP="00AE34A1">
      <w:pPr>
        <w:pStyle w:val="NormalWeb"/>
        <w:keepNext/>
        <w:keepLines/>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726C05C6" w14:textId="1721C6F3" w:rsidR="00D06869" w:rsidRPr="00000849" w:rsidRDefault="003B3D22" w:rsidP="00AE34A1">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In the weighted </w:t>
      </w:r>
      <w:r w:rsidR="00C94EB9" w:rsidRPr="00000849">
        <w:rPr>
          <w:rFonts w:asciiTheme="minorHAnsi" w:hAnsiTheme="minorHAnsi" w:cstheme="minorHAnsi"/>
          <w:color w:val="383838"/>
        </w:rPr>
        <w:t xml:space="preserve">W1 </w:t>
      </w:r>
      <w:r w:rsidRPr="00000849">
        <w:rPr>
          <w:rFonts w:asciiTheme="minorHAnsi" w:hAnsiTheme="minorHAnsi" w:cstheme="minorHAnsi"/>
          <w:color w:val="383838"/>
        </w:rPr>
        <w:t>sample, 4</w:t>
      </w:r>
      <w:r w:rsidR="00CF49C1" w:rsidRPr="00000849">
        <w:rPr>
          <w:rFonts w:asciiTheme="minorHAnsi" w:hAnsiTheme="minorHAnsi" w:cstheme="minorHAnsi"/>
          <w:color w:val="383838"/>
        </w:rPr>
        <w:t>5</w:t>
      </w:r>
      <w:r w:rsidRPr="00000849">
        <w:rPr>
          <w:rFonts w:asciiTheme="minorHAnsi" w:hAnsiTheme="minorHAnsi" w:cstheme="minorHAnsi"/>
          <w:color w:val="383838"/>
        </w:rPr>
        <w:t>.</w:t>
      </w:r>
      <w:r w:rsidR="00CF49C1" w:rsidRPr="00000849">
        <w:rPr>
          <w:rFonts w:asciiTheme="minorHAnsi" w:hAnsiTheme="minorHAnsi" w:cstheme="minorHAnsi"/>
          <w:color w:val="383838"/>
        </w:rPr>
        <w:t>4</w:t>
      </w:r>
      <w:r w:rsidRPr="00000849">
        <w:rPr>
          <w:rFonts w:asciiTheme="minorHAnsi" w:hAnsiTheme="minorHAnsi" w:cstheme="minorHAnsi"/>
          <w:color w:val="383838"/>
        </w:rPr>
        <w:t xml:space="preserve">% had </w:t>
      </w:r>
      <w:r w:rsidR="00C94EB9" w:rsidRPr="00000849">
        <w:rPr>
          <w:rFonts w:asciiTheme="minorHAnsi" w:hAnsiTheme="minorHAnsi" w:cstheme="minorHAnsi"/>
          <w:color w:val="383838"/>
        </w:rPr>
        <w:t>normal BP, 24.</w:t>
      </w:r>
      <w:r w:rsidR="00CF49C1" w:rsidRPr="00000849">
        <w:rPr>
          <w:rFonts w:asciiTheme="minorHAnsi" w:hAnsiTheme="minorHAnsi" w:cstheme="minorHAnsi"/>
          <w:color w:val="383838"/>
        </w:rPr>
        <w:t>7</w:t>
      </w:r>
      <w:r w:rsidR="00C94EB9" w:rsidRPr="00000849">
        <w:rPr>
          <w:rFonts w:asciiTheme="minorHAnsi" w:hAnsiTheme="minorHAnsi" w:cstheme="minorHAnsi"/>
          <w:color w:val="383838"/>
        </w:rPr>
        <w:t xml:space="preserve">% - mild </w:t>
      </w:r>
      <w:r w:rsidR="005569C5" w:rsidRPr="00000849">
        <w:rPr>
          <w:rFonts w:asciiTheme="minorHAnsi" w:hAnsiTheme="minorHAnsi" w:cstheme="minorHAnsi"/>
          <w:color w:val="383838"/>
        </w:rPr>
        <w:t xml:space="preserve">(grade 1) </w:t>
      </w:r>
      <w:r w:rsidR="00C94EB9" w:rsidRPr="00000849">
        <w:rPr>
          <w:rFonts w:asciiTheme="minorHAnsi" w:hAnsiTheme="minorHAnsi" w:cstheme="minorHAnsi"/>
          <w:color w:val="383838"/>
        </w:rPr>
        <w:t xml:space="preserve">hypertension, </w:t>
      </w:r>
      <w:r w:rsidR="00CF49C1" w:rsidRPr="00000849">
        <w:rPr>
          <w:rFonts w:asciiTheme="minorHAnsi" w:hAnsiTheme="minorHAnsi" w:cstheme="minorHAnsi"/>
          <w:color w:val="383838"/>
        </w:rPr>
        <w:t>16</w:t>
      </w:r>
      <w:r w:rsidR="00C94EB9" w:rsidRPr="00000849">
        <w:rPr>
          <w:rFonts w:asciiTheme="minorHAnsi" w:hAnsiTheme="minorHAnsi" w:cstheme="minorHAnsi"/>
          <w:color w:val="383838"/>
        </w:rPr>
        <w:t>.</w:t>
      </w:r>
      <w:r w:rsidR="00CF49C1" w:rsidRPr="00000849">
        <w:rPr>
          <w:rFonts w:asciiTheme="minorHAnsi" w:hAnsiTheme="minorHAnsi" w:cstheme="minorHAnsi"/>
          <w:color w:val="383838"/>
        </w:rPr>
        <w:t>0</w:t>
      </w:r>
      <w:r w:rsidR="00C94EB9" w:rsidRPr="00000849">
        <w:rPr>
          <w:rFonts w:asciiTheme="minorHAnsi" w:hAnsiTheme="minorHAnsi" w:cstheme="minorHAnsi"/>
          <w:color w:val="383838"/>
        </w:rPr>
        <w:t xml:space="preserve">% - moderate </w:t>
      </w:r>
      <w:r w:rsidR="005569C5" w:rsidRPr="00000849">
        <w:rPr>
          <w:rFonts w:asciiTheme="minorHAnsi" w:hAnsiTheme="minorHAnsi" w:cstheme="minorHAnsi"/>
          <w:color w:val="383838"/>
        </w:rPr>
        <w:t xml:space="preserve">(grade 2) </w:t>
      </w:r>
      <w:r w:rsidR="00C94EB9" w:rsidRPr="00000849">
        <w:rPr>
          <w:rFonts w:asciiTheme="minorHAnsi" w:hAnsiTheme="minorHAnsi" w:cstheme="minorHAnsi"/>
          <w:color w:val="383838"/>
        </w:rPr>
        <w:t>hypertension and 13.</w:t>
      </w:r>
      <w:r w:rsidR="00CF49C1" w:rsidRPr="00000849">
        <w:rPr>
          <w:rFonts w:asciiTheme="minorHAnsi" w:hAnsiTheme="minorHAnsi" w:cstheme="minorHAnsi"/>
          <w:color w:val="383838"/>
        </w:rPr>
        <w:t>9</w:t>
      </w:r>
      <w:r w:rsidR="00C94EB9" w:rsidRPr="00000849">
        <w:rPr>
          <w:rFonts w:asciiTheme="minorHAnsi" w:hAnsiTheme="minorHAnsi" w:cstheme="minorHAnsi"/>
          <w:color w:val="383838"/>
        </w:rPr>
        <w:t xml:space="preserve">% severe </w:t>
      </w:r>
      <w:r w:rsidR="005569C5" w:rsidRPr="00000849">
        <w:rPr>
          <w:rFonts w:asciiTheme="minorHAnsi" w:hAnsiTheme="minorHAnsi" w:cstheme="minorHAnsi"/>
          <w:color w:val="383838"/>
        </w:rPr>
        <w:t xml:space="preserve">(grade 3) </w:t>
      </w:r>
      <w:r w:rsidR="00C94EB9" w:rsidRPr="00000849">
        <w:rPr>
          <w:rFonts w:asciiTheme="minorHAnsi" w:hAnsiTheme="minorHAnsi" w:cstheme="minorHAnsi"/>
          <w:color w:val="383838"/>
        </w:rPr>
        <w:t xml:space="preserve">hypertension (Table </w:t>
      </w:r>
      <w:r w:rsidR="002006AA" w:rsidRPr="00000849">
        <w:rPr>
          <w:rFonts w:asciiTheme="minorHAnsi" w:hAnsiTheme="minorHAnsi" w:cstheme="minorHAnsi"/>
          <w:color w:val="383838"/>
        </w:rPr>
        <w:t>5.</w:t>
      </w:r>
      <w:r w:rsidR="00C94EB9" w:rsidRPr="00000849">
        <w:rPr>
          <w:rFonts w:asciiTheme="minorHAnsi" w:hAnsiTheme="minorHAnsi" w:cstheme="minorHAnsi"/>
          <w:color w:val="383838"/>
        </w:rPr>
        <w:t xml:space="preserve">3).  </w:t>
      </w:r>
      <w:r w:rsidR="00BB6C9E" w:rsidRPr="00000849">
        <w:rPr>
          <w:rFonts w:asciiTheme="minorHAnsi" w:hAnsiTheme="minorHAnsi" w:cstheme="minorHAnsi"/>
          <w:color w:val="383838"/>
        </w:rPr>
        <w:t>A</w:t>
      </w:r>
      <w:r w:rsidR="00C94EB9" w:rsidRPr="00000849">
        <w:rPr>
          <w:rFonts w:asciiTheme="minorHAnsi" w:hAnsiTheme="minorHAnsi" w:cstheme="minorHAnsi"/>
          <w:color w:val="383838"/>
        </w:rPr>
        <w:t xml:space="preserve">mong the W1 adults with hypertension on BP measurement, </w:t>
      </w:r>
      <w:r w:rsidR="000C36F2" w:rsidRPr="00000849">
        <w:rPr>
          <w:rFonts w:asciiTheme="minorHAnsi" w:hAnsiTheme="minorHAnsi" w:cstheme="minorHAnsi"/>
          <w:color w:val="383838"/>
        </w:rPr>
        <w:t>25.</w:t>
      </w:r>
      <w:r w:rsidR="00CF49C1" w:rsidRPr="00000849">
        <w:rPr>
          <w:rFonts w:asciiTheme="minorHAnsi" w:hAnsiTheme="minorHAnsi" w:cstheme="minorHAnsi"/>
          <w:color w:val="383838"/>
        </w:rPr>
        <w:t>4</w:t>
      </w:r>
      <w:r w:rsidRPr="00000849">
        <w:rPr>
          <w:rFonts w:asciiTheme="minorHAnsi" w:hAnsiTheme="minorHAnsi" w:cstheme="minorHAnsi"/>
          <w:color w:val="383838"/>
        </w:rPr>
        <w:t>% severe hypertension</w:t>
      </w:r>
      <w:r w:rsidR="000C36F2" w:rsidRPr="00000849">
        <w:rPr>
          <w:rFonts w:asciiTheme="minorHAnsi" w:hAnsiTheme="minorHAnsi" w:cstheme="minorHAnsi"/>
          <w:color w:val="383838"/>
        </w:rPr>
        <w:t>.</w:t>
      </w:r>
    </w:p>
    <w:p w14:paraId="03FBBF01" w14:textId="77777777" w:rsidR="0010738A" w:rsidRPr="00000849" w:rsidRDefault="0010738A" w:rsidP="003B3D22">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1BC252F5" w14:textId="32A7D962" w:rsidR="005D7CAB" w:rsidRPr="00000849" w:rsidRDefault="00DE025D" w:rsidP="00B448FE">
      <w:pPr>
        <w:pStyle w:val="Caption"/>
        <w:rPr>
          <w:color w:val="383838"/>
        </w:rPr>
      </w:pPr>
      <w:bookmarkStart w:id="92" w:name="_Toc71153631"/>
      <w:r w:rsidRPr="00000849">
        <w:t>Table 5.</w:t>
      </w:r>
      <w:fldSimple w:instr=" SEQ Table_5. \* ARABIC ">
        <w:r w:rsidR="00C0100F">
          <w:rPr>
            <w:noProof/>
          </w:rPr>
          <w:t>3</w:t>
        </w:r>
      </w:fldSimple>
      <w:r w:rsidR="0010738A" w:rsidRPr="00000849">
        <w:t>:</w:t>
      </w:r>
      <w:r w:rsidRPr="00000849">
        <w:tab/>
      </w:r>
      <w:r w:rsidR="00CF49C1" w:rsidRPr="00000849">
        <w:t>W</w:t>
      </w:r>
      <w:r w:rsidR="0010738A" w:rsidRPr="00000849">
        <w:t>eighted prevalence of the grades of hypertension in each study wave</w:t>
      </w:r>
      <w:bookmarkEnd w:id="92"/>
    </w:p>
    <w:tbl>
      <w:tblPr>
        <w:tblW w:w="5000" w:type="pct"/>
        <w:tblLook w:val="04A0" w:firstRow="1" w:lastRow="0" w:firstColumn="1" w:lastColumn="0" w:noHBand="0" w:noVBand="1"/>
      </w:tblPr>
      <w:tblGrid>
        <w:gridCol w:w="2333"/>
        <w:gridCol w:w="903"/>
        <w:gridCol w:w="1350"/>
        <w:gridCol w:w="1439"/>
        <w:gridCol w:w="1439"/>
        <w:gridCol w:w="837"/>
      </w:tblGrid>
      <w:tr w:rsidR="00AE34A1" w:rsidRPr="00000849" w14:paraId="5CEA04E8" w14:textId="77777777" w:rsidTr="00AE34A1">
        <w:trPr>
          <w:trHeight w:val="1099"/>
          <w:tblHeader/>
        </w:trPr>
        <w:tc>
          <w:tcPr>
            <w:tcW w:w="1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651B96" w14:textId="78114120" w:rsidR="0010738A" w:rsidRPr="00000849" w:rsidRDefault="0010738A" w:rsidP="0010738A">
            <w:pPr>
              <w:spacing w:after="0" w:line="240" w:lineRule="auto"/>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Characteristic</w:t>
            </w:r>
          </w:p>
        </w:tc>
        <w:tc>
          <w:tcPr>
            <w:tcW w:w="544" w:type="pct"/>
            <w:tcBorders>
              <w:top w:val="single" w:sz="4" w:space="0" w:color="auto"/>
              <w:left w:val="nil"/>
              <w:bottom w:val="single" w:sz="4" w:space="0" w:color="auto"/>
              <w:right w:val="single" w:sz="4" w:space="0" w:color="auto"/>
            </w:tcBorders>
            <w:shd w:val="clear" w:color="auto" w:fill="auto"/>
            <w:vAlign w:val="center"/>
            <w:hideMark/>
          </w:tcPr>
          <w:p w14:paraId="67E02CC5" w14:textId="77777777" w:rsidR="0010738A" w:rsidRPr="00000849" w:rsidRDefault="0010738A" w:rsidP="0010738A">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Normal BP</w:t>
            </w:r>
          </w:p>
        </w:tc>
        <w:tc>
          <w:tcPr>
            <w:tcW w:w="813" w:type="pct"/>
            <w:tcBorders>
              <w:top w:val="single" w:sz="4" w:space="0" w:color="auto"/>
              <w:left w:val="nil"/>
              <w:bottom w:val="single" w:sz="4" w:space="0" w:color="auto"/>
              <w:right w:val="single" w:sz="4" w:space="0" w:color="auto"/>
            </w:tcBorders>
            <w:shd w:val="clear" w:color="auto" w:fill="auto"/>
            <w:vAlign w:val="center"/>
            <w:hideMark/>
          </w:tcPr>
          <w:p w14:paraId="1E227542" w14:textId="77777777" w:rsidR="0010738A" w:rsidRPr="00000849" w:rsidRDefault="0010738A" w:rsidP="0010738A">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Grade 1 (mild) BP 140–159 / 90–99 mm Hg</w:t>
            </w:r>
          </w:p>
        </w:tc>
        <w:tc>
          <w:tcPr>
            <w:tcW w:w="867" w:type="pct"/>
            <w:tcBorders>
              <w:top w:val="single" w:sz="4" w:space="0" w:color="auto"/>
              <w:left w:val="nil"/>
              <w:bottom w:val="single" w:sz="4" w:space="0" w:color="auto"/>
              <w:right w:val="single" w:sz="4" w:space="0" w:color="auto"/>
            </w:tcBorders>
            <w:shd w:val="clear" w:color="auto" w:fill="auto"/>
            <w:vAlign w:val="center"/>
            <w:hideMark/>
          </w:tcPr>
          <w:p w14:paraId="2AF929D6" w14:textId="77777777" w:rsidR="0010738A" w:rsidRPr="00000849" w:rsidRDefault="0010738A" w:rsidP="0010738A">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Grade 2 (mod) BP 160–179 / 100–109 mm Hg</w:t>
            </w:r>
          </w:p>
        </w:tc>
        <w:tc>
          <w:tcPr>
            <w:tcW w:w="867" w:type="pct"/>
            <w:tcBorders>
              <w:top w:val="single" w:sz="4" w:space="0" w:color="auto"/>
              <w:left w:val="nil"/>
              <w:bottom w:val="single" w:sz="4" w:space="0" w:color="auto"/>
              <w:right w:val="single" w:sz="4" w:space="0" w:color="auto"/>
            </w:tcBorders>
            <w:shd w:val="clear" w:color="auto" w:fill="auto"/>
            <w:vAlign w:val="center"/>
            <w:hideMark/>
          </w:tcPr>
          <w:p w14:paraId="33C6CDCF" w14:textId="77777777" w:rsidR="0010738A" w:rsidRPr="00000849" w:rsidRDefault="0010738A" w:rsidP="0010738A">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Grade 3 (severe) BP ≥ 180/110 mm Hg</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CD25A95" w14:textId="77777777" w:rsidR="0010738A" w:rsidRPr="00000849" w:rsidRDefault="0010738A" w:rsidP="0010738A">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Total</w:t>
            </w:r>
          </w:p>
        </w:tc>
      </w:tr>
      <w:tr w:rsidR="0010738A" w:rsidRPr="00000849" w14:paraId="43716AB1" w14:textId="77777777" w:rsidTr="00AE34A1">
        <w:trPr>
          <w:trHeight w:val="36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18CB1F03" w14:textId="77777777" w:rsidR="0010738A" w:rsidRPr="00000849" w:rsidRDefault="0010738A" w:rsidP="0010738A">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Wave 1</w:t>
            </w:r>
          </w:p>
        </w:tc>
      </w:tr>
      <w:tr w:rsidR="00AE34A1" w:rsidRPr="00000849" w14:paraId="493CB726" w14:textId="77777777" w:rsidTr="00AE34A1">
        <w:trPr>
          <w:trHeight w:val="360"/>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7116CF68" w14:textId="77777777" w:rsidR="0010738A" w:rsidRPr="00000849" w:rsidRDefault="0010738A" w:rsidP="0010738A">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Total sample</w:t>
            </w:r>
          </w:p>
        </w:tc>
        <w:tc>
          <w:tcPr>
            <w:tcW w:w="544" w:type="pct"/>
            <w:tcBorders>
              <w:top w:val="nil"/>
              <w:left w:val="nil"/>
              <w:bottom w:val="single" w:sz="4" w:space="0" w:color="auto"/>
              <w:right w:val="single" w:sz="4" w:space="0" w:color="auto"/>
            </w:tcBorders>
            <w:shd w:val="clear" w:color="auto" w:fill="auto"/>
            <w:noWrap/>
            <w:vAlign w:val="center"/>
            <w:hideMark/>
          </w:tcPr>
          <w:p w14:paraId="131FB116" w14:textId="77777777" w:rsidR="0010738A" w:rsidRPr="00000849" w:rsidRDefault="0010738A" w:rsidP="0010738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1956</w:t>
            </w:r>
          </w:p>
        </w:tc>
        <w:tc>
          <w:tcPr>
            <w:tcW w:w="813" w:type="pct"/>
            <w:tcBorders>
              <w:top w:val="nil"/>
              <w:left w:val="nil"/>
              <w:bottom w:val="single" w:sz="4" w:space="0" w:color="auto"/>
              <w:right w:val="single" w:sz="4" w:space="0" w:color="auto"/>
            </w:tcBorders>
            <w:shd w:val="clear" w:color="auto" w:fill="auto"/>
            <w:noWrap/>
            <w:vAlign w:val="center"/>
            <w:hideMark/>
          </w:tcPr>
          <w:p w14:paraId="41D94679" w14:textId="77777777" w:rsidR="0010738A" w:rsidRPr="00000849" w:rsidRDefault="0010738A" w:rsidP="0010738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1028</w:t>
            </w:r>
          </w:p>
        </w:tc>
        <w:tc>
          <w:tcPr>
            <w:tcW w:w="867" w:type="pct"/>
            <w:tcBorders>
              <w:top w:val="nil"/>
              <w:left w:val="nil"/>
              <w:bottom w:val="single" w:sz="4" w:space="0" w:color="auto"/>
              <w:right w:val="single" w:sz="4" w:space="0" w:color="auto"/>
            </w:tcBorders>
            <w:shd w:val="clear" w:color="auto" w:fill="auto"/>
            <w:noWrap/>
            <w:vAlign w:val="center"/>
            <w:hideMark/>
          </w:tcPr>
          <w:p w14:paraId="4771739D" w14:textId="77777777" w:rsidR="0010738A" w:rsidRPr="00000849" w:rsidRDefault="0010738A" w:rsidP="0010738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677</w:t>
            </w:r>
          </w:p>
        </w:tc>
        <w:tc>
          <w:tcPr>
            <w:tcW w:w="867" w:type="pct"/>
            <w:tcBorders>
              <w:top w:val="nil"/>
              <w:left w:val="nil"/>
              <w:bottom w:val="single" w:sz="4" w:space="0" w:color="auto"/>
              <w:right w:val="single" w:sz="4" w:space="0" w:color="auto"/>
            </w:tcBorders>
            <w:shd w:val="clear" w:color="auto" w:fill="auto"/>
            <w:noWrap/>
            <w:vAlign w:val="center"/>
            <w:hideMark/>
          </w:tcPr>
          <w:p w14:paraId="666D17D6" w14:textId="77777777" w:rsidR="0010738A" w:rsidRPr="00000849" w:rsidRDefault="0010738A" w:rsidP="0010738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584</w:t>
            </w:r>
          </w:p>
        </w:tc>
        <w:tc>
          <w:tcPr>
            <w:tcW w:w="504" w:type="pct"/>
            <w:tcBorders>
              <w:top w:val="nil"/>
              <w:left w:val="nil"/>
              <w:bottom w:val="single" w:sz="4" w:space="0" w:color="auto"/>
              <w:right w:val="single" w:sz="4" w:space="0" w:color="auto"/>
            </w:tcBorders>
            <w:shd w:val="clear" w:color="auto" w:fill="auto"/>
            <w:noWrap/>
            <w:vAlign w:val="center"/>
            <w:hideMark/>
          </w:tcPr>
          <w:p w14:paraId="023869BA" w14:textId="77777777" w:rsidR="0010738A" w:rsidRPr="00000849" w:rsidRDefault="0010738A" w:rsidP="0010738A">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4245</w:t>
            </w:r>
          </w:p>
        </w:tc>
      </w:tr>
      <w:tr w:rsidR="00CF49C1" w:rsidRPr="00000849" w14:paraId="589FFB89" w14:textId="77777777" w:rsidTr="00AE34A1">
        <w:trPr>
          <w:trHeight w:val="360"/>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394AF796" w14:textId="77777777" w:rsidR="00CF49C1" w:rsidRPr="00000849" w:rsidRDefault="00CF49C1" w:rsidP="00CF49C1">
            <w:pPr>
              <w:spacing w:after="0" w:line="240" w:lineRule="auto"/>
              <w:ind w:firstLineChars="186" w:firstLine="335"/>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with different grades of hypertension</w:t>
            </w:r>
          </w:p>
        </w:tc>
        <w:tc>
          <w:tcPr>
            <w:tcW w:w="544" w:type="pct"/>
            <w:tcBorders>
              <w:top w:val="nil"/>
              <w:left w:val="nil"/>
              <w:bottom w:val="single" w:sz="4" w:space="0" w:color="auto"/>
              <w:right w:val="single" w:sz="4" w:space="0" w:color="auto"/>
            </w:tcBorders>
            <w:shd w:val="clear" w:color="auto" w:fill="auto"/>
            <w:noWrap/>
            <w:vAlign w:val="center"/>
            <w:hideMark/>
          </w:tcPr>
          <w:p w14:paraId="0C090A9D" w14:textId="0C472549"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45.4</w:t>
            </w:r>
          </w:p>
        </w:tc>
        <w:tc>
          <w:tcPr>
            <w:tcW w:w="813" w:type="pct"/>
            <w:tcBorders>
              <w:top w:val="nil"/>
              <w:left w:val="nil"/>
              <w:bottom w:val="single" w:sz="4" w:space="0" w:color="auto"/>
              <w:right w:val="single" w:sz="4" w:space="0" w:color="auto"/>
            </w:tcBorders>
            <w:shd w:val="clear" w:color="auto" w:fill="auto"/>
            <w:noWrap/>
            <w:vAlign w:val="center"/>
            <w:hideMark/>
          </w:tcPr>
          <w:p w14:paraId="51E8E9B3" w14:textId="206E21A9"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24.7</w:t>
            </w:r>
          </w:p>
        </w:tc>
        <w:tc>
          <w:tcPr>
            <w:tcW w:w="867" w:type="pct"/>
            <w:tcBorders>
              <w:top w:val="nil"/>
              <w:left w:val="nil"/>
              <w:bottom w:val="single" w:sz="4" w:space="0" w:color="auto"/>
              <w:right w:val="single" w:sz="4" w:space="0" w:color="auto"/>
            </w:tcBorders>
            <w:shd w:val="clear" w:color="auto" w:fill="auto"/>
            <w:noWrap/>
            <w:vAlign w:val="center"/>
            <w:hideMark/>
          </w:tcPr>
          <w:p w14:paraId="6F5A487F" w14:textId="3C0E1674"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16.0</w:t>
            </w:r>
          </w:p>
        </w:tc>
        <w:tc>
          <w:tcPr>
            <w:tcW w:w="867" w:type="pct"/>
            <w:tcBorders>
              <w:top w:val="nil"/>
              <w:left w:val="nil"/>
              <w:bottom w:val="single" w:sz="4" w:space="0" w:color="auto"/>
              <w:right w:val="single" w:sz="4" w:space="0" w:color="auto"/>
            </w:tcBorders>
            <w:shd w:val="clear" w:color="auto" w:fill="auto"/>
            <w:noWrap/>
            <w:vAlign w:val="center"/>
            <w:hideMark/>
          </w:tcPr>
          <w:p w14:paraId="759C337C" w14:textId="0380339D"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13.9</w:t>
            </w:r>
          </w:p>
        </w:tc>
        <w:tc>
          <w:tcPr>
            <w:tcW w:w="504" w:type="pct"/>
            <w:tcBorders>
              <w:top w:val="nil"/>
              <w:left w:val="nil"/>
              <w:bottom w:val="single" w:sz="4" w:space="0" w:color="auto"/>
              <w:right w:val="single" w:sz="4" w:space="0" w:color="auto"/>
            </w:tcBorders>
            <w:shd w:val="clear" w:color="auto" w:fill="auto"/>
            <w:noWrap/>
            <w:vAlign w:val="center"/>
            <w:hideMark/>
          </w:tcPr>
          <w:p w14:paraId="047005ED" w14:textId="4C34393E"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100.0</w:t>
            </w:r>
          </w:p>
        </w:tc>
      </w:tr>
      <w:tr w:rsidR="00CF49C1" w:rsidRPr="00000849" w14:paraId="62D55FF6" w14:textId="77777777" w:rsidTr="00000849">
        <w:trPr>
          <w:trHeight w:val="360"/>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337226AF" w14:textId="77777777" w:rsidR="00CF49C1" w:rsidRPr="00000849" w:rsidRDefault="00CF49C1" w:rsidP="00CF49C1">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Among those with hypertension (n=2289)</w:t>
            </w:r>
          </w:p>
        </w:tc>
        <w:tc>
          <w:tcPr>
            <w:tcW w:w="544" w:type="pct"/>
            <w:tcBorders>
              <w:top w:val="nil"/>
              <w:left w:val="nil"/>
              <w:bottom w:val="single" w:sz="4" w:space="0" w:color="auto"/>
              <w:right w:val="single" w:sz="4" w:space="0" w:color="auto"/>
            </w:tcBorders>
            <w:shd w:val="clear" w:color="auto" w:fill="auto"/>
            <w:noWrap/>
            <w:vAlign w:val="center"/>
          </w:tcPr>
          <w:p w14:paraId="3D42C996" w14:textId="2F7882D4"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c>
          <w:tcPr>
            <w:tcW w:w="813" w:type="pct"/>
            <w:tcBorders>
              <w:top w:val="nil"/>
              <w:left w:val="nil"/>
              <w:bottom w:val="single" w:sz="4" w:space="0" w:color="auto"/>
              <w:right w:val="single" w:sz="4" w:space="0" w:color="auto"/>
            </w:tcBorders>
            <w:shd w:val="clear" w:color="auto" w:fill="auto"/>
            <w:noWrap/>
            <w:vAlign w:val="center"/>
          </w:tcPr>
          <w:p w14:paraId="463C5A4E" w14:textId="5B00242C"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c>
          <w:tcPr>
            <w:tcW w:w="867" w:type="pct"/>
            <w:tcBorders>
              <w:top w:val="nil"/>
              <w:left w:val="nil"/>
              <w:bottom w:val="single" w:sz="4" w:space="0" w:color="auto"/>
              <w:right w:val="single" w:sz="4" w:space="0" w:color="auto"/>
            </w:tcBorders>
            <w:shd w:val="clear" w:color="auto" w:fill="auto"/>
            <w:noWrap/>
            <w:vAlign w:val="center"/>
          </w:tcPr>
          <w:p w14:paraId="146141DF" w14:textId="07851F0A"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c>
          <w:tcPr>
            <w:tcW w:w="867" w:type="pct"/>
            <w:tcBorders>
              <w:top w:val="nil"/>
              <w:left w:val="nil"/>
              <w:bottom w:val="single" w:sz="4" w:space="0" w:color="auto"/>
              <w:right w:val="single" w:sz="4" w:space="0" w:color="auto"/>
            </w:tcBorders>
            <w:shd w:val="clear" w:color="auto" w:fill="auto"/>
            <w:noWrap/>
            <w:vAlign w:val="center"/>
          </w:tcPr>
          <w:p w14:paraId="7228D230" w14:textId="29B107CD"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c>
          <w:tcPr>
            <w:tcW w:w="504" w:type="pct"/>
            <w:tcBorders>
              <w:top w:val="nil"/>
              <w:left w:val="nil"/>
              <w:bottom w:val="single" w:sz="4" w:space="0" w:color="auto"/>
              <w:right w:val="single" w:sz="4" w:space="0" w:color="auto"/>
            </w:tcBorders>
            <w:shd w:val="clear" w:color="auto" w:fill="auto"/>
            <w:noWrap/>
            <w:vAlign w:val="center"/>
          </w:tcPr>
          <w:p w14:paraId="231474E6" w14:textId="07A395A8"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r>
      <w:tr w:rsidR="00CF49C1" w:rsidRPr="00000849" w14:paraId="58A9C9AF" w14:textId="77777777" w:rsidTr="00AE34A1">
        <w:trPr>
          <w:trHeight w:val="360"/>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2ECF5A5A" w14:textId="77777777" w:rsidR="00CF49C1" w:rsidRPr="00000849" w:rsidRDefault="00CF49C1" w:rsidP="00CF49C1">
            <w:pPr>
              <w:spacing w:after="0" w:line="240" w:lineRule="auto"/>
              <w:ind w:firstLineChars="186" w:firstLine="335"/>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with different grades</w:t>
            </w:r>
          </w:p>
        </w:tc>
        <w:tc>
          <w:tcPr>
            <w:tcW w:w="544" w:type="pct"/>
            <w:tcBorders>
              <w:top w:val="nil"/>
              <w:left w:val="nil"/>
              <w:bottom w:val="single" w:sz="4" w:space="0" w:color="auto"/>
              <w:right w:val="single" w:sz="4" w:space="0" w:color="auto"/>
            </w:tcBorders>
            <w:shd w:val="clear" w:color="auto" w:fill="auto"/>
            <w:noWrap/>
            <w:vAlign w:val="center"/>
            <w:hideMark/>
          </w:tcPr>
          <w:p w14:paraId="63C9FD71" w14:textId="0AA6591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0.0</w:t>
            </w:r>
          </w:p>
        </w:tc>
        <w:tc>
          <w:tcPr>
            <w:tcW w:w="813" w:type="pct"/>
            <w:tcBorders>
              <w:top w:val="nil"/>
              <w:left w:val="nil"/>
              <w:bottom w:val="single" w:sz="4" w:space="0" w:color="auto"/>
              <w:right w:val="single" w:sz="4" w:space="0" w:color="auto"/>
            </w:tcBorders>
            <w:shd w:val="clear" w:color="auto" w:fill="auto"/>
            <w:noWrap/>
            <w:vAlign w:val="center"/>
            <w:hideMark/>
          </w:tcPr>
          <w:p w14:paraId="570CD495" w14:textId="2AB483AD"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45.3</w:t>
            </w:r>
          </w:p>
        </w:tc>
        <w:tc>
          <w:tcPr>
            <w:tcW w:w="867" w:type="pct"/>
            <w:tcBorders>
              <w:top w:val="nil"/>
              <w:left w:val="nil"/>
              <w:bottom w:val="single" w:sz="4" w:space="0" w:color="auto"/>
              <w:right w:val="single" w:sz="4" w:space="0" w:color="auto"/>
            </w:tcBorders>
            <w:shd w:val="clear" w:color="auto" w:fill="auto"/>
            <w:noWrap/>
            <w:vAlign w:val="center"/>
            <w:hideMark/>
          </w:tcPr>
          <w:p w14:paraId="22442DA0" w14:textId="6A2C3FCA"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29.3</w:t>
            </w:r>
          </w:p>
        </w:tc>
        <w:tc>
          <w:tcPr>
            <w:tcW w:w="867" w:type="pct"/>
            <w:tcBorders>
              <w:top w:val="nil"/>
              <w:left w:val="nil"/>
              <w:bottom w:val="single" w:sz="4" w:space="0" w:color="auto"/>
              <w:right w:val="single" w:sz="4" w:space="0" w:color="auto"/>
            </w:tcBorders>
            <w:shd w:val="clear" w:color="auto" w:fill="auto"/>
            <w:noWrap/>
            <w:vAlign w:val="center"/>
            <w:hideMark/>
          </w:tcPr>
          <w:p w14:paraId="2C971045" w14:textId="3E980E36"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25.4</w:t>
            </w:r>
          </w:p>
        </w:tc>
        <w:tc>
          <w:tcPr>
            <w:tcW w:w="504" w:type="pct"/>
            <w:tcBorders>
              <w:top w:val="nil"/>
              <w:left w:val="nil"/>
              <w:bottom w:val="single" w:sz="4" w:space="0" w:color="auto"/>
              <w:right w:val="single" w:sz="4" w:space="0" w:color="auto"/>
            </w:tcBorders>
            <w:shd w:val="clear" w:color="auto" w:fill="auto"/>
            <w:noWrap/>
            <w:vAlign w:val="center"/>
            <w:hideMark/>
          </w:tcPr>
          <w:p w14:paraId="3A57E2EF" w14:textId="6A6601AF"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100.0</w:t>
            </w:r>
          </w:p>
        </w:tc>
      </w:tr>
      <w:tr w:rsidR="00CF49C1" w:rsidRPr="00000849" w14:paraId="1670F629" w14:textId="77777777" w:rsidTr="00AE34A1">
        <w:trPr>
          <w:trHeight w:val="36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333514EF" w14:textId="7B337385" w:rsidR="00CF49C1" w:rsidRPr="00000849" w:rsidRDefault="00CF49C1" w:rsidP="00CF49C1">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 xml:space="preserve">Wave 2 </w:t>
            </w:r>
          </w:p>
        </w:tc>
      </w:tr>
      <w:tr w:rsidR="00CF49C1" w:rsidRPr="00000849" w14:paraId="5A402D8D" w14:textId="77777777" w:rsidTr="00AE34A1">
        <w:trPr>
          <w:trHeight w:val="360"/>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06A03480" w14:textId="77777777" w:rsidR="00CF49C1" w:rsidRPr="00000849" w:rsidRDefault="00CF49C1" w:rsidP="00CF49C1">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Total sample</w:t>
            </w:r>
          </w:p>
        </w:tc>
        <w:tc>
          <w:tcPr>
            <w:tcW w:w="544" w:type="pct"/>
            <w:tcBorders>
              <w:top w:val="nil"/>
              <w:left w:val="nil"/>
              <w:bottom w:val="single" w:sz="4" w:space="0" w:color="auto"/>
              <w:right w:val="single" w:sz="4" w:space="0" w:color="auto"/>
            </w:tcBorders>
            <w:shd w:val="clear" w:color="auto" w:fill="auto"/>
            <w:noWrap/>
            <w:vAlign w:val="center"/>
            <w:hideMark/>
          </w:tcPr>
          <w:p w14:paraId="4B0ACF6B" w14:textId="7777777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2330</w:t>
            </w:r>
          </w:p>
        </w:tc>
        <w:tc>
          <w:tcPr>
            <w:tcW w:w="813" w:type="pct"/>
            <w:tcBorders>
              <w:top w:val="nil"/>
              <w:left w:val="nil"/>
              <w:bottom w:val="single" w:sz="4" w:space="0" w:color="auto"/>
              <w:right w:val="single" w:sz="4" w:space="0" w:color="auto"/>
            </w:tcBorders>
            <w:shd w:val="clear" w:color="auto" w:fill="auto"/>
            <w:noWrap/>
            <w:vAlign w:val="center"/>
            <w:hideMark/>
          </w:tcPr>
          <w:p w14:paraId="78C40932" w14:textId="7777777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764</w:t>
            </w:r>
          </w:p>
        </w:tc>
        <w:tc>
          <w:tcPr>
            <w:tcW w:w="867" w:type="pct"/>
            <w:tcBorders>
              <w:top w:val="nil"/>
              <w:left w:val="nil"/>
              <w:bottom w:val="single" w:sz="4" w:space="0" w:color="auto"/>
              <w:right w:val="single" w:sz="4" w:space="0" w:color="auto"/>
            </w:tcBorders>
            <w:shd w:val="clear" w:color="auto" w:fill="auto"/>
            <w:noWrap/>
            <w:vAlign w:val="center"/>
            <w:hideMark/>
          </w:tcPr>
          <w:p w14:paraId="13A1AE64" w14:textId="7777777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285</w:t>
            </w:r>
          </w:p>
        </w:tc>
        <w:tc>
          <w:tcPr>
            <w:tcW w:w="867" w:type="pct"/>
            <w:tcBorders>
              <w:top w:val="nil"/>
              <w:left w:val="nil"/>
              <w:bottom w:val="single" w:sz="4" w:space="0" w:color="auto"/>
              <w:right w:val="single" w:sz="4" w:space="0" w:color="auto"/>
            </w:tcBorders>
            <w:shd w:val="clear" w:color="auto" w:fill="auto"/>
            <w:noWrap/>
            <w:vAlign w:val="center"/>
            <w:hideMark/>
          </w:tcPr>
          <w:p w14:paraId="3CABE31B" w14:textId="7777777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140</w:t>
            </w:r>
          </w:p>
        </w:tc>
        <w:tc>
          <w:tcPr>
            <w:tcW w:w="504" w:type="pct"/>
            <w:tcBorders>
              <w:top w:val="nil"/>
              <w:left w:val="nil"/>
              <w:bottom w:val="single" w:sz="4" w:space="0" w:color="auto"/>
              <w:right w:val="single" w:sz="4" w:space="0" w:color="auto"/>
            </w:tcBorders>
            <w:shd w:val="clear" w:color="auto" w:fill="auto"/>
            <w:noWrap/>
            <w:vAlign w:val="center"/>
            <w:hideMark/>
          </w:tcPr>
          <w:p w14:paraId="2934662A" w14:textId="7777777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3519</w:t>
            </w:r>
          </w:p>
        </w:tc>
      </w:tr>
      <w:tr w:rsidR="00CF49C1" w:rsidRPr="00000849" w14:paraId="7291FC04" w14:textId="77777777" w:rsidTr="00AE34A1">
        <w:trPr>
          <w:trHeight w:val="360"/>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6B206152" w14:textId="77777777" w:rsidR="00CF49C1" w:rsidRPr="00000849" w:rsidRDefault="00CF49C1" w:rsidP="00CF49C1">
            <w:pPr>
              <w:spacing w:after="0" w:line="240" w:lineRule="auto"/>
              <w:ind w:firstLineChars="186" w:firstLine="335"/>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with different grades of hypertension</w:t>
            </w:r>
          </w:p>
        </w:tc>
        <w:tc>
          <w:tcPr>
            <w:tcW w:w="544" w:type="pct"/>
            <w:tcBorders>
              <w:top w:val="nil"/>
              <w:left w:val="nil"/>
              <w:bottom w:val="single" w:sz="4" w:space="0" w:color="auto"/>
              <w:right w:val="single" w:sz="4" w:space="0" w:color="auto"/>
            </w:tcBorders>
            <w:shd w:val="clear" w:color="auto" w:fill="auto"/>
            <w:noWrap/>
            <w:vAlign w:val="center"/>
            <w:hideMark/>
          </w:tcPr>
          <w:p w14:paraId="54428498" w14:textId="38991A82"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65.7</w:t>
            </w:r>
          </w:p>
        </w:tc>
        <w:tc>
          <w:tcPr>
            <w:tcW w:w="813" w:type="pct"/>
            <w:tcBorders>
              <w:top w:val="nil"/>
              <w:left w:val="nil"/>
              <w:bottom w:val="single" w:sz="4" w:space="0" w:color="auto"/>
              <w:right w:val="single" w:sz="4" w:space="0" w:color="auto"/>
            </w:tcBorders>
            <w:shd w:val="clear" w:color="auto" w:fill="auto"/>
            <w:noWrap/>
            <w:vAlign w:val="center"/>
            <w:hideMark/>
          </w:tcPr>
          <w:p w14:paraId="16E59429" w14:textId="649AD1C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22.0</w:t>
            </w:r>
          </w:p>
        </w:tc>
        <w:tc>
          <w:tcPr>
            <w:tcW w:w="867" w:type="pct"/>
            <w:tcBorders>
              <w:top w:val="nil"/>
              <w:left w:val="nil"/>
              <w:bottom w:val="single" w:sz="4" w:space="0" w:color="auto"/>
              <w:right w:val="single" w:sz="4" w:space="0" w:color="auto"/>
            </w:tcBorders>
            <w:shd w:val="clear" w:color="auto" w:fill="auto"/>
            <w:noWrap/>
            <w:vAlign w:val="center"/>
            <w:hideMark/>
          </w:tcPr>
          <w:p w14:paraId="0071B3AD" w14:textId="226EB65B"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8.0</w:t>
            </w:r>
          </w:p>
        </w:tc>
        <w:tc>
          <w:tcPr>
            <w:tcW w:w="867" w:type="pct"/>
            <w:tcBorders>
              <w:top w:val="nil"/>
              <w:left w:val="nil"/>
              <w:bottom w:val="single" w:sz="4" w:space="0" w:color="auto"/>
              <w:right w:val="single" w:sz="4" w:space="0" w:color="auto"/>
            </w:tcBorders>
            <w:shd w:val="clear" w:color="auto" w:fill="auto"/>
            <w:noWrap/>
            <w:vAlign w:val="center"/>
            <w:hideMark/>
          </w:tcPr>
          <w:p w14:paraId="2506B1F7" w14:textId="0C568C9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4.3</w:t>
            </w:r>
          </w:p>
        </w:tc>
        <w:tc>
          <w:tcPr>
            <w:tcW w:w="504" w:type="pct"/>
            <w:tcBorders>
              <w:top w:val="nil"/>
              <w:left w:val="nil"/>
              <w:bottom w:val="single" w:sz="4" w:space="0" w:color="auto"/>
              <w:right w:val="single" w:sz="4" w:space="0" w:color="auto"/>
            </w:tcBorders>
            <w:shd w:val="clear" w:color="auto" w:fill="auto"/>
            <w:noWrap/>
            <w:vAlign w:val="center"/>
            <w:hideMark/>
          </w:tcPr>
          <w:p w14:paraId="0CE61A77" w14:textId="6F5C33ED"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100.0</w:t>
            </w:r>
          </w:p>
        </w:tc>
      </w:tr>
      <w:tr w:rsidR="00CF49C1" w:rsidRPr="00000849" w14:paraId="66F4F618" w14:textId="77777777" w:rsidTr="00AE34A1">
        <w:trPr>
          <w:trHeight w:val="360"/>
        </w:trPr>
        <w:tc>
          <w:tcPr>
            <w:tcW w:w="1405" w:type="pct"/>
            <w:tcBorders>
              <w:top w:val="nil"/>
              <w:left w:val="single" w:sz="4" w:space="0" w:color="auto"/>
              <w:bottom w:val="single" w:sz="4" w:space="0" w:color="auto"/>
              <w:right w:val="single" w:sz="4" w:space="0" w:color="auto"/>
            </w:tcBorders>
            <w:shd w:val="clear" w:color="auto" w:fill="auto"/>
            <w:vAlign w:val="center"/>
            <w:hideMark/>
          </w:tcPr>
          <w:p w14:paraId="6A7D8050" w14:textId="77777777" w:rsidR="00CF49C1" w:rsidRPr="00000849" w:rsidRDefault="00CF49C1" w:rsidP="00CF49C1">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Among those with hypertension (n=1189)</w:t>
            </w:r>
          </w:p>
        </w:tc>
        <w:tc>
          <w:tcPr>
            <w:tcW w:w="544" w:type="pct"/>
            <w:tcBorders>
              <w:top w:val="nil"/>
              <w:left w:val="nil"/>
              <w:bottom w:val="single" w:sz="4" w:space="0" w:color="auto"/>
              <w:right w:val="single" w:sz="4" w:space="0" w:color="auto"/>
            </w:tcBorders>
            <w:shd w:val="clear" w:color="auto" w:fill="auto"/>
            <w:noWrap/>
            <w:vAlign w:val="center"/>
            <w:hideMark/>
          </w:tcPr>
          <w:p w14:paraId="6BB06FB3" w14:textId="19EA4478"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c>
          <w:tcPr>
            <w:tcW w:w="813" w:type="pct"/>
            <w:tcBorders>
              <w:top w:val="nil"/>
              <w:left w:val="nil"/>
              <w:bottom w:val="single" w:sz="4" w:space="0" w:color="auto"/>
              <w:right w:val="single" w:sz="4" w:space="0" w:color="auto"/>
            </w:tcBorders>
            <w:shd w:val="clear" w:color="auto" w:fill="auto"/>
            <w:noWrap/>
            <w:vAlign w:val="center"/>
            <w:hideMark/>
          </w:tcPr>
          <w:p w14:paraId="6ABA22C8" w14:textId="4B516FF5"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c>
          <w:tcPr>
            <w:tcW w:w="867" w:type="pct"/>
            <w:tcBorders>
              <w:top w:val="nil"/>
              <w:left w:val="nil"/>
              <w:bottom w:val="single" w:sz="4" w:space="0" w:color="auto"/>
              <w:right w:val="single" w:sz="4" w:space="0" w:color="auto"/>
            </w:tcBorders>
            <w:shd w:val="clear" w:color="auto" w:fill="auto"/>
            <w:noWrap/>
            <w:vAlign w:val="center"/>
            <w:hideMark/>
          </w:tcPr>
          <w:p w14:paraId="01D53D22" w14:textId="0E40E4F8"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c>
          <w:tcPr>
            <w:tcW w:w="867" w:type="pct"/>
            <w:tcBorders>
              <w:top w:val="nil"/>
              <w:left w:val="nil"/>
              <w:bottom w:val="single" w:sz="4" w:space="0" w:color="auto"/>
              <w:right w:val="single" w:sz="4" w:space="0" w:color="auto"/>
            </w:tcBorders>
            <w:shd w:val="clear" w:color="auto" w:fill="auto"/>
            <w:noWrap/>
            <w:vAlign w:val="center"/>
            <w:hideMark/>
          </w:tcPr>
          <w:p w14:paraId="6C96F919" w14:textId="6A9CC533"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c>
          <w:tcPr>
            <w:tcW w:w="504" w:type="pct"/>
            <w:tcBorders>
              <w:top w:val="nil"/>
              <w:left w:val="nil"/>
              <w:bottom w:val="single" w:sz="4" w:space="0" w:color="auto"/>
              <w:right w:val="single" w:sz="4" w:space="0" w:color="auto"/>
            </w:tcBorders>
            <w:shd w:val="clear" w:color="auto" w:fill="auto"/>
            <w:noWrap/>
            <w:vAlign w:val="center"/>
            <w:hideMark/>
          </w:tcPr>
          <w:p w14:paraId="76DF1351" w14:textId="1B461DD5" w:rsidR="00CF49C1" w:rsidRPr="00000849" w:rsidRDefault="00CF49C1" w:rsidP="00CF49C1">
            <w:pPr>
              <w:spacing w:after="0" w:line="240" w:lineRule="auto"/>
              <w:jc w:val="center"/>
              <w:rPr>
                <w:rFonts w:ascii="Calibri" w:eastAsia="Times New Roman" w:hAnsi="Calibri" w:cs="Calibri"/>
                <w:color w:val="000000"/>
                <w:sz w:val="18"/>
                <w:szCs w:val="18"/>
                <w:lang w:val="en-US"/>
              </w:rPr>
            </w:pPr>
          </w:p>
        </w:tc>
      </w:tr>
      <w:tr w:rsidR="00CF49C1" w:rsidRPr="00000849" w14:paraId="3F6FDDAC" w14:textId="77777777" w:rsidTr="00AE34A1">
        <w:trPr>
          <w:trHeight w:val="360"/>
        </w:trPr>
        <w:tc>
          <w:tcPr>
            <w:tcW w:w="1405" w:type="pct"/>
            <w:tcBorders>
              <w:top w:val="nil"/>
              <w:left w:val="single" w:sz="4" w:space="0" w:color="auto"/>
              <w:bottom w:val="single" w:sz="4" w:space="0" w:color="auto"/>
              <w:right w:val="single" w:sz="4" w:space="0" w:color="auto"/>
            </w:tcBorders>
            <w:shd w:val="clear" w:color="auto" w:fill="auto"/>
            <w:vAlign w:val="center"/>
          </w:tcPr>
          <w:p w14:paraId="63FE40DB" w14:textId="4186B28C" w:rsidR="00CF49C1" w:rsidRPr="00000849" w:rsidRDefault="00CF49C1" w:rsidP="00000849">
            <w:pPr>
              <w:spacing w:after="0" w:line="240" w:lineRule="auto"/>
              <w:ind w:firstLineChars="186" w:firstLine="335"/>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with different grades of hypertension</w:t>
            </w:r>
          </w:p>
        </w:tc>
        <w:tc>
          <w:tcPr>
            <w:tcW w:w="544" w:type="pct"/>
            <w:tcBorders>
              <w:top w:val="nil"/>
              <w:left w:val="nil"/>
              <w:bottom w:val="single" w:sz="4" w:space="0" w:color="auto"/>
              <w:right w:val="single" w:sz="4" w:space="0" w:color="auto"/>
            </w:tcBorders>
            <w:shd w:val="clear" w:color="auto" w:fill="auto"/>
            <w:noWrap/>
            <w:vAlign w:val="center"/>
          </w:tcPr>
          <w:p w14:paraId="2C0B0B3E" w14:textId="452C4831"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0.0</w:t>
            </w:r>
          </w:p>
        </w:tc>
        <w:tc>
          <w:tcPr>
            <w:tcW w:w="813" w:type="pct"/>
            <w:tcBorders>
              <w:top w:val="nil"/>
              <w:left w:val="nil"/>
              <w:bottom w:val="single" w:sz="4" w:space="0" w:color="auto"/>
              <w:right w:val="single" w:sz="4" w:space="0" w:color="auto"/>
            </w:tcBorders>
            <w:shd w:val="clear" w:color="auto" w:fill="auto"/>
            <w:noWrap/>
            <w:vAlign w:val="center"/>
          </w:tcPr>
          <w:p w14:paraId="3EBB22C3" w14:textId="4EDA674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64.3</w:t>
            </w:r>
          </w:p>
        </w:tc>
        <w:tc>
          <w:tcPr>
            <w:tcW w:w="867" w:type="pct"/>
            <w:tcBorders>
              <w:top w:val="nil"/>
              <w:left w:val="nil"/>
              <w:bottom w:val="single" w:sz="4" w:space="0" w:color="auto"/>
              <w:right w:val="single" w:sz="4" w:space="0" w:color="auto"/>
            </w:tcBorders>
            <w:shd w:val="clear" w:color="auto" w:fill="auto"/>
            <w:noWrap/>
            <w:vAlign w:val="center"/>
          </w:tcPr>
          <w:p w14:paraId="2C31797E" w14:textId="2BB8E2B7"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23.2</w:t>
            </w:r>
          </w:p>
        </w:tc>
        <w:tc>
          <w:tcPr>
            <w:tcW w:w="867" w:type="pct"/>
            <w:tcBorders>
              <w:top w:val="nil"/>
              <w:left w:val="nil"/>
              <w:bottom w:val="single" w:sz="4" w:space="0" w:color="auto"/>
              <w:right w:val="single" w:sz="4" w:space="0" w:color="auto"/>
            </w:tcBorders>
            <w:shd w:val="clear" w:color="auto" w:fill="auto"/>
            <w:noWrap/>
            <w:vAlign w:val="center"/>
          </w:tcPr>
          <w:p w14:paraId="010EAAC6" w14:textId="6EDE4ABD"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12.5</w:t>
            </w:r>
          </w:p>
        </w:tc>
        <w:tc>
          <w:tcPr>
            <w:tcW w:w="504" w:type="pct"/>
            <w:tcBorders>
              <w:top w:val="nil"/>
              <w:left w:val="nil"/>
              <w:bottom w:val="single" w:sz="4" w:space="0" w:color="auto"/>
              <w:right w:val="single" w:sz="4" w:space="0" w:color="auto"/>
            </w:tcBorders>
            <w:shd w:val="clear" w:color="auto" w:fill="auto"/>
            <w:noWrap/>
            <w:vAlign w:val="center"/>
          </w:tcPr>
          <w:p w14:paraId="2ABA12CC" w14:textId="60E620B5" w:rsidR="00CF49C1" w:rsidRPr="00000849" w:rsidRDefault="00CF49C1" w:rsidP="00CF49C1">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100.0</w:t>
            </w:r>
          </w:p>
        </w:tc>
      </w:tr>
    </w:tbl>
    <w:p w14:paraId="41EE043A" w14:textId="6324FA56" w:rsidR="005D7CAB" w:rsidRPr="00000849" w:rsidRDefault="005D7CAB" w:rsidP="003B3D22">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6135E4A5" w14:textId="07F66931" w:rsidR="00D06869" w:rsidRPr="00000849" w:rsidRDefault="000C36F2" w:rsidP="00C665B2">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lastRenderedPageBreak/>
        <w:t>In the W2 sample, 6</w:t>
      </w:r>
      <w:r w:rsidR="00CF49C1" w:rsidRPr="00000849">
        <w:rPr>
          <w:rFonts w:asciiTheme="minorHAnsi" w:hAnsiTheme="minorHAnsi" w:cstheme="minorHAnsi"/>
          <w:color w:val="383838"/>
        </w:rPr>
        <w:t>5.7</w:t>
      </w:r>
      <w:r w:rsidRPr="00000849">
        <w:rPr>
          <w:rFonts w:asciiTheme="minorHAnsi" w:hAnsiTheme="minorHAnsi" w:cstheme="minorHAnsi"/>
          <w:color w:val="383838"/>
        </w:rPr>
        <w:t>% had normal BP, 2</w:t>
      </w:r>
      <w:r w:rsidR="00BA4A04" w:rsidRPr="00000849">
        <w:rPr>
          <w:rFonts w:asciiTheme="minorHAnsi" w:hAnsiTheme="minorHAnsi" w:cstheme="minorHAnsi"/>
          <w:color w:val="383838"/>
        </w:rPr>
        <w:t>2.0</w:t>
      </w:r>
      <w:r w:rsidRPr="00000849">
        <w:rPr>
          <w:rFonts w:asciiTheme="minorHAnsi" w:hAnsiTheme="minorHAnsi" w:cstheme="minorHAnsi"/>
          <w:color w:val="383838"/>
        </w:rPr>
        <w:t>% - mild hypertension, 8.</w:t>
      </w:r>
      <w:r w:rsidR="00BA4A04" w:rsidRPr="00000849">
        <w:rPr>
          <w:rFonts w:asciiTheme="minorHAnsi" w:hAnsiTheme="minorHAnsi" w:cstheme="minorHAnsi"/>
          <w:color w:val="383838"/>
        </w:rPr>
        <w:t>0</w:t>
      </w:r>
      <w:r w:rsidRPr="00000849">
        <w:rPr>
          <w:rFonts w:asciiTheme="minorHAnsi" w:hAnsiTheme="minorHAnsi" w:cstheme="minorHAnsi"/>
          <w:color w:val="383838"/>
        </w:rPr>
        <w:t>% - moderate hypertension and 4.</w:t>
      </w:r>
      <w:r w:rsidR="00BA4A04" w:rsidRPr="00000849">
        <w:rPr>
          <w:rFonts w:asciiTheme="minorHAnsi" w:hAnsiTheme="minorHAnsi" w:cstheme="minorHAnsi"/>
          <w:color w:val="383838"/>
        </w:rPr>
        <w:t>3</w:t>
      </w:r>
      <w:r w:rsidRPr="00000849">
        <w:rPr>
          <w:rFonts w:asciiTheme="minorHAnsi" w:hAnsiTheme="minorHAnsi" w:cstheme="minorHAnsi"/>
          <w:color w:val="383838"/>
        </w:rPr>
        <w:t xml:space="preserve">% severe hypertension.  </w:t>
      </w:r>
      <w:r w:rsidR="00BA4A04" w:rsidRPr="00000849">
        <w:rPr>
          <w:rFonts w:asciiTheme="minorHAnsi" w:hAnsiTheme="minorHAnsi" w:cstheme="minorHAnsi"/>
          <w:color w:val="383838"/>
        </w:rPr>
        <w:t>Among W2 participants with hypertension</w:t>
      </w:r>
      <w:r w:rsidR="004436BA" w:rsidRPr="00000849">
        <w:rPr>
          <w:rFonts w:asciiTheme="minorHAnsi" w:hAnsiTheme="minorHAnsi" w:cstheme="minorHAnsi"/>
          <w:color w:val="383838"/>
        </w:rPr>
        <w:t>, 12.5% had severe hypertension.</w:t>
      </w:r>
    </w:p>
    <w:p w14:paraId="23AEE1D6" w14:textId="33CCF922" w:rsidR="003E120D" w:rsidRPr="00000849" w:rsidRDefault="003E120D"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3F5692E8" w14:textId="54117FEF" w:rsidR="00B9681C" w:rsidRPr="00000849" w:rsidRDefault="002006AA" w:rsidP="00A61BAB">
      <w:pPr>
        <w:pStyle w:val="Heading2"/>
      </w:pPr>
      <w:bookmarkStart w:id="93" w:name="_Toc51472133"/>
      <w:r w:rsidRPr="00000849">
        <w:t>5.</w:t>
      </w:r>
      <w:r w:rsidR="00C665B2" w:rsidRPr="00000849">
        <w:t>5</w:t>
      </w:r>
      <w:r w:rsidR="00B9681C" w:rsidRPr="00000849">
        <w:tab/>
        <w:t>Determinants of Hypertension</w:t>
      </w:r>
      <w:bookmarkEnd w:id="93"/>
    </w:p>
    <w:p w14:paraId="5DAE0D20" w14:textId="3EFA9BA9" w:rsidR="00352075" w:rsidRPr="00000849" w:rsidRDefault="002006AA" w:rsidP="004E2350">
      <w:pPr>
        <w:pStyle w:val="Heading3"/>
      </w:pPr>
      <w:bookmarkStart w:id="94" w:name="_Toc51472134"/>
      <w:r w:rsidRPr="00000849">
        <w:t>5.</w:t>
      </w:r>
      <w:r w:rsidR="00C665B2" w:rsidRPr="00000849">
        <w:t>5</w:t>
      </w:r>
      <w:r w:rsidR="00352075" w:rsidRPr="00000849">
        <w:t>.1</w:t>
      </w:r>
      <w:r w:rsidR="00352075" w:rsidRPr="00000849">
        <w:tab/>
        <w:t>Univariable analysis</w:t>
      </w:r>
      <w:bookmarkEnd w:id="94"/>
      <w:r w:rsidR="00352075" w:rsidRPr="00000849">
        <w:t xml:space="preserve"> </w:t>
      </w:r>
    </w:p>
    <w:p w14:paraId="77A045AC" w14:textId="77777777" w:rsidR="00352075" w:rsidRPr="00000849" w:rsidRDefault="00352075" w:rsidP="009A7D94">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40917972" w14:textId="2C1CF8B0" w:rsidR="003E0BF6" w:rsidRPr="00000849" w:rsidRDefault="00122928" w:rsidP="009A7D94">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relationship between individual covariates and hypertension was assessed </w:t>
      </w:r>
      <w:r w:rsidR="004436BA" w:rsidRPr="00000849">
        <w:rPr>
          <w:rFonts w:asciiTheme="minorHAnsi" w:hAnsiTheme="minorHAnsi" w:cstheme="minorHAnsi"/>
          <w:color w:val="383838"/>
        </w:rPr>
        <w:t xml:space="preserve">separately </w:t>
      </w:r>
      <w:r w:rsidRPr="00000849">
        <w:rPr>
          <w:rFonts w:asciiTheme="minorHAnsi" w:hAnsiTheme="minorHAnsi" w:cstheme="minorHAnsi"/>
          <w:color w:val="383838"/>
        </w:rPr>
        <w:t xml:space="preserve">in a logistic regression model for </w:t>
      </w:r>
      <w:r w:rsidR="004436BA" w:rsidRPr="00000849">
        <w:rPr>
          <w:rFonts w:asciiTheme="minorHAnsi" w:hAnsiTheme="minorHAnsi" w:cstheme="minorHAnsi"/>
          <w:color w:val="383838"/>
        </w:rPr>
        <w:t xml:space="preserve">each study wave </w:t>
      </w:r>
      <w:r w:rsidRPr="00000849">
        <w:rPr>
          <w:rFonts w:asciiTheme="minorHAnsi" w:hAnsiTheme="minorHAnsi" w:cstheme="minorHAnsi"/>
          <w:color w:val="383838"/>
        </w:rPr>
        <w:t xml:space="preserve">and crude </w:t>
      </w:r>
      <w:r w:rsidR="00466D06" w:rsidRPr="00000849">
        <w:rPr>
          <w:rFonts w:asciiTheme="minorHAnsi" w:hAnsiTheme="minorHAnsi" w:cstheme="minorHAnsi"/>
          <w:color w:val="383838"/>
        </w:rPr>
        <w:t>OR</w:t>
      </w:r>
      <w:r w:rsidRPr="00000849">
        <w:rPr>
          <w:rFonts w:asciiTheme="minorHAnsi" w:hAnsiTheme="minorHAnsi" w:cstheme="minorHAnsi"/>
          <w:color w:val="383838"/>
        </w:rPr>
        <w:t xml:space="preserve">s obtained.  </w:t>
      </w:r>
      <w:r w:rsidR="00BD3BDD" w:rsidRPr="00000849">
        <w:rPr>
          <w:rFonts w:asciiTheme="minorHAnsi" w:hAnsiTheme="minorHAnsi" w:cstheme="minorHAnsi"/>
          <w:color w:val="383838"/>
        </w:rPr>
        <w:t>There were 4,254</w:t>
      </w:r>
      <w:r w:rsidR="004436BA" w:rsidRPr="00000849">
        <w:rPr>
          <w:rFonts w:asciiTheme="minorHAnsi" w:hAnsiTheme="minorHAnsi" w:cstheme="minorHAnsi"/>
          <w:color w:val="383838"/>
        </w:rPr>
        <w:t xml:space="preserve"> and</w:t>
      </w:r>
      <w:r w:rsidR="00BD3BDD" w:rsidRPr="00000849">
        <w:rPr>
          <w:rFonts w:asciiTheme="minorHAnsi" w:hAnsiTheme="minorHAnsi" w:cstheme="minorHAnsi"/>
          <w:color w:val="383838"/>
        </w:rPr>
        <w:t xml:space="preserve"> 3,520 </w:t>
      </w:r>
      <w:r w:rsidR="001109A4" w:rsidRPr="00000849">
        <w:rPr>
          <w:rFonts w:asciiTheme="minorHAnsi" w:hAnsiTheme="minorHAnsi" w:cstheme="minorHAnsi"/>
          <w:color w:val="383838"/>
        </w:rPr>
        <w:t xml:space="preserve">participants </w:t>
      </w:r>
      <w:r w:rsidR="00BD3BDD" w:rsidRPr="00000849">
        <w:rPr>
          <w:rFonts w:asciiTheme="minorHAnsi" w:hAnsiTheme="minorHAnsi" w:cstheme="minorHAnsi"/>
          <w:color w:val="383838"/>
        </w:rPr>
        <w:t xml:space="preserve">with complete and plausible BP readings </w:t>
      </w:r>
      <w:r w:rsidR="00D50FF8" w:rsidRPr="00000849">
        <w:rPr>
          <w:rFonts w:asciiTheme="minorHAnsi" w:hAnsiTheme="minorHAnsi" w:cstheme="minorHAnsi"/>
          <w:color w:val="383838"/>
        </w:rPr>
        <w:t xml:space="preserve">in </w:t>
      </w:r>
      <w:r w:rsidR="004436BA" w:rsidRPr="00000849">
        <w:rPr>
          <w:rFonts w:asciiTheme="minorHAnsi" w:hAnsiTheme="minorHAnsi" w:cstheme="minorHAnsi"/>
          <w:color w:val="383838"/>
        </w:rPr>
        <w:t>study W1 and W2</w:t>
      </w:r>
      <w:r w:rsidR="00D50FF8" w:rsidRPr="00000849">
        <w:rPr>
          <w:rFonts w:asciiTheme="minorHAnsi" w:hAnsiTheme="minorHAnsi" w:cstheme="minorHAnsi"/>
          <w:color w:val="383838"/>
        </w:rPr>
        <w:t xml:space="preserve"> respective</w:t>
      </w:r>
      <w:r w:rsidR="004436BA" w:rsidRPr="00000849">
        <w:rPr>
          <w:rFonts w:asciiTheme="minorHAnsi" w:hAnsiTheme="minorHAnsi" w:cstheme="minorHAnsi"/>
          <w:color w:val="383838"/>
        </w:rPr>
        <w:t>ly</w:t>
      </w:r>
      <w:r w:rsidR="00D50FF8" w:rsidRPr="00000849">
        <w:rPr>
          <w:rFonts w:asciiTheme="minorHAnsi" w:hAnsiTheme="minorHAnsi" w:cstheme="minorHAnsi"/>
          <w:color w:val="383838"/>
        </w:rPr>
        <w:t xml:space="preserve"> </w:t>
      </w:r>
      <w:r w:rsidR="00CD6EC4" w:rsidRPr="00000849">
        <w:rPr>
          <w:rFonts w:asciiTheme="minorHAnsi" w:hAnsiTheme="minorHAnsi" w:cstheme="minorHAnsi"/>
          <w:color w:val="383838"/>
        </w:rPr>
        <w:t>(Table 5.4)</w:t>
      </w:r>
      <w:r w:rsidR="00BD3BDD" w:rsidRPr="00000849">
        <w:rPr>
          <w:rFonts w:asciiTheme="minorHAnsi" w:hAnsiTheme="minorHAnsi" w:cstheme="minorHAnsi"/>
          <w:color w:val="383838"/>
        </w:rPr>
        <w:t xml:space="preserve">.  </w:t>
      </w:r>
    </w:p>
    <w:p w14:paraId="6E7D35AD" w14:textId="78ED9031" w:rsidR="00BA4A04" w:rsidRPr="00000849" w:rsidRDefault="00BA4A04" w:rsidP="00000849">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Variables such as geographic residence in urban areas and in the GAR, living in the richest wealth quintile (Q5) households, being overweight / obese, or having WC ≥90cm or HC ≥100cm were significantly and positively associated with having hypertension in both study waves in the univariable models (Table 5.4).  Several variables including female sex, residence in other administrative regions, practising region other than Christianity or Islam, recent or current employment in the public or private sector, or having attained primary or higher education were all significantly associated with hypertension in W1 but not in W2.  In both study waves, subjects who had worked for two or more days in the past seven days had statistically significant lower odds of having hypertension than those not currently working.</w:t>
      </w:r>
    </w:p>
    <w:p w14:paraId="2B33CE39" w14:textId="77777777" w:rsidR="0068285B" w:rsidRPr="00000849" w:rsidRDefault="0068285B" w:rsidP="00B9681C">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1FA7E429" w14:textId="77777777" w:rsidR="00891846" w:rsidRPr="00000849" w:rsidRDefault="00891846" w:rsidP="00B9681C">
      <w:pPr>
        <w:sectPr w:rsidR="00891846" w:rsidRPr="00000849" w:rsidSect="008D5ECD">
          <w:pgSz w:w="11906" w:h="16838"/>
          <w:pgMar w:top="1440" w:right="1440" w:bottom="1440" w:left="2155" w:header="708" w:footer="708" w:gutter="0"/>
          <w:cols w:space="708"/>
          <w:docGrid w:linePitch="360"/>
        </w:sectPr>
      </w:pPr>
    </w:p>
    <w:p w14:paraId="54224FCC" w14:textId="67B6CF24" w:rsidR="00B9681C" w:rsidRPr="00000849" w:rsidRDefault="00B3356F" w:rsidP="00B448FE">
      <w:pPr>
        <w:pStyle w:val="Caption"/>
      </w:pPr>
      <w:bookmarkStart w:id="95" w:name="_Toc71153632"/>
      <w:r w:rsidRPr="00000849">
        <w:lastRenderedPageBreak/>
        <w:t>Table 5.</w:t>
      </w:r>
      <w:fldSimple w:instr=" SEQ Table_5. \* ARABIC ">
        <w:r w:rsidR="00C0100F">
          <w:rPr>
            <w:noProof/>
          </w:rPr>
          <w:t>4</w:t>
        </w:r>
      </w:fldSimple>
      <w:r w:rsidR="00891846" w:rsidRPr="00000849">
        <w:t>:</w:t>
      </w:r>
      <w:r w:rsidR="002C7211" w:rsidRPr="00000849">
        <w:tab/>
      </w:r>
      <w:r w:rsidR="00026F36" w:rsidRPr="00000849">
        <w:t>U</w:t>
      </w:r>
      <w:r w:rsidR="00891846" w:rsidRPr="00000849">
        <w:t>nivariable</w:t>
      </w:r>
      <w:r w:rsidR="00026F36" w:rsidRPr="00000849">
        <w:t xml:space="preserve"> and multivariable (single and multilevel)</w:t>
      </w:r>
      <w:r w:rsidR="00891846" w:rsidRPr="00000849">
        <w:t xml:space="preserve"> logistic </w:t>
      </w:r>
      <w:r w:rsidR="00026F36" w:rsidRPr="00000849">
        <w:t xml:space="preserve">regression </w:t>
      </w:r>
      <w:r w:rsidR="00891846" w:rsidRPr="00000849">
        <w:t xml:space="preserve">analysis of determinants of hypertension in study </w:t>
      </w:r>
      <w:r w:rsidR="00AA0A34" w:rsidRPr="00000849">
        <w:t>Wave</w:t>
      </w:r>
      <w:r w:rsidR="003D4A66" w:rsidRPr="00000849">
        <w:t>s</w:t>
      </w:r>
      <w:r w:rsidR="00AA0A34" w:rsidRPr="00000849">
        <w:t xml:space="preserve"> 1</w:t>
      </w:r>
      <w:r w:rsidR="003D4A66" w:rsidRPr="00000849">
        <w:t xml:space="preserve"> and </w:t>
      </w:r>
      <w:r w:rsidR="00891846" w:rsidRPr="00000849">
        <w:t>2</w:t>
      </w:r>
      <w:bookmarkEnd w:id="95"/>
    </w:p>
    <w:p w14:paraId="6370C2BF" w14:textId="77EBFA7E" w:rsidR="00A8498D" w:rsidRPr="00000849" w:rsidRDefault="00A8498D" w:rsidP="00B9681C"/>
    <w:tbl>
      <w:tblPr>
        <w:tblStyle w:val="PlainTable1"/>
        <w:tblW w:w="5000" w:type="pct"/>
        <w:tblInd w:w="0" w:type="dxa"/>
        <w:tblLook w:val="06A0" w:firstRow="1" w:lastRow="0" w:firstColumn="1" w:lastColumn="0" w:noHBand="1" w:noVBand="1"/>
      </w:tblPr>
      <w:tblGrid>
        <w:gridCol w:w="2488"/>
        <w:gridCol w:w="1911"/>
        <w:gridCol w:w="1908"/>
        <w:gridCol w:w="1911"/>
        <w:gridCol w:w="1911"/>
        <w:gridCol w:w="1908"/>
        <w:gridCol w:w="1911"/>
      </w:tblGrid>
      <w:tr w:rsidR="00E12B8C" w:rsidRPr="00000849" w14:paraId="7E339188" w14:textId="77777777" w:rsidTr="00000849">
        <w:trPr>
          <w:cnfStyle w:val="100000000000" w:firstRow="1" w:lastRow="0" w:firstColumn="0" w:lastColumn="0" w:oddVBand="0" w:evenVBand="0" w:oddHBand="0" w:evenHBand="0" w:firstRowFirstColumn="0" w:firstRowLastColumn="0" w:lastRowFirstColumn="0" w:lastRowLastColumn="0"/>
          <w:trHeight w:val="310"/>
          <w:tblHeader/>
        </w:trPr>
        <w:tc>
          <w:tcPr>
            <w:cnfStyle w:val="001000000000" w:firstRow="0" w:lastRow="0" w:firstColumn="1" w:lastColumn="0" w:oddVBand="0" w:evenVBand="0" w:oddHBand="0" w:evenHBand="0" w:firstRowFirstColumn="0" w:firstRowLastColumn="0" w:lastRowFirstColumn="0" w:lastRowLastColumn="0"/>
            <w:tcW w:w="892" w:type="pct"/>
            <w:vMerge w:val="restart"/>
            <w:noWrap/>
            <w:hideMark/>
          </w:tcPr>
          <w:p w14:paraId="54EAD537" w14:textId="77777777" w:rsidR="00E12B8C" w:rsidRPr="00000849" w:rsidRDefault="00E12B8C" w:rsidP="00634119">
            <w:pPr>
              <w:spacing w:after="0" w:line="240" w:lineRule="auto"/>
              <w:jc w:val="center"/>
              <w:rPr>
                <w:rFonts w:ascii="Calibri" w:eastAsia="Times New Roman" w:hAnsi="Calibri" w:cs="Calibri"/>
                <w:color w:val="000000"/>
                <w:sz w:val="18"/>
                <w:szCs w:val="18"/>
              </w:rPr>
            </w:pPr>
            <w:r w:rsidRPr="00000849">
              <w:rPr>
                <w:rFonts w:ascii="Calibri" w:eastAsia="Times New Roman" w:hAnsi="Calibri" w:cs="Calibri"/>
                <w:color w:val="000000"/>
                <w:sz w:val="18"/>
                <w:szCs w:val="18"/>
              </w:rPr>
              <w:t>Variable</w:t>
            </w:r>
          </w:p>
        </w:tc>
        <w:tc>
          <w:tcPr>
            <w:tcW w:w="1369" w:type="pct"/>
            <w:gridSpan w:val="2"/>
            <w:noWrap/>
            <w:hideMark/>
          </w:tcPr>
          <w:p w14:paraId="6C93B0B2" w14:textId="6DAE36FA" w:rsidR="00E12B8C" w:rsidRPr="00000849" w:rsidRDefault="00E12B8C" w:rsidP="006341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Univariable</w:t>
            </w:r>
          </w:p>
        </w:tc>
        <w:tc>
          <w:tcPr>
            <w:tcW w:w="1370" w:type="pct"/>
            <w:gridSpan w:val="2"/>
            <w:noWrap/>
            <w:hideMark/>
          </w:tcPr>
          <w:p w14:paraId="0ACB2F60" w14:textId="18018323" w:rsidR="00E12B8C" w:rsidRPr="00000849" w:rsidRDefault="00E12B8C" w:rsidP="006341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Single level Multivariable</w:t>
            </w:r>
          </w:p>
        </w:tc>
        <w:tc>
          <w:tcPr>
            <w:tcW w:w="1369" w:type="pct"/>
            <w:gridSpan w:val="2"/>
            <w:noWrap/>
            <w:hideMark/>
          </w:tcPr>
          <w:p w14:paraId="401CCAE5" w14:textId="0F1D7F66" w:rsidR="00E12B8C" w:rsidRPr="00000849" w:rsidRDefault="00E12B8C" w:rsidP="006341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Multilevel (3-level) multivariable</w:t>
            </w:r>
          </w:p>
        </w:tc>
      </w:tr>
      <w:tr w:rsidR="00E12B8C" w:rsidRPr="00000849" w14:paraId="24D78013" w14:textId="77777777" w:rsidTr="00000849">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892" w:type="pct"/>
            <w:vMerge/>
            <w:hideMark/>
          </w:tcPr>
          <w:p w14:paraId="1B631847" w14:textId="77777777" w:rsidR="00E12B8C" w:rsidRPr="00000849" w:rsidRDefault="00E12B8C" w:rsidP="00634119">
            <w:pPr>
              <w:spacing w:after="0" w:line="240" w:lineRule="auto"/>
              <w:rPr>
                <w:rFonts w:ascii="Calibri" w:eastAsia="Times New Roman" w:hAnsi="Calibri" w:cs="Calibri"/>
                <w:b w:val="0"/>
                <w:bCs w:val="0"/>
                <w:color w:val="000000"/>
                <w:sz w:val="18"/>
                <w:szCs w:val="18"/>
              </w:rPr>
            </w:pPr>
          </w:p>
        </w:tc>
        <w:tc>
          <w:tcPr>
            <w:tcW w:w="685" w:type="pct"/>
            <w:hideMark/>
          </w:tcPr>
          <w:p w14:paraId="43A717A9" w14:textId="77777777" w:rsidR="00E12B8C" w:rsidRPr="00000849" w:rsidRDefault="00E12B8C" w:rsidP="006341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Wave 1, OR (95% CI)</w:t>
            </w:r>
          </w:p>
        </w:tc>
        <w:tc>
          <w:tcPr>
            <w:tcW w:w="684" w:type="pct"/>
            <w:hideMark/>
          </w:tcPr>
          <w:p w14:paraId="7C438D40" w14:textId="0D109748" w:rsidR="00E12B8C" w:rsidRPr="00000849" w:rsidRDefault="00E12B8C" w:rsidP="006341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Wave 2, OR (95% CI)</w:t>
            </w:r>
          </w:p>
        </w:tc>
        <w:tc>
          <w:tcPr>
            <w:tcW w:w="685" w:type="pct"/>
            <w:hideMark/>
          </w:tcPr>
          <w:p w14:paraId="6FA086BB" w14:textId="77777777" w:rsidR="00E12B8C" w:rsidRPr="00000849" w:rsidRDefault="00E12B8C" w:rsidP="006341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Wave 1, OR (95% CI)</w:t>
            </w:r>
          </w:p>
        </w:tc>
        <w:tc>
          <w:tcPr>
            <w:tcW w:w="685" w:type="pct"/>
            <w:hideMark/>
          </w:tcPr>
          <w:p w14:paraId="7C5DA23A" w14:textId="179A5B12" w:rsidR="00E12B8C" w:rsidRPr="00000849" w:rsidRDefault="00E12B8C" w:rsidP="006341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Wave 2, OR (95% CI)</w:t>
            </w:r>
          </w:p>
        </w:tc>
        <w:tc>
          <w:tcPr>
            <w:tcW w:w="684" w:type="pct"/>
            <w:hideMark/>
          </w:tcPr>
          <w:p w14:paraId="0F0346FA" w14:textId="77777777" w:rsidR="00E12B8C" w:rsidRPr="00000849" w:rsidRDefault="00E12B8C" w:rsidP="006341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Wave 1, OR (95% CI)</w:t>
            </w:r>
          </w:p>
        </w:tc>
        <w:tc>
          <w:tcPr>
            <w:tcW w:w="685" w:type="pct"/>
            <w:hideMark/>
          </w:tcPr>
          <w:p w14:paraId="0BC68DA9" w14:textId="77777777" w:rsidR="00E12B8C" w:rsidRPr="00000849" w:rsidRDefault="00E12B8C" w:rsidP="006341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Wave 2 (all), OR (95% CI)</w:t>
            </w:r>
          </w:p>
        </w:tc>
      </w:tr>
      <w:tr w:rsidR="00E12B8C" w:rsidRPr="00000849" w14:paraId="588BAA7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7A59184A"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Sex of respondent</w:t>
            </w:r>
          </w:p>
        </w:tc>
        <w:tc>
          <w:tcPr>
            <w:tcW w:w="685" w:type="pct"/>
            <w:hideMark/>
          </w:tcPr>
          <w:p w14:paraId="4705C259"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42FDA6B9"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37CE9E7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0CA1852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33C57F45"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3AB0382F"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58F2D56E"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noWrap/>
            <w:hideMark/>
          </w:tcPr>
          <w:p w14:paraId="0118341D"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Males</w:t>
            </w:r>
          </w:p>
        </w:tc>
        <w:tc>
          <w:tcPr>
            <w:tcW w:w="685" w:type="pct"/>
            <w:hideMark/>
          </w:tcPr>
          <w:p w14:paraId="1893E09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7C1B4F6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55CF62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4A5BF62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21E4142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45E5432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567C556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noWrap/>
            <w:hideMark/>
          </w:tcPr>
          <w:p w14:paraId="76F2C5A2"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Females</w:t>
            </w:r>
          </w:p>
        </w:tc>
        <w:tc>
          <w:tcPr>
            <w:tcW w:w="685" w:type="pct"/>
            <w:hideMark/>
          </w:tcPr>
          <w:p w14:paraId="5A94CE8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1.23 (1.06-1.43)**</w:t>
            </w:r>
          </w:p>
        </w:tc>
        <w:tc>
          <w:tcPr>
            <w:tcW w:w="684" w:type="pct"/>
            <w:hideMark/>
          </w:tcPr>
          <w:p w14:paraId="19C4532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1.10 (0.92-1.32)</w:t>
            </w:r>
          </w:p>
        </w:tc>
        <w:tc>
          <w:tcPr>
            <w:tcW w:w="685" w:type="pct"/>
            <w:hideMark/>
          </w:tcPr>
          <w:p w14:paraId="7C8E9A1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0.99 (0.80-1.22)</w:t>
            </w:r>
          </w:p>
        </w:tc>
        <w:tc>
          <w:tcPr>
            <w:tcW w:w="685" w:type="pct"/>
            <w:hideMark/>
          </w:tcPr>
          <w:p w14:paraId="05BB7C4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0.83 (0.63-1.10)</w:t>
            </w:r>
          </w:p>
        </w:tc>
        <w:tc>
          <w:tcPr>
            <w:tcW w:w="684" w:type="pct"/>
            <w:hideMark/>
          </w:tcPr>
          <w:p w14:paraId="7023B32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0.94 (0.77-1.15)</w:t>
            </w:r>
          </w:p>
        </w:tc>
        <w:tc>
          <w:tcPr>
            <w:tcW w:w="685" w:type="pct"/>
            <w:hideMark/>
          </w:tcPr>
          <w:p w14:paraId="249C0AC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 (0.70-1.16)</w:t>
            </w:r>
          </w:p>
        </w:tc>
      </w:tr>
      <w:tr w:rsidR="00E12B8C" w:rsidRPr="00000849" w14:paraId="256F5D32"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7AE4D4FC"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Age groups</w:t>
            </w:r>
          </w:p>
        </w:tc>
        <w:tc>
          <w:tcPr>
            <w:tcW w:w="685" w:type="pct"/>
            <w:hideMark/>
          </w:tcPr>
          <w:p w14:paraId="37CBCAD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2030BD1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4BAEFAA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12D3209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4EAC9CEB"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4F0CB9D6"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6D1294C9"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noWrap/>
            <w:hideMark/>
          </w:tcPr>
          <w:p w14:paraId="3C570488"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50 - 64</w:t>
            </w:r>
          </w:p>
        </w:tc>
        <w:tc>
          <w:tcPr>
            <w:tcW w:w="685" w:type="pct"/>
            <w:hideMark/>
          </w:tcPr>
          <w:p w14:paraId="7155A62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7DD5053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53A0D73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5C6E385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7E9E58E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1BC539D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1904418A"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892" w:type="pct"/>
            <w:noWrap/>
            <w:hideMark/>
          </w:tcPr>
          <w:p w14:paraId="7CE2D26F"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65 - 74</w:t>
            </w:r>
          </w:p>
        </w:tc>
        <w:tc>
          <w:tcPr>
            <w:tcW w:w="685" w:type="pct"/>
            <w:hideMark/>
          </w:tcPr>
          <w:p w14:paraId="24AFF06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1.13 (0.95-1.35)</w:t>
            </w:r>
          </w:p>
        </w:tc>
        <w:tc>
          <w:tcPr>
            <w:tcW w:w="684" w:type="pct"/>
            <w:hideMark/>
          </w:tcPr>
          <w:p w14:paraId="0CA7421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1.67*** (1.27-2.19)</w:t>
            </w:r>
          </w:p>
        </w:tc>
        <w:tc>
          <w:tcPr>
            <w:tcW w:w="685" w:type="pct"/>
            <w:hideMark/>
          </w:tcPr>
          <w:p w14:paraId="5F7206A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1.14 (0.94-1.38)</w:t>
            </w:r>
          </w:p>
        </w:tc>
        <w:tc>
          <w:tcPr>
            <w:tcW w:w="685" w:type="pct"/>
            <w:hideMark/>
          </w:tcPr>
          <w:p w14:paraId="3476C94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1.53*** (1.21-1.93)</w:t>
            </w:r>
          </w:p>
        </w:tc>
        <w:tc>
          <w:tcPr>
            <w:tcW w:w="684" w:type="pct"/>
            <w:hideMark/>
          </w:tcPr>
          <w:p w14:paraId="0B8748F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 (0.91-1.31)</w:t>
            </w:r>
          </w:p>
        </w:tc>
        <w:tc>
          <w:tcPr>
            <w:tcW w:w="685" w:type="pct"/>
            <w:hideMark/>
          </w:tcPr>
          <w:p w14:paraId="6007BDE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1.64*** (1.28-2.09)</w:t>
            </w:r>
          </w:p>
        </w:tc>
      </w:tr>
      <w:tr w:rsidR="00E12B8C" w:rsidRPr="00000849" w14:paraId="6D96947E"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noWrap/>
            <w:hideMark/>
          </w:tcPr>
          <w:p w14:paraId="53531A42"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75-plus</w:t>
            </w:r>
          </w:p>
        </w:tc>
        <w:tc>
          <w:tcPr>
            <w:tcW w:w="685" w:type="pct"/>
            <w:hideMark/>
          </w:tcPr>
          <w:p w14:paraId="362328A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0.94 (0.77-1.14)</w:t>
            </w:r>
          </w:p>
        </w:tc>
        <w:tc>
          <w:tcPr>
            <w:tcW w:w="684" w:type="pct"/>
            <w:hideMark/>
          </w:tcPr>
          <w:p w14:paraId="7DDA430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1.58*** (1.24-2.02)</w:t>
            </w:r>
          </w:p>
        </w:tc>
        <w:tc>
          <w:tcPr>
            <w:tcW w:w="685" w:type="pct"/>
            <w:hideMark/>
          </w:tcPr>
          <w:p w14:paraId="5ADD5F4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0.96 (0.75-1.22)</w:t>
            </w:r>
          </w:p>
        </w:tc>
        <w:tc>
          <w:tcPr>
            <w:tcW w:w="685" w:type="pct"/>
            <w:hideMark/>
          </w:tcPr>
          <w:p w14:paraId="799D8BC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1.40* (1.05-1.88)</w:t>
            </w:r>
          </w:p>
        </w:tc>
        <w:tc>
          <w:tcPr>
            <w:tcW w:w="684" w:type="pct"/>
            <w:hideMark/>
          </w:tcPr>
          <w:p w14:paraId="0160287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0.92 (0.73-1.16)</w:t>
            </w:r>
          </w:p>
        </w:tc>
        <w:tc>
          <w:tcPr>
            <w:tcW w:w="685" w:type="pct"/>
            <w:hideMark/>
          </w:tcPr>
          <w:p w14:paraId="60FC6E4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1.44* (1.07-1.94)</w:t>
            </w:r>
          </w:p>
        </w:tc>
      </w:tr>
      <w:tr w:rsidR="00E12B8C" w:rsidRPr="00000849" w14:paraId="2D0A85E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44CB8BC0"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Type of residence</w:t>
            </w:r>
          </w:p>
        </w:tc>
        <w:tc>
          <w:tcPr>
            <w:tcW w:w="685" w:type="pct"/>
            <w:hideMark/>
          </w:tcPr>
          <w:p w14:paraId="4FBD26D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26878A4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5A0442D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7085939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30CEC8C7"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07F94A52"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2481CA31"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noWrap/>
            <w:hideMark/>
          </w:tcPr>
          <w:p w14:paraId="07BF65B5"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Rural</w:t>
            </w:r>
          </w:p>
        </w:tc>
        <w:tc>
          <w:tcPr>
            <w:tcW w:w="685" w:type="pct"/>
            <w:hideMark/>
          </w:tcPr>
          <w:p w14:paraId="54AD829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1F78CFE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46989C5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67B21E7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761C5AA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8CDD88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2463C624"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892" w:type="pct"/>
            <w:noWrap/>
            <w:hideMark/>
          </w:tcPr>
          <w:p w14:paraId="22367AC4"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Urban</w:t>
            </w:r>
          </w:p>
        </w:tc>
        <w:tc>
          <w:tcPr>
            <w:tcW w:w="685" w:type="pct"/>
            <w:hideMark/>
          </w:tcPr>
          <w:p w14:paraId="1F10773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1.78*** (1.47-2.17)</w:t>
            </w:r>
          </w:p>
        </w:tc>
        <w:tc>
          <w:tcPr>
            <w:tcW w:w="684" w:type="pct"/>
            <w:hideMark/>
          </w:tcPr>
          <w:p w14:paraId="55B938F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1.84*** (1.48-2.30)</w:t>
            </w:r>
          </w:p>
        </w:tc>
        <w:tc>
          <w:tcPr>
            <w:tcW w:w="685" w:type="pct"/>
            <w:hideMark/>
          </w:tcPr>
          <w:p w14:paraId="1232851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1.19 (0.98-1.45)</w:t>
            </w:r>
          </w:p>
        </w:tc>
        <w:tc>
          <w:tcPr>
            <w:tcW w:w="685" w:type="pct"/>
            <w:hideMark/>
          </w:tcPr>
          <w:p w14:paraId="37284EE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1.29 (0.99-1.69)</w:t>
            </w:r>
          </w:p>
        </w:tc>
        <w:tc>
          <w:tcPr>
            <w:tcW w:w="684" w:type="pct"/>
            <w:hideMark/>
          </w:tcPr>
          <w:p w14:paraId="41F3171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1.27 (0.98-1.64)</w:t>
            </w:r>
          </w:p>
        </w:tc>
        <w:tc>
          <w:tcPr>
            <w:tcW w:w="685" w:type="pct"/>
            <w:hideMark/>
          </w:tcPr>
          <w:p w14:paraId="25C8A0B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1.11 (0.84-1.45)</w:t>
            </w:r>
          </w:p>
        </w:tc>
      </w:tr>
      <w:tr w:rsidR="00E12B8C" w:rsidRPr="00000849" w14:paraId="0F2BC0A8" w14:textId="77777777" w:rsidTr="00000849">
        <w:trPr>
          <w:trHeight w:val="324"/>
        </w:trPr>
        <w:tc>
          <w:tcPr>
            <w:cnfStyle w:val="001000000000" w:firstRow="0" w:lastRow="0" w:firstColumn="1" w:lastColumn="0" w:oddVBand="0" w:evenVBand="0" w:oddHBand="0" w:evenHBand="0" w:firstRowFirstColumn="0" w:firstRowLastColumn="0" w:lastRowFirstColumn="0" w:lastRowLastColumn="0"/>
            <w:tcW w:w="892" w:type="pct"/>
            <w:hideMark/>
          </w:tcPr>
          <w:p w14:paraId="22B5194A"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Regional Groups</w:t>
            </w:r>
          </w:p>
        </w:tc>
        <w:tc>
          <w:tcPr>
            <w:tcW w:w="685" w:type="pct"/>
            <w:hideMark/>
          </w:tcPr>
          <w:p w14:paraId="1897E6E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1682F10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2D941CE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2624A51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1C90B09E"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75D45943"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3F6F8863"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noWrap/>
            <w:hideMark/>
          </w:tcPr>
          <w:p w14:paraId="1C8AA681"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Northern regions</w:t>
            </w:r>
          </w:p>
        </w:tc>
        <w:tc>
          <w:tcPr>
            <w:tcW w:w="685" w:type="pct"/>
            <w:hideMark/>
          </w:tcPr>
          <w:p w14:paraId="0E22628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582BA43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4798F45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51E2EDD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2316622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2CC01AB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03307F21"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892" w:type="pct"/>
            <w:noWrap/>
            <w:hideMark/>
          </w:tcPr>
          <w:p w14:paraId="34D02238"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Other regions</w:t>
            </w:r>
          </w:p>
        </w:tc>
        <w:tc>
          <w:tcPr>
            <w:tcW w:w="685" w:type="pct"/>
            <w:hideMark/>
          </w:tcPr>
          <w:p w14:paraId="2FBD998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2.11*** (1.55-2.87)</w:t>
            </w:r>
          </w:p>
        </w:tc>
        <w:tc>
          <w:tcPr>
            <w:tcW w:w="684" w:type="pct"/>
            <w:hideMark/>
          </w:tcPr>
          <w:p w14:paraId="17B7D26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1.22 (0.97-1.53)</w:t>
            </w:r>
          </w:p>
        </w:tc>
        <w:tc>
          <w:tcPr>
            <w:tcW w:w="685" w:type="pct"/>
            <w:hideMark/>
          </w:tcPr>
          <w:p w14:paraId="41E0902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1.96*** (1.46-2.63)</w:t>
            </w:r>
          </w:p>
        </w:tc>
        <w:tc>
          <w:tcPr>
            <w:tcW w:w="685" w:type="pct"/>
            <w:hideMark/>
          </w:tcPr>
          <w:p w14:paraId="5F079AB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1.11 (0.76-1.62)</w:t>
            </w:r>
          </w:p>
        </w:tc>
        <w:tc>
          <w:tcPr>
            <w:tcW w:w="684" w:type="pct"/>
            <w:hideMark/>
          </w:tcPr>
          <w:p w14:paraId="2CA9327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2.10*** (1.44-3.08)</w:t>
            </w:r>
          </w:p>
        </w:tc>
        <w:tc>
          <w:tcPr>
            <w:tcW w:w="685" w:type="pct"/>
            <w:hideMark/>
          </w:tcPr>
          <w:p w14:paraId="7201D18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1.21 (0.81-1.81)</w:t>
            </w:r>
          </w:p>
        </w:tc>
      </w:tr>
      <w:tr w:rsidR="00E12B8C" w:rsidRPr="00000849" w14:paraId="246462C7"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892" w:type="pct"/>
            <w:noWrap/>
            <w:hideMark/>
          </w:tcPr>
          <w:p w14:paraId="7689C457"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Greater Accra Region</w:t>
            </w:r>
          </w:p>
        </w:tc>
        <w:tc>
          <w:tcPr>
            <w:tcW w:w="685" w:type="pct"/>
            <w:hideMark/>
          </w:tcPr>
          <w:p w14:paraId="1E3E360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3.07*** (2.16-4.36)</w:t>
            </w:r>
          </w:p>
        </w:tc>
        <w:tc>
          <w:tcPr>
            <w:tcW w:w="684" w:type="pct"/>
            <w:hideMark/>
          </w:tcPr>
          <w:p w14:paraId="53AB245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3.54*** (2.19-5.75)</w:t>
            </w:r>
          </w:p>
        </w:tc>
        <w:tc>
          <w:tcPr>
            <w:tcW w:w="685" w:type="pct"/>
            <w:hideMark/>
          </w:tcPr>
          <w:p w14:paraId="1ABB8FF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1.96*** (1.32-2.92)</w:t>
            </w:r>
          </w:p>
        </w:tc>
        <w:tc>
          <w:tcPr>
            <w:tcW w:w="685" w:type="pct"/>
            <w:hideMark/>
          </w:tcPr>
          <w:p w14:paraId="288FBD9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2.56*** (1.47-4.48)</w:t>
            </w:r>
          </w:p>
        </w:tc>
        <w:tc>
          <w:tcPr>
            <w:tcW w:w="684" w:type="pct"/>
            <w:hideMark/>
          </w:tcPr>
          <w:p w14:paraId="2776ED3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2.27** (1.36-3.78)</w:t>
            </w:r>
          </w:p>
        </w:tc>
        <w:tc>
          <w:tcPr>
            <w:tcW w:w="685" w:type="pct"/>
            <w:hideMark/>
          </w:tcPr>
          <w:p w14:paraId="18782F0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3.06*** (1.72-5.45)</w:t>
            </w:r>
          </w:p>
        </w:tc>
      </w:tr>
      <w:tr w:rsidR="00E12B8C" w:rsidRPr="00000849" w14:paraId="76725A4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3A2E3FB0"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 xml:space="preserve">Marital status </w:t>
            </w:r>
          </w:p>
        </w:tc>
        <w:tc>
          <w:tcPr>
            <w:tcW w:w="685" w:type="pct"/>
            <w:hideMark/>
          </w:tcPr>
          <w:p w14:paraId="1B4E2326"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1FA724F9"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098AE4B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3075608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6D206E40"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10328AFC"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6D5BCD89" w14:textId="77777777" w:rsidTr="00000849">
        <w:trPr>
          <w:trHeight w:val="480"/>
        </w:trPr>
        <w:tc>
          <w:tcPr>
            <w:cnfStyle w:val="001000000000" w:firstRow="0" w:lastRow="0" w:firstColumn="1" w:lastColumn="0" w:oddVBand="0" w:evenVBand="0" w:oddHBand="0" w:evenHBand="0" w:firstRowFirstColumn="0" w:firstRowLastColumn="0" w:lastRowFirstColumn="0" w:lastRowLastColumn="0"/>
            <w:tcW w:w="892" w:type="pct"/>
            <w:hideMark/>
          </w:tcPr>
          <w:p w14:paraId="1BFF1C1C"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Currently married or cohabiting</w:t>
            </w:r>
          </w:p>
        </w:tc>
        <w:tc>
          <w:tcPr>
            <w:tcW w:w="685" w:type="pct"/>
            <w:hideMark/>
          </w:tcPr>
          <w:p w14:paraId="24E6137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2984DBE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6F6EC8B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0816B21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24CD858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7B87B4F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30CF13F2"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892" w:type="pct"/>
            <w:hideMark/>
          </w:tcPr>
          <w:p w14:paraId="75E8FA27"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Previously or never married</w:t>
            </w:r>
          </w:p>
        </w:tc>
        <w:tc>
          <w:tcPr>
            <w:tcW w:w="685" w:type="pct"/>
            <w:hideMark/>
          </w:tcPr>
          <w:p w14:paraId="05D18DE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1.25** (1.08-1.46)</w:t>
            </w:r>
          </w:p>
        </w:tc>
        <w:tc>
          <w:tcPr>
            <w:tcW w:w="684" w:type="pct"/>
            <w:hideMark/>
          </w:tcPr>
          <w:p w14:paraId="533D816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1.48*** (1.21-1.81)</w:t>
            </w:r>
          </w:p>
        </w:tc>
        <w:tc>
          <w:tcPr>
            <w:tcW w:w="685" w:type="pct"/>
            <w:hideMark/>
          </w:tcPr>
          <w:p w14:paraId="29AC244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1.18 (0.97-1.44)</w:t>
            </w:r>
          </w:p>
        </w:tc>
        <w:tc>
          <w:tcPr>
            <w:tcW w:w="685" w:type="pct"/>
            <w:hideMark/>
          </w:tcPr>
          <w:p w14:paraId="4BF93F5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1.57*** (1.25-1.96)</w:t>
            </w:r>
          </w:p>
        </w:tc>
        <w:tc>
          <w:tcPr>
            <w:tcW w:w="684" w:type="pct"/>
            <w:hideMark/>
          </w:tcPr>
          <w:p w14:paraId="697B911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1.27* (1.05-1.54)</w:t>
            </w:r>
          </w:p>
        </w:tc>
        <w:tc>
          <w:tcPr>
            <w:tcW w:w="685" w:type="pct"/>
            <w:hideMark/>
          </w:tcPr>
          <w:p w14:paraId="447AD29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1.64*** (1.31-2.06)</w:t>
            </w:r>
          </w:p>
        </w:tc>
      </w:tr>
      <w:tr w:rsidR="00E12B8C" w:rsidRPr="00000849" w14:paraId="1B6C1251"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133D05CE"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lastRenderedPageBreak/>
              <w:t>Ethnicity</w:t>
            </w:r>
          </w:p>
        </w:tc>
        <w:tc>
          <w:tcPr>
            <w:tcW w:w="685" w:type="pct"/>
            <w:hideMark/>
          </w:tcPr>
          <w:p w14:paraId="27146FFA"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56188FE1"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4F7A9E6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2E1CC05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1A944F16"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46AAB8B0"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308AD0CB"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noWrap/>
            <w:hideMark/>
          </w:tcPr>
          <w:p w14:paraId="1C077536"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Northern groups</w:t>
            </w:r>
          </w:p>
        </w:tc>
        <w:tc>
          <w:tcPr>
            <w:tcW w:w="685" w:type="pct"/>
            <w:hideMark/>
          </w:tcPr>
          <w:p w14:paraId="65284C8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560D459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6FB594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639D228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0628874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5BD95EB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68FE58B1"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5878D090"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Akan</w:t>
            </w:r>
          </w:p>
        </w:tc>
        <w:tc>
          <w:tcPr>
            <w:tcW w:w="685" w:type="pct"/>
            <w:hideMark/>
          </w:tcPr>
          <w:p w14:paraId="2DE615D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0.86 (0.65-1.15)</w:t>
            </w:r>
          </w:p>
        </w:tc>
        <w:tc>
          <w:tcPr>
            <w:tcW w:w="684" w:type="pct"/>
            <w:hideMark/>
          </w:tcPr>
          <w:p w14:paraId="6EE046F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1.06 (0.85-1.32)</w:t>
            </w:r>
          </w:p>
        </w:tc>
        <w:tc>
          <w:tcPr>
            <w:tcW w:w="685" w:type="pct"/>
            <w:hideMark/>
          </w:tcPr>
          <w:p w14:paraId="4A91AA8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0.92 (0.69-1.22)</w:t>
            </w:r>
          </w:p>
        </w:tc>
        <w:tc>
          <w:tcPr>
            <w:tcW w:w="685" w:type="pct"/>
            <w:hideMark/>
          </w:tcPr>
          <w:p w14:paraId="5147360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1.17 (0.84-1.65)</w:t>
            </w:r>
          </w:p>
        </w:tc>
        <w:tc>
          <w:tcPr>
            <w:tcW w:w="684" w:type="pct"/>
            <w:hideMark/>
          </w:tcPr>
          <w:p w14:paraId="1CA4BC1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0.95 (0.70-1.29)</w:t>
            </w:r>
          </w:p>
        </w:tc>
        <w:tc>
          <w:tcPr>
            <w:tcW w:w="685" w:type="pct"/>
            <w:hideMark/>
          </w:tcPr>
          <w:p w14:paraId="76D118B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 (0.79-1.54)</w:t>
            </w:r>
          </w:p>
        </w:tc>
      </w:tr>
      <w:tr w:rsidR="00E12B8C" w:rsidRPr="00000849" w14:paraId="266F4613"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009D7032"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Ga-Adangme</w:t>
            </w:r>
          </w:p>
        </w:tc>
        <w:tc>
          <w:tcPr>
            <w:tcW w:w="685" w:type="pct"/>
            <w:hideMark/>
          </w:tcPr>
          <w:p w14:paraId="32E5E53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0.79 (0.54-1.15)</w:t>
            </w:r>
          </w:p>
        </w:tc>
        <w:tc>
          <w:tcPr>
            <w:tcW w:w="684" w:type="pct"/>
            <w:hideMark/>
          </w:tcPr>
          <w:p w14:paraId="38981C0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1.40* (1.01-1.93)</w:t>
            </w:r>
          </w:p>
        </w:tc>
        <w:tc>
          <w:tcPr>
            <w:tcW w:w="685" w:type="pct"/>
            <w:hideMark/>
          </w:tcPr>
          <w:p w14:paraId="372709B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0.8 (0.57-1.13)</w:t>
            </w:r>
          </w:p>
        </w:tc>
        <w:tc>
          <w:tcPr>
            <w:tcW w:w="685" w:type="pct"/>
            <w:hideMark/>
          </w:tcPr>
          <w:p w14:paraId="6FACD17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1.29 (0.85-1.95)</w:t>
            </w:r>
          </w:p>
        </w:tc>
        <w:tc>
          <w:tcPr>
            <w:tcW w:w="684" w:type="pct"/>
            <w:hideMark/>
          </w:tcPr>
          <w:p w14:paraId="36A268C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0.8 (0.57-1.13)</w:t>
            </w:r>
          </w:p>
        </w:tc>
        <w:tc>
          <w:tcPr>
            <w:tcW w:w="685" w:type="pct"/>
            <w:hideMark/>
          </w:tcPr>
          <w:p w14:paraId="0F99829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1.13 (0.74-1.71)</w:t>
            </w:r>
          </w:p>
        </w:tc>
      </w:tr>
      <w:tr w:rsidR="00E12B8C" w:rsidRPr="00000849" w14:paraId="723349C1"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15E0028C"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Others</w:t>
            </w:r>
          </w:p>
        </w:tc>
        <w:tc>
          <w:tcPr>
            <w:tcW w:w="685" w:type="pct"/>
            <w:hideMark/>
          </w:tcPr>
          <w:p w14:paraId="4DCE7ED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0.51*** (0.37-0.69)</w:t>
            </w:r>
          </w:p>
        </w:tc>
        <w:tc>
          <w:tcPr>
            <w:tcW w:w="684" w:type="pct"/>
            <w:hideMark/>
          </w:tcPr>
          <w:p w14:paraId="05E3D61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2.04* (1.19-3.50)</w:t>
            </w:r>
          </w:p>
        </w:tc>
        <w:tc>
          <w:tcPr>
            <w:tcW w:w="685" w:type="pct"/>
            <w:hideMark/>
          </w:tcPr>
          <w:p w14:paraId="0108721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0.71* (0.53-0.95)</w:t>
            </w:r>
          </w:p>
        </w:tc>
        <w:tc>
          <w:tcPr>
            <w:tcW w:w="685" w:type="pct"/>
            <w:hideMark/>
          </w:tcPr>
          <w:p w14:paraId="3C0E799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1.3 (0.83-2.03)</w:t>
            </w:r>
          </w:p>
        </w:tc>
        <w:tc>
          <w:tcPr>
            <w:tcW w:w="684" w:type="pct"/>
            <w:hideMark/>
          </w:tcPr>
          <w:p w14:paraId="1A3EC43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0.74* (0.55-1.00)</w:t>
            </w:r>
          </w:p>
        </w:tc>
        <w:tc>
          <w:tcPr>
            <w:tcW w:w="685" w:type="pct"/>
            <w:hideMark/>
          </w:tcPr>
          <w:p w14:paraId="74F9274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1.06 (0.70-1.59)</w:t>
            </w:r>
          </w:p>
        </w:tc>
      </w:tr>
      <w:tr w:rsidR="00E12B8C" w:rsidRPr="00000849" w14:paraId="5B6AC75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34A16ED8"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Religious group</w:t>
            </w:r>
          </w:p>
        </w:tc>
        <w:tc>
          <w:tcPr>
            <w:tcW w:w="685" w:type="pct"/>
            <w:hideMark/>
          </w:tcPr>
          <w:p w14:paraId="30262684"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42A06BD2"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2336460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742A67D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21346837"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728ECC56"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46894F74"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2A6DF5CD"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Christian</w:t>
            </w:r>
          </w:p>
        </w:tc>
        <w:tc>
          <w:tcPr>
            <w:tcW w:w="685" w:type="pct"/>
            <w:hideMark/>
          </w:tcPr>
          <w:p w14:paraId="577B7ED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37BE790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D3C14C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44F7174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27F7B4F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64E5BBF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14122323"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1CB9F9EC"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Islam</w:t>
            </w:r>
          </w:p>
        </w:tc>
        <w:tc>
          <w:tcPr>
            <w:tcW w:w="685" w:type="pct"/>
            <w:hideMark/>
          </w:tcPr>
          <w:p w14:paraId="25B591F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0.92 (0.70-1.20)</w:t>
            </w:r>
          </w:p>
        </w:tc>
        <w:tc>
          <w:tcPr>
            <w:tcW w:w="684" w:type="pct"/>
            <w:hideMark/>
          </w:tcPr>
          <w:p w14:paraId="41ADE2F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1.16 (0.91-1.49)</w:t>
            </w:r>
          </w:p>
        </w:tc>
        <w:tc>
          <w:tcPr>
            <w:tcW w:w="685" w:type="pct"/>
            <w:hideMark/>
          </w:tcPr>
          <w:p w14:paraId="0FE23A7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1.24 (0.93-1.65)</w:t>
            </w:r>
          </w:p>
        </w:tc>
        <w:tc>
          <w:tcPr>
            <w:tcW w:w="685" w:type="pct"/>
            <w:hideMark/>
          </w:tcPr>
          <w:p w14:paraId="74EAAFB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1.60** (1.14-2.24)</w:t>
            </w:r>
          </w:p>
        </w:tc>
        <w:tc>
          <w:tcPr>
            <w:tcW w:w="684" w:type="pct"/>
            <w:hideMark/>
          </w:tcPr>
          <w:p w14:paraId="535BA3E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1.07 (0.81-1.42)</w:t>
            </w:r>
          </w:p>
        </w:tc>
        <w:tc>
          <w:tcPr>
            <w:tcW w:w="685" w:type="pct"/>
            <w:hideMark/>
          </w:tcPr>
          <w:p w14:paraId="7DAB065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1.40* (1.01-1.95)</w:t>
            </w:r>
          </w:p>
        </w:tc>
      </w:tr>
      <w:tr w:rsidR="00E12B8C" w:rsidRPr="00000849" w14:paraId="033BDED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16DAAD51"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Others</w:t>
            </w:r>
          </w:p>
        </w:tc>
        <w:tc>
          <w:tcPr>
            <w:tcW w:w="685" w:type="pct"/>
            <w:hideMark/>
          </w:tcPr>
          <w:p w14:paraId="5E37A75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0.59*** (0.46-0.74)</w:t>
            </w:r>
          </w:p>
        </w:tc>
        <w:tc>
          <w:tcPr>
            <w:tcW w:w="684" w:type="pct"/>
            <w:hideMark/>
          </w:tcPr>
          <w:p w14:paraId="181C515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0.93 (0.65-1.33)</w:t>
            </w:r>
          </w:p>
        </w:tc>
        <w:tc>
          <w:tcPr>
            <w:tcW w:w="685" w:type="pct"/>
            <w:hideMark/>
          </w:tcPr>
          <w:p w14:paraId="06196C0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1.06 (0.83-1.36)</w:t>
            </w:r>
          </w:p>
        </w:tc>
        <w:tc>
          <w:tcPr>
            <w:tcW w:w="685" w:type="pct"/>
            <w:hideMark/>
          </w:tcPr>
          <w:p w14:paraId="1850F33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1.36 (0.93-2.01)</w:t>
            </w:r>
          </w:p>
        </w:tc>
        <w:tc>
          <w:tcPr>
            <w:tcW w:w="684" w:type="pct"/>
            <w:hideMark/>
          </w:tcPr>
          <w:p w14:paraId="2152BC2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1.06 (0.83-1.35)</w:t>
            </w:r>
          </w:p>
        </w:tc>
        <w:tc>
          <w:tcPr>
            <w:tcW w:w="685" w:type="pct"/>
            <w:hideMark/>
          </w:tcPr>
          <w:p w14:paraId="7E09632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1.3 (0.89-1.89)</w:t>
            </w:r>
          </w:p>
        </w:tc>
      </w:tr>
      <w:tr w:rsidR="00E12B8C" w:rsidRPr="00000849" w14:paraId="68EDFDD2"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2AE0B360"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Educational level</w:t>
            </w:r>
          </w:p>
        </w:tc>
        <w:tc>
          <w:tcPr>
            <w:tcW w:w="685" w:type="pct"/>
            <w:hideMark/>
          </w:tcPr>
          <w:p w14:paraId="094E387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18D97F8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5D2A843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431E351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hideMark/>
          </w:tcPr>
          <w:p w14:paraId="0DF17E7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048CE54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0A8C0D69"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0D2F5FD9"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Nil</w:t>
            </w:r>
          </w:p>
        </w:tc>
        <w:tc>
          <w:tcPr>
            <w:tcW w:w="685" w:type="pct"/>
            <w:hideMark/>
          </w:tcPr>
          <w:p w14:paraId="6D7CB34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63F7053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212CF65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54F2689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0E59523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13B31D9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5130BA1E"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39EB2E17"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Primary or less</w:t>
            </w:r>
          </w:p>
        </w:tc>
        <w:tc>
          <w:tcPr>
            <w:tcW w:w="685" w:type="pct"/>
            <w:hideMark/>
          </w:tcPr>
          <w:p w14:paraId="0E5403F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1.28** (1.06-1.54)</w:t>
            </w:r>
          </w:p>
        </w:tc>
        <w:tc>
          <w:tcPr>
            <w:tcW w:w="684" w:type="pct"/>
            <w:hideMark/>
          </w:tcPr>
          <w:p w14:paraId="482A06B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1.25 (0.93-1.66)</w:t>
            </w:r>
          </w:p>
        </w:tc>
        <w:tc>
          <w:tcPr>
            <w:tcW w:w="685" w:type="pct"/>
            <w:hideMark/>
          </w:tcPr>
          <w:p w14:paraId="35E5DB7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0.99 (0.80-1.22)</w:t>
            </w:r>
          </w:p>
        </w:tc>
        <w:tc>
          <w:tcPr>
            <w:tcW w:w="685" w:type="pct"/>
            <w:hideMark/>
          </w:tcPr>
          <w:p w14:paraId="4E20686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1.27 (0.96-1.68)</w:t>
            </w:r>
          </w:p>
        </w:tc>
        <w:tc>
          <w:tcPr>
            <w:tcW w:w="684" w:type="pct"/>
            <w:hideMark/>
          </w:tcPr>
          <w:p w14:paraId="4AB2428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0.91 (0.74-1.12)</w:t>
            </w:r>
          </w:p>
        </w:tc>
        <w:tc>
          <w:tcPr>
            <w:tcW w:w="685" w:type="pct"/>
            <w:hideMark/>
          </w:tcPr>
          <w:p w14:paraId="33ADFFA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1.07 (0.82-1.40)</w:t>
            </w:r>
          </w:p>
        </w:tc>
      </w:tr>
      <w:tr w:rsidR="00E12B8C" w:rsidRPr="00000849" w14:paraId="46AA3279"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5560F800"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Secondary or higher</w:t>
            </w:r>
          </w:p>
        </w:tc>
        <w:tc>
          <w:tcPr>
            <w:tcW w:w="685" w:type="pct"/>
            <w:hideMark/>
          </w:tcPr>
          <w:p w14:paraId="0416EF7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1.30** (1.09-1.56)</w:t>
            </w:r>
          </w:p>
        </w:tc>
        <w:tc>
          <w:tcPr>
            <w:tcW w:w="684" w:type="pct"/>
            <w:hideMark/>
          </w:tcPr>
          <w:p w14:paraId="7EEC9AE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1.05 (0.83-1.31)</w:t>
            </w:r>
          </w:p>
        </w:tc>
        <w:tc>
          <w:tcPr>
            <w:tcW w:w="685" w:type="pct"/>
            <w:hideMark/>
          </w:tcPr>
          <w:p w14:paraId="563AE66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0.88 (0.69-1.12)</w:t>
            </w:r>
          </w:p>
        </w:tc>
        <w:tc>
          <w:tcPr>
            <w:tcW w:w="685" w:type="pct"/>
            <w:hideMark/>
          </w:tcPr>
          <w:p w14:paraId="2CA5344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1.04 (0.75-1.43)</w:t>
            </w:r>
          </w:p>
        </w:tc>
        <w:tc>
          <w:tcPr>
            <w:tcW w:w="684" w:type="pct"/>
            <w:hideMark/>
          </w:tcPr>
          <w:p w14:paraId="7102439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0.75* (0.59-0.94)</w:t>
            </w:r>
          </w:p>
        </w:tc>
        <w:tc>
          <w:tcPr>
            <w:tcW w:w="685" w:type="pct"/>
            <w:hideMark/>
          </w:tcPr>
          <w:p w14:paraId="7EE81DB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1.11 (0.82-1.49)</w:t>
            </w:r>
          </w:p>
        </w:tc>
      </w:tr>
      <w:tr w:rsidR="00E12B8C" w:rsidRPr="00000849" w14:paraId="561041EE" w14:textId="77777777" w:rsidTr="00000849">
        <w:trPr>
          <w:trHeight w:val="450"/>
        </w:trPr>
        <w:tc>
          <w:tcPr>
            <w:cnfStyle w:val="001000000000" w:firstRow="0" w:lastRow="0" w:firstColumn="1" w:lastColumn="0" w:oddVBand="0" w:evenVBand="0" w:oddHBand="0" w:evenHBand="0" w:firstRowFirstColumn="0" w:firstRowLastColumn="0" w:lastRowFirstColumn="0" w:lastRowLastColumn="0"/>
            <w:tcW w:w="892" w:type="pct"/>
            <w:hideMark/>
          </w:tcPr>
          <w:p w14:paraId="0A5F158A"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Employer in current or most recent job</w:t>
            </w:r>
          </w:p>
        </w:tc>
        <w:tc>
          <w:tcPr>
            <w:tcW w:w="685" w:type="pct"/>
            <w:hideMark/>
          </w:tcPr>
          <w:p w14:paraId="7CCA10D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6EF513C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0160AF4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752FEC0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hideMark/>
          </w:tcPr>
          <w:p w14:paraId="736D4CD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432972F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7A366329"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48BE21C0"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Informal</w:t>
            </w:r>
          </w:p>
        </w:tc>
        <w:tc>
          <w:tcPr>
            <w:tcW w:w="685" w:type="pct"/>
            <w:hideMark/>
          </w:tcPr>
          <w:p w14:paraId="412197D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40CC06A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2D885C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790E6C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308D635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B29B28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4CF5946E"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138726E4"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Self-employed</w:t>
            </w:r>
          </w:p>
        </w:tc>
        <w:tc>
          <w:tcPr>
            <w:tcW w:w="685" w:type="pct"/>
            <w:hideMark/>
          </w:tcPr>
          <w:p w14:paraId="42EBAA3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1.11 (0.79-1.55)</w:t>
            </w:r>
          </w:p>
        </w:tc>
        <w:tc>
          <w:tcPr>
            <w:tcW w:w="684" w:type="pct"/>
            <w:hideMark/>
          </w:tcPr>
          <w:p w14:paraId="65ED81A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0.99 (0.75-1.30)</w:t>
            </w:r>
          </w:p>
        </w:tc>
        <w:tc>
          <w:tcPr>
            <w:tcW w:w="685" w:type="pct"/>
            <w:hideMark/>
          </w:tcPr>
          <w:p w14:paraId="1355C37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0.95 (0.71-1.26)</w:t>
            </w:r>
          </w:p>
        </w:tc>
        <w:tc>
          <w:tcPr>
            <w:tcW w:w="685" w:type="pct"/>
            <w:hideMark/>
          </w:tcPr>
          <w:p w14:paraId="5C37CE0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1.07 (0.82-1.38)</w:t>
            </w:r>
          </w:p>
        </w:tc>
        <w:tc>
          <w:tcPr>
            <w:tcW w:w="684" w:type="pct"/>
            <w:hideMark/>
          </w:tcPr>
          <w:p w14:paraId="5D4F697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0.91 (0.66-1.25)</w:t>
            </w:r>
          </w:p>
        </w:tc>
        <w:tc>
          <w:tcPr>
            <w:tcW w:w="685" w:type="pct"/>
            <w:hideMark/>
          </w:tcPr>
          <w:p w14:paraId="4A8D502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0.99 (0.77-1.28)</w:t>
            </w:r>
          </w:p>
        </w:tc>
      </w:tr>
      <w:tr w:rsidR="00E12B8C" w:rsidRPr="00000849" w14:paraId="32DC6704"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044C17EE"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Public sector</w:t>
            </w:r>
          </w:p>
        </w:tc>
        <w:tc>
          <w:tcPr>
            <w:tcW w:w="685" w:type="pct"/>
            <w:hideMark/>
          </w:tcPr>
          <w:p w14:paraId="763EC26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1.58* (1.08-2.31)</w:t>
            </w:r>
          </w:p>
        </w:tc>
        <w:tc>
          <w:tcPr>
            <w:tcW w:w="684" w:type="pct"/>
            <w:hideMark/>
          </w:tcPr>
          <w:p w14:paraId="60B3D09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0.95 (0.64-1.41)</w:t>
            </w:r>
          </w:p>
        </w:tc>
        <w:tc>
          <w:tcPr>
            <w:tcW w:w="685" w:type="pct"/>
            <w:hideMark/>
          </w:tcPr>
          <w:p w14:paraId="7341D1D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1.14 (0.77-1.70)</w:t>
            </w:r>
          </w:p>
        </w:tc>
        <w:tc>
          <w:tcPr>
            <w:tcW w:w="685" w:type="pct"/>
            <w:hideMark/>
          </w:tcPr>
          <w:p w14:paraId="3F1BDB4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0.75 (0.43-1.30)</w:t>
            </w:r>
          </w:p>
        </w:tc>
        <w:tc>
          <w:tcPr>
            <w:tcW w:w="684" w:type="pct"/>
            <w:hideMark/>
          </w:tcPr>
          <w:p w14:paraId="7C7C02D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1.11 (0.74-1.67)</w:t>
            </w:r>
          </w:p>
        </w:tc>
        <w:tc>
          <w:tcPr>
            <w:tcW w:w="685" w:type="pct"/>
            <w:hideMark/>
          </w:tcPr>
          <w:p w14:paraId="3C84F12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0.86 (0.54-1.36)</w:t>
            </w:r>
          </w:p>
        </w:tc>
      </w:tr>
      <w:tr w:rsidR="00E12B8C" w:rsidRPr="00000849" w14:paraId="63D9B360"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4C68E124"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Private sector</w:t>
            </w:r>
          </w:p>
        </w:tc>
        <w:tc>
          <w:tcPr>
            <w:tcW w:w="685" w:type="pct"/>
            <w:hideMark/>
          </w:tcPr>
          <w:p w14:paraId="6E91F00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1.68* (1.05-2.69)</w:t>
            </w:r>
          </w:p>
        </w:tc>
        <w:tc>
          <w:tcPr>
            <w:tcW w:w="684" w:type="pct"/>
            <w:hideMark/>
          </w:tcPr>
          <w:p w14:paraId="6FB12C9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1.37 (0.74-2.54)</w:t>
            </w:r>
          </w:p>
        </w:tc>
        <w:tc>
          <w:tcPr>
            <w:tcW w:w="685" w:type="pct"/>
            <w:hideMark/>
          </w:tcPr>
          <w:p w14:paraId="2624CEE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1.41 (0.87-2.28)</w:t>
            </w:r>
          </w:p>
        </w:tc>
        <w:tc>
          <w:tcPr>
            <w:tcW w:w="685" w:type="pct"/>
            <w:hideMark/>
          </w:tcPr>
          <w:p w14:paraId="6D220CB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0.97 (0.51-1.84)</w:t>
            </w:r>
          </w:p>
        </w:tc>
        <w:tc>
          <w:tcPr>
            <w:tcW w:w="684" w:type="pct"/>
            <w:hideMark/>
          </w:tcPr>
          <w:p w14:paraId="3EF22F3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1.31 (0.80-2.16)</w:t>
            </w:r>
          </w:p>
        </w:tc>
        <w:tc>
          <w:tcPr>
            <w:tcW w:w="685" w:type="pct"/>
            <w:hideMark/>
          </w:tcPr>
          <w:p w14:paraId="6C0A68D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1.02 (0.57-1.83)</w:t>
            </w:r>
          </w:p>
        </w:tc>
      </w:tr>
      <w:tr w:rsidR="00E12B8C" w:rsidRPr="00000849" w14:paraId="7F3E5912"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31C34956"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Work history past 7 days</w:t>
            </w:r>
          </w:p>
        </w:tc>
        <w:tc>
          <w:tcPr>
            <w:tcW w:w="685" w:type="pct"/>
            <w:hideMark/>
          </w:tcPr>
          <w:p w14:paraId="2BE12B7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784CD85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3C7C50D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0836834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hideMark/>
          </w:tcPr>
          <w:p w14:paraId="1BC8998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79B6018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4B2BAE9E"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15EC0546"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Not currently working</w:t>
            </w:r>
          </w:p>
        </w:tc>
        <w:tc>
          <w:tcPr>
            <w:tcW w:w="685" w:type="pct"/>
            <w:hideMark/>
          </w:tcPr>
          <w:p w14:paraId="1A92FA1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1392006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4FC0F00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7C5B6B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0AB4F18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5AA2395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60749BFF"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892" w:type="pct"/>
            <w:hideMark/>
          </w:tcPr>
          <w:p w14:paraId="65D6BC1D"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Currently working</w:t>
            </w:r>
          </w:p>
        </w:tc>
        <w:tc>
          <w:tcPr>
            <w:tcW w:w="685" w:type="pct"/>
            <w:hideMark/>
          </w:tcPr>
          <w:p w14:paraId="79FB80C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0.69*** (0.59-0.82)</w:t>
            </w:r>
          </w:p>
        </w:tc>
        <w:tc>
          <w:tcPr>
            <w:tcW w:w="684" w:type="pct"/>
            <w:hideMark/>
          </w:tcPr>
          <w:p w14:paraId="4087F66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0.52*** (0.43-0.62)</w:t>
            </w:r>
          </w:p>
        </w:tc>
        <w:tc>
          <w:tcPr>
            <w:tcW w:w="685" w:type="pct"/>
            <w:hideMark/>
          </w:tcPr>
          <w:p w14:paraId="458179B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0.71*** (0.58-0.87)</w:t>
            </w:r>
          </w:p>
        </w:tc>
        <w:tc>
          <w:tcPr>
            <w:tcW w:w="685" w:type="pct"/>
            <w:hideMark/>
          </w:tcPr>
          <w:p w14:paraId="1326DAA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0.72* (0.56-0.92)</w:t>
            </w:r>
          </w:p>
        </w:tc>
        <w:tc>
          <w:tcPr>
            <w:tcW w:w="684" w:type="pct"/>
            <w:hideMark/>
          </w:tcPr>
          <w:p w14:paraId="38ACF2B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0.72*** (0.59-0.87)</w:t>
            </w:r>
          </w:p>
        </w:tc>
        <w:tc>
          <w:tcPr>
            <w:tcW w:w="685" w:type="pct"/>
            <w:hideMark/>
          </w:tcPr>
          <w:p w14:paraId="5DE70BD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0.71** (0.56-0.90)</w:t>
            </w:r>
          </w:p>
        </w:tc>
      </w:tr>
      <w:tr w:rsidR="00E12B8C" w:rsidRPr="00000849" w14:paraId="70253B7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749175CD"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 xml:space="preserve">Wealth quintile </w:t>
            </w:r>
          </w:p>
        </w:tc>
        <w:tc>
          <w:tcPr>
            <w:tcW w:w="685" w:type="pct"/>
            <w:hideMark/>
          </w:tcPr>
          <w:p w14:paraId="0B61367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2B72D91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1BE80B4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3004D32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hideMark/>
          </w:tcPr>
          <w:p w14:paraId="7A80209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206FF6B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09AD5D52"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5F680E4A"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Q1 Poorest</w:t>
            </w:r>
          </w:p>
        </w:tc>
        <w:tc>
          <w:tcPr>
            <w:tcW w:w="685" w:type="pct"/>
            <w:hideMark/>
          </w:tcPr>
          <w:p w14:paraId="35F9229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31B108C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72AA70A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0FB0300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68FA410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639CE14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3942DE50"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5AE1B5EE"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lastRenderedPageBreak/>
              <w:t>Q2 Poor</w:t>
            </w:r>
          </w:p>
        </w:tc>
        <w:tc>
          <w:tcPr>
            <w:tcW w:w="685" w:type="pct"/>
            <w:hideMark/>
          </w:tcPr>
          <w:p w14:paraId="200D4C9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1.58*** (1.23-2.02)</w:t>
            </w:r>
          </w:p>
        </w:tc>
        <w:tc>
          <w:tcPr>
            <w:tcW w:w="684" w:type="pct"/>
            <w:hideMark/>
          </w:tcPr>
          <w:p w14:paraId="393F401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1.48** (1.15-1.89)</w:t>
            </w:r>
          </w:p>
        </w:tc>
        <w:tc>
          <w:tcPr>
            <w:tcW w:w="685" w:type="pct"/>
            <w:hideMark/>
          </w:tcPr>
          <w:p w14:paraId="4EF521C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0.99 (0.76-1.28)</w:t>
            </w:r>
          </w:p>
        </w:tc>
        <w:tc>
          <w:tcPr>
            <w:tcW w:w="685" w:type="pct"/>
            <w:hideMark/>
          </w:tcPr>
          <w:p w14:paraId="2D1D785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1.07 (0.78-1.45)</w:t>
            </w:r>
          </w:p>
        </w:tc>
        <w:tc>
          <w:tcPr>
            <w:tcW w:w="684" w:type="pct"/>
            <w:hideMark/>
          </w:tcPr>
          <w:p w14:paraId="65165D6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1.12 (0.87-1.45)</w:t>
            </w:r>
          </w:p>
        </w:tc>
        <w:tc>
          <w:tcPr>
            <w:tcW w:w="685" w:type="pct"/>
            <w:hideMark/>
          </w:tcPr>
          <w:p w14:paraId="2609881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0.87 (0.65-1.17)</w:t>
            </w:r>
          </w:p>
        </w:tc>
      </w:tr>
      <w:tr w:rsidR="00E12B8C" w:rsidRPr="00000849" w14:paraId="71F2ADF4"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555770FD"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Q3 Mod poor</w:t>
            </w:r>
          </w:p>
        </w:tc>
        <w:tc>
          <w:tcPr>
            <w:tcW w:w="685" w:type="pct"/>
            <w:hideMark/>
          </w:tcPr>
          <w:p w14:paraId="1696702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1.88*** (1.46-2.44)</w:t>
            </w:r>
          </w:p>
        </w:tc>
        <w:tc>
          <w:tcPr>
            <w:tcW w:w="684" w:type="pct"/>
            <w:hideMark/>
          </w:tcPr>
          <w:p w14:paraId="245964A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1.67** (1.16-2.39)</w:t>
            </w:r>
          </w:p>
        </w:tc>
        <w:tc>
          <w:tcPr>
            <w:tcW w:w="685" w:type="pct"/>
            <w:hideMark/>
          </w:tcPr>
          <w:p w14:paraId="1A7C749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1.09 (0.82-1.44)</w:t>
            </w:r>
          </w:p>
        </w:tc>
        <w:tc>
          <w:tcPr>
            <w:tcW w:w="685" w:type="pct"/>
            <w:hideMark/>
          </w:tcPr>
          <w:p w14:paraId="3392ACB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 (0.84-1.73)</w:t>
            </w:r>
          </w:p>
        </w:tc>
        <w:tc>
          <w:tcPr>
            <w:tcW w:w="684" w:type="pct"/>
            <w:hideMark/>
          </w:tcPr>
          <w:p w14:paraId="5A58829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1.18 (0.88-1.57)</w:t>
            </w:r>
          </w:p>
        </w:tc>
        <w:tc>
          <w:tcPr>
            <w:tcW w:w="685" w:type="pct"/>
            <w:hideMark/>
          </w:tcPr>
          <w:p w14:paraId="1097544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0.97 (0.69-1.37)</w:t>
            </w:r>
          </w:p>
        </w:tc>
      </w:tr>
      <w:tr w:rsidR="00E12B8C" w:rsidRPr="00000849" w14:paraId="61F0023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06086C3F"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Q4 Rich</w:t>
            </w:r>
          </w:p>
        </w:tc>
        <w:tc>
          <w:tcPr>
            <w:tcW w:w="685" w:type="pct"/>
            <w:hideMark/>
          </w:tcPr>
          <w:p w14:paraId="0C2D511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2.46*** (1.85-3.27)</w:t>
            </w:r>
          </w:p>
        </w:tc>
        <w:tc>
          <w:tcPr>
            <w:tcW w:w="684" w:type="pct"/>
            <w:hideMark/>
          </w:tcPr>
          <w:p w14:paraId="418C3BD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1.61** (1.20-2.17)</w:t>
            </w:r>
          </w:p>
        </w:tc>
        <w:tc>
          <w:tcPr>
            <w:tcW w:w="685" w:type="pct"/>
            <w:hideMark/>
          </w:tcPr>
          <w:p w14:paraId="2E2FDC0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1.11 (0.81-1.52)</w:t>
            </w:r>
          </w:p>
        </w:tc>
        <w:tc>
          <w:tcPr>
            <w:tcW w:w="685" w:type="pct"/>
            <w:hideMark/>
          </w:tcPr>
          <w:p w14:paraId="7D19C65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0.97 (0.65-1.44)</w:t>
            </w:r>
          </w:p>
        </w:tc>
        <w:tc>
          <w:tcPr>
            <w:tcW w:w="684" w:type="pct"/>
            <w:hideMark/>
          </w:tcPr>
          <w:p w14:paraId="23AE498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1.14 (0.83-1.58)</w:t>
            </w:r>
          </w:p>
        </w:tc>
        <w:tc>
          <w:tcPr>
            <w:tcW w:w="685" w:type="pct"/>
            <w:hideMark/>
          </w:tcPr>
          <w:p w14:paraId="7046D97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0.91 (0.62-1.34)</w:t>
            </w:r>
          </w:p>
        </w:tc>
      </w:tr>
      <w:tr w:rsidR="00E12B8C" w:rsidRPr="00000849" w14:paraId="519889E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4F93040D"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Q5 Richest</w:t>
            </w:r>
          </w:p>
        </w:tc>
        <w:tc>
          <w:tcPr>
            <w:tcW w:w="685" w:type="pct"/>
            <w:hideMark/>
          </w:tcPr>
          <w:p w14:paraId="560F466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3.09*** (2.82-4.19)</w:t>
            </w:r>
          </w:p>
        </w:tc>
        <w:tc>
          <w:tcPr>
            <w:tcW w:w="684" w:type="pct"/>
            <w:hideMark/>
          </w:tcPr>
          <w:p w14:paraId="230CDBE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2.01*** (1.44-2.82)</w:t>
            </w:r>
          </w:p>
        </w:tc>
        <w:tc>
          <w:tcPr>
            <w:tcW w:w="685" w:type="pct"/>
            <w:hideMark/>
          </w:tcPr>
          <w:p w14:paraId="66DA6E3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1.16 (0.79-1.69)</w:t>
            </w:r>
          </w:p>
        </w:tc>
        <w:tc>
          <w:tcPr>
            <w:tcW w:w="685" w:type="pct"/>
            <w:hideMark/>
          </w:tcPr>
          <w:p w14:paraId="64C3930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 (0.55-1.47)</w:t>
            </w:r>
          </w:p>
        </w:tc>
        <w:tc>
          <w:tcPr>
            <w:tcW w:w="684" w:type="pct"/>
            <w:hideMark/>
          </w:tcPr>
          <w:p w14:paraId="710EA81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1.35 (0.91-2.00)</w:t>
            </w:r>
          </w:p>
        </w:tc>
        <w:tc>
          <w:tcPr>
            <w:tcW w:w="685" w:type="pct"/>
            <w:hideMark/>
          </w:tcPr>
          <w:p w14:paraId="5A52946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0.92 (0.58-1.44)</w:t>
            </w:r>
          </w:p>
        </w:tc>
      </w:tr>
      <w:tr w:rsidR="00E12B8C" w:rsidRPr="00000849" w14:paraId="5635DC7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63EF5362"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Physical activity level</w:t>
            </w:r>
          </w:p>
        </w:tc>
        <w:tc>
          <w:tcPr>
            <w:tcW w:w="685" w:type="pct"/>
            <w:hideMark/>
          </w:tcPr>
          <w:p w14:paraId="6F5EC917"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2255662D"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7317E86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773B043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452F30C2"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3E6E4F47"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35A5D55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6B58CDE6"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Low physical activity</w:t>
            </w:r>
          </w:p>
        </w:tc>
        <w:tc>
          <w:tcPr>
            <w:tcW w:w="685" w:type="pct"/>
            <w:hideMark/>
          </w:tcPr>
          <w:p w14:paraId="48DFE19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4FDF6E5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1299A05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2AA84AB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232DA12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288CC1B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6934EDAA"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892" w:type="pct"/>
            <w:hideMark/>
          </w:tcPr>
          <w:p w14:paraId="35F723A8"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Moderate physical activity</w:t>
            </w:r>
          </w:p>
        </w:tc>
        <w:tc>
          <w:tcPr>
            <w:tcW w:w="685" w:type="pct"/>
            <w:hideMark/>
          </w:tcPr>
          <w:p w14:paraId="651FB9D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0.67*** (0.56-0.80)</w:t>
            </w:r>
          </w:p>
        </w:tc>
        <w:tc>
          <w:tcPr>
            <w:tcW w:w="684" w:type="pct"/>
            <w:hideMark/>
          </w:tcPr>
          <w:p w14:paraId="0D28ACA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0.71** (0.57-0.88)</w:t>
            </w:r>
          </w:p>
        </w:tc>
        <w:tc>
          <w:tcPr>
            <w:tcW w:w="685" w:type="pct"/>
            <w:hideMark/>
          </w:tcPr>
          <w:p w14:paraId="5CD63E0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0.91 (0.73-1.13)</w:t>
            </w:r>
          </w:p>
        </w:tc>
        <w:tc>
          <w:tcPr>
            <w:tcW w:w="685" w:type="pct"/>
            <w:hideMark/>
          </w:tcPr>
          <w:p w14:paraId="22159CF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0.95 (0.74-1.22)</w:t>
            </w:r>
          </w:p>
        </w:tc>
        <w:tc>
          <w:tcPr>
            <w:tcW w:w="684" w:type="pct"/>
            <w:hideMark/>
          </w:tcPr>
          <w:p w14:paraId="1E9ED6B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0.99 (0.81-1.23)</w:t>
            </w:r>
          </w:p>
        </w:tc>
        <w:tc>
          <w:tcPr>
            <w:tcW w:w="685" w:type="pct"/>
            <w:hideMark/>
          </w:tcPr>
          <w:p w14:paraId="4E9F924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0.86 (0.68-1.08)</w:t>
            </w:r>
          </w:p>
        </w:tc>
      </w:tr>
      <w:tr w:rsidR="00E12B8C" w:rsidRPr="00000849" w14:paraId="2032842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2E8E8C98"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High physical activity</w:t>
            </w:r>
          </w:p>
        </w:tc>
        <w:tc>
          <w:tcPr>
            <w:tcW w:w="685" w:type="pct"/>
            <w:hideMark/>
          </w:tcPr>
          <w:p w14:paraId="2DB4640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0.76** (0.61-0.93)</w:t>
            </w:r>
          </w:p>
        </w:tc>
        <w:tc>
          <w:tcPr>
            <w:tcW w:w="684" w:type="pct"/>
            <w:hideMark/>
          </w:tcPr>
          <w:p w14:paraId="7C6E655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0.56*** (0.42-0.75)</w:t>
            </w:r>
          </w:p>
        </w:tc>
        <w:tc>
          <w:tcPr>
            <w:tcW w:w="685" w:type="pct"/>
            <w:hideMark/>
          </w:tcPr>
          <w:p w14:paraId="3633C13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1.34* (1.07-1.67)</w:t>
            </w:r>
          </w:p>
        </w:tc>
        <w:tc>
          <w:tcPr>
            <w:tcW w:w="685" w:type="pct"/>
            <w:hideMark/>
          </w:tcPr>
          <w:p w14:paraId="7A89539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0.79 (0.57-1.08)</w:t>
            </w:r>
          </w:p>
        </w:tc>
        <w:tc>
          <w:tcPr>
            <w:tcW w:w="684" w:type="pct"/>
            <w:hideMark/>
          </w:tcPr>
          <w:p w14:paraId="62BAD2C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1.30* (1.03-1.64)</w:t>
            </w:r>
          </w:p>
        </w:tc>
        <w:tc>
          <w:tcPr>
            <w:tcW w:w="685" w:type="pct"/>
            <w:hideMark/>
          </w:tcPr>
          <w:p w14:paraId="3434256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0.71* (0.53-0.94)</w:t>
            </w:r>
          </w:p>
        </w:tc>
      </w:tr>
      <w:tr w:rsidR="00E12B8C" w:rsidRPr="00000849" w14:paraId="6A4C008B" w14:textId="77777777" w:rsidTr="00000849">
        <w:trPr>
          <w:trHeight w:val="450"/>
        </w:trPr>
        <w:tc>
          <w:tcPr>
            <w:cnfStyle w:val="001000000000" w:firstRow="0" w:lastRow="0" w:firstColumn="1" w:lastColumn="0" w:oddVBand="0" w:evenVBand="0" w:oddHBand="0" w:evenHBand="0" w:firstRowFirstColumn="0" w:firstRowLastColumn="0" w:lastRowFirstColumn="0" w:lastRowLastColumn="0"/>
            <w:tcW w:w="892" w:type="pct"/>
            <w:hideMark/>
          </w:tcPr>
          <w:p w14:paraId="4D05C55B"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BMI category</w:t>
            </w:r>
          </w:p>
        </w:tc>
        <w:tc>
          <w:tcPr>
            <w:tcW w:w="685" w:type="pct"/>
            <w:hideMark/>
          </w:tcPr>
          <w:p w14:paraId="71711C6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1B5CA92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1CA4F86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7FDB670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1A85A236"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13ACC35E"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10C697F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00BDC6FE"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Underweight</w:t>
            </w:r>
          </w:p>
        </w:tc>
        <w:tc>
          <w:tcPr>
            <w:tcW w:w="685" w:type="pct"/>
            <w:hideMark/>
          </w:tcPr>
          <w:p w14:paraId="0B87A05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6D20026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1882419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581A4CD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66AC600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7DEC025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200C344B"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2DC1D8D2"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Normal weight</w:t>
            </w:r>
          </w:p>
        </w:tc>
        <w:tc>
          <w:tcPr>
            <w:tcW w:w="685" w:type="pct"/>
            <w:hideMark/>
          </w:tcPr>
          <w:p w14:paraId="00A7B93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1.61*** (1.27-2.04)</w:t>
            </w:r>
          </w:p>
        </w:tc>
        <w:tc>
          <w:tcPr>
            <w:tcW w:w="684" w:type="pct"/>
            <w:hideMark/>
          </w:tcPr>
          <w:p w14:paraId="3D7882E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0.99 (0.73-1.33)</w:t>
            </w:r>
          </w:p>
        </w:tc>
        <w:tc>
          <w:tcPr>
            <w:tcW w:w="685" w:type="pct"/>
            <w:hideMark/>
          </w:tcPr>
          <w:p w14:paraId="2B3233E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1.52*** (1.20-1.94)</w:t>
            </w:r>
          </w:p>
        </w:tc>
        <w:tc>
          <w:tcPr>
            <w:tcW w:w="685" w:type="pct"/>
            <w:hideMark/>
          </w:tcPr>
          <w:p w14:paraId="3FFD457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0.95 (0.70-1.30)</w:t>
            </w:r>
          </w:p>
        </w:tc>
        <w:tc>
          <w:tcPr>
            <w:tcW w:w="684" w:type="pct"/>
            <w:hideMark/>
          </w:tcPr>
          <w:p w14:paraId="2896F2F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1.49*** (1.18-1.88)</w:t>
            </w:r>
          </w:p>
        </w:tc>
        <w:tc>
          <w:tcPr>
            <w:tcW w:w="685" w:type="pct"/>
            <w:hideMark/>
          </w:tcPr>
          <w:p w14:paraId="41F44B4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0.98 (0.72-1.33)</w:t>
            </w:r>
          </w:p>
        </w:tc>
      </w:tr>
      <w:tr w:rsidR="00E12B8C" w:rsidRPr="00000849" w14:paraId="351FD195"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892" w:type="pct"/>
            <w:hideMark/>
          </w:tcPr>
          <w:p w14:paraId="0F3EF5EB"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Overweight</w:t>
            </w:r>
          </w:p>
        </w:tc>
        <w:tc>
          <w:tcPr>
            <w:tcW w:w="685" w:type="pct"/>
            <w:hideMark/>
          </w:tcPr>
          <w:p w14:paraId="7D6CF59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3.14*** (2.38-4.15)</w:t>
            </w:r>
          </w:p>
        </w:tc>
        <w:tc>
          <w:tcPr>
            <w:tcW w:w="684" w:type="pct"/>
            <w:hideMark/>
          </w:tcPr>
          <w:p w14:paraId="581664B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1.64** (1.18-2.28)</w:t>
            </w:r>
          </w:p>
        </w:tc>
        <w:tc>
          <w:tcPr>
            <w:tcW w:w="685" w:type="pct"/>
            <w:hideMark/>
          </w:tcPr>
          <w:p w14:paraId="1E2B193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2.65*** (1.91-3.67)</w:t>
            </w:r>
          </w:p>
        </w:tc>
        <w:tc>
          <w:tcPr>
            <w:tcW w:w="685" w:type="pct"/>
            <w:hideMark/>
          </w:tcPr>
          <w:p w14:paraId="767287F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1.34 (0.86-2.08)</w:t>
            </w:r>
          </w:p>
        </w:tc>
        <w:tc>
          <w:tcPr>
            <w:tcW w:w="684" w:type="pct"/>
            <w:hideMark/>
          </w:tcPr>
          <w:p w14:paraId="3B6C51A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2.21*** (1.59-3.09)</w:t>
            </w:r>
          </w:p>
        </w:tc>
        <w:tc>
          <w:tcPr>
            <w:tcW w:w="685" w:type="pct"/>
            <w:hideMark/>
          </w:tcPr>
          <w:p w14:paraId="458563B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1.26 (0.85-1.89)</w:t>
            </w:r>
          </w:p>
        </w:tc>
      </w:tr>
      <w:tr w:rsidR="00E12B8C" w:rsidRPr="00000849" w14:paraId="71A796E7"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892" w:type="pct"/>
            <w:hideMark/>
          </w:tcPr>
          <w:p w14:paraId="20B80B29"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Obese</w:t>
            </w:r>
          </w:p>
        </w:tc>
        <w:tc>
          <w:tcPr>
            <w:tcW w:w="685" w:type="pct"/>
            <w:hideMark/>
          </w:tcPr>
          <w:p w14:paraId="4F90E90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3.88*** (2.82-5.32)</w:t>
            </w:r>
          </w:p>
        </w:tc>
        <w:tc>
          <w:tcPr>
            <w:tcW w:w="684" w:type="pct"/>
            <w:hideMark/>
          </w:tcPr>
          <w:p w14:paraId="05498AA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1.82** (1.27-2.60)</w:t>
            </w:r>
          </w:p>
        </w:tc>
        <w:tc>
          <w:tcPr>
            <w:tcW w:w="685" w:type="pct"/>
            <w:hideMark/>
          </w:tcPr>
          <w:p w14:paraId="0DEA985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3.02*** (1.98-4.59)</w:t>
            </w:r>
          </w:p>
        </w:tc>
        <w:tc>
          <w:tcPr>
            <w:tcW w:w="685" w:type="pct"/>
            <w:hideMark/>
          </w:tcPr>
          <w:p w14:paraId="7BE1E75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1.16 (0.69-1.94)</w:t>
            </w:r>
          </w:p>
        </w:tc>
        <w:tc>
          <w:tcPr>
            <w:tcW w:w="684" w:type="pct"/>
            <w:hideMark/>
          </w:tcPr>
          <w:p w14:paraId="0C4606A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2.78*** (1.83-4.23)</w:t>
            </w:r>
          </w:p>
        </w:tc>
        <w:tc>
          <w:tcPr>
            <w:tcW w:w="685" w:type="pct"/>
            <w:hideMark/>
          </w:tcPr>
          <w:p w14:paraId="757A89F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1.28 (0.80-2.07)</w:t>
            </w:r>
          </w:p>
        </w:tc>
      </w:tr>
      <w:tr w:rsidR="00E12B8C" w:rsidRPr="00000849" w14:paraId="02D82F81" w14:textId="77777777" w:rsidTr="00000849">
        <w:trPr>
          <w:trHeight w:val="428"/>
        </w:trPr>
        <w:tc>
          <w:tcPr>
            <w:cnfStyle w:val="001000000000" w:firstRow="0" w:lastRow="0" w:firstColumn="1" w:lastColumn="0" w:oddVBand="0" w:evenVBand="0" w:oddHBand="0" w:evenHBand="0" w:firstRowFirstColumn="0" w:firstRowLastColumn="0" w:lastRowFirstColumn="0" w:lastRowLastColumn="0"/>
            <w:tcW w:w="892" w:type="pct"/>
            <w:hideMark/>
          </w:tcPr>
          <w:p w14:paraId="4555221D"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 xml:space="preserve">Waist circumference </w:t>
            </w:r>
          </w:p>
        </w:tc>
        <w:tc>
          <w:tcPr>
            <w:tcW w:w="685" w:type="pct"/>
            <w:hideMark/>
          </w:tcPr>
          <w:p w14:paraId="6E0A98A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278F7B5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0A161A7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0D02555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6BAC375D"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48D4CED0"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6802A2C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3AA31831"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&lt;80 cm</w:t>
            </w:r>
          </w:p>
        </w:tc>
        <w:tc>
          <w:tcPr>
            <w:tcW w:w="685" w:type="pct"/>
            <w:hideMark/>
          </w:tcPr>
          <w:p w14:paraId="1DE3EFB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4C6FF6C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05EB48A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2E4F5CB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7220103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531A2A8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0B64D8B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482CDC67"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&gt;=80 to &lt;90 cm</w:t>
            </w:r>
          </w:p>
        </w:tc>
        <w:tc>
          <w:tcPr>
            <w:tcW w:w="685" w:type="pct"/>
            <w:hideMark/>
          </w:tcPr>
          <w:p w14:paraId="7C10494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1.36** (1.12-1.65)</w:t>
            </w:r>
          </w:p>
        </w:tc>
        <w:tc>
          <w:tcPr>
            <w:tcW w:w="684" w:type="pct"/>
            <w:hideMark/>
          </w:tcPr>
          <w:p w14:paraId="17D7741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1.28 (0.99-1.66)</w:t>
            </w:r>
          </w:p>
        </w:tc>
        <w:tc>
          <w:tcPr>
            <w:tcW w:w="685" w:type="pct"/>
            <w:hideMark/>
          </w:tcPr>
          <w:p w14:paraId="5A1A5BE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0.98 (0.79-1.22)</w:t>
            </w:r>
          </w:p>
        </w:tc>
        <w:tc>
          <w:tcPr>
            <w:tcW w:w="685" w:type="pct"/>
            <w:hideMark/>
          </w:tcPr>
          <w:p w14:paraId="404460F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1.18 (0.85-1.62)</w:t>
            </w:r>
          </w:p>
        </w:tc>
        <w:tc>
          <w:tcPr>
            <w:tcW w:w="684" w:type="pct"/>
            <w:hideMark/>
          </w:tcPr>
          <w:p w14:paraId="004B75C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1.04 (0.84-1.29)</w:t>
            </w:r>
          </w:p>
        </w:tc>
        <w:tc>
          <w:tcPr>
            <w:tcW w:w="685" w:type="pct"/>
            <w:hideMark/>
          </w:tcPr>
          <w:p w14:paraId="69F1835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 (0.91-1.59)</w:t>
            </w:r>
          </w:p>
        </w:tc>
      </w:tr>
      <w:tr w:rsidR="00E12B8C" w:rsidRPr="00000849" w14:paraId="17D67A1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36DAA90A"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&gt;=90 cm</w:t>
            </w:r>
          </w:p>
        </w:tc>
        <w:tc>
          <w:tcPr>
            <w:tcW w:w="685" w:type="pct"/>
            <w:hideMark/>
          </w:tcPr>
          <w:p w14:paraId="7D93C63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2.41*** (1.98-2.94)</w:t>
            </w:r>
          </w:p>
        </w:tc>
        <w:tc>
          <w:tcPr>
            <w:tcW w:w="684" w:type="pct"/>
            <w:hideMark/>
          </w:tcPr>
          <w:p w14:paraId="29270C4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1.95*** (1.51-2.53)</w:t>
            </w:r>
          </w:p>
        </w:tc>
        <w:tc>
          <w:tcPr>
            <w:tcW w:w="685" w:type="pct"/>
            <w:hideMark/>
          </w:tcPr>
          <w:p w14:paraId="3450A0B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1.04 (0.75-1.44)</w:t>
            </w:r>
          </w:p>
        </w:tc>
        <w:tc>
          <w:tcPr>
            <w:tcW w:w="685" w:type="pct"/>
            <w:hideMark/>
          </w:tcPr>
          <w:p w14:paraId="14328F6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1.33 (0.85-2.09)</w:t>
            </w:r>
          </w:p>
        </w:tc>
        <w:tc>
          <w:tcPr>
            <w:tcW w:w="684" w:type="pct"/>
            <w:hideMark/>
          </w:tcPr>
          <w:p w14:paraId="5A12898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1.23 (0.89-1.70)</w:t>
            </w:r>
          </w:p>
        </w:tc>
        <w:tc>
          <w:tcPr>
            <w:tcW w:w="685" w:type="pct"/>
            <w:hideMark/>
          </w:tcPr>
          <w:p w14:paraId="14334B1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1.39 (0.95-2.04)</w:t>
            </w:r>
          </w:p>
        </w:tc>
      </w:tr>
      <w:tr w:rsidR="00E12B8C" w:rsidRPr="00000849" w14:paraId="3D1233C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1A176F66"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Hip circumference</w:t>
            </w:r>
          </w:p>
        </w:tc>
        <w:tc>
          <w:tcPr>
            <w:tcW w:w="685" w:type="pct"/>
            <w:hideMark/>
          </w:tcPr>
          <w:p w14:paraId="10194CC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35A28AD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5FDE71C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73BED41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2D591696"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4DC44C09"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01AEA1CA"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7E59EE4D"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&lt;90 cm</w:t>
            </w:r>
          </w:p>
        </w:tc>
        <w:tc>
          <w:tcPr>
            <w:tcW w:w="685" w:type="pct"/>
            <w:hideMark/>
          </w:tcPr>
          <w:p w14:paraId="5B17EDF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40110F7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7D6F433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0721FC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07FD0B2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11A097C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2EE0D84E"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238177A9"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&gt;=90 to &lt;100 cm</w:t>
            </w:r>
          </w:p>
        </w:tc>
        <w:tc>
          <w:tcPr>
            <w:tcW w:w="685" w:type="pct"/>
            <w:hideMark/>
          </w:tcPr>
          <w:p w14:paraId="38D8477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1.58*** (1.32-1.88)</w:t>
            </w:r>
          </w:p>
        </w:tc>
        <w:tc>
          <w:tcPr>
            <w:tcW w:w="684" w:type="pct"/>
            <w:hideMark/>
          </w:tcPr>
          <w:p w14:paraId="5C3B86F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1.34* (1.05-1.69)</w:t>
            </w:r>
          </w:p>
        </w:tc>
        <w:tc>
          <w:tcPr>
            <w:tcW w:w="685" w:type="pct"/>
            <w:hideMark/>
          </w:tcPr>
          <w:p w14:paraId="5A76389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1.17 (0.93-1.47)</w:t>
            </w:r>
          </w:p>
        </w:tc>
        <w:tc>
          <w:tcPr>
            <w:tcW w:w="685" w:type="pct"/>
            <w:hideMark/>
          </w:tcPr>
          <w:p w14:paraId="046615D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1.13 (0.83-1.54)</w:t>
            </w:r>
          </w:p>
        </w:tc>
        <w:tc>
          <w:tcPr>
            <w:tcW w:w="684" w:type="pct"/>
            <w:hideMark/>
          </w:tcPr>
          <w:p w14:paraId="0340E7F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1.16 (0.93-1.45)</w:t>
            </w:r>
          </w:p>
        </w:tc>
        <w:tc>
          <w:tcPr>
            <w:tcW w:w="685" w:type="pct"/>
            <w:hideMark/>
          </w:tcPr>
          <w:p w14:paraId="6C0FC605"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1.08 (0.83-1.42)</w:t>
            </w:r>
          </w:p>
        </w:tc>
      </w:tr>
      <w:tr w:rsidR="00E12B8C" w:rsidRPr="00000849" w14:paraId="0848D69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02D6E7BB"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&gt;=100 cm</w:t>
            </w:r>
          </w:p>
        </w:tc>
        <w:tc>
          <w:tcPr>
            <w:tcW w:w="685" w:type="pct"/>
            <w:hideMark/>
          </w:tcPr>
          <w:p w14:paraId="098497A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2.58*** (2.13-3.12)</w:t>
            </w:r>
          </w:p>
        </w:tc>
        <w:tc>
          <w:tcPr>
            <w:tcW w:w="684" w:type="pct"/>
            <w:hideMark/>
          </w:tcPr>
          <w:p w14:paraId="3EBB77C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1.74*** (1.37-2.20)</w:t>
            </w:r>
          </w:p>
        </w:tc>
        <w:tc>
          <w:tcPr>
            <w:tcW w:w="685" w:type="pct"/>
            <w:hideMark/>
          </w:tcPr>
          <w:p w14:paraId="6786537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1.12 (0.78-1.63)</w:t>
            </w:r>
          </w:p>
        </w:tc>
        <w:tc>
          <w:tcPr>
            <w:tcW w:w="685" w:type="pct"/>
            <w:hideMark/>
          </w:tcPr>
          <w:p w14:paraId="273CDDF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1.07 (0.67-1.70)</w:t>
            </w:r>
          </w:p>
        </w:tc>
        <w:tc>
          <w:tcPr>
            <w:tcW w:w="684" w:type="pct"/>
            <w:hideMark/>
          </w:tcPr>
          <w:p w14:paraId="2210CCD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1.07 (0.75-1.54)</w:t>
            </w:r>
          </w:p>
        </w:tc>
        <w:tc>
          <w:tcPr>
            <w:tcW w:w="685" w:type="pct"/>
            <w:hideMark/>
          </w:tcPr>
          <w:p w14:paraId="798F603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0.98 (0.66-1.46)</w:t>
            </w:r>
          </w:p>
        </w:tc>
      </w:tr>
      <w:tr w:rsidR="00E12B8C" w:rsidRPr="00000849" w14:paraId="7CBB030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6D5D4940"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lastRenderedPageBreak/>
              <w:t>Smoke behaviour</w:t>
            </w:r>
          </w:p>
        </w:tc>
        <w:tc>
          <w:tcPr>
            <w:tcW w:w="685" w:type="pct"/>
            <w:hideMark/>
          </w:tcPr>
          <w:p w14:paraId="2ED019C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0078E48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319F8C7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50DC47C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5134FA6D"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78780614"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17D1A20E"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2D702F5C"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Never smoker</w:t>
            </w:r>
          </w:p>
        </w:tc>
        <w:tc>
          <w:tcPr>
            <w:tcW w:w="685" w:type="pct"/>
            <w:hideMark/>
          </w:tcPr>
          <w:p w14:paraId="43D5B42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786D7DA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209E5D4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766E61E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3627CE7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30276D7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7BD9142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6042B04D"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Former smoker</w:t>
            </w:r>
          </w:p>
        </w:tc>
        <w:tc>
          <w:tcPr>
            <w:tcW w:w="685" w:type="pct"/>
            <w:hideMark/>
          </w:tcPr>
          <w:p w14:paraId="7972632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1.06 (0.85-1.31)</w:t>
            </w:r>
          </w:p>
        </w:tc>
        <w:tc>
          <w:tcPr>
            <w:tcW w:w="684" w:type="pct"/>
            <w:hideMark/>
          </w:tcPr>
          <w:p w14:paraId="345369B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2.19* (1.04-4.59)</w:t>
            </w:r>
          </w:p>
        </w:tc>
        <w:tc>
          <w:tcPr>
            <w:tcW w:w="685" w:type="pct"/>
            <w:hideMark/>
          </w:tcPr>
          <w:p w14:paraId="7F72781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1.11 (0.86-1.42)</w:t>
            </w:r>
          </w:p>
        </w:tc>
        <w:tc>
          <w:tcPr>
            <w:tcW w:w="685" w:type="pct"/>
            <w:hideMark/>
          </w:tcPr>
          <w:p w14:paraId="65764C3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1.63 (0.83-3.18)</w:t>
            </w:r>
          </w:p>
        </w:tc>
        <w:tc>
          <w:tcPr>
            <w:tcW w:w="684" w:type="pct"/>
            <w:hideMark/>
          </w:tcPr>
          <w:p w14:paraId="3C2488C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1.12 (0.89-1.42)</w:t>
            </w:r>
          </w:p>
        </w:tc>
        <w:tc>
          <w:tcPr>
            <w:tcW w:w="685" w:type="pct"/>
            <w:hideMark/>
          </w:tcPr>
          <w:p w14:paraId="60A10A6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1.51 (0.88-2.60)</w:t>
            </w:r>
          </w:p>
        </w:tc>
      </w:tr>
      <w:tr w:rsidR="00E12B8C" w:rsidRPr="00000849" w14:paraId="1E93558E"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51E7FAC2"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Current smoker</w:t>
            </w:r>
          </w:p>
        </w:tc>
        <w:tc>
          <w:tcPr>
            <w:tcW w:w="685" w:type="pct"/>
            <w:hideMark/>
          </w:tcPr>
          <w:p w14:paraId="4B8BBA6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0.59*** (0.46-0.74)</w:t>
            </w:r>
          </w:p>
        </w:tc>
        <w:tc>
          <w:tcPr>
            <w:tcW w:w="684" w:type="pct"/>
            <w:hideMark/>
          </w:tcPr>
          <w:p w14:paraId="4A7B81D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1.24 (0.53-2.90)</w:t>
            </w:r>
          </w:p>
        </w:tc>
        <w:tc>
          <w:tcPr>
            <w:tcW w:w="685" w:type="pct"/>
            <w:hideMark/>
          </w:tcPr>
          <w:p w14:paraId="79D9F0A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(0.78-1.28)</w:t>
            </w:r>
          </w:p>
        </w:tc>
        <w:tc>
          <w:tcPr>
            <w:tcW w:w="685" w:type="pct"/>
            <w:hideMark/>
          </w:tcPr>
          <w:p w14:paraId="38F186A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1.29 (0.71-2.34)</w:t>
            </w:r>
          </w:p>
        </w:tc>
        <w:tc>
          <w:tcPr>
            <w:tcW w:w="684" w:type="pct"/>
            <w:hideMark/>
          </w:tcPr>
          <w:p w14:paraId="3B90BFF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1.07 (0.82-1.38)</w:t>
            </w:r>
          </w:p>
        </w:tc>
        <w:tc>
          <w:tcPr>
            <w:tcW w:w="685" w:type="pct"/>
            <w:hideMark/>
          </w:tcPr>
          <w:p w14:paraId="3B20C3D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1.09 (0.66-1.81)</w:t>
            </w:r>
          </w:p>
        </w:tc>
      </w:tr>
      <w:tr w:rsidR="00E12B8C" w:rsidRPr="00000849" w14:paraId="24C4DBDA"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1545ECD9"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Alcohol consumption</w:t>
            </w:r>
          </w:p>
        </w:tc>
        <w:tc>
          <w:tcPr>
            <w:tcW w:w="685" w:type="pct"/>
            <w:hideMark/>
          </w:tcPr>
          <w:p w14:paraId="369C068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1AB2CCF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70A3DA6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58FEFAD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59E02D62"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0839E870"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4A4BD16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2F330008"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Lifetime abstainer</w:t>
            </w:r>
          </w:p>
        </w:tc>
        <w:tc>
          <w:tcPr>
            <w:tcW w:w="685" w:type="pct"/>
            <w:hideMark/>
          </w:tcPr>
          <w:p w14:paraId="5294F17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37007C2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29F6A986"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76D2555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1B44433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24D242E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5C9D7FF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59AE5A07"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Non-heavy drinker</w:t>
            </w:r>
          </w:p>
        </w:tc>
        <w:tc>
          <w:tcPr>
            <w:tcW w:w="685" w:type="pct"/>
            <w:hideMark/>
          </w:tcPr>
          <w:p w14:paraId="10C09C0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0.82* (0.71-0.96)</w:t>
            </w:r>
          </w:p>
        </w:tc>
        <w:tc>
          <w:tcPr>
            <w:tcW w:w="684" w:type="pct"/>
            <w:hideMark/>
          </w:tcPr>
          <w:p w14:paraId="482F92F0"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1.10 (0.88-1.36)</w:t>
            </w:r>
          </w:p>
        </w:tc>
        <w:tc>
          <w:tcPr>
            <w:tcW w:w="685" w:type="pct"/>
            <w:hideMark/>
          </w:tcPr>
          <w:p w14:paraId="735E1F7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0.93 (0.78-1.12)</w:t>
            </w:r>
          </w:p>
        </w:tc>
        <w:tc>
          <w:tcPr>
            <w:tcW w:w="685" w:type="pct"/>
            <w:hideMark/>
          </w:tcPr>
          <w:p w14:paraId="7CE95DC8"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 (0.84-1.44)</w:t>
            </w:r>
          </w:p>
        </w:tc>
        <w:tc>
          <w:tcPr>
            <w:tcW w:w="684" w:type="pct"/>
            <w:hideMark/>
          </w:tcPr>
          <w:p w14:paraId="3EB76007"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1.02 (0.86-1.22)</w:t>
            </w:r>
          </w:p>
        </w:tc>
        <w:tc>
          <w:tcPr>
            <w:tcW w:w="685" w:type="pct"/>
            <w:hideMark/>
          </w:tcPr>
          <w:p w14:paraId="1BEBB1B4"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1.15 (0.91-1.46)</w:t>
            </w:r>
          </w:p>
        </w:tc>
      </w:tr>
      <w:tr w:rsidR="00E12B8C" w:rsidRPr="00000849" w14:paraId="1DB8701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2144338E"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Heavy drinker</w:t>
            </w:r>
          </w:p>
        </w:tc>
        <w:tc>
          <w:tcPr>
            <w:tcW w:w="685" w:type="pct"/>
            <w:hideMark/>
          </w:tcPr>
          <w:p w14:paraId="507A80D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0.84 (0.53-1.35)</w:t>
            </w:r>
          </w:p>
        </w:tc>
        <w:tc>
          <w:tcPr>
            <w:tcW w:w="684" w:type="pct"/>
            <w:hideMark/>
          </w:tcPr>
          <w:p w14:paraId="06AE738F"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0.29** (0.14-0.62)</w:t>
            </w:r>
          </w:p>
        </w:tc>
        <w:tc>
          <w:tcPr>
            <w:tcW w:w="685" w:type="pct"/>
            <w:hideMark/>
          </w:tcPr>
          <w:p w14:paraId="5C9942A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1.06 (0.61-1.85)</w:t>
            </w:r>
          </w:p>
        </w:tc>
        <w:tc>
          <w:tcPr>
            <w:tcW w:w="685" w:type="pct"/>
            <w:hideMark/>
          </w:tcPr>
          <w:p w14:paraId="7E9F77D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0.31* (0.12-0.78)</w:t>
            </w:r>
          </w:p>
        </w:tc>
        <w:tc>
          <w:tcPr>
            <w:tcW w:w="684" w:type="pct"/>
            <w:hideMark/>
          </w:tcPr>
          <w:p w14:paraId="32B52F4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1.09 (0.64-1.86)</w:t>
            </w:r>
          </w:p>
        </w:tc>
        <w:tc>
          <w:tcPr>
            <w:tcW w:w="685" w:type="pct"/>
            <w:hideMark/>
          </w:tcPr>
          <w:p w14:paraId="6BE3F209"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0.47 (0.19-1.19)</w:t>
            </w:r>
          </w:p>
        </w:tc>
      </w:tr>
      <w:tr w:rsidR="00E12B8C" w:rsidRPr="00000849" w14:paraId="0510BFE2"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892" w:type="pct"/>
            <w:hideMark/>
          </w:tcPr>
          <w:p w14:paraId="47B0A61A" w14:textId="77777777" w:rsidR="00E12B8C" w:rsidRPr="00CB1908" w:rsidRDefault="00E12B8C" w:rsidP="00634119">
            <w:pPr>
              <w:spacing w:after="0" w:line="240" w:lineRule="auto"/>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Daily fruit/veg serving</w:t>
            </w:r>
          </w:p>
        </w:tc>
        <w:tc>
          <w:tcPr>
            <w:tcW w:w="685" w:type="pct"/>
            <w:hideMark/>
          </w:tcPr>
          <w:p w14:paraId="5EE1106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4" w:type="pct"/>
            <w:hideMark/>
          </w:tcPr>
          <w:p w14:paraId="7B4035C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hideMark/>
          </w:tcPr>
          <w:p w14:paraId="6CA3AE9D"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 </w:t>
            </w:r>
          </w:p>
        </w:tc>
        <w:tc>
          <w:tcPr>
            <w:tcW w:w="685" w:type="pct"/>
            <w:hideMark/>
          </w:tcPr>
          <w:p w14:paraId="5E6EBBA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4" w:type="pct"/>
            <w:noWrap/>
            <w:hideMark/>
          </w:tcPr>
          <w:p w14:paraId="562E242E"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
        </w:tc>
        <w:tc>
          <w:tcPr>
            <w:tcW w:w="685" w:type="pct"/>
            <w:noWrap/>
            <w:hideMark/>
          </w:tcPr>
          <w:p w14:paraId="432ED5C6" w14:textId="77777777" w:rsidR="00E12B8C" w:rsidRPr="00000849" w:rsidRDefault="00E12B8C" w:rsidP="00634119">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p>
        </w:tc>
      </w:tr>
      <w:tr w:rsidR="00E12B8C" w:rsidRPr="00000849" w14:paraId="6D9B769F" w14:textId="77777777" w:rsidTr="00000849">
        <w:trPr>
          <w:trHeight w:val="523"/>
        </w:trPr>
        <w:tc>
          <w:tcPr>
            <w:cnfStyle w:val="001000000000" w:firstRow="0" w:lastRow="0" w:firstColumn="1" w:lastColumn="0" w:oddVBand="0" w:evenVBand="0" w:oddHBand="0" w:evenHBand="0" w:firstRowFirstColumn="0" w:firstRowLastColumn="0" w:lastRowFirstColumn="0" w:lastRowLastColumn="0"/>
            <w:tcW w:w="892" w:type="pct"/>
            <w:hideMark/>
          </w:tcPr>
          <w:p w14:paraId="6E9DF912"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&gt;=5 daily fruit-veg serving</w:t>
            </w:r>
          </w:p>
        </w:tc>
        <w:tc>
          <w:tcPr>
            <w:tcW w:w="685" w:type="pct"/>
            <w:hideMark/>
          </w:tcPr>
          <w:p w14:paraId="3D691BA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0457AAAC"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236FD573"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145C60D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4" w:type="pct"/>
            <w:hideMark/>
          </w:tcPr>
          <w:p w14:paraId="0F37BF8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c>
          <w:tcPr>
            <w:tcW w:w="685" w:type="pct"/>
            <w:hideMark/>
          </w:tcPr>
          <w:p w14:paraId="68BA90BA"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 (1.00-1.00)</w:t>
            </w:r>
          </w:p>
        </w:tc>
      </w:tr>
      <w:tr w:rsidR="00E12B8C" w:rsidRPr="00000849" w14:paraId="52C6239D" w14:textId="77777777" w:rsidTr="00000849">
        <w:trPr>
          <w:trHeight w:val="630"/>
        </w:trPr>
        <w:tc>
          <w:tcPr>
            <w:cnfStyle w:val="001000000000" w:firstRow="0" w:lastRow="0" w:firstColumn="1" w:lastColumn="0" w:oddVBand="0" w:evenVBand="0" w:oddHBand="0" w:evenHBand="0" w:firstRowFirstColumn="0" w:firstRowLastColumn="0" w:lastRowFirstColumn="0" w:lastRowLastColumn="0"/>
            <w:tcW w:w="892" w:type="pct"/>
            <w:hideMark/>
          </w:tcPr>
          <w:p w14:paraId="0022A17C" w14:textId="77777777" w:rsidR="00E12B8C" w:rsidRPr="00CB1908" w:rsidRDefault="00E12B8C" w:rsidP="00634119">
            <w:pPr>
              <w:spacing w:after="0" w:line="240" w:lineRule="auto"/>
              <w:ind w:firstLineChars="100" w:firstLine="180"/>
              <w:rPr>
                <w:rFonts w:ascii="Calibri" w:eastAsia="Times New Roman" w:hAnsi="Calibri" w:cs="Calibri"/>
                <w:b w:val="0"/>
                <w:bCs w:val="0"/>
                <w:color w:val="000000"/>
                <w:sz w:val="18"/>
                <w:szCs w:val="18"/>
              </w:rPr>
            </w:pPr>
            <w:r w:rsidRPr="00514F26">
              <w:rPr>
                <w:rFonts w:ascii="Calibri" w:eastAsia="Times New Roman" w:hAnsi="Calibri" w:cs="Calibri"/>
                <w:color w:val="000000"/>
                <w:sz w:val="18"/>
                <w:szCs w:val="18"/>
              </w:rPr>
              <w:t>&lt;5 daily fruit-veg servings</w:t>
            </w:r>
          </w:p>
        </w:tc>
        <w:tc>
          <w:tcPr>
            <w:tcW w:w="685" w:type="pct"/>
            <w:hideMark/>
          </w:tcPr>
          <w:p w14:paraId="4B99BEEE"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0.81** (0.69-0.95)</w:t>
            </w:r>
          </w:p>
        </w:tc>
        <w:tc>
          <w:tcPr>
            <w:tcW w:w="684" w:type="pct"/>
            <w:hideMark/>
          </w:tcPr>
          <w:p w14:paraId="643E82B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0.78 (0.61-1.00)</w:t>
            </w:r>
          </w:p>
        </w:tc>
        <w:tc>
          <w:tcPr>
            <w:tcW w:w="685" w:type="pct"/>
            <w:hideMark/>
          </w:tcPr>
          <w:p w14:paraId="67DD1C8B"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0.95 (0.80-1.13)</w:t>
            </w:r>
          </w:p>
        </w:tc>
        <w:tc>
          <w:tcPr>
            <w:tcW w:w="685" w:type="pct"/>
            <w:hideMark/>
          </w:tcPr>
          <w:p w14:paraId="289CDDA2"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0.80* (0.65-0.99)</w:t>
            </w:r>
          </w:p>
        </w:tc>
        <w:tc>
          <w:tcPr>
            <w:tcW w:w="684" w:type="pct"/>
            <w:hideMark/>
          </w:tcPr>
          <w:p w14:paraId="54F0BE8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r w:rsidRPr="00000849">
              <w:rPr>
                <w:rFonts w:ascii="Calibri" w:eastAsia="Times New Roman" w:hAnsi="Calibri" w:cs="Calibri"/>
                <w:color w:val="000000"/>
                <w:sz w:val="18"/>
                <w:szCs w:val="18"/>
              </w:rPr>
              <w:t>1.06 (0.90-1.26)</w:t>
            </w:r>
          </w:p>
        </w:tc>
        <w:tc>
          <w:tcPr>
            <w:tcW w:w="685" w:type="pct"/>
            <w:hideMark/>
          </w:tcPr>
          <w:p w14:paraId="32C94171" w14:textId="77777777" w:rsidR="00E12B8C" w:rsidRPr="00000849" w:rsidRDefault="00E12B8C" w:rsidP="006341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rPr>
            </w:pPr>
            <w:r w:rsidRPr="00000849">
              <w:rPr>
                <w:rFonts w:ascii="Calibri" w:eastAsia="Times New Roman" w:hAnsi="Calibri" w:cs="Calibri"/>
                <w:b/>
                <w:bCs/>
                <w:color w:val="000000"/>
                <w:sz w:val="18"/>
                <w:szCs w:val="18"/>
              </w:rPr>
              <w:t>0.81* (0.67-0.99)</w:t>
            </w:r>
          </w:p>
        </w:tc>
      </w:tr>
    </w:tbl>
    <w:p w14:paraId="5F334DB2" w14:textId="77777777" w:rsidR="00891846" w:rsidRPr="00000849" w:rsidRDefault="00891846" w:rsidP="00B9681C"/>
    <w:p w14:paraId="7E144997" w14:textId="77777777" w:rsidR="00891846" w:rsidRPr="00000849" w:rsidRDefault="00891846"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sectPr w:rsidR="00891846" w:rsidRPr="00000849" w:rsidSect="00891846">
          <w:pgSz w:w="16838" w:h="11906" w:orient="landscape"/>
          <w:pgMar w:top="2155" w:right="1440" w:bottom="1440" w:left="1440" w:header="708" w:footer="708" w:gutter="0"/>
          <w:cols w:space="708"/>
          <w:docGrid w:linePitch="360"/>
        </w:sectPr>
      </w:pPr>
    </w:p>
    <w:p w14:paraId="52EF3138" w14:textId="77777777" w:rsidR="006B48A5" w:rsidRPr="00000849" w:rsidRDefault="006B48A5" w:rsidP="004E2350">
      <w:pPr>
        <w:pStyle w:val="Heading3"/>
      </w:pPr>
      <w:bookmarkStart w:id="96" w:name="_Toc51472135"/>
      <w:r w:rsidRPr="00000849">
        <w:lastRenderedPageBreak/>
        <w:t>5.5.2</w:t>
      </w:r>
      <w:r w:rsidRPr="00000849">
        <w:tab/>
        <w:t>Single level multivariable analysis</w:t>
      </w:r>
      <w:bookmarkEnd w:id="96"/>
      <w:r w:rsidRPr="00000849">
        <w:t xml:space="preserve"> </w:t>
      </w:r>
    </w:p>
    <w:p w14:paraId="3D401479" w14:textId="77777777" w:rsidR="006B48A5" w:rsidRPr="00000849" w:rsidRDefault="006B48A5" w:rsidP="006B48A5">
      <w:pPr>
        <w:pStyle w:val="Heading4"/>
      </w:pPr>
      <w:r w:rsidRPr="00000849">
        <w:t>5.5.2.1</w:t>
      </w:r>
      <w:r w:rsidRPr="00000849">
        <w:tab/>
        <w:t xml:space="preserve">Model build up </w:t>
      </w:r>
    </w:p>
    <w:p w14:paraId="5E5E4BB5" w14:textId="77777777" w:rsidR="006B48A5" w:rsidRPr="00000849" w:rsidRDefault="006B48A5" w:rsidP="006B48A5">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628B5237" w14:textId="4125D7E7" w:rsidR="006B48A5" w:rsidRPr="00000849" w:rsidRDefault="006B48A5" w:rsidP="006B48A5">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In the model build up, demographic, socioeconomic and lifestyle covariates were incrementally added to the model with binary hypertension as the outcome in each study wave (Appendix 8 Table </w:t>
      </w:r>
      <w:r w:rsidR="00796295" w:rsidRPr="00000849">
        <w:rPr>
          <w:rFonts w:asciiTheme="minorHAnsi" w:hAnsiTheme="minorHAnsi" w:cstheme="minorHAnsi"/>
          <w:color w:val="383838"/>
        </w:rPr>
        <w:t>A7</w:t>
      </w:r>
      <w:r w:rsidRPr="00000849">
        <w:rPr>
          <w:rFonts w:asciiTheme="minorHAnsi" w:hAnsiTheme="minorHAnsi" w:cstheme="minorHAnsi"/>
          <w:color w:val="383838"/>
        </w:rPr>
        <w:t xml:space="preserve">).  Model 1 had only the demographic covariates; Model 2 had socioeconomic covariates added to the Model 1 while Model 3, the most comprehensive model, had lifestyle covariates added to the Model 2. </w:t>
      </w:r>
    </w:p>
    <w:p w14:paraId="37DF76D8" w14:textId="63D8935B" w:rsidR="005D3ACF" w:rsidRPr="00000849" w:rsidRDefault="00FC3593"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In each study wave, the AIC and BIC criteria values were lowest in Model 3, indicating that it was the optimal model. </w:t>
      </w:r>
      <w:r w:rsidR="00D60C29" w:rsidRPr="00000849">
        <w:rPr>
          <w:rFonts w:asciiTheme="minorHAnsi" w:hAnsiTheme="minorHAnsi" w:cstheme="minorHAnsi"/>
          <w:color w:val="383838"/>
        </w:rPr>
        <w:t xml:space="preserve"> For example, the AIC values for Models 1 and 3 in W1 </w:t>
      </w:r>
      <w:r w:rsidR="00413949" w:rsidRPr="00000849">
        <w:rPr>
          <w:rFonts w:asciiTheme="minorHAnsi" w:hAnsiTheme="minorHAnsi" w:cstheme="minorHAnsi"/>
          <w:color w:val="383838"/>
        </w:rPr>
        <w:t>were</w:t>
      </w:r>
      <w:r w:rsidR="00D60C29" w:rsidRPr="00000849">
        <w:rPr>
          <w:rFonts w:asciiTheme="minorHAnsi" w:hAnsiTheme="minorHAnsi" w:cstheme="minorHAnsi"/>
          <w:color w:val="383838"/>
        </w:rPr>
        <w:t xml:space="preserve"> 3,654,012 </w:t>
      </w:r>
      <w:r w:rsidR="00413949" w:rsidRPr="00000849">
        <w:rPr>
          <w:rFonts w:asciiTheme="minorHAnsi" w:hAnsiTheme="minorHAnsi" w:cstheme="minorHAnsi"/>
          <w:color w:val="383838"/>
        </w:rPr>
        <w:t>and</w:t>
      </w:r>
      <w:r w:rsidR="00D60C29" w:rsidRPr="00000849">
        <w:rPr>
          <w:rFonts w:asciiTheme="minorHAnsi" w:hAnsiTheme="minorHAnsi" w:cstheme="minorHAnsi"/>
          <w:color w:val="383838"/>
        </w:rPr>
        <w:t xml:space="preserve"> 3,305,</w:t>
      </w:r>
      <w:r w:rsidR="00413949" w:rsidRPr="00000849">
        <w:rPr>
          <w:rFonts w:asciiTheme="minorHAnsi" w:hAnsiTheme="minorHAnsi" w:cstheme="minorHAnsi"/>
          <w:color w:val="383838"/>
        </w:rPr>
        <w:t>987 respectively</w:t>
      </w:r>
      <w:r w:rsidR="00B81994" w:rsidRPr="00000849">
        <w:rPr>
          <w:rFonts w:asciiTheme="minorHAnsi" w:hAnsiTheme="minorHAnsi" w:cstheme="minorHAnsi"/>
          <w:color w:val="383838"/>
        </w:rPr>
        <w:t xml:space="preserve"> (Appendix 8 Table </w:t>
      </w:r>
      <w:r w:rsidR="00796295" w:rsidRPr="00000849">
        <w:rPr>
          <w:rFonts w:asciiTheme="minorHAnsi" w:hAnsiTheme="minorHAnsi" w:cstheme="minorHAnsi"/>
          <w:color w:val="383838"/>
        </w:rPr>
        <w:t>A7</w:t>
      </w:r>
      <w:r w:rsidR="00B81994" w:rsidRPr="00000849">
        <w:rPr>
          <w:rFonts w:asciiTheme="minorHAnsi" w:hAnsiTheme="minorHAnsi" w:cstheme="minorHAnsi"/>
          <w:color w:val="383838"/>
        </w:rPr>
        <w:t>)</w:t>
      </w:r>
      <w:r w:rsidR="00413949" w:rsidRPr="00000849">
        <w:rPr>
          <w:rFonts w:asciiTheme="minorHAnsi" w:hAnsiTheme="minorHAnsi" w:cstheme="minorHAnsi"/>
          <w:color w:val="383838"/>
        </w:rPr>
        <w:t>.</w:t>
      </w:r>
    </w:p>
    <w:p w14:paraId="74361AA6" w14:textId="22F4246E" w:rsidR="00B9681C" w:rsidRPr="00000849" w:rsidRDefault="00413949"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likelihood ratio (LR) tests comparing a fuller model with a restricted model suggested that the </w:t>
      </w:r>
      <w:r w:rsidR="00BC1D02" w:rsidRPr="00000849">
        <w:rPr>
          <w:rFonts w:asciiTheme="minorHAnsi" w:hAnsiTheme="minorHAnsi" w:cstheme="minorHAnsi"/>
          <w:color w:val="383838"/>
        </w:rPr>
        <w:t>former</w:t>
      </w:r>
      <w:r w:rsidRPr="00000849">
        <w:rPr>
          <w:rFonts w:asciiTheme="minorHAnsi" w:hAnsiTheme="minorHAnsi" w:cstheme="minorHAnsi"/>
          <w:color w:val="383838"/>
        </w:rPr>
        <w:t xml:space="preserve"> </w:t>
      </w:r>
      <w:r w:rsidR="00252ED4" w:rsidRPr="00000849">
        <w:rPr>
          <w:rFonts w:asciiTheme="minorHAnsi" w:hAnsiTheme="minorHAnsi" w:cstheme="minorHAnsi"/>
          <w:color w:val="383838"/>
        </w:rPr>
        <w:t xml:space="preserve">consistently </w:t>
      </w:r>
      <w:r w:rsidRPr="00000849">
        <w:rPr>
          <w:rFonts w:asciiTheme="minorHAnsi" w:hAnsiTheme="minorHAnsi" w:cstheme="minorHAnsi"/>
          <w:color w:val="383838"/>
        </w:rPr>
        <w:t xml:space="preserve">provided a better fit to the model in each study wave.  For example, the LR test comparing Model 2 with Model 1 in W1 yielded a chi-squared statistic of </w:t>
      </w:r>
      <w:r w:rsidR="00E7622D" w:rsidRPr="00000849">
        <w:rPr>
          <w:rFonts w:asciiTheme="minorHAnsi" w:hAnsiTheme="minorHAnsi" w:cstheme="minorHAnsi"/>
          <w:color w:val="383838"/>
        </w:rPr>
        <w:t>36</w:t>
      </w:r>
      <w:r w:rsidRPr="00000849">
        <w:rPr>
          <w:rFonts w:asciiTheme="minorHAnsi" w:hAnsiTheme="minorHAnsi" w:cstheme="minorHAnsi"/>
          <w:color w:val="383838"/>
        </w:rPr>
        <w:t xml:space="preserve">.63, p&lt;0.001 while that comparing Model 3 with Model 2 </w:t>
      </w:r>
      <w:r w:rsidR="00252ED4" w:rsidRPr="00000849">
        <w:rPr>
          <w:rFonts w:asciiTheme="minorHAnsi" w:hAnsiTheme="minorHAnsi" w:cstheme="minorHAnsi"/>
          <w:color w:val="383838"/>
        </w:rPr>
        <w:t xml:space="preserve">yielded </w:t>
      </w:r>
      <w:r w:rsidR="0018482A" w:rsidRPr="00000849">
        <w:rPr>
          <w:rFonts w:asciiTheme="minorHAnsi" w:hAnsiTheme="minorHAnsi" w:cstheme="minorHAnsi"/>
          <w:color w:val="383838"/>
        </w:rPr>
        <w:t>χ</w:t>
      </w:r>
      <w:r w:rsidR="0018482A" w:rsidRPr="00000849">
        <w:rPr>
          <w:rFonts w:asciiTheme="minorHAnsi" w:hAnsiTheme="minorHAnsi" w:cstheme="minorHAnsi"/>
          <w:color w:val="383838"/>
          <w:vertAlign w:val="superscript"/>
        </w:rPr>
        <w:t>2</w:t>
      </w:r>
      <w:r w:rsidR="0018482A" w:rsidRPr="00000849">
        <w:rPr>
          <w:rFonts w:asciiTheme="minorHAnsi" w:hAnsiTheme="minorHAnsi" w:cstheme="minorHAnsi"/>
          <w:color w:val="383838"/>
        </w:rPr>
        <w:t xml:space="preserve"> = </w:t>
      </w:r>
      <w:r w:rsidR="00E7622D" w:rsidRPr="00000849">
        <w:rPr>
          <w:rFonts w:asciiTheme="minorHAnsi" w:hAnsiTheme="minorHAnsi" w:cstheme="minorHAnsi"/>
          <w:color w:val="383838"/>
        </w:rPr>
        <w:t>112.1</w:t>
      </w:r>
      <w:r w:rsidR="00252ED4" w:rsidRPr="00000849">
        <w:rPr>
          <w:rFonts w:asciiTheme="minorHAnsi" w:hAnsiTheme="minorHAnsi" w:cstheme="minorHAnsi"/>
          <w:color w:val="383838"/>
        </w:rPr>
        <w:t>, p&lt;0.001</w:t>
      </w:r>
      <w:r w:rsidR="00E7622D" w:rsidRPr="00000849">
        <w:rPr>
          <w:rFonts w:asciiTheme="minorHAnsi" w:hAnsiTheme="minorHAnsi" w:cstheme="minorHAnsi"/>
          <w:color w:val="383838"/>
        </w:rPr>
        <w:t xml:space="preserve">, </w:t>
      </w:r>
      <w:r w:rsidR="0042223A" w:rsidRPr="00000849">
        <w:rPr>
          <w:rFonts w:asciiTheme="minorHAnsi" w:hAnsiTheme="minorHAnsi" w:cstheme="minorHAnsi"/>
          <w:color w:val="383838"/>
        </w:rPr>
        <w:t xml:space="preserve">thus </w:t>
      </w:r>
      <w:r w:rsidR="00800973" w:rsidRPr="00000849">
        <w:rPr>
          <w:rFonts w:asciiTheme="minorHAnsi" w:hAnsiTheme="minorHAnsi" w:cstheme="minorHAnsi"/>
          <w:color w:val="383838"/>
        </w:rPr>
        <w:t xml:space="preserve">confirming Model 3 </w:t>
      </w:r>
      <w:r w:rsidR="00E7622D" w:rsidRPr="00000849">
        <w:rPr>
          <w:rFonts w:asciiTheme="minorHAnsi" w:hAnsiTheme="minorHAnsi" w:cstheme="minorHAnsi"/>
          <w:color w:val="383838"/>
        </w:rPr>
        <w:t>as</w:t>
      </w:r>
      <w:r w:rsidR="00800973" w:rsidRPr="00000849">
        <w:rPr>
          <w:rFonts w:asciiTheme="minorHAnsi" w:hAnsiTheme="minorHAnsi" w:cstheme="minorHAnsi"/>
          <w:color w:val="383838"/>
        </w:rPr>
        <w:t xml:space="preserve"> the optimal model with the best fit to the observed data</w:t>
      </w:r>
      <w:r w:rsidR="00252ED4" w:rsidRPr="00000849">
        <w:rPr>
          <w:rFonts w:asciiTheme="minorHAnsi" w:hAnsiTheme="minorHAnsi" w:cstheme="minorHAnsi"/>
          <w:color w:val="383838"/>
        </w:rPr>
        <w:t>.</w:t>
      </w:r>
      <w:r w:rsidR="0018482A" w:rsidRPr="00000849">
        <w:rPr>
          <w:rFonts w:asciiTheme="minorHAnsi" w:hAnsiTheme="minorHAnsi" w:cstheme="minorHAnsi"/>
          <w:color w:val="383838"/>
        </w:rPr>
        <w:t xml:space="preserve">  Similarly, in W2, Model 3 was the optimal model with χ</w:t>
      </w:r>
      <w:r w:rsidR="0018482A" w:rsidRPr="00000849">
        <w:rPr>
          <w:rFonts w:asciiTheme="minorHAnsi" w:hAnsiTheme="minorHAnsi" w:cstheme="minorHAnsi"/>
          <w:color w:val="383838"/>
          <w:vertAlign w:val="superscript"/>
        </w:rPr>
        <w:t>2</w:t>
      </w:r>
      <w:r w:rsidR="0018482A" w:rsidRPr="00000849">
        <w:rPr>
          <w:rFonts w:asciiTheme="minorHAnsi" w:hAnsiTheme="minorHAnsi" w:cstheme="minorHAnsi"/>
          <w:color w:val="383838"/>
        </w:rPr>
        <w:t xml:space="preserve"> = 54.58, p&lt;0.001 when compared with Model 1 which had provided a better fit than Model 2.</w:t>
      </w:r>
      <w:r w:rsidR="00D742EB" w:rsidRPr="00000849">
        <w:rPr>
          <w:rFonts w:asciiTheme="minorHAnsi" w:hAnsiTheme="minorHAnsi" w:cstheme="minorHAnsi"/>
          <w:color w:val="383838"/>
        </w:rPr>
        <w:t xml:space="preserve">  </w:t>
      </w:r>
    </w:p>
    <w:p w14:paraId="013652D5" w14:textId="0699ED1E" w:rsidR="0068285B" w:rsidRPr="00000849" w:rsidRDefault="00DC6C1A"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same set of covariates were included in the models for each study wave.  However, in W2, an additional variable was included to adjust for the participation of some of the subjects in W1.  The results showed that previous participation of W2 participants in W1 was not significantly associated with hypertension (Appendix </w:t>
      </w:r>
      <w:r w:rsidR="00AA4D78" w:rsidRPr="00000849">
        <w:rPr>
          <w:rFonts w:asciiTheme="minorHAnsi" w:hAnsiTheme="minorHAnsi" w:cstheme="minorHAnsi"/>
          <w:color w:val="383838"/>
        </w:rPr>
        <w:t>8</w:t>
      </w:r>
      <w:r w:rsidRPr="00000849">
        <w:rPr>
          <w:rFonts w:asciiTheme="minorHAnsi" w:hAnsiTheme="minorHAnsi" w:cstheme="minorHAnsi"/>
          <w:color w:val="383838"/>
        </w:rPr>
        <w:t xml:space="preserve"> Table </w:t>
      </w:r>
      <w:r w:rsidR="00796295" w:rsidRPr="00000849">
        <w:rPr>
          <w:rFonts w:asciiTheme="minorHAnsi" w:hAnsiTheme="minorHAnsi" w:cstheme="minorHAnsi"/>
          <w:color w:val="383838"/>
        </w:rPr>
        <w:t>A8</w:t>
      </w:r>
      <w:r w:rsidRPr="00000849">
        <w:rPr>
          <w:rFonts w:asciiTheme="minorHAnsi" w:hAnsiTheme="minorHAnsi" w:cstheme="minorHAnsi"/>
          <w:color w:val="383838"/>
        </w:rPr>
        <w:t xml:space="preserve">).  The likelihood ratio test comparing the model with the repeat participation </w:t>
      </w:r>
      <w:r w:rsidRPr="00000849">
        <w:rPr>
          <w:rFonts w:asciiTheme="minorHAnsi" w:hAnsiTheme="minorHAnsi" w:cstheme="minorHAnsi"/>
          <w:color w:val="383838"/>
        </w:rPr>
        <w:lastRenderedPageBreak/>
        <w:t>and the model without this variable was not statistically significant (χ</w:t>
      </w:r>
      <w:r w:rsidRPr="00000849">
        <w:rPr>
          <w:rFonts w:asciiTheme="minorHAnsi" w:hAnsiTheme="minorHAnsi" w:cstheme="minorHAnsi"/>
          <w:color w:val="383838"/>
          <w:vertAlign w:val="superscript"/>
        </w:rPr>
        <w:t>2</w:t>
      </w:r>
      <w:r w:rsidRPr="00000849">
        <w:rPr>
          <w:rFonts w:asciiTheme="minorHAnsi" w:hAnsiTheme="minorHAnsi" w:cstheme="minorHAnsi"/>
          <w:color w:val="383838"/>
        </w:rPr>
        <w:t xml:space="preserve"> = 0.0</w:t>
      </w:r>
      <w:r w:rsidR="00AA4D78" w:rsidRPr="00000849">
        <w:rPr>
          <w:rFonts w:asciiTheme="minorHAnsi" w:hAnsiTheme="minorHAnsi" w:cstheme="minorHAnsi"/>
          <w:color w:val="383838"/>
        </w:rPr>
        <w:t>3</w:t>
      </w:r>
      <w:r w:rsidRPr="00000849">
        <w:rPr>
          <w:rFonts w:asciiTheme="minorHAnsi" w:hAnsiTheme="minorHAnsi" w:cstheme="minorHAnsi"/>
          <w:color w:val="383838"/>
        </w:rPr>
        <w:t>, p = 0.</w:t>
      </w:r>
      <w:r w:rsidR="00AA4D78" w:rsidRPr="00000849">
        <w:rPr>
          <w:rFonts w:asciiTheme="minorHAnsi" w:hAnsiTheme="minorHAnsi" w:cstheme="minorHAnsi"/>
          <w:color w:val="383838"/>
        </w:rPr>
        <w:t>8</w:t>
      </w:r>
      <w:r w:rsidRPr="00000849">
        <w:rPr>
          <w:rFonts w:asciiTheme="minorHAnsi" w:hAnsiTheme="minorHAnsi" w:cstheme="minorHAnsi"/>
          <w:color w:val="383838"/>
        </w:rPr>
        <w:t>6</w:t>
      </w:r>
      <w:r w:rsidR="00AA4D78"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 Since the larger model did not</w:t>
      </w:r>
      <w:r w:rsidR="00AA4D78" w:rsidRPr="00000849">
        <w:rPr>
          <w:rFonts w:asciiTheme="minorHAnsi" w:hAnsiTheme="minorHAnsi" w:cstheme="minorHAnsi"/>
          <w:color w:val="383838"/>
        </w:rPr>
        <w:t xml:space="preserve"> produce a superior</w:t>
      </w:r>
      <w:r w:rsidRPr="00000849">
        <w:rPr>
          <w:rFonts w:asciiTheme="minorHAnsi" w:hAnsiTheme="minorHAnsi" w:cstheme="minorHAnsi"/>
          <w:color w:val="383838"/>
        </w:rPr>
        <w:t xml:space="preserve"> fit </w:t>
      </w:r>
      <w:r w:rsidR="00AA4D78" w:rsidRPr="00000849">
        <w:rPr>
          <w:rFonts w:asciiTheme="minorHAnsi" w:hAnsiTheme="minorHAnsi" w:cstheme="minorHAnsi"/>
          <w:color w:val="383838"/>
        </w:rPr>
        <w:t xml:space="preserve">to </w:t>
      </w:r>
      <w:r w:rsidRPr="00000849">
        <w:rPr>
          <w:rFonts w:asciiTheme="minorHAnsi" w:hAnsiTheme="minorHAnsi" w:cstheme="minorHAnsi"/>
          <w:color w:val="383838"/>
        </w:rPr>
        <w:t xml:space="preserve">the data better, the smaller model (without the repeat participation variable) was retained in </w:t>
      </w:r>
      <w:r w:rsidR="00FB7197" w:rsidRPr="00000849">
        <w:rPr>
          <w:rFonts w:asciiTheme="minorHAnsi" w:hAnsiTheme="minorHAnsi" w:cstheme="minorHAnsi"/>
          <w:color w:val="383838"/>
        </w:rPr>
        <w:t xml:space="preserve">all </w:t>
      </w:r>
      <w:r w:rsidRPr="00000849">
        <w:rPr>
          <w:rFonts w:asciiTheme="minorHAnsi" w:hAnsiTheme="minorHAnsi" w:cstheme="minorHAnsi"/>
          <w:color w:val="383838"/>
        </w:rPr>
        <w:t xml:space="preserve">the </w:t>
      </w:r>
      <w:r w:rsidR="00FB7197" w:rsidRPr="00000849">
        <w:rPr>
          <w:rFonts w:asciiTheme="minorHAnsi" w:hAnsiTheme="minorHAnsi" w:cstheme="minorHAnsi"/>
          <w:color w:val="383838"/>
        </w:rPr>
        <w:t>W2</w:t>
      </w:r>
      <w:r w:rsidRPr="00000849">
        <w:rPr>
          <w:rFonts w:asciiTheme="minorHAnsi" w:hAnsiTheme="minorHAnsi" w:cstheme="minorHAnsi"/>
          <w:color w:val="383838"/>
        </w:rPr>
        <w:t xml:space="preserve"> analys</w:t>
      </w:r>
      <w:r w:rsidR="00FB7197" w:rsidRPr="00000849">
        <w:rPr>
          <w:rFonts w:asciiTheme="minorHAnsi" w:hAnsiTheme="minorHAnsi" w:cstheme="minorHAnsi"/>
          <w:color w:val="383838"/>
        </w:rPr>
        <w:t>e</w:t>
      </w:r>
      <w:r w:rsidRPr="00000849">
        <w:rPr>
          <w:rFonts w:asciiTheme="minorHAnsi" w:hAnsiTheme="minorHAnsi" w:cstheme="minorHAnsi"/>
          <w:color w:val="383838"/>
        </w:rPr>
        <w:t xml:space="preserve">s.  </w:t>
      </w:r>
    </w:p>
    <w:p w14:paraId="115138E3" w14:textId="77777777" w:rsidR="00AA4D78" w:rsidRPr="00000849" w:rsidRDefault="00AA4D78"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74BE895B" w14:textId="58367D78" w:rsidR="00252ED4" w:rsidRPr="00000849" w:rsidRDefault="002006AA" w:rsidP="0075255B">
      <w:pPr>
        <w:pStyle w:val="Heading4"/>
      </w:pPr>
      <w:r w:rsidRPr="00000849">
        <w:t>5.</w:t>
      </w:r>
      <w:r w:rsidR="00C665B2" w:rsidRPr="00000849">
        <w:t>5</w:t>
      </w:r>
      <w:r w:rsidR="00252ED4" w:rsidRPr="00000849">
        <w:t>.2.2</w:t>
      </w:r>
      <w:r w:rsidR="00252ED4" w:rsidRPr="00000849">
        <w:tab/>
        <w:t xml:space="preserve">Determinants of hypertension in the </w:t>
      </w:r>
      <w:r w:rsidR="00FE7A4B">
        <w:t xml:space="preserve">single-level </w:t>
      </w:r>
      <w:r w:rsidR="00252ED4" w:rsidRPr="00000849">
        <w:t xml:space="preserve">multivariable analysis </w:t>
      </w:r>
    </w:p>
    <w:p w14:paraId="7F9ADF22" w14:textId="0C214213" w:rsidR="00FC3593" w:rsidRPr="00000849" w:rsidRDefault="00FC3593"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14246539" w14:textId="24582B03" w:rsidR="00FC3593" w:rsidRPr="00000849" w:rsidRDefault="00A57C33" w:rsidP="003156CE">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In the multivariable analysis, </w:t>
      </w:r>
      <w:r w:rsidR="00EA24C7" w:rsidRPr="00000849">
        <w:rPr>
          <w:rFonts w:asciiTheme="minorHAnsi" w:hAnsiTheme="minorHAnsi" w:cstheme="minorHAnsi"/>
          <w:color w:val="383838"/>
        </w:rPr>
        <w:t xml:space="preserve">GAR </w:t>
      </w:r>
      <w:r w:rsidR="00FF16B1" w:rsidRPr="00000849">
        <w:rPr>
          <w:rFonts w:asciiTheme="minorHAnsi" w:hAnsiTheme="minorHAnsi" w:cstheme="minorHAnsi"/>
          <w:color w:val="383838"/>
        </w:rPr>
        <w:t xml:space="preserve">residents </w:t>
      </w:r>
      <w:r w:rsidR="00024BB3" w:rsidRPr="00000849">
        <w:rPr>
          <w:rFonts w:asciiTheme="minorHAnsi" w:hAnsiTheme="minorHAnsi" w:cstheme="minorHAnsi"/>
          <w:color w:val="383838"/>
        </w:rPr>
        <w:t>in either study wave, had</w:t>
      </w:r>
      <w:r w:rsidR="00FF16B1" w:rsidRPr="00000849">
        <w:rPr>
          <w:rFonts w:asciiTheme="minorHAnsi" w:hAnsiTheme="minorHAnsi" w:cstheme="minorHAnsi"/>
          <w:color w:val="383838"/>
        </w:rPr>
        <w:t xml:space="preserve"> </w:t>
      </w:r>
      <w:r w:rsidR="0011286D" w:rsidRPr="00000849">
        <w:rPr>
          <w:rFonts w:asciiTheme="minorHAnsi" w:hAnsiTheme="minorHAnsi" w:cstheme="minorHAnsi"/>
          <w:color w:val="383838"/>
        </w:rPr>
        <w:t>2.0-2.6</w:t>
      </w:r>
      <w:r w:rsidR="00FF16B1" w:rsidRPr="00000849">
        <w:rPr>
          <w:rFonts w:asciiTheme="minorHAnsi" w:hAnsiTheme="minorHAnsi" w:cstheme="minorHAnsi"/>
          <w:color w:val="383838"/>
        </w:rPr>
        <w:t xml:space="preserve"> times </w:t>
      </w:r>
      <w:r w:rsidR="00024BB3" w:rsidRPr="00000849">
        <w:rPr>
          <w:rFonts w:asciiTheme="minorHAnsi" w:hAnsiTheme="minorHAnsi" w:cstheme="minorHAnsi"/>
          <w:color w:val="383838"/>
        </w:rPr>
        <w:t>the odds of having hypertension</w:t>
      </w:r>
      <w:r w:rsidR="00FF16B1" w:rsidRPr="00000849">
        <w:rPr>
          <w:rFonts w:asciiTheme="minorHAnsi" w:hAnsiTheme="minorHAnsi" w:cstheme="minorHAnsi"/>
          <w:color w:val="383838"/>
        </w:rPr>
        <w:t xml:space="preserve"> as residents of the northern regions, after controlling for the covariates in the model (</w:t>
      </w:r>
      <w:r w:rsidR="00594F20" w:rsidRPr="00000849">
        <w:rPr>
          <w:rFonts w:asciiTheme="minorHAnsi" w:hAnsiTheme="minorHAnsi" w:cstheme="minorHAnsi"/>
          <w:color w:val="383838"/>
        </w:rPr>
        <w:t xml:space="preserve">Table </w:t>
      </w:r>
      <w:r w:rsidR="002006AA" w:rsidRPr="00000849">
        <w:rPr>
          <w:rFonts w:asciiTheme="minorHAnsi" w:hAnsiTheme="minorHAnsi" w:cstheme="minorHAnsi"/>
          <w:color w:val="383838"/>
        </w:rPr>
        <w:t>5.</w:t>
      </w:r>
      <w:r w:rsidR="00594F20" w:rsidRPr="00000849">
        <w:rPr>
          <w:rFonts w:asciiTheme="minorHAnsi" w:hAnsiTheme="minorHAnsi" w:cstheme="minorHAnsi"/>
          <w:color w:val="383838"/>
        </w:rPr>
        <w:t>4</w:t>
      </w:r>
      <w:r w:rsidR="00FF16B1" w:rsidRPr="00000849">
        <w:rPr>
          <w:rFonts w:asciiTheme="minorHAnsi" w:hAnsiTheme="minorHAnsi" w:cstheme="minorHAnsi"/>
          <w:color w:val="383838"/>
        </w:rPr>
        <w:t xml:space="preserve">).  Further, overweight/obese subjects in W1 </w:t>
      </w:r>
      <w:r w:rsidR="0088534F" w:rsidRPr="00000849">
        <w:rPr>
          <w:rFonts w:asciiTheme="minorHAnsi" w:hAnsiTheme="minorHAnsi" w:cstheme="minorHAnsi"/>
          <w:color w:val="383838"/>
        </w:rPr>
        <w:t>had</w:t>
      </w:r>
      <w:r w:rsidR="00024BB3" w:rsidRPr="00000849">
        <w:rPr>
          <w:rFonts w:asciiTheme="minorHAnsi" w:hAnsiTheme="minorHAnsi" w:cstheme="minorHAnsi"/>
          <w:color w:val="383838"/>
        </w:rPr>
        <w:t xml:space="preserve"> two-to-three times </w:t>
      </w:r>
      <w:r w:rsidR="00A60FC1" w:rsidRPr="00000849">
        <w:rPr>
          <w:rFonts w:asciiTheme="minorHAnsi" w:hAnsiTheme="minorHAnsi" w:cstheme="minorHAnsi"/>
          <w:color w:val="383838"/>
        </w:rPr>
        <w:t>the odds of hypertension</w:t>
      </w:r>
      <w:r w:rsidR="00024BB3" w:rsidRPr="00000849">
        <w:rPr>
          <w:rFonts w:asciiTheme="minorHAnsi" w:hAnsiTheme="minorHAnsi" w:cstheme="minorHAnsi"/>
          <w:color w:val="383838"/>
        </w:rPr>
        <w:t xml:space="preserve"> as</w:t>
      </w:r>
      <w:r w:rsidR="00A60FC1" w:rsidRPr="00000849">
        <w:rPr>
          <w:rFonts w:asciiTheme="minorHAnsi" w:hAnsiTheme="minorHAnsi" w:cstheme="minorHAnsi"/>
          <w:color w:val="383838"/>
        </w:rPr>
        <w:t xml:space="preserve"> those</w:t>
      </w:r>
      <w:r w:rsidR="00024BB3" w:rsidRPr="00000849">
        <w:rPr>
          <w:rFonts w:asciiTheme="minorHAnsi" w:hAnsiTheme="minorHAnsi" w:cstheme="minorHAnsi"/>
          <w:color w:val="383838"/>
        </w:rPr>
        <w:t xml:space="preserve"> underweight</w:t>
      </w:r>
      <w:r w:rsidR="00A60FC1" w:rsidRPr="00000849">
        <w:rPr>
          <w:rFonts w:asciiTheme="minorHAnsi" w:hAnsiTheme="minorHAnsi" w:cstheme="minorHAnsi"/>
          <w:color w:val="383838"/>
        </w:rPr>
        <w:t xml:space="preserve">. </w:t>
      </w:r>
      <w:r w:rsidR="00983860" w:rsidRPr="00000849">
        <w:rPr>
          <w:rFonts w:asciiTheme="minorHAnsi" w:hAnsiTheme="minorHAnsi" w:cstheme="minorHAnsi"/>
          <w:color w:val="383838"/>
        </w:rPr>
        <w:t xml:space="preserve"> </w:t>
      </w:r>
      <w:r w:rsidR="00BA4A04" w:rsidRPr="00000849">
        <w:rPr>
          <w:rFonts w:asciiTheme="minorHAnsi" w:hAnsiTheme="minorHAnsi" w:cstheme="minorHAnsi"/>
          <w:color w:val="383838"/>
        </w:rPr>
        <w:t>Thus</w:t>
      </w:r>
      <w:r w:rsidR="00C9637B" w:rsidRPr="00000849">
        <w:rPr>
          <w:rFonts w:asciiTheme="minorHAnsi" w:hAnsiTheme="minorHAnsi" w:cstheme="minorHAnsi"/>
          <w:color w:val="383838"/>
        </w:rPr>
        <w:t>, residence in GAR w</w:t>
      </w:r>
      <w:r w:rsidR="006F7EB8" w:rsidRPr="00000849">
        <w:rPr>
          <w:rFonts w:asciiTheme="minorHAnsi" w:hAnsiTheme="minorHAnsi" w:cstheme="minorHAnsi"/>
          <w:color w:val="383838"/>
        </w:rPr>
        <w:t>as</w:t>
      </w:r>
      <w:r w:rsidR="00C9637B" w:rsidRPr="00000849">
        <w:rPr>
          <w:rFonts w:asciiTheme="minorHAnsi" w:hAnsiTheme="minorHAnsi" w:cstheme="minorHAnsi"/>
          <w:color w:val="383838"/>
        </w:rPr>
        <w:t xml:space="preserve"> the strongest predictor of hypertension in both study waves.  </w:t>
      </w:r>
    </w:p>
    <w:p w14:paraId="5D746FDC" w14:textId="3B296E7B" w:rsidR="00983860" w:rsidRPr="00000849" w:rsidRDefault="00800973"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Variables</w:t>
      </w:r>
      <w:r w:rsidR="00983860" w:rsidRPr="00000849">
        <w:rPr>
          <w:rFonts w:asciiTheme="minorHAnsi" w:hAnsiTheme="minorHAnsi" w:cstheme="minorHAnsi"/>
          <w:color w:val="383838"/>
        </w:rPr>
        <w:t xml:space="preserve"> such as female sex</w:t>
      </w:r>
      <w:r w:rsidR="001C3313" w:rsidRPr="00000849">
        <w:rPr>
          <w:rFonts w:asciiTheme="minorHAnsi" w:hAnsiTheme="minorHAnsi" w:cstheme="minorHAnsi"/>
          <w:color w:val="383838"/>
        </w:rPr>
        <w:t xml:space="preserve">, urban residence, </w:t>
      </w:r>
      <w:r w:rsidR="008B346C" w:rsidRPr="00000849">
        <w:rPr>
          <w:rFonts w:asciiTheme="minorHAnsi" w:hAnsiTheme="minorHAnsi" w:cstheme="minorHAnsi"/>
          <w:color w:val="383838"/>
        </w:rPr>
        <w:t xml:space="preserve">being previously or having never married, other religion, having reached primary or </w:t>
      </w:r>
      <w:r w:rsidR="000C3CCA" w:rsidRPr="00000849">
        <w:rPr>
          <w:rFonts w:asciiTheme="minorHAnsi" w:hAnsiTheme="minorHAnsi" w:cstheme="minorHAnsi"/>
          <w:color w:val="383838"/>
        </w:rPr>
        <w:t>higher-level</w:t>
      </w:r>
      <w:r w:rsidR="008B346C" w:rsidRPr="00000849">
        <w:rPr>
          <w:rFonts w:asciiTheme="minorHAnsi" w:hAnsiTheme="minorHAnsi" w:cstheme="minorHAnsi"/>
          <w:color w:val="383838"/>
        </w:rPr>
        <w:t xml:space="preserve"> education, being recently employed in the public or private sector, higher wealth quintiles, large WC or HC and moderate alcohol intake</w:t>
      </w:r>
      <w:r w:rsidR="00983860" w:rsidRPr="00000849">
        <w:rPr>
          <w:rFonts w:asciiTheme="minorHAnsi" w:hAnsiTheme="minorHAnsi" w:cstheme="minorHAnsi"/>
          <w:color w:val="383838"/>
        </w:rPr>
        <w:t xml:space="preserve"> </w:t>
      </w:r>
      <w:r w:rsidR="00B963B2" w:rsidRPr="00000849">
        <w:rPr>
          <w:rFonts w:asciiTheme="minorHAnsi" w:hAnsiTheme="minorHAnsi" w:cstheme="minorHAnsi"/>
          <w:color w:val="383838"/>
        </w:rPr>
        <w:t>lost their</w:t>
      </w:r>
      <w:r w:rsidR="00983860" w:rsidRPr="00000849">
        <w:rPr>
          <w:rFonts w:asciiTheme="minorHAnsi" w:hAnsiTheme="minorHAnsi" w:cstheme="minorHAnsi"/>
          <w:color w:val="383838"/>
        </w:rPr>
        <w:t xml:space="preserve"> </w:t>
      </w:r>
      <w:r w:rsidR="008B346C" w:rsidRPr="00000849">
        <w:rPr>
          <w:rFonts w:asciiTheme="minorHAnsi" w:hAnsiTheme="minorHAnsi" w:cstheme="minorHAnsi"/>
          <w:color w:val="383838"/>
        </w:rPr>
        <w:t xml:space="preserve">statistically </w:t>
      </w:r>
      <w:r w:rsidR="00983860" w:rsidRPr="00000849">
        <w:rPr>
          <w:rFonts w:asciiTheme="minorHAnsi" w:hAnsiTheme="minorHAnsi" w:cstheme="minorHAnsi"/>
          <w:color w:val="383838"/>
        </w:rPr>
        <w:t xml:space="preserve">significant </w:t>
      </w:r>
      <w:r w:rsidR="00B963B2" w:rsidRPr="00000849">
        <w:rPr>
          <w:rFonts w:asciiTheme="minorHAnsi" w:hAnsiTheme="minorHAnsi" w:cstheme="minorHAnsi"/>
          <w:color w:val="383838"/>
        </w:rPr>
        <w:t xml:space="preserve">univariable </w:t>
      </w:r>
      <w:r w:rsidR="00983860" w:rsidRPr="00000849">
        <w:rPr>
          <w:rFonts w:asciiTheme="minorHAnsi" w:hAnsiTheme="minorHAnsi" w:cstheme="minorHAnsi"/>
          <w:color w:val="383838"/>
        </w:rPr>
        <w:t>associat</w:t>
      </w:r>
      <w:r w:rsidR="00B963B2" w:rsidRPr="00000849">
        <w:rPr>
          <w:rFonts w:asciiTheme="minorHAnsi" w:hAnsiTheme="minorHAnsi" w:cstheme="minorHAnsi"/>
          <w:color w:val="383838"/>
        </w:rPr>
        <w:t>ion</w:t>
      </w:r>
      <w:r w:rsidR="00983860" w:rsidRPr="00000849">
        <w:rPr>
          <w:rFonts w:asciiTheme="minorHAnsi" w:hAnsiTheme="minorHAnsi" w:cstheme="minorHAnsi"/>
          <w:color w:val="383838"/>
        </w:rPr>
        <w:t xml:space="preserve"> with hypertension </w:t>
      </w:r>
      <w:r w:rsidR="00B963B2" w:rsidRPr="00000849">
        <w:rPr>
          <w:rFonts w:asciiTheme="minorHAnsi" w:hAnsiTheme="minorHAnsi" w:cstheme="minorHAnsi"/>
          <w:color w:val="383838"/>
        </w:rPr>
        <w:t>in</w:t>
      </w:r>
      <w:r w:rsidR="00983860" w:rsidRPr="00000849">
        <w:rPr>
          <w:rFonts w:asciiTheme="minorHAnsi" w:hAnsiTheme="minorHAnsi" w:cstheme="minorHAnsi"/>
          <w:color w:val="383838"/>
        </w:rPr>
        <w:t xml:space="preserve"> </w:t>
      </w:r>
      <w:r w:rsidR="008B346C" w:rsidRPr="00000849">
        <w:rPr>
          <w:rFonts w:asciiTheme="minorHAnsi" w:hAnsiTheme="minorHAnsi" w:cstheme="minorHAnsi"/>
          <w:color w:val="383838"/>
        </w:rPr>
        <w:t>the multivariable analysis</w:t>
      </w:r>
      <w:r w:rsidR="00B963B2" w:rsidRPr="00000849">
        <w:rPr>
          <w:rFonts w:asciiTheme="minorHAnsi" w:hAnsiTheme="minorHAnsi" w:cstheme="minorHAnsi"/>
          <w:color w:val="383838"/>
        </w:rPr>
        <w:t xml:space="preserve"> of W1</w:t>
      </w:r>
      <w:r w:rsidR="006F7EB8" w:rsidRPr="00000849">
        <w:rPr>
          <w:rFonts w:asciiTheme="minorHAnsi" w:hAnsiTheme="minorHAnsi" w:cstheme="minorHAnsi"/>
          <w:color w:val="383838"/>
        </w:rPr>
        <w:t>, an indication of the presence of confounding in the crude analysis</w:t>
      </w:r>
      <w:r w:rsidR="008B346C" w:rsidRPr="00000849">
        <w:rPr>
          <w:rFonts w:asciiTheme="minorHAnsi" w:hAnsiTheme="minorHAnsi" w:cstheme="minorHAnsi"/>
          <w:color w:val="383838"/>
        </w:rPr>
        <w:t xml:space="preserve">.  Similarly, </w:t>
      </w:r>
      <w:r w:rsidR="00C47D03" w:rsidRPr="00000849">
        <w:rPr>
          <w:rFonts w:asciiTheme="minorHAnsi" w:hAnsiTheme="minorHAnsi" w:cstheme="minorHAnsi"/>
          <w:color w:val="383838"/>
        </w:rPr>
        <w:t xml:space="preserve">belonging to other ethnicity, higher wealth quintiles, </w:t>
      </w:r>
      <w:r w:rsidR="000C3CCA" w:rsidRPr="00000849">
        <w:rPr>
          <w:rFonts w:asciiTheme="minorHAnsi" w:hAnsiTheme="minorHAnsi" w:cstheme="minorHAnsi"/>
          <w:color w:val="383838"/>
        </w:rPr>
        <w:t xml:space="preserve">moderate or high physical activity, overweight/obesity, large </w:t>
      </w:r>
      <w:r w:rsidR="00A3226D" w:rsidRPr="00000849">
        <w:rPr>
          <w:rFonts w:asciiTheme="minorHAnsi" w:hAnsiTheme="minorHAnsi" w:cstheme="minorHAnsi"/>
          <w:color w:val="383838"/>
        </w:rPr>
        <w:t xml:space="preserve">waist or </w:t>
      </w:r>
      <w:r w:rsidR="000C3CCA" w:rsidRPr="00000849">
        <w:rPr>
          <w:rFonts w:asciiTheme="minorHAnsi" w:hAnsiTheme="minorHAnsi" w:cstheme="minorHAnsi"/>
          <w:color w:val="383838"/>
        </w:rPr>
        <w:t xml:space="preserve">hip size </w:t>
      </w:r>
      <w:r w:rsidR="00A3226D" w:rsidRPr="00000849">
        <w:rPr>
          <w:rFonts w:asciiTheme="minorHAnsi" w:hAnsiTheme="minorHAnsi" w:cstheme="minorHAnsi"/>
          <w:color w:val="383838"/>
        </w:rPr>
        <w:t xml:space="preserve">and being </w:t>
      </w:r>
      <w:r w:rsidR="000C3CCA" w:rsidRPr="00000849">
        <w:rPr>
          <w:rFonts w:asciiTheme="minorHAnsi" w:hAnsiTheme="minorHAnsi" w:cstheme="minorHAnsi"/>
          <w:color w:val="383838"/>
        </w:rPr>
        <w:t xml:space="preserve">in the crude analysis </w:t>
      </w:r>
      <w:r w:rsidR="002C3AC5" w:rsidRPr="00000849">
        <w:rPr>
          <w:rFonts w:asciiTheme="minorHAnsi" w:hAnsiTheme="minorHAnsi" w:cstheme="minorHAnsi"/>
          <w:color w:val="383838"/>
        </w:rPr>
        <w:t xml:space="preserve">lost their statistical significance </w:t>
      </w:r>
      <w:r w:rsidR="000C3CCA" w:rsidRPr="00000849">
        <w:rPr>
          <w:rFonts w:asciiTheme="minorHAnsi" w:hAnsiTheme="minorHAnsi" w:cstheme="minorHAnsi"/>
          <w:color w:val="383838"/>
        </w:rPr>
        <w:t>in the multivariable analysis</w:t>
      </w:r>
      <w:r w:rsidR="002C3AC5" w:rsidRPr="00000849">
        <w:rPr>
          <w:rFonts w:asciiTheme="minorHAnsi" w:hAnsiTheme="minorHAnsi" w:cstheme="minorHAnsi"/>
          <w:color w:val="383838"/>
        </w:rPr>
        <w:t xml:space="preserve"> of W2</w:t>
      </w:r>
      <w:r w:rsidR="000C3CCA" w:rsidRPr="00000849">
        <w:rPr>
          <w:rFonts w:asciiTheme="minorHAnsi" w:hAnsiTheme="minorHAnsi" w:cstheme="minorHAnsi"/>
          <w:color w:val="383838"/>
        </w:rPr>
        <w:t xml:space="preserve">. </w:t>
      </w:r>
      <w:r w:rsidR="002C3AC5" w:rsidRPr="00000849">
        <w:rPr>
          <w:rFonts w:asciiTheme="minorHAnsi" w:hAnsiTheme="minorHAnsi" w:cstheme="minorHAnsi"/>
          <w:color w:val="383838"/>
        </w:rPr>
        <w:t xml:space="preserve"> High level physical activity </w:t>
      </w:r>
      <w:r w:rsidR="00B963B2" w:rsidRPr="00000849">
        <w:rPr>
          <w:rFonts w:asciiTheme="minorHAnsi" w:hAnsiTheme="minorHAnsi" w:cstheme="minorHAnsi"/>
          <w:color w:val="383838"/>
        </w:rPr>
        <w:t xml:space="preserve">which </w:t>
      </w:r>
      <w:r w:rsidR="002C3AC5" w:rsidRPr="00000849">
        <w:rPr>
          <w:rFonts w:asciiTheme="minorHAnsi" w:hAnsiTheme="minorHAnsi" w:cstheme="minorHAnsi"/>
          <w:color w:val="383838"/>
        </w:rPr>
        <w:t xml:space="preserve">was protective in the crude analysis </w:t>
      </w:r>
      <w:r w:rsidR="00251971" w:rsidRPr="00000849">
        <w:rPr>
          <w:rFonts w:asciiTheme="minorHAnsi" w:hAnsiTheme="minorHAnsi" w:cstheme="minorHAnsi"/>
          <w:color w:val="383838"/>
        </w:rPr>
        <w:t xml:space="preserve">of W1 </w:t>
      </w:r>
      <w:r w:rsidR="00B963B2" w:rsidRPr="00000849">
        <w:rPr>
          <w:rFonts w:asciiTheme="minorHAnsi" w:hAnsiTheme="minorHAnsi" w:cstheme="minorHAnsi"/>
          <w:color w:val="383838"/>
        </w:rPr>
        <w:t>unexpectedly</w:t>
      </w:r>
      <w:r w:rsidR="002C3AC5" w:rsidRPr="00000849">
        <w:rPr>
          <w:rFonts w:asciiTheme="minorHAnsi" w:hAnsiTheme="minorHAnsi" w:cstheme="minorHAnsi"/>
          <w:color w:val="383838"/>
        </w:rPr>
        <w:t xml:space="preserve"> predicted higher odds of hypertension in the adjusted analysis.</w:t>
      </w:r>
    </w:p>
    <w:p w14:paraId="3247B3E0" w14:textId="7D9DD6E0" w:rsidR="003156CE" w:rsidRPr="00000849" w:rsidRDefault="000C3CCA"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lastRenderedPageBreak/>
        <w:t>Overall, urban residence, GAR residence, previously or never married</w:t>
      </w:r>
      <w:r w:rsidR="00031DA8" w:rsidRPr="00000849">
        <w:rPr>
          <w:rFonts w:asciiTheme="minorHAnsi" w:hAnsiTheme="minorHAnsi" w:cstheme="minorHAnsi"/>
          <w:color w:val="383838"/>
        </w:rPr>
        <w:t xml:space="preserve"> </w:t>
      </w:r>
      <w:r w:rsidR="00C24407" w:rsidRPr="00000849">
        <w:rPr>
          <w:rFonts w:asciiTheme="minorHAnsi" w:hAnsiTheme="minorHAnsi" w:cstheme="minorHAnsi"/>
          <w:color w:val="383838"/>
        </w:rPr>
        <w:t>and</w:t>
      </w:r>
      <w:r w:rsidRPr="00000849">
        <w:rPr>
          <w:rFonts w:asciiTheme="minorHAnsi" w:hAnsiTheme="minorHAnsi" w:cstheme="minorHAnsi"/>
          <w:color w:val="383838"/>
        </w:rPr>
        <w:t xml:space="preserve"> adiposity </w:t>
      </w:r>
      <w:r w:rsidR="00C24407" w:rsidRPr="00000849">
        <w:rPr>
          <w:rFonts w:asciiTheme="minorHAnsi" w:hAnsiTheme="minorHAnsi" w:cstheme="minorHAnsi"/>
          <w:color w:val="383838"/>
        </w:rPr>
        <w:t xml:space="preserve">predicted higher </w:t>
      </w:r>
      <w:r w:rsidR="003156CE" w:rsidRPr="00000849">
        <w:rPr>
          <w:rFonts w:asciiTheme="minorHAnsi" w:hAnsiTheme="minorHAnsi" w:cstheme="minorHAnsi"/>
          <w:color w:val="383838"/>
        </w:rPr>
        <w:t xml:space="preserve">odds of </w:t>
      </w:r>
      <w:r w:rsidR="00C24407" w:rsidRPr="00000849">
        <w:rPr>
          <w:rFonts w:asciiTheme="minorHAnsi" w:hAnsiTheme="minorHAnsi" w:cstheme="minorHAnsi"/>
          <w:color w:val="383838"/>
        </w:rPr>
        <w:t>hypertension while</w:t>
      </w:r>
      <w:r w:rsidR="00031DA8" w:rsidRPr="00000849">
        <w:rPr>
          <w:rFonts w:asciiTheme="minorHAnsi" w:hAnsiTheme="minorHAnsi" w:cstheme="minorHAnsi"/>
          <w:color w:val="383838"/>
        </w:rPr>
        <w:t xml:space="preserve"> </w:t>
      </w:r>
      <w:r w:rsidR="00C24407" w:rsidRPr="00000849">
        <w:rPr>
          <w:rFonts w:asciiTheme="minorHAnsi" w:hAnsiTheme="minorHAnsi" w:cstheme="minorHAnsi"/>
          <w:color w:val="383838"/>
        </w:rPr>
        <w:t>other ethnicity, current work</w:t>
      </w:r>
      <w:r w:rsidR="00C05066" w:rsidRPr="00000849">
        <w:rPr>
          <w:rFonts w:asciiTheme="minorHAnsi" w:hAnsiTheme="minorHAnsi" w:cstheme="minorHAnsi"/>
          <w:color w:val="383838"/>
        </w:rPr>
        <w:t>,</w:t>
      </w:r>
      <w:r w:rsidR="00C24407" w:rsidRPr="00000849">
        <w:rPr>
          <w:rFonts w:asciiTheme="minorHAnsi" w:hAnsiTheme="minorHAnsi" w:cstheme="minorHAnsi"/>
          <w:color w:val="383838"/>
        </w:rPr>
        <w:t xml:space="preserve"> heavy alcohol consumption </w:t>
      </w:r>
      <w:r w:rsidR="00C05066" w:rsidRPr="00000849">
        <w:rPr>
          <w:rFonts w:asciiTheme="minorHAnsi" w:hAnsiTheme="minorHAnsi" w:cstheme="minorHAnsi"/>
          <w:color w:val="383838"/>
        </w:rPr>
        <w:t xml:space="preserve">and inadequate fruit and vegetable intake </w:t>
      </w:r>
      <w:r w:rsidR="00C24407" w:rsidRPr="00000849">
        <w:rPr>
          <w:rFonts w:asciiTheme="minorHAnsi" w:hAnsiTheme="minorHAnsi" w:cstheme="minorHAnsi"/>
          <w:color w:val="383838"/>
        </w:rPr>
        <w:t>were protective</w:t>
      </w:r>
      <w:r w:rsidR="00031DA8" w:rsidRPr="00000849">
        <w:rPr>
          <w:rFonts w:asciiTheme="minorHAnsi" w:hAnsiTheme="minorHAnsi" w:cstheme="minorHAnsi"/>
          <w:color w:val="383838"/>
        </w:rPr>
        <w:t xml:space="preserve"> in one or the other study wave</w:t>
      </w:r>
      <w:r w:rsidR="00C24407" w:rsidRPr="00000849">
        <w:rPr>
          <w:rFonts w:asciiTheme="minorHAnsi" w:hAnsiTheme="minorHAnsi" w:cstheme="minorHAnsi"/>
          <w:color w:val="383838"/>
        </w:rPr>
        <w:t xml:space="preserve">.  </w:t>
      </w:r>
    </w:p>
    <w:p w14:paraId="73B1367E" w14:textId="4ADC9178" w:rsidR="003156CE" w:rsidRPr="00000849" w:rsidRDefault="003156CE"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0C5FDED7" w14:textId="6046180A" w:rsidR="00A57C33" w:rsidRPr="00000849" w:rsidRDefault="002006AA" w:rsidP="0075255B">
      <w:pPr>
        <w:pStyle w:val="Heading4"/>
      </w:pPr>
      <w:r w:rsidRPr="00000849">
        <w:t>5.</w:t>
      </w:r>
      <w:r w:rsidR="00C665B2" w:rsidRPr="00000849">
        <w:t>5</w:t>
      </w:r>
      <w:r w:rsidR="00C24407" w:rsidRPr="00000849">
        <w:t>.2.3</w:t>
      </w:r>
      <w:r w:rsidR="00C24407" w:rsidRPr="00000849">
        <w:tab/>
        <w:t>Model fit diagnostics</w:t>
      </w:r>
    </w:p>
    <w:p w14:paraId="4387E990" w14:textId="52FC879E" w:rsidR="00A57C33" w:rsidRPr="00000849" w:rsidRDefault="00A57C33"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20A8286A" w14:textId="08D54749" w:rsidR="00A57C33" w:rsidRPr="00000849" w:rsidRDefault="006453D5" w:rsidP="0050431A">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goodness-of-fit test for the logistic model yielded and F-statistic value of 0.35 and an associated p value of 0.96 in the W1.  The corresponding values </w:t>
      </w:r>
      <w:r w:rsidR="00AD7E1E" w:rsidRPr="00000849">
        <w:rPr>
          <w:rFonts w:asciiTheme="minorHAnsi" w:hAnsiTheme="minorHAnsi" w:cstheme="minorHAnsi"/>
          <w:color w:val="383838"/>
        </w:rPr>
        <w:t>in</w:t>
      </w:r>
      <w:r w:rsidRPr="00000849">
        <w:rPr>
          <w:rFonts w:asciiTheme="minorHAnsi" w:hAnsiTheme="minorHAnsi" w:cstheme="minorHAnsi"/>
          <w:color w:val="383838"/>
        </w:rPr>
        <w:t xml:space="preserve"> the </w:t>
      </w:r>
      <w:r w:rsidR="00621FEF" w:rsidRPr="00000849">
        <w:rPr>
          <w:rFonts w:asciiTheme="minorHAnsi" w:hAnsiTheme="minorHAnsi" w:cstheme="minorHAnsi"/>
          <w:color w:val="383838"/>
        </w:rPr>
        <w:t>W2</w:t>
      </w:r>
      <w:r w:rsidR="00AD7E1E" w:rsidRPr="00000849">
        <w:rPr>
          <w:rFonts w:asciiTheme="minorHAnsi" w:hAnsiTheme="minorHAnsi" w:cstheme="minorHAnsi"/>
          <w:color w:val="383838"/>
        </w:rPr>
        <w:t xml:space="preserve"> sample</w:t>
      </w:r>
      <w:r w:rsidRPr="00000849">
        <w:rPr>
          <w:rFonts w:asciiTheme="minorHAnsi" w:hAnsiTheme="minorHAnsi" w:cstheme="minorHAnsi"/>
          <w:color w:val="383838"/>
        </w:rPr>
        <w:t xml:space="preserve"> were </w:t>
      </w:r>
      <w:r w:rsidR="00BD6F58" w:rsidRPr="00000849">
        <w:rPr>
          <w:rFonts w:asciiTheme="minorHAnsi" w:hAnsiTheme="minorHAnsi" w:cstheme="minorHAnsi"/>
          <w:color w:val="383838"/>
        </w:rPr>
        <w:t>similar at 0</w:t>
      </w:r>
      <w:r w:rsidRPr="00000849">
        <w:rPr>
          <w:rFonts w:asciiTheme="minorHAnsi" w:hAnsiTheme="minorHAnsi" w:cstheme="minorHAnsi"/>
          <w:color w:val="383838"/>
        </w:rPr>
        <w:t>.3</w:t>
      </w:r>
      <w:r w:rsidR="00BD6F58" w:rsidRPr="00000849">
        <w:rPr>
          <w:rFonts w:asciiTheme="minorHAnsi" w:hAnsiTheme="minorHAnsi" w:cstheme="minorHAnsi"/>
          <w:color w:val="383838"/>
        </w:rPr>
        <w:t>7</w:t>
      </w:r>
      <w:r w:rsidRPr="00000849">
        <w:rPr>
          <w:rFonts w:asciiTheme="minorHAnsi" w:hAnsiTheme="minorHAnsi" w:cstheme="minorHAnsi"/>
          <w:color w:val="383838"/>
        </w:rPr>
        <w:t xml:space="preserve"> and 0.</w:t>
      </w:r>
      <w:r w:rsidR="00BD6F58" w:rsidRPr="00000849">
        <w:rPr>
          <w:rFonts w:asciiTheme="minorHAnsi" w:hAnsiTheme="minorHAnsi" w:cstheme="minorHAnsi"/>
          <w:color w:val="383838"/>
        </w:rPr>
        <w:t>95</w:t>
      </w:r>
      <w:r w:rsidR="005E093E" w:rsidRPr="00000849">
        <w:rPr>
          <w:rFonts w:asciiTheme="minorHAnsi" w:hAnsiTheme="minorHAnsi" w:cstheme="minorHAnsi"/>
          <w:color w:val="383838"/>
        </w:rPr>
        <w:t xml:space="preserve">.  These values (p&gt;0.05) suggest that the models were </w:t>
      </w:r>
      <w:r w:rsidR="00C24407" w:rsidRPr="00000849">
        <w:rPr>
          <w:rFonts w:asciiTheme="minorHAnsi" w:hAnsiTheme="minorHAnsi" w:cstheme="minorHAnsi"/>
          <w:color w:val="383838"/>
        </w:rPr>
        <w:t>correctly specified</w:t>
      </w:r>
      <w:r w:rsidR="005E093E" w:rsidRPr="00000849">
        <w:rPr>
          <w:rFonts w:asciiTheme="minorHAnsi" w:hAnsiTheme="minorHAnsi" w:cstheme="minorHAnsi"/>
          <w:color w:val="383838"/>
        </w:rPr>
        <w:t xml:space="preserve"> and that they provide a good fit to the data</w:t>
      </w:r>
      <w:r w:rsidR="00C24407" w:rsidRPr="00000849">
        <w:rPr>
          <w:rFonts w:asciiTheme="minorHAnsi" w:hAnsiTheme="minorHAnsi" w:cstheme="minorHAnsi"/>
          <w:color w:val="383838"/>
        </w:rPr>
        <w:t xml:space="preserve">. </w:t>
      </w:r>
    </w:p>
    <w:p w14:paraId="2B35C345" w14:textId="60DC7ECA" w:rsidR="007843B2" w:rsidRPr="00000849" w:rsidRDefault="007843B2" w:rsidP="005E093E">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VIFs were estimated to assess if two or more of the predictor variables in each model were highly correlated.  In W1, the VIFs of the explanatory variables ranged from 1.10 to 3.37, with a mean of 1.66.  For </w:t>
      </w:r>
      <w:r w:rsidR="00621FEF" w:rsidRPr="00000849">
        <w:rPr>
          <w:rFonts w:asciiTheme="minorHAnsi" w:hAnsiTheme="minorHAnsi" w:cstheme="minorHAnsi"/>
          <w:color w:val="383838"/>
        </w:rPr>
        <w:t>W2</w:t>
      </w:r>
      <w:r w:rsidRPr="00000849">
        <w:rPr>
          <w:rFonts w:asciiTheme="minorHAnsi" w:hAnsiTheme="minorHAnsi" w:cstheme="minorHAnsi"/>
          <w:color w:val="383838"/>
        </w:rPr>
        <w:t>, they ranged from 1.0</w:t>
      </w:r>
      <w:r w:rsidR="00A91E5F" w:rsidRPr="00000849">
        <w:rPr>
          <w:rFonts w:asciiTheme="minorHAnsi" w:hAnsiTheme="minorHAnsi" w:cstheme="minorHAnsi"/>
          <w:color w:val="383838"/>
        </w:rPr>
        <w:t>4</w:t>
      </w:r>
      <w:r w:rsidRPr="00000849">
        <w:rPr>
          <w:rFonts w:asciiTheme="minorHAnsi" w:hAnsiTheme="minorHAnsi" w:cstheme="minorHAnsi"/>
          <w:color w:val="383838"/>
        </w:rPr>
        <w:t xml:space="preserve"> to </w:t>
      </w:r>
      <w:r w:rsidR="00A91E5F" w:rsidRPr="00000849">
        <w:rPr>
          <w:rFonts w:asciiTheme="minorHAnsi" w:hAnsiTheme="minorHAnsi" w:cstheme="minorHAnsi"/>
          <w:color w:val="383838"/>
        </w:rPr>
        <w:t>2.77</w:t>
      </w:r>
      <w:r w:rsidRPr="00000849">
        <w:rPr>
          <w:rFonts w:asciiTheme="minorHAnsi" w:hAnsiTheme="minorHAnsi" w:cstheme="minorHAnsi"/>
          <w:color w:val="383838"/>
        </w:rPr>
        <w:t>, with a mean of 1.5</w:t>
      </w:r>
      <w:r w:rsidR="00A91E5F" w:rsidRPr="00000849">
        <w:rPr>
          <w:rFonts w:asciiTheme="minorHAnsi" w:hAnsiTheme="minorHAnsi" w:cstheme="minorHAnsi"/>
          <w:color w:val="383838"/>
        </w:rPr>
        <w:t>4</w:t>
      </w:r>
      <w:r w:rsidRPr="00000849">
        <w:rPr>
          <w:rFonts w:asciiTheme="minorHAnsi" w:hAnsiTheme="minorHAnsi" w:cstheme="minorHAnsi"/>
          <w:color w:val="383838"/>
        </w:rPr>
        <w:t xml:space="preserve">.  Thus, the mean VIFs were </w:t>
      </w:r>
      <w:r w:rsidR="003A5323" w:rsidRPr="00000849">
        <w:rPr>
          <w:rFonts w:asciiTheme="minorHAnsi" w:hAnsiTheme="minorHAnsi" w:cstheme="minorHAnsi"/>
          <w:color w:val="383838"/>
        </w:rPr>
        <w:t>far</w:t>
      </w:r>
      <w:r w:rsidRPr="00000849">
        <w:rPr>
          <w:rFonts w:asciiTheme="minorHAnsi" w:hAnsiTheme="minorHAnsi" w:cstheme="minorHAnsi"/>
          <w:color w:val="383838"/>
        </w:rPr>
        <w:t xml:space="preserve"> below the traditional threshold of 10, suggesting multicollinearity </w:t>
      </w:r>
      <w:r w:rsidR="00EF0D21" w:rsidRPr="00000849">
        <w:rPr>
          <w:rFonts w:asciiTheme="minorHAnsi" w:hAnsiTheme="minorHAnsi" w:cstheme="minorHAnsi"/>
          <w:color w:val="383838"/>
        </w:rPr>
        <w:t>was</w:t>
      </w:r>
      <w:r w:rsidRPr="00000849">
        <w:rPr>
          <w:rFonts w:asciiTheme="minorHAnsi" w:hAnsiTheme="minorHAnsi" w:cstheme="minorHAnsi"/>
          <w:color w:val="383838"/>
        </w:rPr>
        <w:t xml:space="preserve"> not a major concern.</w:t>
      </w:r>
    </w:p>
    <w:p w14:paraId="0EE78DAB" w14:textId="6576E808" w:rsidR="00097084" w:rsidRPr="00000849" w:rsidRDefault="007F1DA0" w:rsidP="005E093E">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Stata’s </w:t>
      </w:r>
      <w:r w:rsidRPr="00000849">
        <w:rPr>
          <w:rFonts w:asciiTheme="minorHAnsi" w:hAnsiTheme="minorHAnsi" w:cstheme="minorHAnsi"/>
          <w:i/>
          <w:iCs/>
          <w:color w:val="383838"/>
        </w:rPr>
        <w:t>linktest</w:t>
      </w:r>
      <w:r w:rsidRPr="00000849">
        <w:rPr>
          <w:rFonts w:asciiTheme="minorHAnsi" w:hAnsiTheme="minorHAnsi" w:cstheme="minorHAnsi"/>
          <w:color w:val="383838"/>
        </w:rPr>
        <w:t xml:space="preserve"> results yielded a linear predicted value squared (_hatsq) of 0.094 and 0.3</w:t>
      </w:r>
      <w:r w:rsidR="00DC6C1A" w:rsidRPr="00000849">
        <w:rPr>
          <w:rFonts w:asciiTheme="minorHAnsi" w:hAnsiTheme="minorHAnsi" w:cstheme="minorHAnsi"/>
          <w:color w:val="383838"/>
        </w:rPr>
        <w:t>34</w:t>
      </w:r>
      <w:r w:rsidRPr="00000849">
        <w:rPr>
          <w:rFonts w:asciiTheme="minorHAnsi" w:hAnsiTheme="minorHAnsi" w:cstheme="minorHAnsi"/>
          <w:color w:val="383838"/>
        </w:rPr>
        <w:t xml:space="preserve"> in the W1 and </w:t>
      </w:r>
      <w:r w:rsidR="00621FEF" w:rsidRPr="00000849">
        <w:rPr>
          <w:rFonts w:asciiTheme="minorHAnsi" w:hAnsiTheme="minorHAnsi" w:cstheme="minorHAnsi"/>
          <w:color w:val="383838"/>
        </w:rPr>
        <w:t>W2</w:t>
      </w:r>
      <w:r w:rsidRPr="00000849">
        <w:rPr>
          <w:rFonts w:asciiTheme="minorHAnsi" w:hAnsiTheme="minorHAnsi" w:cstheme="minorHAnsi"/>
          <w:color w:val="383838"/>
        </w:rPr>
        <w:t xml:space="preserve"> respectively</w:t>
      </w:r>
      <w:r w:rsidR="009840DA" w:rsidRPr="00000849">
        <w:rPr>
          <w:rFonts w:asciiTheme="minorHAnsi" w:hAnsiTheme="minorHAnsi" w:cstheme="minorHAnsi"/>
          <w:color w:val="383838"/>
        </w:rPr>
        <w:t xml:space="preserve"> (Appendix 8 Table </w:t>
      </w:r>
      <w:r w:rsidR="00796295" w:rsidRPr="00000849">
        <w:rPr>
          <w:rFonts w:asciiTheme="minorHAnsi" w:hAnsiTheme="minorHAnsi" w:cstheme="minorHAnsi"/>
          <w:color w:val="383838"/>
        </w:rPr>
        <w:t>A</w:t>
      </w:r>
      <w:r w:rsidR="00527877" w:rsidRPr="00000849">
        <w:rPr>
          <w:rFonts w:asciiTheme="minorHAnsi" w:hAnsiTheme="minorHAnsi" w:cstheme="minorHAnsi"/>
          <w:color w:val="383838"/>
        </w:rPr>
        <w:t>9</w:t>
      </w:r>
      <w:r w:rsidR="009840DA" w:rsidRPr="00000849">
        <w:rPr>
          <w:rFonts w:asciiTheme="minorHAnsi" w:hAnsiTheme="minorHAnsi" w:cstheme="minorHAnsi"/>
          <w:color w:val="383838"/>
        </w:rPr>
        <w:t>)</w:t>
      </w:r>
      <w:r w:rsidRPr="00000849">
        <w:rPr>
          <w:rFonts w:asciiTheme="minorHAnsi" w:hAnsiTheme="minorHAnsi" w:cstheme="minorHAnsi"/>
          <w:color w:val="383838"/>
        </w:rPr>
        <w:t xml:space="preserve">.  This suggests that the models </w:t>
      </w:r>
      <w:r w:rsidR="00EF0D21" w:rsidRPr="00000849">
        <w:rPr>
          <w:rFonts w:asciiTheme="minorHAnsi" w:hAnsiTheme="minorHAnsi" w:cstheme="minorHAnsi"/>
          <w:color w:val="383838"/>
        </w:rPr>
        <w:t>we</w:t>
      </w:r>
      <w:r w:rsidRPr="00000849">
        <w:rPr>
          <w:rFonts w:asciiTheme="minorHAnsi" w:hAnsiTheme="minorHAnsi" w:cstheme="minorHAnsi"/>
          <w:color w:val="383838"/>
        </w:rPr>
        <w:t xml:space="preserve">re </w:t>
      </w:r>
      <w:r w:rsidR="00031DA8" w:rsidRPr="00000849">
        <w:rPr>
          <w:rFonts w:asciiTheme="minorHAnsi" w:hAnsiTheme="minorHAnsi" w:cstheme="minorHAnsi"/>
          <w:color w:val="383838"/>
        </w:rPr>
        <w:t xml:space="preserve">likely to have been </w:t>
      </w:r>
      <w:r w:rsidRPr="00000849">
        <w:rPr>
          <w:rFonts w:asciiTheme="minorHAnsi" w:hAnsiTheme="minorHAnsi" w:cstheme="minorHAnsi"/>
          <w:color w:val="383838"/>
        </w:rPr>
        <w:t>properly specified</w:t>
      </w:r>
      <w:r w:rsidR="00F1676E" w:rsidRPr="00000849">
        <w:rPr>
          <w:rFonts w:asciiTheme="minorHAnsi" w:hAnsiTheme="minorHAnsi" w:cstheme="minorHAnsi"/>
          <w:color w:val="383838"/>
        </w:rPr>
        <w:t>.</w:t>
      </w:r>
      <w:r w:rsidRPr="00000849">
        <w:rPr>
          <w:rFonts w:asciiTheme="minorHAnsi" w:hAnsiTheme="minorHAnsi" w:cstheme="minorHAnsi"/>
          <w:color w:val="383838"/>
        </w:rPr>
        <w:t xml:space="preserve">   </w:t>
      </w:r>
    </w:p>
    <w:p w14:paraId="6ED5E5E2" w14:textId="1EE11407" w:rsidR="00C24407" w:rsidRPr="00000849" w:rsidRDefault="00C24407"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30218A9D" w14:textId="50E16E65" w:rsidR="00C24407" w:rsidRPr="00000849" w:rsidRDefault="002006AA" w:rsidP="00E93D4C">
      <w:pPr>
        <w:pStyle w:val="Heading3"/>
      </w:pPr>
      <w:bookmarkStart w:id="97" w:name="_Toc51472136"/>
      <w:r w:rsidRPr="00000849">
        <w:lastRenderedPageBreak/>
        <w:t>5.</w:t>
      </w:r>
      <w:r w:rsidR="00C665B2" w:rsidRPr="00000849">
        <w:t>5</w:t>
      </w:r>
      <w:r w:rsidR="00C24407" w:rsidRPr="00000849">
        <w:t>.</w:t>
      </w:r>
      <w:r w:rsidR="004D0CBB" w:rsidRPr="00000849">
        <w:t>3</w:t>
      </w:r>
      <w:r w:rsidR="00C24407" w:rsidRPr="00000849">
        <w:tab/>
        <w:t>Multilevel multivariable analysis</w:t>
      </w:r>
      <w:bookmarkEnd w:id="97"/>
      <w:r w:rsidR="00C24407" w:rsidRPr="00000849">
        <w:t xml:space="preserve"> </w:t>
      </w:r>
    </w:p>
    <w:p w14:paraId="362608AE" w14:textId="6C27D007" w:rsidR="00C24407" w:rsidRPr="00000849" w:rsidRDefault="00C24407" w:rsidP="00000849">
      <w:pPr>
        <w:pStyle w:val="NormalWeb"/>
        <w:keepNext/>
        <w:keepLines/>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AC89E09" w14:textId="1BFF3AD2" w:rsidR="00E64E20" w:rsidRPr="00000849" w:rsidRDefault="00250EFE" w:rsidP="00000849">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There were</w:t>
      </w:r>
      <w:r w:rsidR="00E64E20" w:rsidRPr="00000849">
        <w:rPr>
          <w:rFonts w:asciiTheme="minorHAnsi" w:hAnsiTheme="minorHAnsi" w:cstheme="minorHAnsi"/>
          <w:color w:val="383838"/>
        </w:rPr>
        <w:t xml:space="preserve"> </w:t>
      </w:r>
      <w:r w:rsidRPr="00000849">
        <w:rPr>
          <w:rFonts w:asciiTheme="minorHAnsi" w:hAnsiTheme="minorHAnsi" w:cstheme="minorHAnsi"/>
          <w:color w:val="383838"/>
        </w:rPr>
        <w:t>3,873</w:t>
      </w:r>
      <w:r w:rsidR="00E64E20" w:rsidRPr="00000849">
        <w:rPr>
          <w:rFonts w:asciiTheme="minorHAnsi" w:hAnsiTheme="minorHAnsi" w:cstheme="minorHAnsi"/>
          <w:color w:val="383838"/>
        </w:rPr>
        <w:t xml:space="preserve"> </w:t>
      </w:r>
      <w:r w:rsidRPr="00000849">
        <w:rPr>
          <w:rFonts w:asciiTheme="minorHAnsi" w:hAnsiTheme="minorHAnsi" w:cstheme="minorHAnsi"/>
          <w:color w:val="383838"/>
        </w:rPr>
        <w:t>older adults</w:t>
      </w:r>
      <w:r w:rsidR="00E64E20" w:rsidRPr="00000849">
        <w:rPr>
          <w:rFonts w:asciiTheme="minorHAnsi" w:hAnsiTheme="minorHAnsi" w:cstheme="minorHAnsi"/>
          <w:color w:val="383838"/>
        </w:rPr>
        <w:t xml:space="preserve"> clustered in 3,</w:t>
      </w:r>
      <w:r w:rsidRPr="00000849">
        <w:rPr>
          <w:rFonts w:asciiTheme="minorHAnsi" w:hAnsiTheme="minorHAnsi" w:cstheme="minorHAnsi"/>
          <w:color w:val="383838"/>
        </w:rPr>
        <w:t>656</w:t>
      </w:r>
      <w:r w:rsidR="00E64E20" w:rsidRPr="00000849">
        <w:rPr>
          <w:rFonts w:asciiTheme="minorHAnsi" w:hAnsiTheme="minorHAnsi" w:cstheme="minorHAnsi"/>
          <w:color w:val="383838"/>
        </w:rPr>
        <w:t xml:space="preserve"> different households included in the </w:t>
      </w:r>
      <w:r w:rsidRPr="00000849">
        <w:rPr>
          <w:rFonts w:asciiTheme="minorHAnsi" w:hAnsiTheme="minorHAnsi" w:cstheme="minorHAnsi"/>
          <w:color w:val="383838"/>
        </w:rPr>
        <w:t xml:space="preserve">W1 </w:t>
      </w:r>
      <w:r w:rsidR="00E64E20" w:rsidRPr="00000849">
        <w:rPr>
          <w:rFonts w:asciiTheme="minorHAnsi" w:hAnsiTheme="minorHAnsi" w:cstheme="minorHAnsi"/>
          <w:color w:val="383838"/>
        </w:rPr>
        <w:t>model</w:t>
      </w:r>
      <w:r w:rsidRPr="00000849">
        <w:rPr>
          <w:rFonts w:asciiTheme="minorHAnsi" w:hAnsiTheme="minorHAnsi" w:cstheme="minorHAnsi"/>
          <w:color w:val="383838"/>
        </w:rPr>
        <w:t>, giving a mean of 1.1 subjects per household.  In W2, 2,869 subjects living in 2,393 households, or 1.2 subjects per household</w:t>
      </w:r>
      <w:r w:rsidR="007A4110" w:rsidRPr="00000849">
        <w:rPr>
          <w:rFonts w:asciiTheme="minorHAnsi" w:hAnsiTheme="minorHAnsi" w:cstheme="minorHAnsi"/>
          <w:color w:val="383838"/>
        </w:rPr>
        <w:t xml:space="preserve"> were included in the model</w:t>
      </w:r>
      <w:r w:rsidRPr="00000849">
        <w:rPr>
          <w:rFonts w:asciiTheme="minorHAnsi" w:hAnsiTheme="minorHAnsi" w:cstheme="minorHAnsi"/>
          <w:color w:val="383838"/>
        </w:rPr>
        <w:t xml:space="preserve">.  </w:t>
      </w:r>
    </w:p>
    <w:p w14:paraId="5414B4E4" w14:textId="02F4C90A" w:rsidR="00E64E20" w:rsidRPr="00000849" w:rsidRDefault="00A9017E" w:rsidP="009903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In the three-level model, the grouping effect of the household level (Level 2) and the enumeration area (the smallest geographical unit demarcated for national census; Level 3) were considered with individuals at Level 1.  In W1, the 3,</w:t>
      </w:r>
      <w:r w:rsidR="00AC7724" w:rsidRPr="00000849">
        <w:rPr>
          <w:rFonts w:asciiTheme="minorHAnsi" w:hAnsiTheme="minorHAnsi" w:cstheme="minorHAnsi"/>
          <w:color w:val="383838"/>
        </w:rPr>
        <w:t xml:space="preserve">656 </w:t>
      </w:r>
      <w:r w:rsidRPr="00000849">
        <w:rPr>
          <w:rFonts w:asciiTheme="minorHAnsi" w:hAnsiTheme="minorHAnsi" w:cstheme="minorHAnsi"/>
          <w:color w:val="383838"/>
        </w:rPr>
        <w:t xml:space="preserve">households (represented by </w:t>
      </w:r>
      <w:r w:rsidRPr="00000849">
        <w:rPr>
          <w:rFonts w:asciiTheme="minorHAnsi" w:hAnsiTheme="minorHAnsi" w:cstheme="minorHAnsi"/>
          <w:i/>
          <w:color w:val="383838"/>
        </w:rPr>
        <w:t>hhid</w:t>
      </w:r>
      <w:r w:rsidRPr="00000849">
        <w:rPr>
          <w:rFonts w:asciiTheme="minorHAnsi" w:hAnsiTheme="minorHAnsi" w:cstheme="minorHAnsi"/>
          <w:color w:val="383838"/>
        </w:rPr>
        <w:t xml:space="preserve"> variable) </w:t>
      </w:r>
      <w:r w:rsidR="00AC7724" w:rsidRPr="00000849">
        <w:rPr>
          <w:rFonts w:asciiTheme="minorHAnsi" w:hAnsiTheme="minorHAnsi" w:cstheme="minorHAnsi"/>
          <w:color w:val="383838"/>
        </w:rPr>
        <w:t xml:space="preserve">were, in turn, </w:t>
      </w:r>
      <w:r w:rsidRPr="00000849">
        <w:rPr>
          <w:rFonts w:asciiTheme="minorHAnsi" w:hAnsiTheme="minorHAnsi" w:cstheme="minorHAnsi"/>
          <w:color w:val="383838"/>
        </w:rPr>
        <w:t xml:space="preserve">nested in 235 EAs (represented by the </w:t>
      </w:r>
      <w:r w:rsidRPr="00000849">
        <w:rPr>
          <w:rFonts w:asciiTheme="minorHAnsi" w:hAnsiTheme="minorHAnsi" w:cstheme="minorHAnsi"/>
          <w:i/>
          <w:iCs/>
          <w:color w:val="383838"/>
        </w:rPr>
        <w:t>q0101b</w:t>
      </w:r>
      <w:r w:rsidRPr="00000849">
        <w:rPr>
          <w:rFonts w:asciiTheme="minorHAnsi" w:hAnsiTheme="minorHAnsi" w:cstheme="minorHAnsi"/>
          <w:color w:val="383838"/>
        </w:rPr>
        <w:t xml:space="preserve"> variable).  </w:t>
      </w:r>
      <w:r w:rsidR="00AC7724" w:rsidRPr="00000849">
        <w:rPr>
          <w:rFonts w:asciiTheme="minorHAnsi" w:hAnsiTheme="minorHAnsi" w:cstheme="minorHAnsi"/>
          <w:color w:val="383838"/>
        </w:rPr>
        <w:t>Thus, e</w:t>
      </w:r>
      <w:r w:rsidRPr="00000849">
        <w:rPr>
          <w:rFonts w:asciiTheme="minorHAnsi" w:hAnsiTheme="minorHAnsi" w:cstheme="minorHAnsi"/>
          <w:color w:val="383838"/>
        </w:rPr>
        <w:t>ach EA had a mean of 1</w:t>
      </w:r>
      <w:r w:rsidR="00AC7724" w:rsidRPr="00000849">
        <w:rPr>
          <w:rFonts w:asciiTheme="minorHAnsi" w:hAnsiTheme="minorHAnsi" w:cstheme="minorHAnsi"/>
          <w:color w:val="383838"/>
        </w:rPr>
        <w:t>6.5</w:t>
      </w:r>
      <w:r w:rsidRPr="00000849">
        <w:rPr>
          <w:rFonts w:asciiTheme="minorHAnsi" w:hAnsiTheme="minorHAnsi" w:cstheme="minorHAnsi"/>
          <w:color w:val="383838"/>
        </w:rPr>
        <w:t xml:space="preserve"> older adults.  In W2, there were 3,520 individuals living in 2,</w:t>
      </w:r>
      <w:r w:rsidR="00AC7724" w:rsidRPr="00000849">
        <w:rPr>
          <w:rFonts w:asciiTheme="minorHAnsi" w:hAnsiTheme="minorHAnsi" w:cstheme="minorHAnsi"/>
          <w:color w:val="383838"/>
        </w:rPr>
        <w:t>393</w:t>
      </w:r>
      <w:r w:rsidRPr="00000849">
        <w:rPr>
          <w:rFonts w:asciiTheme="minorHAnsi" w:hAnsiTheme="minorHAnsi" w:cstheme="minorHAnsi"/>
          <w:color w:val="383838"/>
        </w:rPr>
        <w:t xml:space="preserve"> households</w:t>
      </w:r>
      <w:r w:rsidR="00AC7724" w:rsidRPr="00000849">
        <w:rPr>
          <w:rFonts w:asciiTheme="minorHAnsi" w:hAnsiTheme="minorHAnsi" w:cstheme="minorHAnsi"/>
          <w:color w:val="383838"/>
        </w:rPr>
        <w:t xml:space="preserve"> were, in turn,</w:t>
      </w:r>
      <w:r w:rsidRPr="00000849">
        <w:rPr>
          <w:rFonts w:asciiTheme="minorHAnsi" w:hAnsiTheme="minorHAnsi" w:cstheme="minorHAnsi"/>
          <w:color w:val="383838"/>
        </w:rPr>
        <w:t xml:space="preserve"> nested in 213 EAs, with each EA having a mean of 1</w:t>
      </w:r>
      <w:r w:rsidR="00AC7724" w:rsidRPr="00000849">
        <w:rPr>
          <w:rFonts w:asciiTheme="minorHAnsi" w:hAnsiTheme="minorHAnsi" w:cstheme="minorHAnsi"/>
          <w:color w:val="383838"/>
        </w:rPr>
        <w:t>3</w:t>
      </w:r>
      <w:r w:rsidRPr="00000849">
        <w:rPr>
          <w:rFonts w:asciiTheme="minorHAnsi" w:hAnsiTheme="minorHAnsi" w:cstheme="minorHAnsi"/>
          <w:color w:val="383838"/>
        </w:rPr>
        <w:t xml:space="preserve">.5 older adults.  </w:t>
      </w:r>
    </w:p>
    <w:p w14:paraId="22B49432" w14:textId="29E1BEC6" w:rsidR="00AC7724" w:rsidRPr="00000849" w:rsidRDefault="00AC7724" w:rsidP="009903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Since it had been determined from the model build-up in section 5.52 that the model with the full set of demographic, socio-economic and lifestyle covariates was the optimal model in each wave, these covariates were included in the multilevel models.  </w:t>
      </w:r>
      <w:r w:rsidR="00366310" w:rsidRPr="00000849">
        <w:rPr>
          <w:rFonts w:asciiTheme="minorHAnsi" w:hAnsiTheme="minorHAnsi" w:cstheme="minorHAnsi"/>
          <w:color w:val="383838"/>
        </w:rPr>
        <w:t>The likelihood ratio test to assess the effect of grouping variable, the household ID, was performed by comparing the log likelihood of single level standard logistic regression with that of the two-level logistic regression model.  The tests yielded chi-square statistics of 0.99 (p = 0.16) and 7.87 (p &lt;0.01) for W1 and W2 respectively</w:t>
      </w:r>
      <w:r w:rsidR="00B3356F" w:rsidRPr="00000849">
        <w:rPr>
          <w:rFonts w:asciiTheme="minorHAnsi" w:hAnsiTheme="minorHAnsi" w:cstheme="minorHAnsi"/>
          <w:color w:val="383838"/>
        </w:rPr>
        <w:t xml:space="preserve"> (Table 5.5)</w:t>
      </w:r>
      <w:r w:rsidR="00366310" w:rsidRPr="00000849">
        <w:rPr>
          <w:rFonts w:asciiTheme="minorHAnsi" w:hAnsiTheme="minorHAnsi" w:cstheme="minorHAnsi"/>
          <w:color w:val="383838"/>
        </w:rPr>
        <w:t xml:space="preserve">.  These results justify the use of the </w:t>
      </w:r>
      <w:r w:rsidR="00B3356F" w:rsidRPr="00000849">
        <w:rPr>
          <w:rFonts w:asciiTheme="minorHAnsi" w:hAnsiTheme="minorHAnsi" w:cstheme="minorHAnsi"/>
          <w:color w:val="383838"/>
        </w:rPr>
        <w:t>multilevel</w:t>
      </w:r>
      <w:r w:rsidR="00366310" w:rsidRPr="00000849">
        <w:rPr>
          <w:rFonts w:asciiTheme="minorHAnsi" w:hAnsiTheme="minorHAnsi" w:cstheme="minorHAnsi"/>
          <w:color w:val="383838"/>
        </w:rPr>
        <w:t xml:space="preserve"> model as compared to the logistic regression in which the clustering at the household level was ignored for W2 but not for W1.  </w:t>
      </w:r>
    </w:p>
    <w:p w14:paraId="705CC8C3" w14:textId="328ECDB6" w:rsidR="00AC7724" w:rsidRPr="00000849" w:rsidRDefault="00AC7724" w:rsidP="009903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3E4C60D0" w14:textId="5B4DBABC" w:rsidR="00354C9F" w:rsidRPr="00000849" w:rsidRDefault="00B3356F" w:rsidP="00143B7E">
      <w:pPr>
        <w:pStyle w:val="Caption"/>
        <w:rPr>
          <w:rFonts w:cstheme="minorHAnsi"/>
          <w:color w:val="383838"/>
        </w:rPr>
      </w:pPr>
      <w:bookmarkStart w:id="98" w:name="_Toc71153633"/>
      <w:r w:rsidRPr="00000849">
        <w:t>Table 5.</w:t>
      </w:r>
      <w:fldSimple w:instr=" SEQ Table_5. \* ARABIC ">
        <w:r w:rsidR="00C0100F">
          <w:rPr>
            <w:noProof/>
          </w:rPr>
          <w:t>5</w:t>
        </w:r>
      </w:fldSimple>
      <w:r w:rsidRPr="00000849">
        <w:t>:</w:t>
      </w:r>
      <w:r w:rsidR="00366310" w:rsidRPr="00000849">
        <w:tab/>
      </w:r>
      <w:r w:rsidRPr="00000849">
        <w:t xml:space="preserve">Selection criteria for </w:t>
      </w:r>
      <w:r w:rsidR="00AA5EFA" w:rsidRPr="00000849">
        <w:t xml:space="preserve">single-, </w:t>
      </w:r>
      <w:r w:rsidRPr="00000849">
        <w:t xml:space="preserve">two- and three-level </w:t>
      </w:r>
      <w:r w:rsidR="00366310" w:rsidRPr="00000849">
        <w:t>multilevel logistic regression analysis of determinants of hypertension in study Waves 1 and 2</w:t>
      </w:r>
      <w:bookmarkEnd w:id="98"/>
    </w:p>
    <w:tbl>
      <w:tblPr>
        <w:tblStyle w:val="PlainTable1"/>
        <w:tblW w:w="5000" w:type="pct"/>
        <w:tblInd w:w="0" w:type="dxa"/>
        <w:tblLook w:val="06A0" w:firstRow="1" w:lastRow="0" w:firstColumn="1" w:lastColumn="0" w:noHBand="1" w:noVBand="1"/>
      </w:tblPr>
      <w:tblGrid>
        <w:gridCol w:w="902"/>
        <w:gridCol w:w="903"/>
        <w:gridCol w:w="905"/>
        <w:gridCol w:w="967"/>
        <w:gridCol w:w="779"/>
        <w:gridCol w:w="1086"/>
        <w:gridCol w:w="960"/>
        <w:gridCol w:w="901"/>
        <w:gridCol w:w="898"/>
      </w:tblGrid>
      <w:tr w:rsidR="00354C9F" w:rsidRPr="00000849" w14:paraId="4B09FB7C" w14:textId="77777777" w:rsidTr="00132DA9">
        <w:trPr>
          <w:cnfStyle w:val="100000000000" w:firstRow="1" w:lastRow="0" w:firstColumn="0" w:lastColumn="0" w:oddVBand="0" w:evenVBand="0" w:oddHBand="0" w:evenHBand="0" w:firstRowFirstColumn="0" w:firstRowLastColumn="0" w:lastRowFirstColumn="0" w:lastRowLastColumn="0"/>
          <w:divId w:val="918557721"/>
          <w:trHeight w:val="670"/>
        </w:trPr>
        <w:tc>
          <w:tcPr>
            <w:cnfStyle w:val="001000000000" w:firstRow="0" w:lastRow="0" w:firstColumn="1" w:lastColumn="0" w:oddVBand="0" w:evenVBand="0" w:oddHBand="0" w:evenHBand="0" w:firstRowFirstColumn="0" w:firstRowLastColumn="0" w:lastRowFirstColumn="0" w:lastRowLastColumn="0"/>
            <w:tcW w:w="544" w:type="pct"/>
            <w:vMerge w:val="restart"/>
            <w:noWrap/>
            <w:hideMark/>
          </w:tcPr>
          <w:p w14:paraId="125594D0" w14:textId="77777777" w:rsidR="00354C9F" w:rsidRPr="00000849" w:rsidRDefault="00354C9F" w:rsidP="00354C9F">
            <w:pPr>
              <w:spacing w:after="0" w:line="240" w:lineRule="auto"/>
              <w:jc w:val="center"/>
              <w:divId w:val="918557721"/>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Model</w:t>
            </w:r>
          </w:p>
        </w:tc>
        <w:tc>
          <w:tcPr>
            <w:tcW w:w="544" w:type="pct"/>
            <w:vMerge w:val="restart"/>
            <w:noWrap/>
            <w:hideMark/>
          </w:tcPr>
          <w:p w14:paraId="783AA00A" w14:textId="77777777" w:rsidR="00354C9F" w:rsidRPr="00000849" w:rsidRDefault="00354C9F" w:rsidP="00354C9F">
            <w:pPr>
              <w:spacing w:after="0" w:line="240" w:lineRule="auto"/>
              <w:jc w:val="center"/>
              <w:divId w:val="918557721"/>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Obs</w:t>
            </w:r>
          </w:p>
        </w:tc>
        <w:tc>
          <w:tcPr>
            <w:tcW w:w="545" w:type="pct"/>
            <w:vMerge w:val="restart"/>
            <w:noWrap/>
            <w:hideMark/>
          </w:tcPr>
          <w:p w14:paraId="7C1A8D79" w14:textId="77777777" w:rsidR="00354C9F" w:rsidRPr="00000849" w:rsidRDefault="00354C9F" w:rsidP="00354C9F">
            <w:pPr>
              <w:spacing w:after="0" w:line="240" w:lineRule="auto"/>
              <w:jc w:val="center"/>
              <w:divId w:val="918557721"/>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ll(null)</w:t>
            </w:r>
          </w:p>
        </w:tc>
        <w:tc>
          <w:tcPr>
            <w:tcW w:w="582" w:type="pct"/>
            <w:vMerge w:val="restart"/>
            <w:noWrap/>
            <w:hideMark/>
          </w:tcPr>
          <w:p w14:paraId="21B26640" w14:textId="77777777" w:rsidR="00354C9F" w:rsidRPr="00000849" w:rsidRDefault="00354C9F" w:rsidP="00354C9F">
            <w:pPr>
              <w:spacing w:after="0" w:line="240" w:lineRule="auto"/>
              <w:jc w:val="center"/>
              <w:divId w:val="918557721"/>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ll(model)</w:t>
            </w:r>
          </w:p>
        </w:tc>
        <w:tc>
          <w:tcPr>
            <w:tcW w:w="469" w:type="pct"/>
            <w:vMerge w:val="restart"/>
            <w:noWrap/>
            <w:hideMark/>
          </w:tcPr>
          <w:p w14:paraId="54097280" w14:textId="77777777" w:rsidR="00354C9F" w:rsidRPr="00000849" w:rsidRDefault="00354C9F" w:rsidP="00354C9F">
            <w:pPr>
              <w:spacing w:after="0" w:line="240" w:lineRule="auto"/>
              <w:jc w:val="center"/>
              <w:divId w:val="918557721"/>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df</w:t>
            </w:r>
          </w:p>
        </w:tc>
        <w:tc>
          <w:tcPr>
            <w:tcW w:w="654" w:type="pct"/>
            <w:vMerge w:val="restart"/>
            <w:noWrap/>
            <w:hideMark/>
          </w:tcPr>
          <w:p w14:paraId="097A7CC2" w14:textId="77777777" w:rsidR="00354C9F" w:rsidRPr="00000849" w:rsidRDefault="00354C9F" w:rsidP="00354C9F">
            <w:pPr>
              <w:spacing w:after="0" w:line="240" w:lineRule="auto"/>
              <w:jc w:val="center"/>
              <w:divId w:val="918557721"/>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AIC</w:t>
            </w:r>
          </w:p>
        </w:tc>
        <w:tc>
          <w:tcPr>
            <w:tcW w:w="578" w:type="pct"/>
            <w:vMerge w:val="restart"/>
            <w:noWrap/>
            <w:hideMark/>
          </w:tcPr>
          <w:p w14:paraId="3B10D34D" w14:textId="77777777" w:rsidR="00354C9F" w:rsidRPr="00000849" w:rsidRDefault="00354C9F" w:rsidP="00354C9F">
            <w:pPr>
              <w:spacing w:after="0" w:line="240" w:lineRule="auto"/>
              <w:jc w:val="center"/>
              <w:divId w:val="918557721"/>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BIC</w:t>
            </w:r>
          </w:p>
        </w:tc>
        <w:tc>
          <w:tcPr>
            <w:tcW w:w="1084" w:type="pct"/>
            <w:gridSpan w:val="2"/>
            <w:hideMark/>
          </w:tcPr>
          <w:p w14:paraId="0F870CFD" w14:textId="77777777" w:rsidR="00354C9F" w:rsidRPr="00000849" w:rsidRDefault="00354C9F" w:rsidP="00354C9F">
            <w:pPr>
              <w:spacing w:after="0" w:line="240" w:lineRule="auto"/>
              <w:jc w:val="center"/>
              <w:divId w:val="918557721"/>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LR test vs. logistic model</w:t>
            </w:r>
          </w:p>
        </w:tc>
      </w:tr>
      <w:tr w:rsidR="00132DA9" w:rsidRPr="00000849" w14:paraId="3CD9499D" w14:textId="77777777" w:rsidTr="00132DA9">
        <w:trPr>
          <w:divId w:val="918557721"/>
          <w:trHeight w:val="593"/>
        </w:trPr>
        <w:tc>
          <w:tcPr>
            <w:cnfStyle w:val="001000000000" w:firstRow="0" w:lastRow="0" w:firstColumn="1" w:lastColumn="0" w:oddVBand="0" w:evenVBand="0" w:oddHBand="0" w:evenHBand="0" w:firstRowFirstColumn="0" w:firstRowLastColumn="0" w:lastRowFirstColumn="0" w:lastRowLastColumn="0"/>
            <w:tcW w:w="544" w:type="pct"/>
            <w:vMerge/>
            <w:hideMark/>
          </w:tcPr>
          <w:p w14:paraId="59019904" w14:textId="77777777" w:rsidR="00354C9F" w:rsidRPr="00000849" w:rsidRDefault="00354C9F" w:rsidP="00354C9F">
            <w:pPr>
              <w:spacing w:after="0" w:line="240" w:lineRule="auto"/>
              <w:divId w:val="918557721"/>
              <w:rPr>
                <w:rFonts w:ascii="Calibri" w:eastAsia="Times New Roman" w:hAnsi="Calibri" w:cs="Calibri"/>
                <w:b w:val="0"/>
                <w:bCs w:val="0"/>
                <w:color w:val="000000"/>
                <w:sz w:val="20"/>
                <w:szCs w:val="20"/>
                <w:lang w:eastAsia="en-GB"/>
              </w:rPr>
            </w:pPr>
          </w:p>
        </w:tc>
        <w:tc>
          <w:tcPr>
            <w:tcW w:w="544" w:type="pct"/>
            <w:vMerge/>
            <w:hideMark/>
          </w:tcPr>
          <w:p w14:paraId="2D58078B"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45" w:type="pct"/>
            <w:vMerge/>
            <w:hideMark/>
          </w:tcPr>
          <w:p w14:paraId="25263837"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82" w:type="pct"/>
            <w:vMerge/>
            <w:hideMark/>
          </w:tcPr>
          <w:p w14:paraId="46474BDB"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469" w:type="pct"/>
            <w:vMerge/>
            <w:hideMark/>
          </w:tcPr>
          <w:p w14:paraId="3835DB0A"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654" w:type="pct"/>
            <w:vMerge/>
            <w:hideMark/>
          </w:tcPr>
          <w:p w14:paraId="0520D73E"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78" w:type="pct"/>
            <w:vMerge/>
            <w:hideMark/>
          </w:tcPr>
          <w:p w14:paraId="57EE195F"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43" w:type="pct"/>
            <w:hideMark/>
          </w:tcPr>
          <w:p w14:paraId="64504606" w14:textId="4313D7D4"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 xml:space="preserve">chi-squared </w:t>
            </w:r>
          </w:p>
        </w:tc>
        <w:tc>
          <w:tcPr>
            <w:tcW w:w="540" w:type="pct"/>
            <w:hideMark/>
          </w:tcPr>
          <w:p w14:paraId="769B3F53"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p value</w:t>
            </w:r>
          </w:p>
        </w:tc>
      </w:tr>
      <w:tr w:rsidR="00AC7724" w:rsidRPr="00000849" w14:paraId="04C9EB3A" w14:textId="77777777" w:rsidTr="005842AE">
        <w:trPr>
          <w:divId w:val="918557721"/>
          <w:trHeight w:val="477"/>
        </w:trPr>
        <w:tc>
          <w:tcPr>
            <w:cnfStyle w:val="001000000000" w:firstRow="0" w:lastRow="0" w:firstColumn="1" w:lastColumn="0" w:oddVBand="0" w:evenVBand="0" w:oddHBand="0" w:evenHBand="0" w:firstRowFirstColumn="0" w:firstRowLastColumn="0" w:lastRowFirstColumn="0" w:lastRowLastColumn="0"/>
            <w:tcW w:w="5000" w:type="pct"/>
            <w:gridSpan w:val="9"/>
            <w:noWrap/>
            <w:hideMark/>
          </w:tcPr>
          <w:p w14:paraId="0911A3EA" w14:textId="7D052ED4" w:rsidR="00AC7724" w:rsidRPr="00000849" w:rsidRDefault="00AC7724" w:rsidP="00143B7E">
            <w:pPr>
              <w:spacing w:after="0" w:line="240" w:lineRule="auto"/>
              <w:jc w:val="center"/>
              <w:divId w:val="918557721"/>
              <w:rPr>
                <w:rFonts w:ascii="Calibri" w:eastAsia="Times New Roman" w:hAnsi="Calibri" w:cs="Calibri"/>
                <w:color w:val="000000"/>
                <w:sz w:val="20"/>
                <w:szCs w:val="20"/>
                <w:lang w:eastAsia="en-GB"/>
              </w:rPr>
            </w:pPr>
            <w:r w:rsidRPr="00000849">
              <w:rPr>
                <w:rFonts w:ascii="Calibri" w:eastAsia="Times New Roman" w:hAnsi="Calibri" w:cs="Calibri"/>
                <w:b w:val="0"/>
                <w:bCs w:val="0"/>
                <w:color w:val="000000"/>
                <w:sz w:val="20"/>
                <w:szCs w:val="20"/>
                <w:lang w:eastAsia="en-GB"/>
              </w:rPr>
              <w:t>Wave 1</w:t>
            </w:r>
            <w:r w:rsidRPr="00000849">
              <w:rPr>
                <w:rFonts w:ascii="Calibri" w:eastAsia="Times New Roman" w:hAnsi="Calibri" w:cs="Calibri"/>
                <w:color w:val="000000"/>
                <w:sz w:val="20"/>
                <w:szCs w:val="20"/>
                <w:lang w:eastAsia="en-GB"/>
              </w:rPr>
              <w:t> </w:t>
            </w:r>
          </w:p>
        </w:tc>
      </w:tr>
      <w:tr w:rsidR="00132DA9" w:rsidRPr="00000849" w14:paraId="4EEC89BB" w14:textId="77777777" w:rsidTr="00132DA9">
        <w:trPr>
          <w:divId w:val="918557721"/>
          <w:trHeight w:val="477"/>
        </w:trPr>
        <w:tc>
          <w:tcPr>
            <w:cnfStyle w:val="001000000000" w:firstRow="0" w:lastRow="0" w:firstColumn="1" w:lastColumn="0" w:oddVBand="0" w:evenVBand="0" w:oddHBand="0" w:evenHBand="0" w:firstRowFirstColumn="0" w:firstRowLastColumn="0" w:lastRowFirstColumn="0" w:lastRowLastColumn="0"/>
            <w:tcW w:w="544" w:type="pct"/>
            <w:noWrap/>
            <w:hideMark/>
          </w:tcPr>
          <w:p w14:paraId="5151D1C8" w14:textId="77777777" w:rsidR="00354C9F" w:rsidRPr="00000849" w:rsidRDefault="00354C9F" w:rsidP="00354C9F">
            <w:pPr>
              <w:spacing w:after="0" w:line="240" w:lineRule="auto"/>
              <w:divId w:val="918557721"/>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1-Level</w:t>
            </w:r>
          </w:p>
        </w:tc>
        <w:tc>
          <w:tcPr>
            <w:tcW w:w="544" w:type="pct"/>
            <w:noWrap/>
            <w:hideMark/>
          </w:tcPr>
          <w:p w14:paraId="4AE9CAF5"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3,873</w:t>
            </w:r>
          </w:p>
        </w:tc>
        <w:tc>
          <w:tcPr>
            <w:tcW w:w="545" w:type="pct"/>
            <w:noWrap/>
            <w:hideMark/>
          </w:tcPr>
          <w:p w14:paraId="061C0907"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-2,656</w:t>
            </w:r>
          </w:p>
        </w:tc>
        <w:tc>
          <w:tcPr>
            <w:tcW w:w="582" w:type="pct"/>
            <w:noWrap/>
            <w:hideMark/>
          </w:tcPr>
          <w:p w14:paraId="7C92F3DB"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-2,483.4</w:t>
            </w:r>
          </w:p>
        </w:tc>
        <w:tc>
          <w:tcPr>
            <w:tcW w:w="469" w:type="pct"/>
            <w:noWrap/>
            <w:hideMark/>
          </w:tcPr>
          <w:p w14:paraId="2CA2201B"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37</w:t>
            </w:r>
          </w:p>
        </w:tc>
        <w:tc>
          <w:tcPr>
            <w:tcW w:w="654" w:type="pct"/>
            <w:noWrap/>
            <w:hideMark/>
          </w:tcPr>
          <w:p w14:paraId="62B675E9"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5,040.8</w:t>
            </w:r>
          </w:p>
        </w:tc>
        <w:tc>
          <w:tcPr>
            <w:tcW w:w="578" w:type="pct"/>
            <w:noWrap/>
            <w:hideMark/>
          </w:tcPr>
          <w:p w14:paraId="0CD65E23"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5,272.5</w:t>
            </w:r>
          </w:p>
        </w:tc>
        <w:tc>
          <w:tcPr>
            <w:tcW w:w="543" w:type="pct"/>
            <w:noWrap/>
            <w:hideMark/>
          </w:tcPr>
          <w:p w14:paraId="16E62D2C"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c>
          <w:tcPr>
            <w:tcW w:w="540" w:type="pct"/>
            <w:noWrap/>
            <w:hideMark/>
          </w:tcPr>
          <w:p w14:paraId="175FBD44"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354C9F" w:rsidRPr="00000849" w14:paraId="4C4EB25A" w14:textId="77777777" w:rsidTr="00132DA9">
        <w:trPr>
          <w:divId w:val="918557721"/>
          <w:trHeight w:val="477"/>
        </w:trPr>
        <w:tc>
          <w:tcPr>
            <w:cnfStyle w:val="001000000000" w:firstRow="0" w:lastRow="0" w:firstColumn="1" w:lastColumn="0" w:oddVBand="0" w:evenVBand="0" w:oddHBand="0" w:evenHBand="0" w:firstRowFirstColumn="0" w:firstRowLastColumn="0" w:lastRowFirstColumn="0" w:lastRowLastColumn="0"/>
            <w:tcW w:w="544" w:type="pct"/>
            <w:noWrap/>
            <w:hideMark/>
          </w:tcPr>
          <w:p w14:paraId="636CB554" w14:textId="77777777" w:rsidR="00354C9F" w:rsidRPr="00000849" w:rsidRDefault="00354C9F" w:rsidP="00354C9F">
            <w:pPr>
              <w:spacing w:after="0" w:line="240" w:lineRule="auto"/>
              <w:divId w:val="918557721"/>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2-Level</w:t>
            </w:r>
          </w:p>
        </w:tc>
        <w:tc>
          <w:tcPr>
            <w:tcW w:w="544" w:type="pct"/>
            <w:noWrap/>
            <w:hideMark/>
          </w:tcPr>
          <w:p w14:paraId="5C755505"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3,873</w:t>
            </w:r>
          </w:p>
        </w:tc>
        <w:tc>
          <w:tcPr>
            <w:tcW w:w="545" w:type="pct"/>
            <w:noWrap/>
            <w:hideMark/>
          </w:tcPr>
          <w:p w14:paraId="1C4B842C"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t>
            </w:r>
          </w:p>
        </w:tc>
        <w:tc>
          <w:tcPr>
            <w:tcW w:w="582" w:type="pct"/>
            <w:noWrap/>
            <w:hideMark/>
          </w:tcPr>
          <w:p w14:paraId="181A6048"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-2,482.9</w:t>
            </w:r>
          </w:p>
        </w:tc>
        <w:tc>
          <w:tcPr>
            <w:tcW w:w="469" w:type="pct"/>
            <w:noWrap/>
            <w:hideMark/>
          </w:tcPr>
          <w:p w14:paraId="46EC6AE5"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38</w:t>
            </w:r>
          </w:p>
        </w:tc>
        <w:tc>
          <w:tcPr>
            <w:tcW w:w="654" w:type="pct"/>
            <w:noWrap/>
            <w:hideMark/>
          </w:tcPr>
          <w:p w14:paraId="76CDAAA1"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5,041.8</w:t>
            </w:r>
          </w:p>
        </w:tc>
        <w:tc>
          <w:tcPr>
            <w:tcW w:w="578" w:type="pct"/>
            <w:noWrap/>
            <w:hideMark/>
          </w:tcPr>
          <w:p w14:paraId="4B17E1B7"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5,279.8</w:t>
            </w:r>
          </w:p>
        </w:tc>
        <w:tc>
          <w:tcPr>
            <w:tcW w:w="543" w:type="pct"/>
            <w:noWrap/>
            <w:hideMark/>
          </w:tcPr>
          <w:p w14:paraId="6E3B13CD"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0.99</w:t>
            </w:r>
          </w:p>
        </w:tc>
        <w:tc>
          <w:tcPr>
            <w:tcW w:w="540" w:type="pct"/>
            <w:noWrap/>
            <w:hideMark/>
          </w:tcPr>
          <w:p w14:paraId="6B739602"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0.1601</w:t>
            </w:r>
          </w:p>
        </w:tc>
      </w:tr>
      <w:tr w:rsidR="00132DA9" w:rsidRPr="00000849" w14:paraId="4B6A5639" w14:textId="77777777" w:rsidTr="00132DA9">
        <w:trPr>
          <w:divId w:val="918557721"/>
          <w:trHeight w:val="477"/>
        </w:trPr>
        <w:tc>
          <w:tcPr>
            <w:cnfStyle w:val="001000000000" w:firstRow="0" w:lastRow="0" w:firstColumn="1" w:lastColumn="0" w:oddVBand="0" w:evenVBand="0" w:oddHBand="0" w:evenHBand="0" w:firstRowFirstColumn="0" w:firstRowLastColumn="0" w:lastRowFirstColumn="0" w:lastRowLastColumn="0"/>
            <w:tcW w:w="544" w:type="pct"/>
            <w:noWrap/>
            <w:hideMark/>
          </w:tcPr>
          <w:p w14:paraId="021D08A1" w14:textId="77777777" w:rsidR="00354C9F" w:rsidRPr="00000849" w:rsidRDefault="00354C9F" w:rsidP="00354C9F">
            <w:pPr>
              <w:spacing w:after="0" w:line="240" w:lineRule="auto"/>
              <w:divId w:val="918557721"/>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3-Level</w:t>
            </w:r>
          </w:p>
        </w:tc>
        <w:tc>
          <w:tcPr>
            <w:tcW w:w="544" w:type="pct"/>
            <w:noWrap/>
            <w:hideMark/>
          </w:tcPr>
          <w:p w14:paraId="2EE0CB7A"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3,873</w:t>
            </w:r>
          </w:p>
        </w:tc>
        <w:tc>
          <w:tcPr>
            <w:tcW w:w="545" w:type="pct"/>
            <w:noWrap/>
            <w:hideMark/>
          </w:tcPr>
          <w:p w14:paraId="00EAC9A3"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t>
            </w:r>
          </w:p>
        </w:tc>
        <w:tc>
          <w:tcPr>
            <w:tcW w:w="582" w:type="pct"/>
            <w:noWrap/>
            <w:hideMark/>
          </w:tcPr>
          <w:p w14:paraId="4A46332D"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-2,451.0</w:t>
            </w:r>
          </w:p>
        </w:tc>
        <w:tc>
          <w:tcPr>
            <w:tcW w:w="469" w:type="pct"/>
            <w:noWrap/>
            <w:hideMark/>
          </w:tcPr>
          <w:p w14:paraId="022631B3"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39</w:t>
            </w:r>
          </w:p>
        </w:tc>
        <w:tc>
          <w:tcPr>
            <w:tcW w:w="654" w:type="pct"/>
            <w:noWrap/>
            <w:hideMark/>
          </w:tcPr>
          <w:p w14:paraId="0E4D51A2"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4,979.9</w:t>
            </w:r>
          </w:p>
        </w:tc>
        <w:tc>
          <w:tcPr>
            <w:tcW w:w="578" w:type="pct"/>
            <w:noWrap/>
            <w:hideMark/>
          </w:tcPr>
          <w:p w14:paraId="474170C5"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5,224.1</w:t>
            </w:r>
          </w:p>
        </w:tc>
        <w:tc>
          <w:tcPr>
            <w:tcW w:w="543" w:type="pct"/>
            <w:noWrap/>
            <w:hideMark/>
          </w:tcPr>
          <w:p w14:paraId="349019E5" w14:textId="61654935"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64.</w:t>
            </w:r>
            <w:r w:rsidR="005842AE" w:rsidRPr="00000849">
              <w:rPr>
                <w:rFonts w:ascii="Calibri" w:eastAsia="Times New Roman" w:hAnsi="Calibri" w:cs="Calibri"/>
                <w:color w:val="000000"/>
                <w:sz w:val="20"/>
                <w:szCs w:val="20"/>
                <w:lang w:eastAsia="en-GB"/>
              </w:rPr>
              <w:t>88</w:t>
            </w:r>
          </w:p>
        </w:tc>
        <w:tc>
          <w:tcPr>
            <w:tcW w:w="540" w:type="pct"/>
            <w:noWrap/>
            <w:hideMark/>
          </w:tcPr>
          <w:p w14:paraId="173E485A"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w:t>
            </w:r>
          </w:p>
        </w:tc>
      </w:tr>
      <w:tr w:rsidR="00B3356F" w:rsidRPr="00000849" w14:paraId="0ACA1F08" w14:textId="77777777" w:rsidTr="005842AE">
        <w:trPr>
          <w:divId w:val="918557721"/>
          <w:trHeight w:val="477"/>
        </w:trPr>
        <w:tc>
          <w:tcPr>
            <w:cnfStyle w:val="001000000000" w:firstRow="0" w:lastRow="0" w:firstColumn="1" w:lastColumn="0" w:oddVBand="0" w:evenVBand="0" w:oddHBand="0" w:evenHBand="0" w:firstRowFirstColumn="0" w:firstRowLastColumn="0" w:lastRowFirstColumn="0" w:lastRowLastColumn="0"/>
            <w:tcW w:w="5000" w:type="pct"/>
            <w:gridSpan w:val="9"/>
            <w:noWrap/>
            <w:hideMark/>
          </w:tcPr>
          <w:p w14:paraId="4AA72F30" w14:textId="2411EBE0" w:rsidR="00B3356F" w:rsidRPr="00000849" w:rsidRDefault="00B3356F" w:rsidP="00B3356F">
            <w:pPr>
              <w:spacing w:after="0" w:line="240" w:lineRule="auto"/>
              <w:jc w:val="center"/>
              <w:divId w:val="918557721"/>
              <w:rPr>
                <w:rFonts w:ascii="Calibri" w:eastAsia="Times New Roman" w:hAnsi="Calibri" w:cs="Calibri"/>
                <w:color w:val="000000"/>
                <w:sz w:val="20"/>
                <w:szCs w:val="20"/>
                <w:lang w:eastAsia="en-GB"/>
              </w:rPr>
            </w:pPr>
            <w:r w:rsidRPr="00000849">
              <w:rPr>
                <w:rFonts w:ascii="Calibri" w:eastAsia="Times New Roman" w:hAnsi="Calibri" w:cs="Calibri"/>
                <w:b w:val="0"/>
                <w:bCs w:val="0"/>
                <w:color w:val="000000"/>
                <w:sz w:val="20"/>
                <w:szCs w:val="20"/>
                <w:lang w:eastAsia="en-GB"/>
              </w:rPr>
              <w:t>Wave 2</w:t>
            </w:r>
            <w:r w:rsidRPr="00000849">
              <w:rPr>
                <w:rFonts w:ascii="Calibri" w:eastAsia="Times New Roman" w:hAnsi="Calibri" w:cs="Calibri"/>
                <w:color w:val="000000"/>
                <w:sz w:val="20"/>
                <w:szCs w:val="20"/>
                <w:lang w:eastAsia="en-GB"/>
              </w:rPr>
              <w:t> </w:t>
            </w:r>
          </w:p>
        </w:tc>
      </w:tr>
      <w:tr w:rsidR="00132DA9" w:rsidRPr="00000849" w14:paraId="55CDC9C1" w14:textId="77777777" w:rsidTr="00132DA9">
        <w:trPr>
          <w:divId w:val="918557721"/>
          <w:trHeight w:val="477"/>
        </w:trPr>
        <w:tc>
          <w:tcPr>
            <w:cnfStyle w:val="001000000000" w:firstRow="0" w:lastRow="0" w:firstColumn="1" w:lastColumn="0" w:oddVBand="0" w:evenVBand="0" w:oddHBand="0" w:evenHBand="0" w:firstRowFirstColumn="0" w:firstRowLastColumn="0" w:lastRowFirstColumn="0" w:lastRowLastColumn="0"/>
            <w:tcW w:w="544" w:type="pct"/>
            <w:noWrap/>
            <w:hideMark/>
          </w:tcPr>
          <w:p w14:paraId="071525A4" w14:textId="77777777" w:rsidR="00354C9F" w:rsidRPr="00000849" w:rsidRDefault="00354C9F" w:rsidP="00354C9F">
            <w:pPr>
              <w:spacing w:after="0" w:line="240" w:lineRule="auto"/>
              <w:divId w:val="918557721"/>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1-Level</w:t>
            </w:r>
          </w:p>
        </w:tc>
        <w:tc>
          <w:tcPr>
            <w:tcW w:w="544" w:type="pct"/>
            <w:noWrap/>
            <w:hideMark/>
          </w:tcPr>
          <w:p w14:paraId="5151ACBD"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2,869</w:t>
            </w:r>
          </w:p>
        </w:tc>
        <w:tc>
          <w:tcPr>
            <w:tcW w:w="545" w:type="pct"/>
            <w:noWrap/>
            <w:hideMark/>
          </w:tcPr>
          <w:p w14:paraId="455CB649"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-1,841</w:t>
            </w:r>
          </w:p>
        </w:tc>
        <w:tc>
          <w:tcPr>
            <w:tcW w:w="582" w:type="pct"/>
            <w:noWrap/>
            <w:hideMark/>
          </w:tcPr>
          <w:p w14:paraId="10C9F061"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-1,743.2</w:t>
            </w:r>
          </w:p>
        </w:tc>
        <w:tc>
          <w:tcPr>
            <w:tcW w:w="469" w:type="pct"/>
            <w:noWrap/>
            <w:hideMark/>
          </w:tcPr>
          <w:p w14:paraId="2E177542"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37</w:t>
            </w:r>
          </w:p>
        </w:tc>
        <w:tc>
          <w:tcPr>
            <w:tcW w:w="654" w:type="pct"/>
            <w:noWrap/>
            <w:hideMark/>
          </w:tcPr>
          <w:p w14:paraId="54FA2B69"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3,560.3</w:t>
            </w:r>
          </w:p>
        </w:tc>
        <w:tc>
          <w:tcPr>
            <w:tcW w:w="578" w:type="pct"/>
            <w:noWrap/>
            <w:hideMark/>
          </w:tcPr>
          <w:p w14:paraId="1C602B18"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3,780.9</w:t>
            </w:r>
          </w:p>
        </w:tc>
        <w:tc>
          <w:tcPr>
            <w:tcW w:w="543" w:type="pct"/>
            <w:noWrap/>
            <w:hideMark/>
          </w:tcPr>
          <w:p w14:paraId="30620A4A"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c>
          <w:tcPr>
            <w:tcW w:w="540" w:type="pct"/>
            <w:noWrap/>
            <w:hideMark/>
          </w:tcPr>
          <w:p w14:paraId="3C31992B" w14:textId="77777777" w:rsidR="00354C9F" w:rsidRPr="00000849" w:rsidRDefault="00354C9F" w:rsidP="00354C9F">
            <w:pPr>
              <w:spacing w:after="0" w:line="240" w:lineRule="auto"/>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354C9F" w:rsidRPr="00000849" w14:paraId="77E9076F" w14:textId="77777777" w:rsidTr="00132DA9">
        <w:trPr>
          <w:divId w:val="918557721"/>
          <w:trHeight w:val="477"/>
        </w:trPr>
        <w:tc>
          <w:tcPr>
            <w:cnfStyle w:val="001000000000" w:firstRow="0" w:lastRow="0" w:firstColumn="1" w:lastColumn="0" w:oddVBand="0" w:evenVBand="0" w:oddHBand="0" w:evenHBand="0" w:firstRowFirstColumn="0" w:firstRowLastColumn="0" w:lastRowFirstColumn="0" w:lastRowLastColumn="0"/>
            <w:tcW w:w="544" w:type="pct"/>
            <w:noWrap/>
            <w:hideMark/>
          </w:tcPr>
          <w:p w14:paraId="52C1E7B9" w14:textId="77777777" w:rsidR="00354C9F" w:rsidRPr="00000849" w:rsidRDefault="00354C9F" w:rsidP="00354C9F">
            <w:pPr>
              <w:spacing w:after="0" w:line="240" w:lineRule="auto"/>
              <w:divId w:val="918557721"/>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2-Level</w:t>
            </w:r>
          </w:p>
        </w:tc>
        <w:tc>
          <w:tcPr>
            <w:tcW w:w="544" w:type="pct"/>
            <w:noWrap/>
            <w:hideMark/>
          </w:tcPr>
          <w:p w14:paraId="73E392A6"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2,869</w:t>
            </w:r>
          </w:p>
        </w:tc>
        <w:tc>
          <w:tcPr>
            <w:tcW w:w="545" w:type="pct"/>
            <w:noWrap/>
            <w:hideMark/>
          </w:tcPr>
          <w:p w14:paraId="7C7DE077"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t>
            </w:r>
          </w:p>
        </w:tc>
        <w:tc>
          <w:tcPr>
            <w:tcW w:w="582" w:type="pct"/>
            <w:noWrap/>
            <w:hideMark/>
          </w:tcPr>
          <w:p w14:paraId="0419204F"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-1,739.2</w:t>
            </w:r>
          </w:p>
        </w:tc>
        <w:tc>
          <w:tcPr>
            <w:tcW w:w="469" w:type="pct"/>
            <w:noWrap/>
            <w:hideMark/>
          </w:tcPr>
          <w:p w14:paraId="52F9198A"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38</w:t>
            </w:r>
          </w:p>
        </w:tc>
        <w:tc>
          <w:tcPr>
            <w:tcW w:w="654" w:type="pct"/>
            <w:noWrap/>
            <w:hideMark/>
          </w:tcPr>
          <w:p w14:paraId="3955AEBB"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3,554.5</w:t>
            </w:r>
          </w:p>
        </w:tc>
        <w:tc>
          <w:tcPr>
            <w:tcW w:w="578" w:type="pct"/>
            <w:noWrap/>
            <w:hideMark/>
          </w:tcPr>
          <w:p w14:paraId="271D0F7B"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3,781.0</w:t>
            </w:r>
          </w:p>
        </w:tc>
        <w:tc>
          <w:tcPr>
            <w:tcW w:w="543" w:type="pct"/>
            <w:noWrap/>
            <w:hideMark/>
          </w:tcPr>
          <w:p w14:paraId="20E7A978"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7.87</w:t>
            </w:r>
          </w:p>
        </w:tc>
        <w:tc>
          <w:tcPr>
            <w:tcW w:w="540" w:type="pct"/>
            <w:noWrap/>
            <w:hideMark/>
          </w:tcPr>
          <w:p w14:paraId="725D1484" w14:textId="77777777" w:rsidR="00354C9F" w:rsidRPr="00000849" w:rsidRDefault="00354C9F" w:rsidP="00354C9F">
            <w:pPr>
              <w:spacing w:after="0" w:line="240" w:lineRule="auto"/>
              <w:jc w:val="center"/>
              <w:divId w:val="918557721"/>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0.0025</w:t>
            </w:r>
          </w:p>
        </w:tc>
      </w:tr>
      <w:tr w:rsidR="00132DA9" w:rsidRPr="00000849" w14:paraId="043D3DA8" w14:textId="77777777" w:rsidTr="00132DA9">
        <w:trPr>
          <w:divId w:val="918557721"/>
          <w:trHeight w:val="477"/>
        </w:trPr>
        <w:tc>
          <w:tcPr>
            <w:cnfStyle w:val="001000000000" w:firstRow="0" w:lastRow="0" w:firstColumn="1" w:lastColumn="0" w:oddVBand="0" w:evenVBand="0" w:oddHBand="0" w:evenHBand="0" w:firstRowFirstColumn="0" w:firstRowLastColumn="0" w:lastRowFirstColumn="0" w:lastRowLastColumn="0"/>
            <w:tcW w:w="544" w:type="pct"/>
            <w:noWrap/>
            <w:hideMark/>
          </w:tcPr>
          <w:p w14:paraId="41CF145A" w14:textId="77777777" w:rsidR="00354C9F" w:rsidRPr="00000849" w:rsidRDefault="00354C9F" w:rsidP="00354C9F">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3-Level</w:t>
            </w:r>
          </w:p>
        </w:tc>
        <w:tc>
          <w:tcPr>
            <w:tcW w:w="544" w:type="pct"/>
            <w:noWrap/>
            <w:hideMark/>
          </w:tcPr>
          <w:p w14:paraId="404C913E" w14:textId="77777777" w:rsidR="00354C9F" w:rsidRPr="00000849" w:rsidRDefault="00354C9F" w:rsidP="00354C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2,869</w:t>
            </w:r>
          </w:p>
        </w:tc>
        <w:tc>
          <w:tcPr>
            <w:tcW w:w="545" w:type="pct"/>
            <w:noWrap/>
            <w:hideMark/>
          </w:tcPr>
          <w:p w14:paraId="546CDB7A" w14:textId="77777777" w:rsidR="00354C9F" w:rsidRPr="00000849" w:rsidRDefault="00354C9F" w:rsidP="00354C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t>
            </w:r>
          </w:p>
        </w:tc>
        <w:tc>
          <w:tcPr>
            <w:tcW w:w="582" w:type="pct"/>
            <w:noWrap/>
            <w:hideMark/>
          </w:tcPr>
          <w:p w14:paraId="6F2CBCFF" w14:textId="77777777" w:rsidR="00354C9F" w:rsidRPr="00000849" w:rsidRDefault="00354C9F" w:rsidP="00354C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-1,735</w:t>
            </w:r>
          </w:p>
        </w:tc>
        <w:tc>
          <w:tcPr>
            <w:tcW w:w="469" w:type="pct"/>
            <w:noWrap/>
            <w:hideMark/>
          </w:tcPr>
          <w:p w14:paraId="225B6F23" w14:textId="77777777" w:rsidR="00354C9F" w:rsidRPr="00000849" w:rsidRDefault="00354C9F" w:rsidP="00354C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39</w:t>
            </w:r>
          </w:p>
        </w:tc>
        <w:tc>
          <w:tcPr>
            <w:tcW w:w="654" w:type="pct"/>
            <w:noWrap/>
            <w:hideMark/>
          </w:tcPr>
          <w:p w14:paraId="28C345CB" w14:textId="77777777" w:rsidR="00354C9F" w:rsidRPr="00000849" w:rsidRDefault="00354C9F" w:rsidP="00354C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3,547.8</w:t>
            </w:r>
          </w:p>
        </w:tc>
        <w:tc>
          <w:tcPr>
            <w:tcW w:w="578" w:type="pct"/>
            <w:noWrap/>
            <w:hideMark/>
          </w:tcPr>
          <w:p w14:paraId="66593970" w14:textId="77777777" w:rsidR="00354C9F" w:rsidRPr="00000849" w:rsidRDefault="00354C9F" w:rsidP="00354C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3,780.3</w:t>
            </w:r>
          </w:p>
        </w:tc>
        <w:tc>
          <w:tcPr>
            <w:tcW w:w="543" w:type="pct"/>
            <w:noWrap/>
            <w:hideMark/>
          </w:tcPr>
          <w:p w14:paraId="07FD5C7A" w14:textId="77777777" w:rsidR="00354C9F" w:rsidRPr="00000849" w:rsidRDefault="00354C9F" w:rsidP="00354C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16.52</w:t>
            </w:r>
          </w:p>
        </w:tc>
        <w:tc>
          <w:tcPr>
            <w:tcW w:w="540" w:type="pct"/>
            <w:noWrap/>
            <w:hideMark/>
          </w:tcPr>
          <w:p w14:paraId="1DD15F2F" w14:textId="77777777" w:rsidR="00354C9F" w:rsidRPr="00000849" w:rsidRDefault="00354C9F" w:rsidP="00354C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0.0003</w:t>
            </w:r>
          </w:p>
        </w:tc>
      </w:tr>
    </w:tbl>
    <w:p w14:paraId="20000837" w14:textId="65F156A6" w:rsidR="00354C9F" w:rsidRPr="00000849" w:rsidRDefault="00132DA9" w:rsidP="00132DA9">
      <w:pPr>
        <w:pStyle w:val="NormalWeb"/>
        <w:shd w:val="clear" w:color="auto" w:fill="FFFFFF"/>
        <w:spacing w:before="0" w:beforeAutospacing="0" w:after="165" w:afterAutospacing="0" w:line="480" w:lineRule="auto"/>
        <w:jc w:val="both"/>
        <w:rPr>
          <w:rFonts w:asciiTheme="minorHAnsi" w:hAnsiTheme="minorHAnsi" w:cstheme="minorHAnsi"/>
          <w:color w:val="383838"/>
          <w:sz w:val="18"/>
          <w:szCs w:val="18"/>
        </w:rPr>
      </w:pPr>
      <w:r w:rsidRPr="00000849">
        <w:rPr>
          <w:rFonts w:asciiTheme="minorHAnsi" w:hAnsiTheme="minorHAnsi" w:cstheme="minorHAnsi"/>
          <w:color w:val="383838"/>
          <w:sz w:val="18"/>
          <w:szCs w:val="18"/>
        </w:rPr>
        <w:t xml:space="preserve">AIC=Akaike Information Criteria; BIC = Bayesian Information Criteria; </w:t>
      </w:r>
      <w:r w:rsidR="00FE7A4B">
        <w:rPr>
          <w:rFonts w:asciiTheme="minorHAnsi" w:hAnsiTheme="minorHAnsi" w:cstheme="minorHAnsi"/>
          <w:color w:val="383838"/>
          <w:sz w:val="18"/>
          <w:szCs w:val="18"/>
        </w:rPr>
        <w:t xml:space="preserve">df [ degrees of freedom; </w:t>
      </w:r>
      <w:r w:rsidRPr="00000849">
        <w:rPr>
          <w:rFonts w:asciiTheme="minorHAnsi" w:hAnsiTheme="minorHAnsi" w:cstheme="minorHAnsi"/>
          <w:color w:val="383838"/>
          <w:sz w:val="18"/>
          <w:szCs w:val="18"/>
        </w:rPr>
        <w:t xml:space="preserve">ll=log likelihood; </w:t>
      </w:r>
      <w:r w:rsidR="00FE7A4B">
        <w:rPr>
          <w:rFonts w:asciiTheme="minorHAnsi" w:hAnsiTheme="minorHAnsi" w:cstheme="minorHAnsi"/>
          <w:color w:val="383838"/>
          <w:sz w:val="18"/>
          <w:szCs w:val="18"/>
        </w:rPr>
        <w:t xml:space="preserve">LR = likelihood ratio; </w:t>
      </w:r>
      <w:r w:rsidRPr="00000849">
        <w:rPr>
          <w:rFonts w:asciiTheme="minorHAnsi" w:hAnsiTheme="minorHAnsi" w:cstheme="minorHAnsi"/>
          <w:color w:val="383838"/>
          <w:sz w:val="18"/>
          <w:szCs w:val="18"/>
        </w:rPr>
        <w:t>obs=no. of observations</w:t>
      </w:r>
    </w:p>
    <w:p w14:paraId="4E609D86" w14:textId="77777777" w:rsidR="00132DA9" w:rsidRPr="00000849" w:rsidRDefault="00132DA9" w:rsidP="009903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2D0EFC6D" w14:textId="12A6FE6E" w:rsidR="00354C9F" w:rsidRPr="00000849" w:rsidRDefault="005842AE" w:rsidP="009903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three-level model showed a superior fit to the single level logistic model in W1, as evidenced by a chi-squared statistic of 64.88 with associated p value &lt;0.001.  For W2, having established that the two-level model was a better model than the single level one, this was compared with the three-level model.  </w:t>
      </w:r>
      <w:r w:rsidR="00132DA9" w:rsidRPr="00000849">
        <w:rPr>
          <w:rFonts w:asciiTheme="minorHAnsi" w:hAnsiTheme="minorHAnsi" w:cstheme="minorHAnsi"/>
          <w:color w:val="383838"/>
        </w:rPr>
        <w:t>The likelihood ratio test yielded a chi-squared statistic of 8.65 with a p value &lt;0.005.  In both study waves, the AIC and BIC values were lowest in the three-level model, thereby confirming it as the model providing the best fit to the data.  The analys</w:t>
      </w:r>
      <w:r w:rsidR="00E12B8C" w:rsidRPr="00000849">
        <w:rPr>
          <w:rFonts w:asciiTheme="minorHAnsi" w:hAnsiTheme="minorHAnsi" w:cstheme="minorHAnsi"/>
          <w:color w:val="383838"/>
        </w:rPr>
        <w:t>e</w:t>
      </w:r>
      <w:r w:rsidR="00132DA9" w:rsidRPr="00000849">
        <w:rPr>
          <w:rFonts w:asciiTheme="minorHAnsi" w:hAnsiTheme="minorHAnsi" w:cstheme="minorHAnsi"/>
          <w:color w:val="383838"/>
        </w:rPr>
        <w:t>s of the covariates for both waves are therefore based on the three-level model</w:t>
      </w:r>
      <w:r w:rsidR="00E12B8C" w:rsidRPr="00000849">
        <w:rPr>
          <w:rFonts w:asciiTheme="minorHAnsi" w:hAnsiTheme="minorHAnsi" w:cstheme="minorHAnsi"/>
          <w:color w:val="383838"/>
        </w:rPr>
        <w:t xml:space="preserve"> </w:t>
      </w:r>
      <w:r w:rsidR="00132DA9" w:rsidRPr="00000849">
        <w:rPr>
          <w:rFonts w:asciiTheme="minorHAnsi" w:hAnsiTheme="minorHAnsi" w:cstheme="minorHAnsi"/>
          <w:color w:val="383838"/>
        </w:rPr>
        <w:t>(Table 5.</w:t>
      </w:r>
      <w:r w:rsidR="00333870" w:rsidRPr="00000849">
        <w:rPr>
          <w:rFonts w:asciiTheme="minorHAnsi" w:hAnsiTheme="minorHAnsi" w:cstheme="minorHAnsi"/>
          <w:color w:val="383838"/>
        </w:rPr>
        <w:t>4</w:t>
      </w:r>
      <w:r w:rsidR="00132DA9" w:rsidRPr="00000849">
        <w:rPr>
          <w:rFonts w:asciiTheme="minorHAnsi" w:hAnsiTheme="minorHAnsi" w:cstheme="minorHAnsi"/>
          <w:color w:val="383838"/>
        </w:rPr>
        <w:t>).</w:t>
      </w:r>
    </w:p>
    <w:p w14:paraId="6AC1B46D" w14:textId="6772D57A" w:rsidR="00333870" w:rsidRPr="00000849" w:rsidRDefault="00EE3D94" w:rsidP="000A512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lastRenderedPageBreak/>
        <w:t xml:space="preserve">As in the univariable and the single level </w:t>
      </w:r>
      <w:r w:rsidR="000414BF" w:rsidRPr="00000849">
        <w:rPr>
          <w:rFonts w:asciiTheme="minorHAnsi" w:hAnsiTheme="minorHAnsi" w:cstheme="minorHAnsi"/>
          <w:color w:val="383838"/>
        </w:rPr>
        <w:t xml:space="preserve">multivariable </w:t>
      </w:r>
      <w:r w:rsidRPr="00000849">
        <w:rPr>
          <w:rFonts w:asciiTheme="minorHAnsi" w:hAnsiTheme="minorHAnsi" w:cstheme="minorHAnsi"/>
          <w:color w:val="383838"/>
        </w:rPr>
        <w:t>analys</w:t>
      </w:r>
      <w:r w:rsidR="00333870" w:rsidRPr="00000849">
        <w:rPr>
          <w:rFonts w:asciiTheme="minorHAnsi" w:hAnsiTheme="minorHAnsi" w:cstheme="minorHAnsi"/>
          <w:color w:val="383838"/>
        </w:rPr>
        <w:t>e</w:t>
      </w:r>
      <w:r w:rsidRPr="00000849">
        <w:rPr>
          <w:rFonts w:asciiTheme="minorHAnsi" w:hAnsiTheme="minorHAnsi" w:cstheme="minorHAnsi"/>
          <w:color w:val="383838"/>
        </w:rPr>
        <w:t>s</w:t>
      </w:r>
      <w:r w:rsidR="00333870" w:rsidRPr="00000849">
        <w:rPr>
          <w:rFonts w:asciiTheme="minorHAnsi" w:hAnsiTheme="minorHAnsi" w:cstheme="minorHAnsi"/>
          <w:color w:val="383838"/>
        </w:rPr>
        <w:t>, residence in GAR and having previously married or having never married were consistent positive predictors of hypertension with odds ratios of 2.27-3.06 and 1.27-1.64 respectively in both study waves.  On the other hand, having worked in the past seven days was associated with lower odds of hypertension</w:t>
      </w:r>
      <w:r w:rsidR="00A52167" w:rsidRPr="00000849">
        <w:rPr>
          <w:rFonts w:asciiTheme="minorHAnsi" w:hAnsiTheme="minorHAnsi" w:cstheme="minorHAnsi"/>
          <w:color w:val="383838"/>
        </w:rPr>
        <w:t xml:space="preserve"> in both waves</w:t>
      </w:r>
      <w:r w:rsidR="00333870" w:rsidRPr="00000849">
        <w:rPr>
          <w:rFonts w:asciiTheme="minorHAnsi" w:hAnsiTheme="minorHAnsi" w:cstheme="minorHAnsi"/>
          <w:color w:val="383838"/>
        </w:rPr>
        <w:t xml:space="preserve">.  </w:t>
      </w:r>
    </w:p>
    <w:p w14:paraId="3FEFBA0F" w14:textId="3550D9EE" w:rsidR="00333870" w:rsidRPr="00000849" w:rsidRDefault="004535A3" w:rsidP="000A512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O</w:t>
      </w:r>
      <w:r w:rsidR="00333870" w:rsidRPr="00000849">
        <w:rPr>
          <w:rFonts w:asciiTheme="minorHAnsi" w:hAnsiTheme="minorHAnsi" w:cstheme="minorHAnsi"/>
          <w:color w:val="383838"/>
        </w:rPr>
        <w:t xml:space="preserve">lder age, residence in other regions, being Muslim, being overweight/obese, and having higher WC were independently associated with higher odds of hypertension in one or the other wave in the three-level model.  The relationship between BMI category and hypertension in W1 followed a dose-response gradient, with the odds of hypertension increasing with increasing BMI status.  Having attained secondary school education and </w:t>
      </w:r>
      <w:r w:rsidR="00A52167" w:rsidRPr="00000849">
        <w:rPr>
          <w:rFonts w:asciiTheme="minorHAnsi" w:hAnsiTheme="minorHAnsi" w:cstheme="minorHAnsi"/>
          <w:color w:val="383838"/>
        </w:rPr>
        <w:t>consuming inadequate number of fruit and vegetable servings daily</w:t>
      </w:r>
      <w:r w:rsidR="00333870" w:rsidRPr="00000849">
        <w:rPr>
          <w:rFonts w:asciiTheme="minorHAnsi" w:hAnsiTheme="minorHAnsi" w:cstheme="minorHAnsi"/>
          <w:color w:val="383838"/>
        </w:rPr>
        <w:t xml:space="preserve"> were negative predictors in </w:t>
      </w:r>
      <w:r w:rsidR="00A52167" w:rsidRPr="00000849">
        <w:rPr>
          <w:rFonts w:asciiTheme="minorHAnsi" w:hAnsiTheme="minorHAnsi" w:cstheme="minorHAnsi"/>
          <w:color w:val="383838"/>
        </w:rPr>
        <w:t>one or the other wave in the</w:t>
      </w:r>
      <w:r w:rsidR="00333870" w:rsidRPr="00000849">
        <w:rPr>
          <w:rFonts w:asciiTheme="minorHAnsi" w:hAnsiTheme="minorHAnsi" w:cstheme="minorHAnsi"/>
          <w:color w:val="383838"/>
        </w:rPr>
        <w:t xml:space="preserve"> three-level regression analyses.  </w:t>
      </w:r>
      <w:r w:rsidR="00AB7DD1" w:rsidRPr="00000849">
        <w:rPr>
          <w:rFonts w:asciiTheme="minorHAnsi" w:hAnsiTheme="minorHAnsi" w:cstheme="minorHAnsi"/>
          <w:color w:val="383838"/>
        </w:rPr>
        <w:t xml:space="preserve">Unlike the single level model, heavy alcohol use was not associated with hypertension.  </w:t>
      </w:r>
      <w:r w:rsidR="00333870" w:rsidRPr="00000849">
        <w:rPr>
          <w:rFonts w:asciiTheme="minorHAnsi" w:hAnsiTheme="minorHAnsi" w:cstheme="minorHAnsi"/>
          <w:color w:val="383838"/>
        </w:rPr>
        <w:t>A</w:t>
      </w:r>
      <w:r w:rsidR="00A52167" w:rsidRPr="00000849">
        <w:rPr>
          <w:rFonts w:asciiTheme="minorHAnsi" w:hAnsiTheme="minorHAnsi" w:cstheme="minorHAnsi"/>
          <w:color w:val="383838"/>
        </w:rPr>
        <w:t xml:space="preserve">s in the previous models, engaging in high-level physical activity had opposite relationship with hypertension in the two waves, being a positive predictor in W1 and a negative predictor in W2.  </w:t>
      </w:r>
      <w:r w:rsidR="00333870" w:rsidRPr="00000849">
        <w:rPr>
          <w:rFonts w:asciiTheme="minorHAnsi" w:hAnsiTheme="minorHAnsi" w:cstheme="minorHAnsi"/>
          <w:color w:val="383838"/>
        </w:rPr>
        <w:t xml:space="preserve"> </w:t>
      </w:r>
    </w:p>
    <w:p w14:paraId="5D4BD5C1" w14:textId="73392364" w:rsidR="00B31031" w:rsidRPr="00000849" w:rsidRDefault="00C4648A" w:rsidP="0011286D">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ICCs </w:t>
      </w:r>
      <w:r w:rsidR="00B31031" w:rsidRPr="00000849">
        <w:rPr>
          <w:rFonts w:asciiTheme="minorHAnsi" w:hAnsiTheme="minorHAnsi" w:cstheme="minorHAnsi"/>
          <w:color w:val="383838"/>
        </w:rPr>
        <w:t xml:space="preserve">showed that 13.2% and 21.6% of the </w:t>
      </w:r>
      <w:r w:rsidRPr="00000849">
        <w:rPr>
          <w:rFonts w:asciiTheme="minorHAnsi" w:hAnsiTheme="minorHAnsi" w:cstheme="minorHAnsi"/>
          <w:color w:val="383838"/>
        </w:rPr>
        <w:t xml:space="preserve">variation in the prevalence of hypertension </w:t>
      </w:r>
      <w:r w:rsidR="00B31031" w:rsidRPr="00000849">
        <w:rPr>
          <w:rFonts w:asciiTheme="minorHAnsi" w:hAnsiTheme="minorHAnsi" w:cstheme="minorHAnsi"/>
          <w:color w:val="383838"/>
        </w:rPr>
        <w:t>in W1 and W2 respectively were</w:t>
      </w:r>
      <w:r w:rsidR="005A61DD" w:rsidRPr="00000849">
        <w:rPr>
          <w:rFonts w:asciiTheme="minorHAnsi" w:hAnsiTheme="minorHAnsi" w:cstheme="minorHAnsi"/>
          <w:color w:val="383838"/>
        </w:rPr>
        <w:t xml:space="preserve"> explained by</w:t>
      </w:r>
      <w:r w:rsidRPr="00000849">
        <w:rPr>
          <w:rFonts w:asciiTheme="minorHAnsi" w:hAnsiTheme="minorHAnsi" w:cstheme="minorHAnsi"/>
          <w:color w:val="383838"/>
        </w:rPr>
        <w:t xml:space="preserve"> differences between households</w:t>
      </w:r>
      <w:r w:rsidR="00B31031" w:rsidRPr="00000849">
        <w:rPr>
          <w:rFonts w:asciiTheme="minorHAnsi" w:hAnsiTheme="minorHAnsi" w:cstheme="minorHAnsi"/>
          <w:color w:val="383838"/>
        </w:rPr>
        <w:t xml:space="preserve"> and EAs</w:t>
      </w:r>
      <w:r w:rsidRPr="00000849">
        <w:rPr>
          <w:rFonts w:asciiTheme="minorHAnsi" w:hAnsiTheme="minorHAnsi" w:cstheme="minorHAnsi"/>
          <w:color w:val="383838"/>
        </w:rPr>
        <w:t>.</w:t>
      </w:r>
      <w:r w:rsidR="00EF7466" w:rsidRPr="00000849">
        <w:rPr>
          <w:rFonts w:asciiTheme="minorHAnsi" w:hAnsiTheme="minorHAnsi" w:cstheme="minorHAnsi"/>
          <w:color w:val="383838"/>
        </w:rPr>
        <w:t xml:space="preserve">  </w:t>
      </w:r>
      <w:r w:rsidR="000A5121" w:rsidRPr="00000849">
        <w:rPr>
          <w:rFonts w:asciiTheme="minorHAnsi" w:hAnsiTheme="minorHAnsi" w:cstheme="minorHAnsi"/>
          <w:color w:val="383838"/>
        </w:rPr>
        <w:t>B</w:t>
      </w:r>
      <w:r w:rsidR="00B31031" w:rsidRPr="00000849">
        <w:rPr>
          <w:rFonts w:asciiTheme="minorHAnsi" w:hAnsiTheme="minorHAnsi" w:cstheme="minorHAnsi"/>
          <w:color w:val="383838"/>
        </w:rPr>
        <w:t>etween</w:t>
      </w:r>
      <w:r w:rsidR="000A5121" w:rsidRPr="00000849">
        <w:rPr>
          <w:rFonts w:asciiTheme="minorHAnsi" w:hAnsiTheme="minorHAnsi" w:cstheme="minorHAnsi"/>
          <w:color w:val="383838"/>
        </w:rPr>
        <w:t>-</w:t>
      </w:r>
      <w:r w:rsidR="00B31031" w:rsidRPr="00000849">
        <w:rPr>
          <w:rFonts w:asciiTheme="minorHAnsi" w:hAnsiTheme="minorHAnsi" w:cstheme="minorHAnsi"/>
          <w:color w:val="383838"/>
        </w:rPr>
        <w:t>household differences accounted for 4.4% and 17.8%</w:t>
      </w:r>
      <w:r w:rsidR="000A5121" w:rsidRPr="00000849">
        <w:rPr>
          <w:rFonts w:asciiTheme="minorHAnsi" w:hAnsiTheme="minorHAnsi" w:cstheme="minorHAnsi"/>
          <w:color w:val="383838"/>
        </w:rPr>
        <w:t xml:space="preserve"> of the total variation in the prevalence of hypertension in the respective waves. </w:t>
      </w:r>
    </w:p>
    <w:p w14:paraId="6A276F23" w14:textId="601665FC" w:rsidR="00C24407" w:rsidRPr="00000849" w:rsidRDefault="00C24407"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8069A33" w14:textId="67021C5A" w:rsidR="004D0CBB" w:rsidRPr="00000849" w:rsidRDefault="002006AA" w:rsidP="00E93D4C">
      <w:pPr>
        <w:pStyle w:val="Heading3"/>
      </w:pPr>
      <w:bookmarkStart w:id="99" w:name="_Toc51472137"/>
      <w:r w:rsidRPr="00000849">
        <w:lastRenderedPageBreak/>
        <w:t>5.</w:t>
      </w:r>
      <w:r w:rsidR="00C665B2" w:rsidRPr="00000849">
        <w:t>5</w:t>
      </w:r>
      <w:r w:rsidR="004D0CBB" w:rsidRPr="00000849">
        <w:t>.4</w:t>
      </w:r>
      <w:r w:rsidR="004D0CBB" w:rsidRPr="00000849">
        <w:tab/>
      </w:r>
      <w:r w:rsidR="00210C7B" w:rsidRPr="00000849">
        <w:t>Longitudinal data analyses</w:t>
      </w:r>
      <w:r w:rsidR="004D0CBB" w:rsidRPr="00000849">
        <w:t xml:space="preserve"> using random </w:t>
      </w:r>
      <w:r w:rsidR="00374231" w:rsidRPr="00000849">
        <w:t>effects</w:t>
      </w:r>
      <w:r w:rsidR="004D0CBB" w:rsidRPr="00000849">
        <w:t xml:space="preserve"> </w:t>
      </w:r>
      <w:r w:rsidR="00374231" w:rsidRPr="00000849">
        <w:t>model</w:t>
      </w:r>
      <w:bookmarkEnd w:id="99"/>
    </w:p>
    <w:p w14:paraId="565362EA" w14:textId="120A9564" w:rsidR="004D0CBB" w:rsidRPr="00000849" w:rsidRDefault="004D0CBB" w:rsidP="00000849">
      <w:pPr>
        <w:pStyle w:val="NormalWeb"/>
        <w:keepNext/>
        <w:keepLines/>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170F345" w14:textId="32FB3582" w:rsidR="00B80194" w:rsidRPr="00000849" w:rsidRDefault="00B80194" w:rsidP="00000849">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random effects</w:t>
      </w:r>
      <w:r w:rsidR="00CC673C" w:rsidRPr="00000849">
        <w:rPr>
          <w:rFonts w:asciiTheme="minorHAnsi" w:hAnsiTheme="minorHAnsi" w:cstheme="minorHAnsi"/>
          <w:color w:val="383838"/>
        </w:rPr>
        <w:t xml:space="preserve"> model with the explanato</w:t>
      </w:r>
      <w:r w:rsidR="00587934" w:rsidRPr="00000849">
        <w:rPr>
          <w:rFonts w:asciiTheme="minorHAnsi" w:hAnsiTheme="minorHAnsi" w:cstheme="minorHAnsi"/>
          <w:color w:val="383838"/>
        </w:rPr>
        <w:t xml:space="preserve">ry variables </w:t>
      </w:r>
      <w:r w:rsidR="00147A02" w:rsidRPr="00000849">
        <w:rPr>
          <w:rFonts w:asciiTheme="minorHAnsi" w:hAnsiTheme="minorHAnsi" w:cstheme="minorHAnsi"/>
          <w:color w:val="383838"/>
        </w:rPr>
        <w:t xml:space="preserve">included </w:t>
      </w:r>
      <w:r w:rsidRPr="00000849">
        <w:rPr>
          <w:rFonts w:asciiTheme="minorHAnsi" w:hAnsiTheme="minorHAnsi" w:cstheme="minorHAnsi"/>
          <w:color w:val="383838"/>
        </w:rPr>
        <w:t xml:space="preserve">6,742 </w:t>
      </w:r>
      <w:r w:rsidR="00147A02" w:rsidRPr="00000849">
        <w:rPr>
          <w:rFonts w:asciiTheme="minorHAnsi" w:hAnsiTheme="minorHAnsi" w:cstheme="minorHAnsi"/>
          <w:color w:val="383838"/>
        </w:rPr>
        <w:t xml:space="preserve">subjects </w:t>
      </w:r>
      <w:r w:rsidRPr="00000849">
        <w:rPr>
          <w:rFonts w:asciiTheme="minorHAnsi" w:hAnsiTheme="minorHAnsi" w:cstheme="minorHAnsi"/>
          <w:color w:val="383838"/>
        </w:rPr>
        <w:t>clustered into 5,347 groups</w:t>
      </w:r>
      <w:r w:rsidR="00587934" w:rsidRPr="00000849">
        <w:rPr>
          <w:rFonts w:asciiTheme="minorHAnsi" w:hAnsiTheme="minorHAnsi" w:cstheme="minorHAnsi"/>
          <w:color w:val="383838"/>
        </w:rPr>
        <w:t xml:space="preserve">, </w:t>
      </w:r>
      <w:r w:rsidRPr="00000849">
        <w:rPr>
          <w:rFonts w:asciiTheme="minorHAnsi" w:hAnsiTheme="minorHAnsi" w:cstheme="minorHAnsi"/>
          <w:color w:val="383838"/>
        </w:rPr>
        <w:t>with a mean of 1.3</w:t>
      </w:r>
      <w:r w:rsidR="00587934" w:rsidRPr="00000849">
        <w:rPr>
          <w:rFonts w:asciiTheme="minorHAnsi" w:hAnsiTheme="minorHAnsi" w:cstheme="minorHAnsi"/>
          <w:color w:val="383838"/>
        </w:rPr>
        <w:t xml:space="preserve"> subjects per group</w:t>
      </w:r>
      <w:r w:rsidRPr="00000849">
        <w:rPr>
          <w:rFonts w:asciiTheme="minorHAnsi" w:hAnsiTheme="minorHAnsi" w:cstheme="minorHAnsi"/>
          <w:color w:val="383838"/>
        </w:rPr>
        <w:t xml:space="preserve">.  </w:t>
      </w:r>
      <w:r w:rsidR="00147A02" w:rsidRPr="00000849">
        <w:rPr>
          <w:rFonts w:asciiTheme="minorHAnsi" w:hAnsiTheme="minorHAnsi" w:cstheme="minorHAnsi"/>
          <w:color w:val="383838"/>
        </w:rPr>
        <w:t xml:space="preserve">Each individual could occur up to two times in the pooled dataset of the two study waves. </w:t>
      </w:r>
      <w:r w:rsidR="003267F0" w:rsidRPr="00000849">
        <w:rPr>
          <w:rFonts w:asciiTheme="minorHAnsi" w:hAnsiTheme="minorHAnsi" w:cstheme="minorHAnsi"/>
          <w:color w:val="383838"/>
        </w:rPr>
        <w:t>T</w:t>
      </w:r>
      <w:r w:rsidR="00587934" w:rsidRPr="00000849">
        <w:rPr>
          <w:rFonts w:asciiTheme="minorHAnsi" w:hAnsiTheme="minorHAnsi" w:cstheme="minorHAnsi"/>
          <w:color w:val="383838"/>
        </w:rPr>
        <w:t>he grouping variable</w:t>
      </w:r>
      <w:r w:rsidR="00514F26">
        <w:rPr>
          <w:rFonts w:asciiTheme="minorHAnsi" w:hAnsiTheme="minorHAnsi" w:cstheme="minorHAnsi"/>
          <w:color w:val="383838"/>
        </w:rPr>
        <w:t>, which</w:t>
      </w:r>
      <w:r w:rsidR="003267F0" w:rsidRPr="00000849">
        <w:rPr>
          <w:rFonts w:asciiTheme="minorHAnsi" w:hAnsiTheme="minorHAnsi" w:cstheme="minorHAnsi"/>
          <w:color w:val="383838"/>
        </w:rPr>
        <w:t xml:space="preserve"> </w:t>
      </w:r>
      <w:r w:rsidR="00514F26">
        <w:rPr>
          <w:rFonts w:asciiTheme="minorHAnsi" w:hAnsiTheme="minorHAnsi" w:cstheme="minorHAnsi"/>
          <w:color w:val="383838"/>
        </w:rPr>
        <w:t>was</w:t>
      </w:r>
      <w:r w:rsidR="00514F26" w:rsidRPr="00000849">
        <w:rPr>
          <w:rFonts w:asciiTheme="minorHAnsi" w:hAnsiTheme="minorHAnsi" w:cstheme="minorHAnsi"/>
          <w:color w:val="383838"/>
        </w:rPr>
        <w:t xml:space="preserve"> </w:t>
      </w:r>
      <w:r w:rsidR="003267F0" w:rsidRPr="00000849">
        <w:rPr>
          <w:rFonts w:asciiTheme="minorHAnsi" w:hAnsiTheme="minorHAnsi" w:cstheme="minorHAnsi"/>
          <w:color w:val="383838"/>
        </w:rPr>
        <w:t xml:space="preserve">the groups of the </w:t>
      </w:r>
      <w:r w:rsidR="005C1709" w:rsidRPr="00000849">
        <w:rPr>
          <w:rFonts w:asciiTheme="minorHAnsi" w:hAnsiTheme="minorHAnsi" w:cstheme="minorHAnsi"/>
          <w:color w:val="383838"/>
        </w:rPr>
        <w:t>individual</w:t>
      </w:r>
      <w:r w:rsidR="003267F0" w:rsidRPr="00000849">
        <w:rPr>
          <w:rFonts w:asciiTheme="minorHAnsi" w:hAnsiTheme="minorHAnsi" w:cstheme="minorHAnsi"/>
          <w:color w:val="383838"/>
        </w:rPr>
        <w:t>s</w:t>
      </w:r>
      <w:r w:rsidR="00514F26">
        <w:rPr>
          <w:rFonts w:asciiTheme="minorHAnsi" w:hAnsiTheme="minorHAnsi" w:cstheme="minorHAnsi"/>
          <w:color w:val="383838"/>
        </w:rPr>
        <w:t>,</w:t>
      </w:r>
      <w:r w:rsidR="003267F0" w:rsidRPr="00000849">
        <w:rPr>
          <w:rFonts w:asciiTheme="minorHAnsi" w:hAnsiTheme="minorHAnsi" w:cstheme="minorHAnsi"/>
          <w:color w:val="383838"/>
        </w:rPr>
        <w:t xml:space="preserve"> constitute</w:t>
      </w:r>
      <w:r w:rsidR="00514F26">
        <w:rPr>
          <w:rFonts w:asciiTheme="minorHAnsi" w:hAnsiTheme="minorHAnsi" w:cstheme="minorHAnsi"/>
          <w:color w:val="383838"/>
        </w:rPr>
        <w:t>d</w:t>
      </w:r>
      <w:r w:rsidR="005C1709" w:rsidRPr="00000849">
        <w:rPr>
          <w:rFonts w:asciiTheme="minorHAnsi" w:hAnsiTheme="minorHAnsi" w:cstheme="minorHAnsi"/>
          <w:color w:val="383838"/>
        </w:rPr>
        <w:t xml:space="preserve"> </w:t>
      </w:r>
      <w:r w:rsidR="00587934" w:rsidRPr="00000849">
        <w:rPr>
          <w:rFonts w:asciiTheme="minorHAnsi" w:hAnsiTheme="minorHAnsi" w:cstheme="minorHAnsi"/>
          <w:color w:val="383838"/>
        </w:rPr>
        <w:t>L</w:t>
      </w:r>
      <w:r w:rsidR="005C1709" w:rsidRPr="00000849">
        <w:rPr>
          <w:rFonts w:asciiTheme="minorHAnsi" w:hAnsiTheme="minorHAnsi" w:cstheme="minorHAnsi"/>
          <w:color w:val="383838"/>
        </w:rPr>
        <w:t xml:space="preserve">evel </w:t>
      </w:r>
      <w:r w:rsidR="003267F0" w:rsidRPr="00000849">
        <w:rPr>
          <w:rFonts w:asciiTheme="minorHAnsi" w:hAnsiTheme="minorHAnsi" w:cstheme="minorHAnsi"/>
          <w:color w:val="383838"/>
        </w:rPr>
        <w:t>1</w:t>
      </w:r>
      <w:r w:rsidR="005C1709" w:rsidRPr="00000849">
        <w:rPr>
          <w:rFonts w:asciiTheme="minorHAnsi" w:hAnsiTheme="minorHAnsi" w:cstheme="minorHAnsi"/>
          <w:color w:val="383838"/>
        </w:rPr>
        <w:t xml:space="preserve"> </w:t>
      </w:r>
      <w:r w:rsidR="00587934" w:rsidRPr="00000849">
        <w:rPr>
          <w:rFonts w:asciiTheme="minorHAnsi" w:hAnsiTheme="minorHAnsi" w:cstheme="minorHAnsi"/>
          <w:color w:val="383838"/>
        </w:rPr>
        <w:t xml:space="preserve">while the </w:t>
      </w:r>
      <w:r w:rsidR="003267F0" w:rsidRPr="00000849">
        <w:rPr>
          <w:rFonts w:asciiTheme="minorHAnsi" w:hAnsiTheme="minorHAnsi" w:cstheme="minorHAnsi"/>
          <w:color w:val="383838"/>
        </w:rPr>
        <w:t>single individuals</w:t>
      </w:r>
      <w:r w:rsidR="00587934" w:rsidRPr="00000849">
        <w:rPr>
          <w:rFonts w:asciiTheme="minorHAnsi" w:hAnsiTheme="minorHAnsi" w:cstheme="minorHAnsi"/>
          <w:color w:val="383838"/>
        </w:rPr>
        <w:t xml:space="preserve"> </w:t>
      </w:r>
      <w:r w:rsidR="003267F0" w:rsidRPr="00000849">
        <w:rPr>
          <w:rFonts w:asciiTheme="minorHAnsi" w:hAnsiTheme="minorHAnsi" w:cstheme="minorHAnsi"/>
          <w:color w:val="383838"/>
        </w:rPr>
        <w:t>constitute</w:t>
      </w:r>
      <w:r w:rsidR="00514F26">
        <w:rPr>
          <w:rFonts w:asciiTheme="minorHAnsi" w:hAnsiTheme="minorHAnsi" w:cstheme="minorHAnsi"/>
          <w:color w:val="383838"/>
        </w:rPr>
        <w:t>d</w:t>
      </w:r>
      <w:r w:rsidR="003267F0" w:rsidRPr="00000849">
        <w:rPr>
          <w:rFonts w:asciiTheme="minorHAnsi" w:hAnsiTheme="minorHAnsi" w:cstheme="minorHAnsi"/>
          <w:color w:val="383838"/>
        </w:rPr>
        <w:t xml:space="preserve"> </w:t>
      </w:r>
      <w:r w:rsidR="005C1709" w:rsidRPr="00000849">
        <w:rPr>
          <w:rFonts w:asciiTheme="minorHAnsi" w:hAnsiTheme="minorHAnsi" w:cstheme="minorHAnsi"/>
          <w:color w:val="383838"/>
        </w:rPr>
        <w:t xml:space="preserve">Level </w:t>
      </w:r>
      <w:r w:rsidR="003267F0" w:rsidRPr="00000849">
        <w:rPr>
          <w:rFonts w:asciiTheme="minorHAnsi" w:hAnsiTheme="minorHAnsi" w:cstheme="minorHAnsi"/>
          <w:color w:val="383838"/>
        </w:rPr>
        <w:t>2</w:t>
      </w:r>
      <w:r w:rsidR="005C1709" w:rsidRPr="00000849">
        <w:rPr>
          <w:rFonts w:asciiTheme="minorHAnsi" w:hAnsiTheme="minorHAnsi" w:cstheme="minorHAnsi"/>
          <w:color w:val="383838"/>
        </w:rPr>
        <w:t xml:space="preserve">.  </w:t>
      </w:r>
      <w:r w:rsidR="00682F64" w:rsidRPr="00000849">
        <w:rPr>
          <w:rFonts w:asciiTheme="minorHAnsi" w:hAnsiTheme="minorHAnsi" w:cstheme="minorHAnsi"/>
          <w:color w:val="383838"/>
        </w:rPr>
        <w:t xml:space="preserve">Each group </w:t>
      </w:r>
      <w:r w:rsidR="00514F26">
        <w:rPr>
          <w:rFonts w:asciiTheme="minorHAnsi" w:hAnsiTheme="minorHAnsi" w:cstheme="minorHAnsi"/>
          <w:color w:val="383838"/>
        </w:rPr>
        <w:t>wa</w:t>
      </w:r>
      <w:r w:rsidR="00682F64" w:rsidRPr="00000849">
        <w:rPr>
          <w:rFonts w:asciiTheme="minorHAnsi" w:hAnsiTheme="minorHAnsi" w:cstheme="minorHAnsi"/>
          <w:color w:val="383838"/>
        </w:rPr>
        <w:t>s made up of two repeated observations on the same individual.</w:t>
      </w:r>
    </w:p>
    <w:p w14:paraId="3F464BA4" w14:textId="1AA95A9E" w:rsidR="007A053A" w:rsidRPr="00000849" w:rsidRDefault="007A053A" w:rsidP="00147A02">
      <w:pPr>
        <w:spacing w:after="0" w:line="480" w:lineRule="auto"/>
        <w:ind w:firstLine="567"/>
        <w:jc w:val="both"/>
        <w:rPr>
          <w:sz w:val="24"/>
          <w:szCs w:val="24"/>
        </w:rPr>
      </w:pPr>
      <w:r w:rsidRPr="00000849">
        <w:rPr>
          <w:sz w:val="24"/>
          <w:szCs w:val="24"/>
        </w:rPr>
        <w:t xml:space="preserve">A three-level </w:t>
      </w:r>
      <w:r w:rsidR="003267F0" w:rsidRPr="00000849">
        <w:rPr>
          <w:sz w:val="24"/>
          <w:szCs w:val="24"/>
        </w:rPr>
        <w:t>mixed effects random intercept model included</w:t>
      </w:r>
      <w:r w:rsidRPr="00000849">
        <w:rPr>
          <w:sz w:val="24"/>
          <w:szCs w:val="24"/>
        </w:rPr>
        <w:t xml:space="preserve"> a</w:t>
      </w:r>
      <w:r w:rsidR="00147A02" w:rsidRPr="00000849">
        <w:rPr>
          <w:sz w:val="24"/>
          <w:szCs w:val="24"/>
        </w:rPr>
        <w:t xml:space="preserve"> total of 6,742 </w:t>
      </w:r>
      <w:r w:rsidRPr="00000849">
        <w:rPr>
          <w:sz w:val="24"/>
          <w:szCs w:val="24"/>
        </w:rPr>
        <w:t>subjects clustered in</w:t>
      </w:r>
      <w:r w:rsidR="00147A02" w:rsidRPr="00000849">
        <w:rPr>
          <w:sz w:val="24"/>
          <w:szCs w:val="24"/>
        </w:rPr>
        <w:t xml:space="preserve"> 5,347 </w:t>
      </w:r>
      <w:r w:rsidRPr="00000849">
        <w:rPr>
          <w:sz w:val="24"/>
          <w:szCs w:val="24"/>
        </w:rPr>
        <w:t xml:space="preserve">groups (Level </w:t>
      </w:r>
      <w:r w:rsidR="000F66BF" w:rsidRPr="00000849">
        <w:rPr>
          <w:sz w:val="24"/>
          <w:szCs w:val="24"/>
        </w:rPr>
        <w:t>1</w:t>
      </w:r>
      <w:r w:rsidRPr="00000849">
        <w:rPr>
          <w:sz w:val="24"/>
          <w:szCs w:val="24"/>
        </w:rPr>
        <w:t>)</w:t>
      </w:r>
      <w:r w:rsidR="00147A02" w:rsidRPr="00000849">
        <w:rPr>
          <w:sz w:val="24"/>
          <w:szCs w:val="24"/>
        </w:rPr>
        <w:t xml:space="preserve"> residing in 4,543 households </w:t>
      </w:r>
      <w:r w:rsidR="003267F0" w:rsidRPr="00000849">
        <w:rPr>
          <w:sz w:val="24"/>
          <w:szCs w:val="24"/>
        </w:rPr>
        <w:t>(Level 3)</w:t>
      </w:r>
      <w:r w:rsidR="00147A02" w:rsidRPr="00000849">
        <w:rPr>
          <w:sz w:val="24"/>
          <w:szCs w:val="24"/>
        </w:rPr>
        <w:t xml:space="preserve">.  Each individual had between one or two measurements over the two waves.  The number of subjects in each household ranged from one to eight.  </w:t>
      </w:r>
    </w:p>
    <w:p w14:paraId="451EF3D5" w14:textId="10EEF1FF" w:rsidR="00147A02" w:rsidRPr="00000849" w:rsidRDefault="000F66BF" w:rsidP="00147A02">
      <w:pPr>
        <w:spacing w:after="0" w:line="480" w:lineRule="auto"/>
        <w:ind w:firstLine="567"/>
        <w:jc w:val="both"/>
        <w:rPr>
          <w:sz w:val="24"/>
        </w:rPr>
      </w:pPr>
      <w:r w:rsidRPr="00000849">
        <w:rPr>
          <w:rStyle w:val="hscoswrapper"/>
          <w:sz w:val="24"/>
        </w:rPr>
        <w:t xml:space="preserve">As with the multilevel analysis, the fit of the two longitudinal data models was compared using the likelihood ratio test and the AIC/BIC values.  </w:t>
      </w:r>
      <w:r w:rsidR="00147A02" w:rsidRPr="00000849">
        <w:rPr>
          <w:rStyle w:val="hscoswrapper"/>
          <w:sz w:val="24"/>
        </w:rPr>
        <w:t xml:space="preserve">The likelihood ratio test chi-squared statistic of </w:t>
      </w:r>
      <w:r w:rsidRPr="00000849">
        <w:rPr>
          <w:rStyle w:val="hscoswrapper"/>
          <w:sz w:val="24"/>
        </w:rPr>
        <w:t>3.39</w:t>
      </w:r>
      <w:r w:rsidR="00147A02" w:rsidRPr="00000849">
        <w:rPr>
          <w:rStyle w:val="hscoswrapper"/>
          <w:sz w:val="24"/>
        </w:rPr>
        <w:t xml:space="preserve"> (p = 0.066) confirmed the two-level model (without household nesting) as providing a </w:t>
      </w:r>
      <w:r w:rsidR="002A067D" w:rsidRPr="00000849">
        <w:rPr>
          <w:rStyle w:val="hscoswrapper"/>
          <w:sz w:val="24"/>
        </w:rPr>
        <w:t>better</w:t>
      </w:r>
      <w:r w:rsidR="00147A02" w:rsidRPr="00000849">
        <w:rPr>
          <w:rStyle w:val="hscoswrapper"/>
          <w:sz w:val="24"/>
        </w:rPr>
        <w:t xml:space="preserve"> fit to </w:t>
      </w:r>
      <w:r w:rsidRPr="00000849">
        <w:rPr>
          <w:rStyle w:val="hscoswrapper"/>
          <w:sz w:val="24"/>
        </w:rPr>
        <w:t xml:space="preserve">the data than </w:t>
      </w:r>
      <w:r w:rsidR="00147A02" w:rsidRPr="00000849">
        <w:rPr>
          <w:rStyle w:val="hscoswrapper"/>
          <w:sz w:val="24"/>
        </w:rPr>
        <w:t xml:space="preserve">the three-level model.  The AIC/BIC </w:t>
      </w:r>
      <w:r w:rsidR="00147A02" w:rsidRPr="00000849">
        <w:rPr>
          <w:sz w:val="24"/>
        </w:rPr>
        <w:t>Information criteria</w:t>
      </w:r>
      <w:r w:rsidR="00147A02" w:rsidRPr="00000849">
        <w:rPr>
          <w:rStyle w:val="hscoswrapper"/>
          <w:sz w:val="24"/>
        </w:rPr>
        <w:t xml:space="preserve"> values were similar between the two</w:t>
      </w:r>
      <w:r w:rsidRPr="00000849">
        <w:rPr>
          <w:rStyle w:val="hscoswrapper"/>
          <w:sz w:val="24"/>
        </w:rPr>
        <w:t>-level</w:t>
      </w:r>
      <w:r w:rsidR="00147A02" w:rsidRPr="00000849">
        <w:rPr>
          <w:rStyle w:val="hscoswrapper"/>
          <w:sz w:val="24"/>
        </w:rPr>
        <w:t xml:space="preserve"> (8552.</w:t>
      </w:r>
      <w:r w:rsidRPr="00000849">
        <w:rPr>
          <w:rStyle w:val="hscoswrapper"/>
          <w:sz w:val="24"/>
        </w:rPr>
        <w:t>3</w:t>
      </w:r>
      <w:r w:rsidR="00147A02" w:rsidRPr="00000849">
        <w:rPr>
          <w:rStyle w:val="hscoswrapper"/>
          <w:sz w:val="24"/>
        </w:rPr>
        <w:t>/8818.</w:t>
      </w:r>
      <w:r w:rsidRPr="00000849">
        <w:rPr>
          <w:rStyle w:val="hscoswrapper"/>
          <w:sz w:val="24"/>
        </w:rPr>
        <w:t>2) and three-level (</w:t>
      </w:r>
      <w:r w:rsidR="00147A02" w:rsidRPr="00000849">
        <w:rPr>
          <w:rStyle w:val="hscoswrapper"/>
          <w:sz w:val="24"/>
        </w:rPr>
        <w:t xml:space="preserve">8550.9/8823.5) </w:t>
      </w:r>
      <w:r w:rsidRPr="00000849">
        <w:rPr>
          <w:rStyle w:val="hscoswrapper"/>
          <w:sz w:val="24"/>
        </w:rPr>
        <w:t xml:space="preserve">models.  </w:t>
      </w:r>
      <w:r w:rsidR="00147A02" w:rsidRPr="00000849">
        <w:rPr>
          <w:sz w:val="24"/>
        </w:rPr>
        <w:t>Th</w:t>
      </w:r>
      <w:r w:rsidR="002A067D" w:rsidRPr="00000849">
        <w:rPr>
          <w:sz w:val="24"/>
        </w:rPr>
        <w:t>us, th</w:t>
      </w:r>
      <w:r w:rsidR="00147A02" w:rsidRPr="00000849">
        <w:rPr>
          <w:sz w:val="24"/>
        </w:rPr>
        <w:t xml:space="preserve">e parameter estimates </w:t>
      </w:r>
      <w:r w:rsidR="002A067D" w:rsidRPr="00000849">
        <w:rPr>
          <w:sz w:val="24"/>
        </w:rPr>
        <w:t>for the covariates are discussed for the two-level model without the household grouping</w:t>
      </w:r>
      <w:r w:rsidR="002508CE" w:rsidRPr="00000849">
        <w:rPr>
          <w:sz w:val="24"/>
        </w:rPr>
        <w:t xml:space="preserve"> </w:t>
      </w:r>
      <w:r w:rsidR="002508CE" w:rsidRPr="00000849">
        <w:rPr>
          <w:rStyle w:val="hscoswrapper"/>
          <w:sz w:val="24"/>
        </w:rPr>
        <w:t>(Table 5.6)</w:t>
      </w:r>
      <w:r w:rsidR="002A067D" w:rsidRPr="00000849">
        <w:rPr>
          <w:sz w:val="24"/>
        </w:rPr>
        <w:t xml:space="preserve">.  Nonetheless, they </w:t>
      </w:r>
      <w:r w:rsidR="00147A02" w:rsidRPr="00000849">
        <w:rPr>
          <w:sz w:val="24"/>
        </w:rPr>
        <w:t xml:space="preserve">were similar in magnitude and direction between the two-level and three-level models.  </w:t>
      </w:r>
    </w:p>
    <w:p w14:paraId="043C8331" w14:textId="33D76620" w:rsidR="00B80194" w:rsidRPr="00000849" w:rsidRDefault="007A053A" w:rsidP="00143B7E">
      <w:pPr>
        <w:spacing w:after="0" w:line="480" w:lineRule="auto"/>
        <w:ind w:firstLine="567"/>
        <w:jc w:val="both"/>
        <w:rPr>
          <w:rFonts w:cstheme="minorHAnsi"/>
          <w:color w:val="383838"/>
        </w:rPr>
      </w:pPr>
      <w:r w:rsidRPr="00000849">
        <w:rPr>
          <w:sz w:val="24"/>
          <w:szCs w:val="24"/>
        </w:rPr>
        <w:lastRenderedPageBreak/>
        <w:t xml:space="preserve">From the intra-class correlation coefficient, </w:t>
      </w:r>
      <w:r w:rsidR="00B80194" w:rsidRPr="00000849">
        <w:rPr>
          <w:rFonts w:cstheme="minorHAnsi"/>
          <w:color w:val="383838"/>
          <w:sz w:val="24"/>
          <w:szCs w:val="24"/>
        </w:rPr>
        <w:t>35.</w:t>
      </w:r>
      <w:r w:rsidR="00941CDC" w:rsidRPr="00000849">
        <w:rPr>
          <w:rFonts w:cstheme="minorHAnsi"/>
          <w:color w:val="383838"/>
          <w:sz w:val="24"/>
          <w:szCs w:val="24"/>
        </w:rPr>
        <w:t>3</w:t>
      </w:r>
      <w:r w:rsidR="00B80194" w:rsidRPr="00000849">
        <w:rPr>
          <w:rFonts w:cstheme="minorHAnsi"/>
          <w:color w:val="383838"/>
          <w:sz w:val="24"/>
          <w:szCs w:val="24"/>
        </w:rPr>
        <w:t xml:space="preserve">% of the </w:t>
      </w:r>
      <w:r w:rsidR="002508CE" w:rsidRPr="00000849">
        <w:rPr>
          <w:rFonts w:cstheme="minorHAnsi"/>
          <w:color w:val="383838"/>
          <w:sz w:val="24"/>
          <w:szCs w:val="24"/>
        </w:rPr>
        <w:t xml:space="preserve">prevalence of </w:t>
      </w:r>
      <w:r w:rsidR="00B80194" w:rsidRPr="00000849">
        <w:rPr>
          <w:rFonts w:cstheme="minorHAnsi"/>
          <w:color w:val="383838"/>
          <w:sz w:val="24"/>
          <w:szCs w:val="24"/>
        </w:rPr>
        <w:t>hypertension</w:t>
      </w:r>
      <w:r w:rsidR="000A60A5" w:rsidRPr="00000849">
        <w:rPr>
          <w:rFonts w:cstheme="minorHAnsi"/>
          <w:color w:val="383838"/>
          <w:sz w:val="24"/>
          <w:szCs w:val="24"/>
        </w:rPr>
        <w:t xml:space="preserve"> </w:t>
      </w:r>
      <w:r w:rsidR="00514F26">
        <w:rPr>
          <w:rFonts w:cstheme="minorHAnsi"/>
          <w:color w:val="383838"/>
          <w:sz w:val="24"/>
          <w:szCs w:val="24"/>
        </w:rPr>
        <w:t xml:space="preserve">estimations </w:t>
      </w:r>
      <w:r w:rsidR="002508CE" w:rsidRPr="00000849">
        <w:rPr>
          <w:rFonts w:cstheme="minorHAnsi"/>
          <w:color w:val="383838"/>
          <w:sz w:val="24"/>
          <w:szCs w:val="24"/>
        </w:rPr>
        <w:t>in the same individual in the two waves were correlated</w:t>
      </w:r>
      <w:r w:rsidR="00B80194" w:rsidRPr="00000849">
        <w:rPr>
          <w:rFonts w:cstheme="minorHAnsi"/>
          <w:color w:val="383838"/>
          <w:sz w:val="24"/>
          <w:szCs w:val="24"/>
        </w:rPr>
        <w:t xml:space="preserve">, </w:t>
      </w:r>
      <w:r w:rsidR="002508CE" w:rsidRPr="00000849">
        <w:rPr>
          <w:rFonts w:cstheme="minorHAnsi"/>
          <w:color w:val="383838"/>
          <w:sz w:val="24"/>
          <w:szCs w:val="24"/>
        </w:rPr>
        <w:t xml:space="preserve">after taking the covariates </w:t>
      </w:r>
      <w:r w:rsidR="00B80194" w:rsidRPr="00000849">
        <w:rPr>
          <w:rFonts w:cstheme="minorHAnsi"/>
          <w:color w:val="383838"/>
          <w:sz w:val="24"/>
          <w:szCs w:val="24"/>
        </w:rPr>
        <w:t>included the model</w:t>
      </w:r>
      <w:r w:rsidR="002508CE" w:rsidRPr="00000849">
        <w:rPr>
          <w:rFonts w:cstheme="minorHAnsi"/>
          <w:color w:val="383838"/>
          <w:sz w:val="24"/>
          <w:szCs w:val="24"/>
        </w:rPr>
        <w:t xml:space="preserve"> into account</w:t>
      </w:r>
      <w:r w:rsidR="00B80194" w:rsidRPr="00000849">
        <w:rPr>
          <w:rFonts w:cstheme="minorHAnsi"/>
          <w:color w:val="383838"/>
          <w:sz w:val="24"/>
          <w:szCs w:val="24"/>
        </w:rPr>
        <w:t xml:space="preserve">. </w:t>
      </w:r>
      <w:r w:rsidR="002508CE" w:rsidRPr="00000849">
        <w:rPr>
          <w:rFonts w:cstheme="minorHAnsi"/>
          <w:color w:val="383838"/>
          <w:sz w:val="24"/>
          <w:szCs w:val="24"/>
        </w:rPr>
        <w:t xml:space="preserve"> </w:t>
      </w:r>
    </w:p>
    <w:p w14:paraId="2904866A" w14:textId="1D01174C" w:rsidR="00B80194" w:rsidRPr="00000849" w:rsidRDefault="00B80194" w:rsidP="00F06E28">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major variables that were significantly associated with hypertension in the </w:t>
      </w:r>
      <w:r w:rsidR="00210C7B" w:rsidRPr="00000849">
        <w:rPr>
          <w:rFonts w:asciiTheme="minorHAnsi" w:hAnsiTheme="minorHAnsi" w:cstheme="minorHAnsi"/>
          <w:color w:val="383838"/>
        </w:rPr>
        <w:t>longitudinal data analyses</w:t>
      </w:r>
      <w:r w:rsidRPr="00000849">
        <w:rPr>
          <w:rFonts w:asciiTheme="minorHAnsi" w:hAnsiTheme="minorHAnsi" w:cstheme="minorHAnsi"/>
          <w:color w:val="383838"/>
        </w:rPr>
        <w:t xml:space="preserve"> were residence in the GAR and overweight/obesity with adjusted odds ratios of 2.2-</w:t>
      </w:r>
      <w:r w:rsidR="00EE01E0" w:rsidRPr="00000849">
        <w:rPr>
          <w:rFonts w:asciiTheme="minorHAnsi" w:hAnsiTheme="minorHAnsi" w:cstheme="minorHAnsi"/>
          <w:color w:val="383838"/>
        </w:rPr>
        <w:t>2</w:t>
      </w:r>
      <w:r w:rsidRPr="00000849">
        <w:rPr>
          <w:rFonts w:asciiTheme="minorHAnsi" w:hAnsiTheme="minorHAnsi" w:cstheme="minorHAnsi"/>
          <w:color w:val="383838"/>
        </w:rPr>
        <w:t>.</w:t>
      </w:r>
      <w:r w:rsidR="00EE01E0" w:rsidRPr="00000849">
        <w:rPr>
          <w:rFonts w:asciiTheme="minorHAnsi" w:hAnsiTheme="minorHAnsi" w:cstheme="minorHAnsi"/>
          <w:color w:val="383838"/>
        </w:rPr>
        <w:t>9</w:t>
      </w:r>
      <w:r w:rsidRPr="00000849">
        <w:rPr>
          <w:rFonts w:asciiTheme="minorHAnsi" w:hAnsiTheme="minorHAnsi" w:cstheme="minorHAnsi"/>
          <w:color w:val="383838"/>
        </w:rPr>
        <w:t xml:space="preserve"> (</w:t>
      </w:r>
      <w:r w:rsidR="00594F20" w:rsidRPr="00000849">
        <w:rPr>
          <w:rFonts w:asciiTheme="minorHAnsi" w:hAnsiTheme="minorHAnsi" w:cstheme="minorHAnsi"/>
          <w:color w:val="383838"/>
        </w:rPr>
        <w:t xml:space="preserve">Table </w:t>
      </w:r>
      <w:r w:rsidR="002006AA" w:rsidRPr="00000849">
        <w:rPr>
          <w:rFonts w:asciiTheme="minorHAnsi" w:hAnsiTheme="minorHAnsi" w:cstheme="minorHAnsi"/>
          <w:color w:val="383838"/>
        </w:rPr>
        <w:t>5.</w:t>
      </w:r>
      <w:r w:rsidR="000A5121" w:rsidRPr="00000849">
        <w:rPr>
          <w:rFonts w:asciiTheme="minorHAnsi" w:hAnsiTheme="minorHAnsi" w:cstheme="minorHAnsi"/>
          <w:color w:val="383838"/>
        </w:rPr>
        <w:t>6</w:t>
      </w:r>
      <w:r w:rsidRPr="00000849">
        <w:rPr>
          <w:rFonts w:asciiTheme="minorHAnsi" w:hAnsiTheme="minorHAnsi" w:cstheme="minorHAnsi"/>
          <w:color w:val="383838"/>
        </w:rPr>
        <w:t xml:space="preserve">).  Other </w:t>
      </w:r>
      <w:r w:rsidR="009110D2" w:rsidRPr="00000849">
        <w:rPr>
          <w:rFonts w:asciiTheme="minorHAnsi" w:hAnsiTheme="minorHAnsi" w:cstheme="minorHAnsi"/>
          <w:color w:val="383838"/>
        </w:rPr>
        <w:t>positive predictors</w:t>
      </w:r>
      <w:r w:rsidRPr="00000849">
        <w:rPr>
          <w:rFonts w:asciiTheme="minorHAnsi" w:hAnsiTheme="minorHAnsi" w:cstheme="minorHAnsi"/>
          <w:color w:val="383838"/>
        </w:rPr>
        <w:t xml:space="preserve"> of hypertension were older age group, urban residence, not being currently married, and being a </w:t>
      </w:r>
      <w:r w:rsidR="00BA200A" w:rsidRPr="00000849">
        <w:rPr>
          <w:rFonts w:asciiTheme="minorHAnsi" w:hAnsiTheme="minorHAnsi" w:cstheme="minorHAnsi"/>
          <w:color w:val="383838"/>
        </w:rPr>
        <w:t>Muslim</w:t>
      </w:r>
      <w:r w:rsidRPr="00000849">
        <w:rPr>
          <w:rFonts w:asciiTheme="minorHAnsi" w:hAnsiTheme="minorHAnsi" w:cstheme="minorHAnsi"/>
          <w:color w:val="383838"/>
        </w:rPr>
        <w:t xml:space="preserve">.  As in the previous models, a history of having worked for at least two days in the past seven days, was associated with lower odds of having hypertension.  Other </w:t>
      </w:r>
      <w:r w:rsidR="00F160E4" w:rsidRPr="00000849">
        <w:rPr>
          <w:rFonts w:asciiTheme="minorHAnsi" w:hAnsiTheme="minorHAnsi" w:cstheme="minorHAnsi"/>
          <w:color w:val="383838"/>
        </w:rPr>
        <w:t xml:space="preserve">negative predictors </w:t>
      </w:r>
      <w:r w:rsidRPr="00000849">
        <w:rPr>
          <w:rFonts w:asciiTheme="minorHAnsi" w:hAnsiTheme="minorHAnsi" w:cstheme="minorHAnsi"/>
          <w:color w:val="383838"/>
        </w:rPr>
        <w:t xml:space="preserve">of hypertension were belonging to other ethnicities and participating in the second wave of the study.  </w:t>
      </w:r>
      <w:r w:rsidR="005F7FEB" w:rsidRPr="00000849">
        <w:rPr>
          <w:rFonts w:asciiTheme="minorHAnsi" w:hAnsiTheme="minorHAnsi" w:cstheme="minorHAnsi"/>
          <w:color w:val="383838"/>
        </w:rPr>
        <w:t xml:space="preserve">Participating in study Wave 2 was associated with </w:t>
      </w:r>
      <w:r w:rsidRPr="00000849">
        <w:rPr>
          <w:rFonts w:asciiTheme="minorHAnsi" w:hAnsiTheme="minorHAnsi" w:cstheme="minorHAnsi"/>
          <w:color w:val="383838"/>
        </w:rPr>
        <w:t>72%</w:t>
      </w:r>
      <w:r w:rsidR="00EE01E0" w:rsidRPr="00000849">
        <w:rPr>
          <w:rFonts w:asciiTheme="minorHAnsi" w:hAnsiTheme="minorHAnsi" w:cstheme="minorHAnsi"/>
          <w:color w:val="383838"/>
        </w:rPr>
        <w:t>-</w:t>
      </w:r>
      <w:r w:rsidRPr="00000849">
        <w:rPr>
          <w:rFonts w:asciiTheme="minorHAnsi" w:hAnsiTheme="minorHAnsi" w:cstheme="minorHAnsi"/>
          <w:color w:val="383838"/>
        </w:rPr>
        <w:t>lower odds of hypertension than th</w:t>
      </w:r>
      <w:r w:rsidR="005F7FEB" w:rsidRPr="00000849">
        <w:rPr>
          <w:rFonts w:asciiTheme="minorHAnsi" w:hAnsiTheme="minorHAnsi" w:cstheme="minorHAnsi"/>
          <w:color w:val="383838"/>
        </w:rPr>
        <w:t>e odds associated with participating</w:t>
      </w:r>
      <w:r w:rsidRPr="00000849">
        <w:rPr>
          <w:rFonts w:asciiTheme="minorHAnsi" w:hAnsiTheme="minorHAnsi" w:cstheme="minorHAnsi"/>
          <w:color w:val="383838"/>
        </w:rPr>
        <w:t xml:space="preserve"> in </w:t>
      </w:r>
      <w:r w:rsidR="00AA0A34" w:rsidRPr="00000849">
        <w:rPr>
          <w:rFonts w:asciiTheme="minorHAnsi" w:hAnsiTheme="minorHAnsi" w:cstheme="minorHAnsi"/>
          <w:color w:val="383838"/>
        </w:rPr>
        <w:t>Wave 1</w:t>
      </w:r>
      <w:r w:rsidR="00EE01E0" w:rsidRPr="00000849">
        <w:rPr>
          <w:rFonts w:asciiTheme="minorHAnsi" w:hAnsiTheme="minorHAnsi" w:cstheme="minorHAnsi"/>
          <w:color w:val="383838"/>
        </w:rPr>
        <w:t>, after taking into account the co-variates in the model</w:t>
      </w:r>
      <w:r w:rsidRPr="00000849">
        <w:rPr>
          <w:rFonts w:asciiTheme="minorHAnsi" w:hAnsiTheme="minorHAnsi" w:cstheme="minorHAnsi"/>
          <w:color w:val="383838"/>
        </w:rPr>
        <w:t xml:space="preserve">.  Variables such as wealth quintiles, smoking, alcohol consumption and fruit intake </w:t>
      </w:r>
      <w:r w:rsidR="005F7FEB" w:rsidRPr="00000849">
        <w:rPr>
          <w:rFonts w:asciiTheme="minorHAnsi" w:hAnsiTheme="minorHAnsi" w:cstheme="minorHAnsi"/>
          <w:color w:val="383838"/>
        </w:rPr>
        <w:t xml:space="preserve">were not </w:t>
      </w:r>
      <w:r w:rsidRPr="00000849">
        <w:rPr>
          <w:rFonts w:asciiTheme="minorHAnsi" w:hAnsiTheme="minorHAnsi" w:cstheme="minorHAnsi"/>
          <w:color w:val="383838"/>
        </w:rPr>
        <w:t>significan</w:t>
      </w:r>
      <w:r w:rsidR="00F160E4" w:rsidRPr="00000849">
        <w:rPr>
          <w:rFonts w:asciiTheme="minorHAnsi" w:hAnsiTheme="minorHAnsi" w:cstheme="minorHAnsi"/>
          <w:color w:val="383838"/>
        </w:rPr>
        <w:t>t</w:t>
      </w:r>
      <w:r w:rsidR="005F7FEB" w:rsidRPr="00000849">
        <w:rPr>
          <w:rFonts w:asciiTheme="minorHAnsi" w:hAnsiTheme="minorHAnsi" w:cstheme="minorHAnsi"/>
          <w:color w:val="383838"/>
        </w:rPr>
        <w:t>ly</w:t>
      </w:r>
      <w:r w:rsidR="00F160E4" w:rsidRPr="00000849">
        <w:rPr>
          <w:rFonts w:asciiTheme="minorHAnsi" w:hAnsiTheme="minorHAnsi" w:cstheme="minorHAnsi"/>
          <w:color w:val="383838"/>
        </w:rPr>
        <w:t xml:space="preserve"> associat</w:t>
      </w:r>
      <w:r w:rsidR="005F7FEB" w:rsidRPr="00000849">
        <w:rPr>
          <w:rFonts w:asciiTheme="minorHAnsi" w:hAnsiTheme="minorHAnsi" w:cstheme="minorHAnsi"/>
          <w:color w:val="383838"/>
        </w:rPr>
        <w:t>ed</w:t>
      </w:r>
      <w:r w:rsidR="00F160E4" w:rsidRPr="00000849">
        <w:rPr>
          <w:rFonts w:asciiTheme="minorHAnsi" w:hAnsiTheme="minorHAnsi" w:cstheme="minorHAnsi"/>
          <w:color w:val="383838"/>
        </w:rPr>
        <w:t xml:space="preserve"> with hypertension </w:t>
      </w:r>
      <w:r w:rsidR="00EE01E0" w:rsidRPr="00000849">
        <w:rPr>
          <w:rFonts w:asciiTheme="minorHAnsi" w:hAnsiTheme="minorHAnsi" w:cstheme="minorHAnsi"/>
          <w:color w:val="383838"/>
        </w:rPr>
        <w:t xml:space="preserve">over time </w:t>
      </w:r>
      <w:r w:rsidRPr="00000849">
        <w:rPr>
          <w:rFonts w:asciiTheme="minorHAnsi" w:hAnsiTheme="minorHAnsi" w:cstheme="minorHAnsi"/>
          <w:color w:val="383838"/>
        </w:rPr>
        <w:t>in the model.</w:t>
      </w:r>
    </w:p>
    <w:p w14:paraId="451410A4" w14:textId="77777777" w:rsidR="00276928" w:rsidRPr="00000849" w:rsidRDefault="00276928" w:rsidP="00F06E28">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4A372C8C" w14:textId="7631E663" w:rsidR="00DB4AF4" w:rsidRPr="00000849" w:rsidRDefault="00D10525" w:rsidP="00B448FE">
      <w:pPr>
        <w:pStyle w:val="Caption"/>
        <w:rPr>
          <w:rFonts w:cstheme="minorHAnsi"/>
          <w:color w:val="383838"/>
          <w:lang w:val="en-US"/>
        </w:rPr>
      </w:pPr>
      <w:bookmarkStart w:id="100" w:name="_Toc71153634"/>
      <w:r w:rsidRPr="00000849">
        <w:t>Table 5.</w:t>
      </w:r>
      <w:fldSimple w:instr=" SEQ Table_5. \* ARABIC ">
        <w:r w:rsidR="00C0100F">
          <w:rPr>
            <w:noProof/>
          </w:rPr>
          <w:t>6</w:t>
        </w:r>
      </w:fldSimple>
      <w:r w:rsidR="00DB4AF4" w:rsidRPr="00000849">
        <w:t>:</w:t>
      </w:r>
      <w:r w:rsidRPr="00000849">
        <w:tab/>
      </w:r>
      <w:r w:rsidR="00DB4AF4" w:rsidRPr="00000849">
        <w:t xml:space="preserve"> </w:t>
      </w:r>
      <w:r w:rsidR="00147A02" w:rsidRPr="00000849">
        <w:t>Mixed effects</w:t>
      </w:r>
      <w:r w:rsidR="00DB4AF4" w:rsidRPr="00000849">
        <w:t xml:space="preserve"> </w:t>
      </w:r>
      <w:r w:rsidR="0062672D" w:rsidRPr="00000849">
        <w:t xml:space="preserve">longitudinal </w:t>
      </w:r>
      <w:r w:rsidR="00DB4AF4" w:rsidRPr="00000849">
        <w:t xml:space="preserve">analyses of </w:t>
      </w:r>
      <w:r w:rsidR="0062672D" w:rsidRPr="00000849">
        <w:t xml:space="preserve">determinants of </w:t>
      </w:r>
      <w:r w:rsidR="00DB4AF4" w:rsidRPr="00000849">
        <w:t xml:space="preserve">hypertension </w:t>
      </w:r>
      <w:r w:rsidR="0062672D" w:rsidRPr="00000849">
        <w:t xml:space="preserve">over the period of </w:t>
      </w:r>
      <w:r w:rsidR="00DB4AF4" w:rsidRPr="00000849">
        <w:t>study wave</w:t>
      </w:r>
      <w:r w:rsidR="0062672D" w:rsidRPr="00000849">
        <w:t>s</w:t>
      </w:r>
      <w:r w:rsidR="00DB4AF4" w:rsidRPr="00000849">
        <w:t xml:space="preserve"> 1</w:t>
      </w:r>
      <w:r w:rsidR="0062672D" w:rsidRPr="00000849">
        <w:t xml:space="preserve"> and </w:t>
      </w:r>
      <w:r w:rsidR="00DB4AF4" w:rsidRPr="00000849">
        <w:t>2</w:t>
      </w:r>
      <w:r w:rsidR="0062672D" w:rsidRPr="00000849">
        <w:t>, 2007-2015</w:t>
      </w:r>
      <w:bookmarkEnd w:id="100"/>
    </w:p>
    <w:tbl>
      <w:tblPr>
        <w:tblW w:w="5000" w:type="pct"/>
        <w:tblLook w:val="04A0" w:firstRow="1" w:lastRow="0" w:firstColumn="1" w:lastColumn="0" w:noHBand="0" w:noVBand="1"/>
      </w:tblPr>
      <w:tblGrid>
        <w:gridCol w:w="4945"/>
        <w:gridCol w:w="3366"/>
      </w:tblGrid>
      <w:tr w:rsidR="004535A3" w:rsidRPr="00000849" w14:paraId="41B1D0AE" w14:textId="77777777" w:rsidTr="00920AA1">
        <w:trPr>
          <w:trHeight w:val="588"/>
          <w:tblHeader/>
        </w:trPr>
        <w:tc>
          <w:tcPr>
            <w:tcW w:w="2975" w:type="pct"/>
            <w:tcBorders>
              <w:top w:val="single" w:sz="8" w:space="0" w:color="auto"/>
              <w:left w:val="nil"/>
              <w:bottom w:val="single" w:sz="8" w:space="0" w:color="000000"/>
              <w:right w:val="single" w:sz="8" w:space="0" w:color="auto"/>
            </w:tcBorders>
            <w:vAlign w:val="center"/>
            <w:hideMark/>
          </w:tcPr>
          <w:p w14:paraId="29DA786B" w14:textId="5F13EDA9" w:rsidR="004535A3" w:rsidRPr="00000849" w:rsidRDefault="00514F26" w:rsidP="00920AA1">
            <w:pPr>
              <w:spacing w:after="0" w:line="240" w:lineRule="auto"/>
              <w:rPr>
                <w:rFonts w:ascii="Calibri" w:eastAsia="Times New Roman" w:hAnsi="Calibri" w:cs="Calibri"/>
                <w:b/>
                <w:bCs/>
                <w:color w:val="000000"/>
                <w:sz w:val="18"/>
                <w:szCs w:val="18"/>
                <w:lang w:val="en-US"/>
              </w:rPr>
            </w:pPr>
            <w:r>
              <w:rPr>
                <w:rFonts w:ascii="Calibri" w:eastAsia="Times New Roman" w:hAnsi="Calibri" w:cs="Calibri"/>
                <w:b/>
                <w:bCs/>
                <w:color w:val="000000"/>
                <w:sz w:val="18"/>
                <w:szCs w:val="18"/>
                <w:lang w:val="en-US"/>
              </w:rPr>
              <w:t>Variable</w:t>
            </w:r>
          </w:p>
        </w:tc>
        <w:tc>
          <w:tcPr>
            <w:tcW w:w="2025" w:type="pct"/>
            <w:tcBorders>
              <w:top w:val="single" w:sz="8" w:space="0" w:color="auto"/>
              <w:left w:val="single" w:sz="8" w:space="0" w:color="auto"/>
              <w:bottom w:val="single" w:sz="8" w:space="0" w:color="auto"/>
            </w:tcBorders>
            <w:shd w:val="clear" w:color="auto" w:fill="auto"/>
            <w:vAlign w:val="center"/>
            <w:hideMark/>
          </w:tcPr>
          <w:p w14:paraId="3D4A5A91" w14:textId="77777777" w:rsidR="004535A3" w:rsidRPr="00000849" w:rsidRDefault="004535A3" w:rsidP="00920AA1">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OR (95% CI)</w:t>
            </w:r>
          </w:p>
        </w:tc>
      </w:tr>
      <w:tr w:rsidR="004535A3" w:rsidRPr="00000849" w14:paraId="3294E1C2" w14:textId="77777777" w:rsidTr="00920AA1">
        <w:trPr>
          <w:trHeight w:val="295"/>
        </w:trPr>
        <w:tc>
          <w:tcPr>
            <w:tcW w:w="2975" w:type="pct"/>
            <w:tcBorders>
              <w:top w:val="nil"/>
              <w:left w:val="nil"/>
              <w:bottom w:val="nil"/>
              <w:right w:val="single" w:sz="8" w:space="0" w:color="auto"/>
            </w:tcBorders>
            <w:shd w:val="clear" w:color="auto" w:fill="auto"/>
            <w:vAlign w:val="center"/>
            <w:hideMark/>
          </w:tcPr>
          <w:p w14:paraId="5D9F6A2B"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Sex of respondent</w:t>
            </w:r>
          </w:p>
        </w:tc>
        <w:tc>
          <w:tcPr>
            <w:tcW w:w="2025" w:type="pct"/>
            <w:tcBorders>
              <w:top w:val="single" w:sz="8" w:space="0" w:color="auto"/>
              <w:left w:val="nil"/>
              <w:bottom w:val="nil"/>
              <w:right w:val="nil"/>
            </w:tcBorders>
            <w:shd w:val="clear" w:color="auto" w:fill="auto"/>
            <w:noWrap/>
            <w:vAlign w:val="bottom"/>
            <w:hideMark/>
          </w:tcPr>
          <w:p w14:paraId="47B8CDFC"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77AE39D9" w14:textId="77777777" w:rsidTr="00000849">
        <w:trPr>
          <w:trHeight w:val="295"/>
        </w:trPr>
        <w:tc>
          <w:tcPr>
            <w:tcW w:w="2975" w:type="pct"/>
            <w:tcBorders>
              <w:top w:val="nil"/>
              <w:left w:val="nil"/>
              <w:bottom w:val="nil"/>
              <w:right w:val="single" w:sz="8" w:space="0" w:color="auto"/>
            </w:tcBorders>
            <w:shd w:val="clear" w:color="auto" w:fill="auto"/>
            <w:noWrap/>
            <w:vAlign w:val="center"/>
            <w:hideMark/>
          </w:tcPr>
          <w:p w14:paraId="14A5A054"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Males</w:t>
            </w:r>
          </w:p>
        </w:tc>
        <w:tc>
          <w:tcPr>
            <w:tcW w:w="2025" w:type="pct"/>
            <w:tcBorders>
              <w:top w:val="nil"/>
              <w:left w:val="nil"/>
              <w:bottom w:val="nil"/>
              <w:right w:val="nil"/>
            </w:tcBorders>
            <w:shd w:val="clear" w:color="auto" w:fill="auto"/>
            <w:vAlign w:val="center"/>
            <w:hideMark/>
          </w:tcPr>
          <w:p w14:paraId="3104699E"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0B374B0B" w14:textId="77777777" w:rsidTr="00000849">
        <w:trPr>
          <w:trHeight w:val="295"/>
        </w:trPr>
        <w:tc>
          <w:tcPr>
            <w:tcW w:w="2975" w:type="pct"/>
            <w:tcBorders>
              <w:top w:val="nil"/>
              <w:left w:val="nil"/>
              <w:bottom w:val="nil"/>
              <w:right w:val="single" w:sz="8" w:space="0" w:color="auto"/>
            </w:tcBorders>
            <w:shd w:val="clear" w:color="auto" w:fill="auto"/>
            <w:noWrap/>
            <w:vAlign w:val="center"/>
            <w:hideMark/>
          </w:tcPr>
          <w:p w14:paraId="71EE2C8B"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Females</w:t>
            </w:r>
          </w:p>
        </w:tc>
        <w:tc>
          <w:tcPr>
            <w:tcW w:w="2025" w:type="pct"/>
            <w:tcBorders>
              <w:top w:val="nil"/>
              <w:left w:val="nil"/>
              <w:bottom w:val="nil"/>
              <w:right w:val="nil"/>
            </w:tcBorders>
            <w:shd w:val="clear" w:color="auto" w:fill="auto"/>
            <w:vAlign w:val="center"/>
            <w:hideMark/>
          </w:tcPr>
          <w:p w14:paraId="592FD44B"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0.88 (0.73-1.06)</w:t>
            </w:r>
          </w:p>
        </w:tc>
      </w:tr>
      <w:tr w:rsidR="004535A3" w:rsidRPr="00000849" w14:paraId="2859240C"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63469AB8"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Age groups</w:t>
            </w:r>
          </w:p>
        </w:tc>
        <w:tc>
          <w:tcPr>
            <w:tcW w:w="2025" w:type="pct"/>
            <w:tcBorders>
              <w:top w:val="nil"/>
              <w:left w:val="nil"/>
              <w:bottom w:val="nil"/>
              <w:right w:val="nil"/>
            </w:tcBorders>
            <w:shd w:val="clear" w:color="auto" w:fill="auto"/>
            <w:noWrap/>
            <w:vAlign w:val="bottom"/>
            <w:hideMark/>
          </w:tcPr>
          <w:p w14:paraId="26AA67C0"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37BCAA3F" w14:textId="77777777" w:rsidTr="00000849">
        <w:trPr>
          <w:trHeight w:val="295"/>
        </w:trPr>
        <w:tc>
          <w:tcPr>
            <w:tcW w:w="2975" w:type="pct"/>
            <w:tcBorders>
              <w:top w:val="nil"/>
              <w:left w:val="nil"/>
              <w:bottom w:val="nil"/>
              <w:right w:val="single" w:sz="8" w:space="0" w:color="auto"/>
            </w:tcBorders>
            <w:shd w:val="clear" w:color="auto" w:fill="auto"/>
            <w:noWrap/>
            <w:vAlign w:val="center"/>
            <w:hideMark/>
          </w:tcPr>
          <w:p w14:paraId="7EC8B5B3"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50 - 64</w:t>
            </w:r>
          </w:p>
        </w:tc>
        <w:tc>
          <w:tcPr>
            <w:tcW w:w="2025" w:type="pct"/>
            <w:tcBorders>
              <w:top w:val="nil"/>
              <w:left w:val="nil"/>
              <w:bottom w:val="nil"/>
              <w:right w:val="nil"/>
            </w:tcBorders>
            <w:shd w:val="clear" w:color="auto" w:fill="auto"/>
            <w:vAlign w:val="center"/>
            <w:hideMark/>
          </w:tcPr>
          <w:p w14:paraId="74EF8FF5"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761E0662" w14:textId="77777777" w:rsidTr="00000849">
        <w:trPr>
          <w:trHeight w:val="490"/>
        </w:trPr>
        <w:tc>
          <w:tcPr>
            <w:tcW w:w="2975" w:type="pct"/>
            <w:tcBorders>
              <w:top w:val="nil"/>
              <w:left w:val="nil"/>
              <w:bottom w:val="nil"/>
              <w:right w:val="single" w:sz="8" w:space="0" w:color="auto"/>
            </w:tcBorders>
            <w:shd w:val="clear" w:color="auto" w:fill="auto"/>
            <w:noWrap/>
            <w:vAlign w:val="center"/>
            <w:hideMark/>
          </w:tcPr>
          <w:p w14:paraId="5BDC10D8"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65 - 74</w:t>
            </w:r>
          </w:p>
        </w:tc>
        <w:tc>
          <w:tcPr>
            <w:tcW w:w="2025" w:type="pct"/>
            <w:tcBorders>
              <w:top w:val="nil"/>
              <w:left w:val="nil"/>
              <w:bottom w:val="nil"/>
              <w:right w:val="nil"/>
            </w:tcBorders>
            <w:shd w:val="clear" w:color="auto" w:fill="auto"/>
            <w:vAlign w:val="center"/>
            <w:hideMark/>
          </w:tcPr>
          <w:p w14:paraId="247F2622"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1.35*** (1.14-1.60)</w:t>
            </w:r>
          </w:p>
        </w:tc>
      </w:tr>
      <w:tr w:rsidR="004535A3" w:rsidRPr="00000849" w14:paraId="6ED87929" w14:textId="77777777" w:rsidTr="00000849">
        <w:trPr>
          <w:trHeight w:val="295"/>
        </w:trPr>
        <w:tc>
          <w:tcPr>
            <w:tcW w:w="2975" w:type="pct"/>
            <w:tcBorders>
              <w:top w:val="nil"/>
              <w:left w:val="nil"/>
              <w:bottom w:val="nil"/>
              <w:right w:val="single" w:sz="8" w:space="0" w:color="auto"/>
            </w:tcBorders>
            <w:shd w:val="clear" w:color="auto" w:fill="auto"/>
            <w:noWrap/>
            <w:vAlign w:val="center"/>
            <w:hideMark/>
          </w:tcPr>
          <w:p w14:paraId="78E7CDD7"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75-plus</w:t>
            </w:r>
          </w:p>
        </w:tc>
        <w:tc>
          <w:tcPr>
            <w:tcW w:w="2025" w:type="pct"/>
            <w:tcBorders>
              <w:top w:val="nil"/>
              <w:left w:val="nil"/>
              <w:bottom w:val="nil"/>
              <w:right w:val="nil"/>
            </w:tcBorders>
            <w:shd w:val="clear" w:color="auto" w:fill="auto"/>
            <w:vAlign w:val="center"/>
            <w:hideMark/>
          </w:tcPr>
          <w:p w14:paraId="6FD0B534"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1.24 (1.00-1.55)</w:t>
            </w:r>
          </w:p>
        </w:tc>
      </w:tr>
      <w:tr w:rsidR="004535A3" w:rsidRPr="00000849" w14:paraId="651A960D"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01ACFE74"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Type of residence</w:t>
            </w:r>
          </w:p>
        </w:tc>
        <w:tc>
          <w:tcPr>
            <w:tcW w:w="2025" w:type="pct"/>
            <w:tcBorders>
              <w:top w:val="nil"/>
              <w:left w:val="nil"/>
              <w:bottom w:val="nil"/>
              <w:right w:val="nil"/>
            </w:tcBorders>
            <w:shd w:val="clear" w:color="auto" w:fill="auto"/>
            <w:noWrap/>
            <w:vAlign w:val="bottom"/>
            <w:hideMark/>
          </w:tcPr>
          <w:p w14:paraId="64AA52A0"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2D248E6C" w14:textId="77777777" w:rsidTr="00000849">
        <w:trPr>
          <w:trHeight w:val="295"/>
        </w:trPr>
        <w:tc>
          <w:tcPr>
            <w:tcW w:w="2975" w:type="pct"/>
            <w:tcBorders>
              <w:top w:val="nil"/>
              <w:left w:val="nil"/>
              <w:bottom w:val="nil"/>
              <w:right w:val="single" w:sz="8" w:space="0" w:color="auto"/>
            </w:tcBorders>
            <w:shd w:val="clear" w:color="auto" w:fill="auto"/>
            <w:noWrap/>
            <w:vAlign w:val="center"/>
            <w:hideMark/>
          </w:tcPr>
          <w:p w14:paraId="47FB55A7"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Rural</w:t>
            </w:r>
          </w:p>
        </w:tc>
        <w:tc>
          <w:tcPr>
            <w:tcW w:w="2025" w:type="pct"/>
            <w:tcBorders>
              <w:top w:val="nil"/>
              <w:left w:val="nil"/>
              <w:bottom w:val="nil"/>
              <w:right w:val="nil"/>
            </w:tcBorders>
            <w:shd w:val="clear" w:color="auto" w:fill="auto"/>
            <w:vAlign w:val="center"/>
            <w:hideMark/>
          </w:tcPr>
          <w:p w14:paraId="1011B4D9"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0AA57395" w14:textId="77777777" w:rsidTr="00000849">
        <w:trPr>
          <w:trHeight w:val="490"/>
        </w:trPr>
        <w:tc>
          <w:tcPr>
            <w:tcW w:w="2975" w:type="pct"/>
            <w:tcBorders>
              <w:top w:val="nil"/>
              <w:left w:val="nil"/>
              <w:bottom w:val="nil"/>
              <w:right w:val="single" w:sz="8" w:space="0" w:color="auto"/>
            </w:tcBorders>
            <w:shd w:val="clear" w:color="auto" w:fill="auto"/>
            <w:noWrap/>
            <w:vAlign w:val="center"/>
            <w:hideMark/>
          </w:tcPr>
          <w:p w14:paraId="6E78A0DF"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lastRenderedPageBreak/>
              <w:t>Urban</w:t>
            </w:r>
          </w:p>
        </w:tc>
        <w:tc>
          <w:tcPr>
            <w:tcW w:w="2025" w:type="pct"/>
            <w:tcBorders>
              <w:top w:val="nil"/>
              <w:left w:val="nil"/>
              <w:bottom w:val="nil"/>
              <w:right w:val="nil"/>
            </w:tcBorders>
            <w:shd w:val="clear" w:color="auto" w:fill="auto"/>
            <w:vAlign w:val="center"/>
            <w:hideMark/>
          </w:tcPr>
          <w:p w14:paraId="24C06A79"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1.23* (1.03-1.47)</w:t>
            </w:r>
          </w:p>
        </w:tc>
      </w:tr>
      <w:tr w:rsidR="004535A3" w:rsidRPr="00000849" w14:paraId="51B0D302" w14:textId="77777777" w:rsidTr="00000849">
        <w:trPr>
          <w:trHeight w:val="324"/>
        </w:trPr>
        <w:tc>
          <w:tcPr>
            <w:tcW w:w="2975" w:type="pct"/>
            <w:tcBorders>
              <w:top w:val="nil"/>
              <w:left w:val="nil"/>
              <w:bottom w:val="nil"/>
              <w:right w:val="single" w:sz="8" w:space="0" w:color="auto"/>
            </w:tcBorders>
            <w:shd w:val="clear" w:color="auto" w:fill="auto"/>
            <w:vAlign w:val="center"/>
            <w:hideMark/>
          </w:tcPr>
          <w:p w14:paraId="084FD6DA"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Regional Groups</w:t>
            </w:r>
          </w:p>
        </w:tc>
        <w:tc>
          <w:tcPr>
            <w:tcW w:w="2025" w:type="pct"/>
            <w:tcBorders>
              <w:top w:val="nil"/>
              <w:left w:val="nil"/>
              <w:bottom w:val="nil"/>
              <w:right w:val="nil"/>
            </w:tcBorders>
            <w:shd w:val="clear" w:color="auto" w:fill="auto"/>
            <w:noWrap/>
            <w:vAlign w:val="bottom"/>
            <w:hideMark/>
          </w:tcPr>
          <w:p w14:paraId="79F213C0"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111B1A09" w14:textId="77777777" w:rsidTr="00000849">
        <w:trPr>
          <w:trHeight w:val="295"/>
        </w:trPr>
        <w:tc>
          <w:tcPr>
            <w:tcW w:w="2975" w:type="pct"/>
            <w:tcBorders>
              <w:top w:val="nil"/>
              <w:left w:val="nil"/>
              <w:bottom w:val="nil"/>
              <w:right w:val="single" w:sz="8" w:space="0" w:color="auto"/>
            </w:tcBorders>
            <w:shd w:val="clear" w:color="auto" w:fill="auto"/>
            <w:noWrap/>
            <w:vAlign w:val="center"/>
            <w:hideMark/>
          </w:tcPr>
          <w:p w14:paraId="079BC2B4"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Northern regions</w:t>
            </w:r>
          </w:p>
        </w:tc>
        <w:tc>
          <w:tcPr>
            <w:tcW w:w="2025" w:type="pct"/>
            <w:tcBorders>
              <w:top w:val="nil"/>
              <w:left w:val="nil"/>
              <w:bottom w:val="nil"/>
              <w:right w:val="nil"/>
            </w:tcBorders>
            <w:shd w:val="clear" w:color="auto" w:fill="auto"/>
            <w:vAlign w:val="center"/>
            <w:hideMark/>
          </w:tcPr>
          <w:p w14:paraId="7D893819"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0BC6D774" w14:textId="77777777" w:rsidTr="00000849">
        <w:trPr>
          <w:trHeight w:val="490"/>
        </w:trPr>
        <w:tc>
          <w:tcPr>
            <w:tcW w:w="2975" w:type="pct"/>
            <w:tcBorders>
              <w:top w:val="nil"/>
              <w:left w:val="nil"/>
              <w:bottom w:val="nil"/>
              <w:right w:val="single" w:sz="8" w:space="0" w:color="auto"/>
            </w:tcBorders>
            <w:shd w:val="clear" w:color="auto" w:fill="auto"/>
            <w:noWrap/>
            <w:vAlign w:val="center"/>
            <w:hideMark/>
          </w:tcPr>
          <w:p w14:paraId="57C27C92"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Other regions</w:t>
            </w:r>
          </w:p>
        </w:tc>
        <w:tc>
          <w:tcPr>
            <w:tcW w:w="2025" w:type="pct"/>
            <w:tcBorders>
              <w:top w:val="nil"/>
              <w:left w:val="nil"/>
              <w:bottom w:val="nil"/>
              <w:right w:val="nil"/>
            </w:tcBorders>
            <w:shd w:val="clear" w:color="auto" w:fill="auto"/>
            <w:vAlign w:val="center"/>
            <w:hideMark/>
          </w:tcPr>
          <w:p w14:paraId="5B31DACF"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1.77*** (1.35-2.31)</w:t>
            </w:r>
          </w:p>
        </w:tc>
      </w:tr>
      <w:tr w:rsidR="004535A3" w:rsidRPr="00000849" w14:paraId="07BAED4F" w14:textId="77777777" w:rsidTr="00000849">
        <w:trPr>
          <w:trHeight w:val="490"/>
        </w:trPr>
        <w:tc>
          <w:tcPr>
            <w:tcW w:w="2975" w:type="pct"/>
            <w:tcBorders>
              <w:top w:val="nil"/>
              <w:left w:val="nil"/>
              <w:bottom w:val="nil"/>
              <w:right w:val="single" w:sz="8" w:space="0" w:color="auto"/>
            </w:tcBorders>
            <w:shd w:val="clear" w:color="auto" w:fill="auto"/>
            <w:noWrap/>
            <w:vAlign w:val="center"/>
            <w:hideMark/>
          </w:tcPr>
          <w:p w14:paraId="66443BEE"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Greater Accra Region</w:t>
            </w:r>
          </w:p>
        </w:tc>
        <w:tc>
          <w:tcPr>
            <w:tcW w:w="2025" w:type="pct"/>
            <w:tcBorders>
              <w:top w:val="nil"/>
              <w:left w:val="nil"/>
              <w:bottom w:val="nil"/>
              <w:right w:val="nil"/>
            </w:tcBorders>
            <w:shd w:val="clear" w:color="auto" w:fill="auto"/>
            <w:vAlign w:val="center"/>
            <w:hideMark/>
          </w:tcPr>
          <w:p w14:paraId="62BBFB8A"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2.97*** (2.06-4.28)</w:t>
            </w:r>
          </w:p>
        </w:tc>
      </w:tr>
      <w:tr w:rsidR="004535A3" w:rsidRPr="00000849" w14:paraId="2BC7EBC2"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292E9A69"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xml:space="preserve">Marital status </w:t>
            </w:r>
          </w:p>
        </w:tc>
        <w:tc>
          <w:tcPr>
            <w:tcW w:w="2025" w:type="pct"/>
            <w:tcBorders>
              <w:top w:val="nil"/>
              <w:left w:val="nil"/>
              <w:bottom w:val="nil"/>
              <w:right w:val="nil"/>
            </w:tcBorders>
            <w:shd w:val="clear" w:color="auto" w:fill="auto"/>
            <w:noWrap/>
            <w:vAlign w:val="bottom"/>
            <w:hideMark/>
          </w:tcPr>
          <w:p w14:paraId="7BE67626"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1C746B19" w14:textId="77777777" w:rsidTr="00000849">
        <w:trPr>
          <w:trHeight w:val="480"/>
        </w:trPr>
        <w:tc>
          <w:tcPr>
            <w:tcW w:w="2975" w:type="pct"/>
            <w:tcBorders>
              <w:top w:val="nil"/>
              <w:left w:val="nil"/>
              <w:bottom w:val="nil"/>
              <w:right w:val="single" w:sz="8" w:space="0" w:color="auto"/>
            </w:tcBorders>
            <w:shd w:val="clear" w:color="auto" w:fill="auto"/>
            <w:vAlign w:val="center"/>
            <w:hideMark/>
          </w:tcPr>
          <w:p w14:paraId="2FAC3344"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Currently married or cohabiting</w:t>
            </w:r>
          </w:p>
        </w:tc>
        <w:tc>
          <w:tcPr>
            <w:tcW w:w="2025" w:type="pct"/>
            <w:tcBorders>
              <w:top w:val="nil"/>
              <w:left w:val="nil"/>
              <w:bottom w:val="nil"/>
              <w:right w:val="nil"/>
            </w:tcBorders>
            <w:shd w:val="clear" w:color="auto" w:fill="auto"/>
            <w:vAlign w:val="center"/>
            <w:hideMark/>
          </w:tcPr>
          <w:p w14:paraId="7C377D9C"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7474D5EF" w14:textId="77777777" w:rsidTr="00000849">
        <w:trPr>
          <w:trHeight w:val="490"/>
        </w:trPr>
        <w:tc>
          <w:tcPr>
            <w:tcW w:w="2975" w:type="pct"/>
            <w:tcBorders>
              <w:top w:val="nil"/>
              <w:left w:val="nil"/>
              <w:bottom w:val="nil"/>
              <w:right w:val="single" w:sz="8" w:space="0" w:color="auto"/>
            </w:tcBorders>
            <w:shd w:val="clear" w:color="auto" w:fill="auto"/>
            <w:vAlign w:val="center"/>
            <w:hideMark/>
          </w:tcPr>
          <w:p w14:paraId="393D5574"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Previously or never married</w:t>
            </w:r>
          </w:p>
        </w:tc>
        <w:tc>
          <w:tcPr>
            <w:tcW w:w="2025" w:type="pct"/>
            <w:tcBorders>
              <w:top w:val="nil"/>
              <w:left w:val="nil"/>
              <w:bottom w:val="nil"/>
              <w:right w:val="nil"/>
            </w:tcBorders>
            <w:shd w:val="clear" w:color="auto" w:fill="auto"/>
            <w:vAlign w:val="center"/>
            <w:hideMark/>
          </w:tcPr>
          <w:p w14:paraId="010425E6"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1.51*** (1.28-1.79)</w:t>
            </w:r>
          </w:p>
        </w:tc>
      </w:tr>
      <w:tr w:rsidR="004535A3" w:rsidRPr="00000849" w14:paraId="457DD519"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41403822"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Ethnicity</w:t>
            </w:r>
          </w:p>
        </w:tc>
        <w:tc>
          <w:tcPr>
            <w:tcW w:w="2025" w:type="pct"/>
            <w:tcBorders>
              <w:top w:val="nil"/>
              <w:left w:val="nil"/>
              <w:bottom w:val="nil"/>
              <w:right w:val="nil"/>
            </w:tcBorders>
            <w:shd w:val="clear" w:color="auto" w:fill="auto"/>
            <w:noWrap/>
            <w:vAlign w:val="bottom"/>
            <w:hideMark/>
          </w:tcPr>
          <w:p w14:paraId="57B64DC9"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04411E73" w14:textId="77777777" w:rsidTr="00000849">
        <w:trPr>
          <w:trHeight w:val="295"/>
        </w:trPr>
        <w:tc>
          <w:tcPr>
            <w:tcW w:w="2975" w:type="pct"/>
            <w:tcBorders>
              <w:top w:val="nil"/>
              <w:left w:val="nil"/>
              <w:bottom w:val="nil"/>
              <w:right w:val="single" w:sz="8" w:space="0" w:color="auto"/>
            </w:tcBorders>
            <w:shd w:val="clear" w:color="auto" w:fill="auto"/>
            <w:noWrap/>
            <w:vAlign w:val="center"/>
            <w:hideMark/>
          </w:tcPr>
          <w:p w14:paraId="0765004B"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Northern groups</w:t>
            </w:r>
          </w:p>
        </w:tc>
        <w:tc>
          <w:tcPr>
            <w:tcW w:w="2025" w:type="pct"/>
            <w:tcBorders>
              <w:top w:val="nil"/>
              <w:left w:val="nil"/>
              <w:bottom w:val="nil"/>
              <w:right w:val="nil"/>
            </w:tcBorders>
            <w:shd w:val="clear" w:color="auto" w:fill="auto"/>
            <w:vAlign w:val="center"/>
            <w:hideMark/>
          </w:tcPr>
          <w:p w14:paraId="48C8F96A"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4C8CEC3B"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5139CEBC"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Akan</w:t>
            </w:r>
          </w:p>
        </w:tc>
        <w:tc>
          <w:tcPr>
            <w:tcW w:w="2025" w:type="pct"/>
            <w:tcBorders>
              <w:top w:val="nil"/>
              <w:left w:val="nil"/>
              <w:bottom w:val="nil"/>
              <w:right w:val="nil"/>
            </w:tcBorders>
            <w:shd w:val="clear" w:color="auto" w:fill="auto"/>
            <w:vAlign w:val="center"/>
            <w:hideMark/>
          </w:tcPr>
          <w:p w14:paraId="31BCDB8A"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0.98 (0.77-1.23)</w:t>
            </w:r>
          </w:p>
        </w:tc>
      </w:tr>
      <w:tr w:rsidR="004535A3" w:rsidRPr="00000849" w14:paraId="63A9F66D"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554F5EA9"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Ga-Adangme</w:t>
            </w:r>
          </w:p>
        </w:tc>
        <w:tc>
          <w:tcPr>
            <w:tcW w:w="2025" w:type="pct"/>
            <w:tcBorders>
              <w:top w:val="nil"/>
              <w:left w:val="nil"/>
              <w:bottom w:val="nil"/>
              <w:right w:val="nil"/>
            </w:tcBorders>
            <w:shd w:val="clear" w:color="auto" w:fill="auto"/>
            <w:vAlign w:val="center"/>
            <w:hideMark/>
          </w:tcPr>
          <w:p w14:paraId="60EF6152"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0.84 (0.63-1.13)</w:t>
            </w:r>
          </w:p>
        </w:tc>
      </w:tr>
      <w:tr w:rsidR="004535A3" w:rsidRPr="00000849" w14:paraId="083C0626"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0A5FA1E5"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Others</w:t>
            </w:r>
          </w:p>
        </w:tc>
        <w:tc>
          <w:tcPr>
            <w:tcW w:w="2025" w:type="pct"/>
            <w:tcBorders>
              <w:top w:val="nil"/>
              <w:left w:val="nil"/>
              <w:bottom w:val="nil"/>
              <w:right w:val="nil"/>
            </w:tcBorders>
            <w:shd w:val="clear" w:color="auto" w:fill="auto"/>
            <w:vAlign w:val="center"/>
            <w:hideMark/>
          </w:tcPr>
          <w:p w14:paraId="11D2900E"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0.73** (0.58-0.92)</w:t>
            </w:r>
          </w:p>
        </w:tc>
      </w:tr>
      <w:tr w:rsidR="004535A3" w:rsidRPr="00000849" w14:paraId="6423D6AD"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01C482E0"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Religious group</w:t>
            </w:r>
          </w:p>
        </w:tc>
        <w:tc>
          <w:tcPr>
            <w:tcW w:w="2025" w:type="pct"/>
            <w:tcBorders>
              <w:top w:val="nil"/>
              <w:left w:val="nil"/>
              <w:bottom w:val="nil"/>
              <w:right w:val="nil"/>
            </w:tcBorders>
            <w:shd w:val="clear" w:color="auto" w:fill="auto"/>
            <w:noWrap/>
            <w:vAlign w:val="bottom"/>
            <w:hideMark/>
          </w:tcPr>
          <w:p w14:paraId="6ADD7F26"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179DA9F5"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4DEF9ED6"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Christian</w:t>
            </w:r>
          </w:p>
        </w:tc>
        <w:tc>
          <w:tcPr>
            <w:tcW w:w="2025" w:type="pct"/>
            <w:tcBorders>
              <w:top w:val="nil"/>
              <w:left w:val="nil"/>
              <w:bottom w:val="nil"/>
              <w:right w:val="nil"/>
            </w:tcBorders>
            <w:shd w:val="clear" w:color="auto" w:fill="auto"/>
            <w:vAlign w:val="center"/>
            <w:hideMark/>
          </w:tcPr>
          <w:p w14:paraId="7CAD5879"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1228CCBF"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168DCDE9"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Islam</w:t>
            </w:r>
          </w:p>
        </w:tc>
        <w:tc>
          <w:tcPr>
            <w:tcW w:w="2025" w:type="pct"/>
            <w:tcBorders>
              <w:top w:val="nil"/>
              <w:left w:val="nil"/>
              <w:bottom w:val="nil"/>
              <w:right w:val="nil"/>
            </w:tcBorders>
            <w:shd w:val="clear" w:color="auto" w:fill="auto"/>
            <w:vAlign w:val="center"/>
            <w:hideMark/>
          </w:tcPr>
          <w:p w14:paraId="59211612"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1.34* (1.06-1.70)</w:t>
            </w:r>
          </w:p>
        </w:tc>
      </w:tr>
      <w:tr w:rsidR="004535A3" w:rsidRPr="00000849" w14:paraId="3ECFF81C"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4243845E"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Others</w:t>
            </w:r>
          </w:p>
        </w:tc>
        <w:tc>
          <w:tcPr>
            <w:tcW w:w="2025" w:type="pct"/>
            <w:tcBorders>
              <w:top w:val="nil"/>
              <w:left w:val="nil"/>
              <w:bottom w:val="nil"/>
              <w:right w:val="nil"/>
            </w:tcBorders>
            <w:shd w:val="clear" w:color="auto" w:fill="auto"/>
            <w:vAlign w:val="center"/>
            <w:hideMark/>
          </w:tcPr>
          <w:p w14:paraId="3339E0D7"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1.09 (0.86-1.38)</w:t>
            </w:r>
          </w:p>
        </w:tc>
      </w:tr>
      <w:tr w:rsidR="004535A3" w:rsidRPr="00000849" w14:paraId="12C15578"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4B6E2F06"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Educational level</w:t>
            </w:r>
          </w:p>
        </w:tc>
        <w:tc>
          <w:tcPr>
            <w:tcW w:w="2025" w:type="pct"/>
            <w:tcBorders>
              <w:top w:val="nil"/>
              <w:left w:val="nil"/>
              <w:bottom w:val="nil"/>
              <w:right w:val="nil"/>
            </w:tcBorders>
            <w:shd w:val="clear" w:color="auto" w:fill="auto"/>
            <w:noWrap/>
            <w:vAlign w:val="bottom"/>
            <w:hideMark/>
          </w:tcPr>
          <w:p w14:paraId="5D0EE5C0"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1D965A5A"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1DF89564"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Nil</w:t>
            </w:r>
          </w:p>
        </w:tc>
        <w:tc>
          <w:tcPr>
            <w:tcW w:w="2025" w:type="pct"/>
            <w:tcBorders>
              <w:top w:val="nil"/>
              <w:left w:val="nil"/>
              <w:bottom w:val="nil"/>
              <w:right w:val="nil"/>
            </w:tcBorders>
            <w:shd w:val="clear" w:color="auto" w:fill="auto"/>
            <w:vAlign w:val="center"/>
            <w:hideMark/>
          </w:tcPr>
          <w:p w14:paraId="6487EB07"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4022826C"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2C14E698"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Primary or less</w:t>
            </w:r>
          </w:p>
        </w:tc>
        <w:tc>
          <w:tcPr>
            <w:tcW w:w="2025" w:type="pct"/>
            <w:tcBorders>
              <w:top w:val="nil"/>
              <w:left w:val="nil"/>
              <w:bottom w:val="nil"/>
              <w:right w:val="nil"/>
            </w:tcBorders>
            <w:shd w:val="clear" w:color="auto" w:fill="auto"/>
            <w:vAlign w:val="center"/>
            <w:hideMark/>
          </w:tcPr>
          <w:p w14:paraId="38DF1C07"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(0.83-1.21)</w:t>
            </w:r>
          </w:p>
        </w:tc>
      </w:tr>
      <w:tr w:rsidR="004535A3" w:rsidRPr="00000849" w14:paraId="580F297A"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06F24B65"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Secondary or higher</w:t>
            </w:r>
          </w:p>
        </w:tc>
        <w:tc>
          <w:tcPr>
            <w:tcW w:w="2025" w:type="pct"/>
            <w:tcBorders>
              <w:top w:val="nil"/>
              <w:left w:val="nil"/>
              <w:bottom w:val="nil"/>
              <w:right w:val="nil"/>
            </w:tcBorders>
            <w:shd w:val="clear" w:color="auto" w:fill="auto"/>
            <w:vAlign w:val="center"/>
            <w:hideMark/>
          </w:tcPr>
          <w:p w14:paraId="18431339"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0.86 (0.69-1.06)</w:t>
            </w:r>
          </w:p>
        </w:tc>
      </w:tr>
      <w:tr w:rsidR="004535A3" w:rsidRPr="00000849" w14:paraId="4ECE856E" w14:textId="77777777" w:rsidTr="00000849">
        <w:trPr>
          <w:trHeight w:val="450"/>
        </w:trPr>
        <w:tc>
          <w:tcPr>
            <w:tcW w:w="2975" w:type="pct"/>
            <w:tcBorders>
              <w:top w:val="nil"/>
              <w:left w:val="nil"/>
              <w:bottom w:val="nil"/>
              <w:right w:val="single" w:sz="8" w:space="0" w:color="auto"/>
            </w:tcBorders>
            <w:shd w:val="clear" w:color="auto" w:fill="auto"/>
            <w:vAlign w:val="center"/>
            <w:hideMark/>
          </w:tcPr>
          <w:p w14:paraId="58B7182B"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Employer in current or most recent job</w:t>
            </w:r>
          </w:p>
        </w:tc>
        <w:tc>
          <w:tcPr>
            <w:tcW w:w="2025" w:type="pct"/>
            <w:tcBorders>
              <w:top w:val="nil"/>
              <w:left w:val="nil"/>
              <w:bottom w:val="nil"/>
              <w:right w:val="nil"/>
            </w:tcBorders>
            <w:shd w:val="clear" w:color="auto" w:fill="auto"/>
            <w:noWrap/>
            <w:vAlign w:val="bottom"/>
            <w:hideMark/>
          </w:tcPr>
          <w:p w14:paraId="03270437"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4B4FFCD4"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63E1B5ED"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Informal</w:t>
            </w:r>
          </w:p>
        </w:tc>
        <w:tc>
          <w:tcPr>
            <w:tcW w:w="2025" w:type="pct"/>
            <w:tcBorders>
              <w:top w:val="nil"/>
              <w:left w:val="nil"/>
              <w:bottom w:val="nil"/>
              <w:right w:val="nil"/>
            </w:tcBorders>
            <w:shd w:val="clear" w:color="auto" w:fill="auto"/>
            <w:vAlign w:val="center"/>
            <w:hideMark/>
          </w:tcPr>
          <w:p w14:paraId="650D2202"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3C40D404"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56A32E9A"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Self-employed</w:t>
            </w:r>
          </w:p>
        </w:tc>
        <w:tc>
          <w:tcPr>
            <w:tcW w:w="2025" w:type="pct"/>
            <w:tcBorders>
              <w:top w:val="nil"/>
              <w:left w:val="nil"/>
              <w:bottom w:val="nil"/>
              <w:right w:val="nil"/>
            </w:tcBorders>
            <w:shd w:val="clear" w:color="auto" w:fill="auto"/>
            <w:vAlign w:val="center"/>
            <w:hideMark/>
          </w:tcPr>
          <w:p w14:paraId="4D3F9EC3"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0.94 (0.76-1.16)</w:t>
            </w:r>
          </w:p>
        </w:tc>
      </w:tr>
      <w:tr w:rsidR="004535A3" w:rsidRPr="00000849" w14:paraId="791C0C86"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1E1278F1"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Public sector</w:t>
            </w:r>
          </w:p>
        </w:tc>
        <w:tc>
          <w:tcPr>
            <w:tcW w:w="2025" w:type="pct"/>
            <w:tcBorders>
              <w:top w:val="nil"/>
              <w:left w:val="nil"/>
              <w:bottom w:val="nil"/>
              <w:right w:val="nil"/>
            </w:tcBorders>
            <w:shd w:val="clear" w:color="auto" w:fill="auto"/>
            <w:vAlign w:val="center"/>
            <w:hideMark/>
          </w:tcPr>
          <w:p w14:paraId="45B68713"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1.07 (0.77-1.48)</w:t>
            </w:r>
          </w:p>
        </w:tc>
      </w:tr>
      <w:tr w:rsidR="004535A3" w:rsidRPr="00000849" w14:paraId="0E6361C3"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4419620C"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Private sector</w:t>
            </w:r>
          </w:p>
        </w:tc>
        <w:tc>
          <w:tcPr>
            <w:tcW w:w="2025" w:type="pct"/>
            <w:tcBorders>
              <w:top w:val="nil"/>
              <w:left w:val="nil"/>
              <w:bottom w:val="nil"/>
              <w:right w:val="nil"/>
            </w:tcBorders>
            <w:shd w:val="clear" w:color="auto" w:fill="auto"/>
            <w:vAlign w:val="center"/>
            <w:hideMark/>
          </w:tcPr>
          <w:p w14:paraId="1CD33975"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1.25 (0.82-1.89)</w:t>
            </w:r>
          </w:p>
        </w:tc>
      </w:tr>
      <w:tr w:rsidR="004535A3" w:rsidRPr="00000849" w14:paraId="5D1D7F87"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15AA226D"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Work history past 7 days</w:t>
            </w:r>
          </w:p>
        </w:tc>
        <w:tc>
          <w:tcPr>
            <w:tcW w:w="2025" w:type="pct"/>
            <w:tcBorders>
              <w:top w:val="nil"/>
              <w:left w:val="nil"/>
              <w:bottom w:val="nil"/>
              <w:right w:val="nil"/>
            </w:tcBorders>
            <w:shd w:val="clear" w:color="auto" w:fill="auto"/>
            <w:noWrap/>
            <w:vAlign w:val="bottom"/>
            <w:hideMark/>
          </w:tcPr>
          <w:p w14:paraId="3AF765FF"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4B836B20"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4FB23AE1"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Not currently working</w:t>
            </w:r>
          </w:p>
        </w:tc>
        <w:tc>
          <w:tcPr>
            <w:tcW w:w="2025" w:type="pct"/>
            <w:tcBorders>
              <w:top w:val="nil"/>
              <w:left w:val="nil"/>
              <w:bottom w:val="nil"/>
              <w:right w:val="nil"/>
            </w:tcBorders>
            <w:shd w:val="clear" w:color="auto" w:fill="auto"/>
            <w:vAlign w:val="center"/>
            <w:hideMark/>
          </w:tcPr>
          <w:p w14:paraId="0389A59B"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404085DF" w14:textId="77777777" w:rsidTr="00000849">
        <w:trPr>
          <w:trHeight w:val="490"/>
        </w:trPr>
        <w:tc>
          <w:tcPr>
            <w:tcW w:w="2975" w:type="pct"/>
            <w:tcBorders>
              <w:top w:val="nil"/>
              <w:left w:val="nil"/>
              <w:bottom w:val="nil"/>
              <w:right w:val="single" w:sz="8" w:space="0" w:color="auto"/>
            </w:tcBorders>
            <w:shd w:val="clear" w:color="auto" w:fill="auto"/>
            <w:vAlign w:val="center"/>
            <w:hideMark/>
          </w:tcPr>
          <w:p w14:paraId="0BB182F8"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Currently working</w:t>
            </w:r>
          </w:p>
        </w:tc>
        <w:tc>
          <w:tcPr>
            <w:tcW w:w="2025" w:type="pct"/>
            <w:tcBorders>
              <w:top w:val="nil"/>
              <w:left w:val="nil"/>
              <w:bottom w:val="nil"/>
              <w:right w:val="nil"/>
            </w:tcBorders>
            <w:shd w:val="clear" w:color="auto" w:fill="auto"/>
            <w:vAlign w:val="center"/>
            <w:hideMark/>
          </w:tcPr>
          <w:p w14:paraId="33FA1D7D"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0.70*** (0.59-0.83)</w:t>
            </w:r>
          </w:p>
        </w:tc>
      </w:tr>
      <w:tr w:rsidR="004535A3" w:rsidRPr="00000849" w14:paraId="04A741B6"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065C8179"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xml:space="preserve">Wealth quintile </w:t>
            </w:r>
          </w:p>
        </w:tc>
        <w:tc>
          <w:tcPr>
            <w:tcW w:w="2025" w:type="pct"/>
            <w:tcBorders>
              <w:top w:val="nil"/>
              <w:left w:val="nil"/>
              <w:bottom w:val="nil"/>
              <w:right w:val="nil"/>
            </w:tcBorders>
            <w:shd w:val="clear" w:color="auto" w:fill="auto"/>
            <w:noWrap/>
            <w:vAlign w:val="bottom"/>
            <w:hideMark/>
          </w:tcPr>
          <w:p w14:paraId="25DFC10C"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081F0335"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1F90874F"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Q1 Poorest</w:t>
            </w:r>
          </w:p>
        </w:tc>
        <w:tc>
          <w:tcPr>
            <w:tcW w:w="2025" w:type="pct"/>
            <w:tcBorders>
              <w:top w:val="nil"/>
              <w:left w:val="nil"/>
              <w:bottom w:val="nil"/>
              <w:right w:val="nil"/>
            </w:tcBorders>
            <w:shd w:val="clear" w:color="auto" w:fill="auto"/>
            <w:vAlign w:val="center"/>
            <w:hideMark/>
          </w:tcPr>
          <w:p w14:paraId="06A3B147"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62C7A38F"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28CAC985"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Q2 Poor</w:t>
            </w:r>
          </w:p>
        </w:tc>
        <w:tc>
          <w:tcPr>
            <w:tcW w:w="2025" w:type="pct"/>
            <w:tcBorders>
              <w:top w:val="nil"/>
              <w:left w:val="nil"/>
              <w:bottom w:val="nil"/>
              <w:right w:val="nil"/>
            </w:tcBorders>
            <w:shd w:val="clear" w:color="auto" w:fill="auto"/>
            <w:vAlign w:val="center"/>
            <w:hideMark/>
          </w:tcPr>
          <w:p w14:paraId="06A1AED0"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1.03 (0.83-1.28)</w:t>
            </w:r>
          </w:p>
        </w:tc>
      </w:tr>
      <w:tr w:rsidR="004535A3" w:rsidRPr="00000849" w14:paraId="0644929A"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1FDA9B43"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Q3 Mod poor</w:t>
            </w:r>
          </w:p>
        </w:tc>
        <w:tc>
          <w:tcPr>
            <w:tcW w:w="2025" w:type="pct"/>
            <w:tcBorders>
              <w:top w:val="nil"/>
              <w:left w:val="nil"/>
              <w:bottom w:val="nil"/>
              <w:right w:val="nil"/>
            </w:tcBorders>
            <w:shd w:val="clear" w:color="auto" w:fill="auto"/>
            <w:vAlign w:val="center"/>
            <w:hideMark/>
          </w:tcPr>
          <w:p w14:paraId="20832BEA"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1.19 (0.94-1.52)</w:t>
            </w:r>
          </w:p>
        </w:tc>
      </w:tr>
      <w:tr w:rsidR="004535A3" w:rsidRPr="00000849" w14:paraId="0E4198C2"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0FB8C7D5"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Q4 Rich</w:t>
            </w:r>
          </w:p>
        </w:tc>
        <w:tc>
          <w:tcPr>
            <w:tcW w:w="2025" w:type="pct"/>
            <w:tcBorders>
              <w:top w:val="nil"/>
              <w:left w:val="nil"/>
              <w:bottom w:val="nil"/>
              <w:right w:val="nil"/>
            </w:tcBorders>
            <w:shd w:val="clear" w:color="auto" w:fill="auto"/>
            <w:vAlign w:val="center"/>
            <w:hideMark/>
          </w:tcPr>
          <w:p w14:paraId="3ED6FE76"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1.09 (0.83-1.43)</w:t>
            </w:r>
          </w:p>
        </w:tc>
      </w:tr>
      <w:tr w:rsidR="004535A3" w:rsidRPr="00000849" w14:paraId="26E3391C"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058E0CA4"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Q5 Richest</w:t>
            </w:r>
          </w:p>
        </w:tc>
        <w:tc>
          <w:tcPr>
            <w:tcW w:w="2025" w:type="pct"/>
            <w:tcBorders>
              <w:top w:val="nil"/>
              <w:left w:val="nil"/>
              <w:bottom w:val="nil"/>
              <w:right w:val="nil"/>
            </w:tcBorders>
            <w:shd w:val="clear" w:color="auto" w:fill="auto"/>
            <w:vAlign w:val="center"/>
            <w:hideMark/>
          </w:tcPr>
          <w:p w14:paraId="3587B1F7"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1.19 (0.86-1.65)</w:t>
            </w:r>
          </w:p>
        </w:tc>
      </w:tr>
      <w:tr w:rsidR="004535A3" w:rsidRPr="00000849" w14:paraId="25FA7318"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7612B339"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Physical activity level</w:t>
            </w:r>
          </w:p>
        </w:tc>
        <w:tc>
          <w:tcPr>
            <w:tcW w:w="2025" w:type="pct"/>
            <w:tcBorders>
              <w:top w:val="nil"/>
              <w:left w:val="nil"/>
              <w:bottom w:val="nil"/>
              <w:right w:val="nil"/>
            </w:tcBorders>
            <w:shd w:val="clear" w:color="auto" w:fill="auto"/>
            <w:noWrap/>
            <w:vAlign w:val="bottom"/>
            <w:hideMark/>
          </w:tcPr>
          <w:p w14:paraId="4672798F"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6D122B9D"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141E1F09"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Low physical activity</w:t>
            </w:r>
          </w:p>
        </w:tc>
        <w:tc>
          <w:tcPr>
            <w:tcW w:w="2025" w:type="pct"/>
            <w:tcBorders>
              <w:top w:val="nil"/>
              <w:left w:val="nil"/>
              <w:bottom w:val="nil"/>
              <w:right w:val="nil"/>
            </w:tcBorders>
            <w:shd w:val="clear" w:color="auto" w:fill="auto"/>
            <w:vAlign w:val="center"/>
            <w:hideMark/>
          </w:tcPr>
          <w:p w14:paraId="62996267"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254A321F" w14:textId="77777777" w:rsidTr="00000849">
        <w:trPr>
          <w:trHeight w:val="490"/>
        </w:trPr>
        <w:tc>
          <w:tcPr>
            <w:tcW w:w="2975" w:type="pct"/>
            <w:tcBorders>
              <w:top w:val="nil"/>
              <w:left w:val="nil"/>
              <w:bottom w:val="nil"/>
              <w:right w:val="single" w:sz="8" w:space="0" w:color="auto"/>
            </w:tcBorders>
            <w:shd w:val="clear" w:color="auto" w:fill="auto"/>
            <w:vAlign w:val="center"/>
            <w:hideMark/>
          </w:tcPr>
          <w:p w14:paraId="6D2004D1"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Moderate physical activity</w:t>
            </w:r>
          </w:p>
        </w:tc>
        <w:tc>
          <w:tcPr>
            <w:tcW w:w="2025" w:type="pct"/>
            <w:tcBorders>
              <w:top w:val="nil"/>
              <w:left w:val="nil"/>
              <w:bottom w:val="nil"/>
              <w:right w:val="nil"/>
            </w:tcBorders>
            <w:shd w:val="clear" w:color="auto" w:fill="auto"/>
            <w:vAlign w:val="center"/>
            <w:hideMark/>
          </w:tcPr>
          <w:p w14:paraId="0065BD97"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0.84* (0.70-1.00)</w:t>
            </w:r>
          </w:p>
        </w:tc>
      </w:tr>
      <w:tr w:rsidR="004535A3" w:rsidRPr="00000849" w14:paraId="144809B3"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2A71A368"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High physical activity</w:t>
            </w:r>
          </w:p>
        </w:tc>
        <w:tc>
          <w:tcPr>
            <w:tcW w:w="2025" w:type="pct"/>
            <w:tcBorders>
              <w:top w:val="nil"/>
              <w:left w:val="nil"/>
              <w:bottom w:val="nil"/>
              <w:right w:val="nil"/>
            </w:tcBorders>
            <w:shd w:val="clear" w:color="auto" w:fill="auto"/>
            <w:vAlign w:val="center"/>
            <w:hideMark/>
          </w:tcPr>
          <w:p w14:paraId="6496A5F2"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1.06 (0.87-1.28)</w:t>
            </w:r>
          </w:p>
        </w:tc>
      </w:tr>
      <w:tr w:rsidR="004535A3" w:rsidRPr="00000849" w14:paraId="153BB8D2" w14:textId="77777777" w:rsidTr="00000849">
        <w:trPr>
          <w:trHeight w:val="450"/>
        </w:trPr>
        <w:tc>
          <w:tcPr>
            <w:tcW w:w="2975" w:type="pct"/>
            <w:tcBorders>
              <w:top w:val="nil"/>
              <w:left w:val="nil"/>
              <w:bottom w:val="nil"/>
              <w:right w:val="single" w:sz="8" w:space="0" w:color="auto"/>
            </w:tcBorders>
            <w:shd w:val="clear" w:color="auto" w:fill="auto"/>
            <w:vAlign w:val="center"/>
            <w:hideMark/>
          </w:tcPr>
          <w:p w14:paraId="2AA8E2E2"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lastRenderedPageBreak/>
              <w:t>BMI category</w:t>
            </w:r>
          </w:p>
        </w:tc>
        <w:tc>
          <w:tcPr>
            <w:tcW w:w="2025" w:type="pct"/>
            <w:tcBorders>
              <w:top w:val="nil"/>
              <w:left w:val="nil"/>
              <w:bottom w:val="nil"/>
              <w:right w:val="nil"/>
            </w:tcBorders>
            <w:shd w:val="clear" w:color="auto" w:fill="auto"/>
            <w:noWrap/>
            <w:vAlign w:val="bottom"/>
            <w:hideMark/>
          </w:tcPr>
          <w:p w14:paraId="2C14D431"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6F12DD69"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2F2E0364"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Underweight</w:t>
            </w:r>
          </w:p>
        </w:tc>
        <w:tc>
          <w:tcPr>
            <w:tcW w:w="2025" w:type="pct"/>
            <w:tcBorders>
              <w:top w:val="nil"/>
              <w:left w:val="nil"/>
              <w:bottom w:val="nil"/>
              <w:right w:val="nil"/>
            </w:tcBorders>
            <w:shd w:val="clear" w:color="auto" w:fill="auto"/>
            <w:vAlign w:val="center"/>
            <w:hideMark/>
          </w:tcPr>
          <w:p w14:paraId="1344E886"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171E6BA7"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41C508DE"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Normal weight</w:t>
            </w:r>
          </w:p>
        </w:tc>
        <w:tc>
          <w:tcPr>
            <w:tcW w:w="2025" w:type="pct"/>
            <w:tcBorders>
              <w:top w:val="nil"/>
              <w:left w:val="nil"/>
              <w:bottom w:val="nil"/>
              <w:right w:val="nil"/>
            </w:tcBorders>
            <w:shd w:val="clear" w:color="auto" w:fill="auto"/>
            <w:vAlign w:val="center"/>
            <w:hideMark/>
          </w:tcPr>
          <w:p w14:paraId="3EF21313"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1.36** (1.10-1.69)</w:t>
            </w:r>
          </w:p>
        </w:tc>
      </w:tr>
      <w:tr w:rsidR="004535A3" w:rsidRPr="00000849" w14:paraId="374A5467" w14:textId="77777777" w:rsidTr="00000849">
        <w:trPr>
          <w:trHeight w:val="490"/>
        </w:trPr>
        <w:tc>
          <w:tcPr>
            <w:tcW w:w="2975" w:type="pct"/>
            <w:tcBorders>
              <w:top w:val="nil"/>
              <w:left w:val="nil"/>
              <w:bottom w:val="nil"/>
              <w:right w:val="single" w:sz="8" w:space="0" w:color="auto"/>
            </w:tcBorders>
            <w:shd w:val="clear" w:color="auto" w:fill="auto"/>
            <w:vAlign w:val="center"/>
            <w:hideMark/>
          </w:tcPr>
          <w:p w14:paraId="0514A61C"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Overweight</w:t>
            </w:r>
          </w:p>
        </w:tc>
        <w:tc>
          <w:tcPr>
            <w:tcW w:w="2025" w:type="pct"/>
            <w:tcBorders>
              <w:top w:val="nil"/>
              <w:left w:val="nil"/>
              <w:bottom w:val="nil"/>
              <w:right w:val="nil"/>
            </w:tcBorders>
            <w:shd w:val="clear" w:color="auto" w:fill="auto"/>
            <w:vAlign w:val="center"/>
            <w:hideMark/>
          </w:tcPr>
          <w:p w14:paraId="04353BBE"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2.24*** (1.67-3.00)</w:t>
            </w:r>
          </w:p>
        </w:tc>
      </w:tr>
      <w:tr w:rsidR="004535A3" w:rsidRPr="00000849" w14:paraId="58FB0423" w14:textId="77777777" w:rsidTr="00000849">
        <w:trPr>
          <w:trHeight w:val="490"/>
        </w:trPr>
        <w:tc>
          <w:tcPr>
            <w:tcW w:w="2975" w:type="pct"/>
            <w:tcBorders>
              <w:top w:val="nil"/>
              <w:left w:val="nil"/>
              <w:bottom w:val="nil"/>
              <w:right w:val="single" w:sz="8" w:space="0" w:color="auto"/>
            </w:tcBorders>
            <w:shd w:val="clear" w:color="auto" w:fill="auto"/>
            <w:vAlign w:val="center"/>
            <w:hideMark/>
          </w:tcPr>
          <w:p w14:paraId="3994C3BE"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Obese</w:t>
            </w:r>
          </w:p>
        </w:tc>
        <w:tc>
          <w:tcPr>
            <w:tcW w:w="2025" w:type="pct"/>
            <w:tcBorders>
              <w:top w:val="nil"/>
              <w:left w:val="nil"/>
              <w:bottom w:val="nil"/>
              <w:right w:val="nil"/>
            </w:tcBorders>
            <w:shd w:val="clear" w:color="auto" w:fill="auto"/>
            <w:vAlign w:val="center"/>
            <w:hideMark/>
          </w:tcPr>
          <w:p w14:paraId="1B261F13"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2.53*** (1.78-3.61)</w:t>
            </w:r>
          </w:p>
        </w:tc>
      </w:tr>
      <w:tr w:rsidR="004535A3" w:rsidRPr="00000849" w14:paraId="74B59895" w14:textId="77777777" w:rsidTr="00000849">
        <w:trPr>
          <w:trHeight w:val="428"/>
        </w:trPr>
        <w:tc>
          <w:tcPr>
            <w:tcW w:w="2975" w:type="pct"/>
            <w:tcBorders>
              <w:top w:val="nil"/>
              <w:left w:val="nil"/>
              <w:bottom w:val="nil"/>
              <w:right w:val="single" w:sz="8" w:space="0" w:color="auto"/>
            </w:tcBorders>
            <w:shd w:val="clear" w:color="auto" w:fill="auto"/>
            <w:vAlign w:val="center"/>
            <w:hideMark/>
          </w:tcPr>
          <w:p w14:paraId="30DA97B8"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xml:space="preserve">Waist circumference </w:t>
            </w:r>
          </w:p>
        </w:tc>
        <w:tc>
          <w:tcPr>
            <w:tcW w:w="2025" w:type="pct"/>
            <w:tcBorders>
              <w:top w:val="nil"/>
              <w:left w:val="nil"/>
              <w:bottom w:val="nil"/>
              <w:right w:val="nil"/>
            </w:tcBorders>
            <w:shd w:val="clear" w:color="auto" w:fill="auto"/>
            <w:noWrap/>
            <w:vAlign w:val="bottom"/>
            <w:hideMark/>
          </w:tcPr>
          <w:p w14:paraId="4CFB41FD"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02600C79"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75AB8A9B"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&lt;80 cm</w:t>
            </w:r>
          </w:p>
        </w:tc>
        <w:tc>
          <w:tcPr>
            <w:tcW w:w="2025" w:type="pct"/>
            <w:tcBorders>
              <w:top w:val="nil"/>
              <w:left w:val="nil"/>
              <w:bottom w:val="nil"/>
              <w:right w:val="nil"/>
            </w:tcBorders>
            <w:shd w:val="clear" w:color="auto" w:fill="auto"/>
            <w:vAlign w:val="center"/>
            <w:hideMark/>
          </w:tcPr>
          <w:p w14:paraId="50F14D86"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46411D5A"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39CB237F"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&gt;=80 to &lt;90 cm</w:t>
            </w:r>
          </w:p>
        </w:tc>
        <w:tc>
          <w:tcPr>
            <w:tcW w:w="2025" w:type="pct"/>
            <w:tcBorders>
              <w:top w:val="nil"/>
              <w:left w:val="nil"/>
              <w:bottom w:val="nil"/>
              <w:right w:val="nil"/>
            </w:tcBorders>
            <w:shd w:val="clear" w:color="auto" w:fill="auto"/>
            <w:vAlign w:val="center"/>
            <w:hideMark/>
          </w:tcPr>
          <w:p w14:paraId="411D990E"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1.07 (0.88-1.30)</w:t>
            </w:r>
          </w:p>
        </w:tc>
      </w:tr>
      <w:tr w:rsidR="004535A3" w:rsidRPr="00000849" w14:paraId="139B1518"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4B0FD51E"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&gt;=90 cm</w:t>
            </w:r>
          </w:p>
        </w:tc>
        <w:tc>
          <w:tcPr>
            <w:tcW w:w="2025" w:type="pct"/>
            <w:tcBorders>
              <w:top w:val="nil"/>
              <w:left w:val="nil"/>
              <w:bottom w:val="nil"/>
              <w:right w:val="nil"/>
            </w:tcBorders>
            <w:shd w:val="clear" w:color="auto" w:fill="auto"/>
            <w:vAlign w:val="center"/>
            <w:hideMark/>
          </w:tcPr>
          <w:p w14:paraId="396FCE6B"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1.27 (0.95-1.68)</w:t>
            </w:r>
          </w:p>
        </w:tc>
      </w:tr>
      <w:tr w:rsidR="004535A3" w:rsidRPr="00000849" w14:paraId="5C35E67B"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3F84FC41"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Hip circumference</w:t>
            </w:r>
          </w:p>
        </w:tc>
        <w:tc>
          <w:tcPr>
            <w:tcW w:w="2025" w:type="pct"/>
            <w:tcBorders>
              <w:top w:val="nil"/>
              <w:left w:val="nil"/>
              <w:bottom w:val="nil"/>
              <w:right w:val="nil"/>
            </w:tcBorders>
            <w:shd w:val="clear" w:color="auto" w:fill="auto"/>
            <w:noWrap/>
            <w:vAlign w:val="bottom"/>
            <w:hideMark/>
          </w:tcPr>
          <w:p w14:paraId="6BCE2ED7"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2C9A84CA"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1AD7EB6E"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&lt;90 cm</w:t>
            </w:r>
          </w:p>
        </w:tc>
        <w:tc>
          <w:tcPr>
            <w:tcW w:w="2025" w:type="pct"/>
            <w:tcBorders>
              <w:top w:val="nil"/>
              <w:left w:val="nil"/>
              <w:bottom w:val="nil"/>
              <w:right w:val="nil"/>
            </w:tcBorders>
            <w:shd w:val="clear" w:color="auto" w:fill="auto"/>
            <w:vAlign w:val="center"/>
            <w:hideMark/>
          </w:tcPr>
          <w:p w14:paraId="686FA044"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2FED95F2"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3EE5140C"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&gt;=90 to &lt;100 cm</w:t>
            </w:r>
          </w:p>
        </w:tc>
        <w:tc>
          <w:tcPr>
            <w:tcW w:w="2025" w:type="pct"/>
            <w:tcBorders>
              <w:top w:val="nil"/>
              <w:left w:val="nil"/>
              <w:bottom w:val="nil"/>
              <w:right w:val="nil"/>
            </w:tcBorders>
            <w:shd w:val="clear" w:color="auto" w:fill="auto"/>
            <w:vAlign w:val="center"/>
            <w:hideMark/>
          </w:tcPr>
          <w:p w14:paraId="753EE1F4"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1.14 (0.93-1.39)</w:t>
            </w:r>
          </w:p>
        </w:tc>
      </w:tr>
      <w:tr w:rsidR="004535A3" w:rsidRPr="00000849" w14:paraId="2AD5C63D"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489E304B"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&gt;=100 cm</w:t>
            </w:r>
          </w:p>
        </w:tc>
        <w:tc>
          <w:tcPr>
            <w:tcW w:w="2025" w:type="pct"/>
            <w:tcBorders>
              <w:top w:val="nil"/>
              <w:left w:val="nil"/>
              <w:bottom w:val="nil"/>
              <w:right w:val="nil"/>
            </w:tcBorders>
            <w:shd w:val="clear" w:color="auto" w:fill="auto"/>
            <w:vAlign w:val="center"/>
            <w:hideMark/>
          </w:tcPr>
          <w:p w14:paraId="77AF7CBE"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0.99 (0.73-1.35)</w:t>
            </w:r>
          </w:p>
        </w:tc>
      </w:tr>
      <w:tr w:rsidR="004535A3" w:rsidRPr="00000849" w14:paraId="56F78414"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6622D30C"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Smoke behaviour</w:t>
            </w:r>
          </w:p>
        </w:tc>
        <w:tc>
          <w:tcPr>
            <w:tcW w:w="2025" w:type="pct"/>
            <w:tcBorders>
              <w:top w:val="nil"/>
              <w:left w:val="nil"/>
              <w:bottom w:val="nil"/>
              <w:right w:val="nil"/>
            </w:tcBorders>
            <w:shd w:val="clear" w:color="auto" w:fill="auto"/>
            <w:noWrap/>
            <w:vAlign w:val="bottom"/>
            <w:hideMark/>
          </w:tcPr>
          <w:p w14:paraId="610758BC"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618FA9F4"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7092D4E5"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Never smoker</w:t>
            </w:r>
          </w:p>
        </w:tc>
        <w:tc>
          <w:tcPr>
            <w:tcW w:w="2025" w:type="pct"/>
            <w:tcBorders>
              <w:top w:val="nil"/>
              <w:left w:val="nil"/>
              <w:bottom w:val="nil"/>
              <w:right w:val="nil"/>
            </w:tcBorders>
            <w:shd w:val="clear" w:color="auto" w:fill="auto"/>
            <w:vAlign w:val="center"/>
            <w:hideMark/>
          </w:tcPr>
          <w:p w14:paraId="4BFE4908"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5989BBD7"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5F77F10C"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Former smoker</w:t>
            </w:r>
          </w:p>
        </w:tc>
        <w:tc>
          <w:tcPr>
            <w:tcW w:w="2025" w:type="pct"/>
            <w:tcBorders>
              <w:top w:val="nil"/>
              <w:left w:val="nil"/>
              <w:bottom w:val="nil"/>
              <w:right w:val="nil"/>
            </w:tcBorders>
            <w:shd w:val="clear" w:color="auto" w:fill="auto"/>
            <w:vAlign w:val="center"/>
            <w:hideMark/>
          </w:tcPr>
          <w:p w14:paraId="1767396C"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1.25 (0.98-1.61)</w:t>
            </w:r>
          </w:p>
        </w:tc>
      </w:tr>
      <w:tr w:rsidR="004535A3" w:rsidRPr="00000849" w14:paraId="73B9C50B"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13F8146E"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Current smoker</w:t>
            </w:r>
          </w:p>
        </w:tc>
        <w:tc>
          <w:tcPr>
            <w:tcW w:w="2025" w:type="pct"/>
            <w:tcBorders>
              <w:top w:val="nil"/>
              <w:left w:val="nil"/>
              <w:bottom w:val="nil"/>
              <w:right w:val="nil"/>
            </w:tcBorders>
            <w:shd w:val="clear" w:color="auto" w:fill="auto"/>
            <w:vAlign w:val="center"/>
            <w:hideMark/>
          </w:tcPr>
          <w:p w14:paraId="2F3473F6"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0.91 (0.70-1.19)</w:t>
            </w:r>
          </w:p>
        </w:tc>
      </w:tr>
      <w:tr w:rsidR="004535A3" w:rsidRPr="00000849" w14:paraId="6AC4F927"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38C92E35"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Alcohol consumption</w:t>
            </w:r>
          </w:p>
        </w:tc>
        <w:tc>
          <w:tcPr>
            <w:tcW w:w="2025" w:type="pct"/>
            <w:tcBorders>
              <w:top w:val="nil"/>
              <w:left w:val="nil"/>
              <w:bottom w:val="nil"/>
              <w:right w:val="nil"/>
            </w:tcBorders>
            <w:shd w:val="clear" w:color="auto" w:fill="auto"/>
            <w:noWrap/>
            <w:vAlign w:val="bottom"/>
            <w:hideMark/>
          </w:tcPr>
          <w:p w14:paraId="18FE80CC"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1C48DD11"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21974056"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Lifetime abstainer</w:t>
            </w:r>
          </w:p>
        </w:tc>
        <w:tc>
          <w:tcPr>
            <w:tcW w:w="2025" w:type="pct"/>
            <w:tcBorders>
              <w:top w:val="nil"/>
              <w:left w:val="nil"/>
              <w:bottom w:val="nil"/>
              <w:right w:val="nil"/>
            </w:tcBorders>
            <w:shd w:val="clear" w:color="auto" w:fill="auto"/>
            <w:vAlign w:val="center"/>
            <w:hideMark/>
          </w:tcPr>
          <w:p w14:paraId="428BDDC3"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29270EBC"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3255A041"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Non-heavy drinker</w:t>
            </w:r>
          </w:p>
        </w:tc>
        <w:tc>
          <w:tcPr>
            <w:tcW w:w="2025" w:type="pct"/>
            <w:tcBorders>
              <w:top w:val="nil"/>
              <w:left w:val="nil"/>
              <w:bottom w:val="nil"/>
              <w:right w:val="nil"/>
            </w:tcBorders>
            <w:shd w:val="clear" w:color="auto" w:fill="auto"/>
            <w:vAlign w:val="center"/>
            <w:hideMark/>
          </w:tcPr>
          <w:p w14:paraId="19F1B79B"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1.04 (0.89-1.23)</w:t>
            </w:r>
          </w:p>
        </w:tc>
      </w:tr>
      <w:tr w:rsidR="004535A3" w:rsidRPr="00000849" w14:paraId="4EE9B2E2"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5A6D1145"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Heavy drinker</w:t>
            </w:r>
          </w:p>
        </w:tc>
        <w:tc>
          <w:tcPr>
            <w:tcW w:w="2025" w:type="pct"/>
            <w:tcBorders>
              <w:top w:val="nil"/>
              <w:left w:val="nil"/>
              <w:bottom w:val="nil"/>
              <w:right w:val="nil"/>
            </w:tcBorders>
            <w:shd w:val="clear" w:color="auto" w:fill="auto"/>
            <w:vAlign w:val="center"/>
            <w:hideMark/>
          </w:tcPr>
          <w:p w14:paraId="253C6F24"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0.78 (0.47-1.31)</w:t>
            </w:r>
          </w:p>
        </w:tc>
      </w:tr>
      <w:tr w:rsidR="004535A3" w:rsidRPr="00000849" w14:paraId="1934374D"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76805FC4"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Daily fruit/veg serving</w:t>
            </w:r>
          </w:p>
        </w:tc>
        <w:tc>
          <w:tcPr>
            <w:tcW w:w="2025" w:type="pct"/>
            <w:tcBorders>
              <w:top w:val="nil"/>
              <w:left w:val="nil"/>
              <w:bottom w:val="nil"/>
              <w:right w:val="nil"/>
            </w:tcBorders>
            <w:shd w:val="clear" w:color="auto" w:fill="auto"/>
            <w:noWrap/>
            <w:vAlign w:val="bottom"/>
            <w:hideMark/>
          </w:tcPr>
          <w:p w14:paraId="35E6CFF9"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09D15852" w14:textId="77777777" w:rsidTr="00000849">
        <w:trPr>
          <w:trHeight w:val="523"/>
        </w:trPr>
        <w:tc>
          <w:tcPr>
            <w:tcW w:w="2975" w:type="pct"/>
            <w:tcBorders>
              <w:top w:val="nil"/>
              <w:left w:val="nil"/>
              <w:right w:val="single" w:sz="8" w:space="0" w:color="auto"/>
            </w:tcBorders>
            <w:shd w:val="clear" w:color="auto" w:fill="auto"/>
            <w:vAlign w:val="center"/>
            <w:hideMark/>
          </w:tcPr>
          <w:p w14:paraId="033A3FA5"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&gt;=5 daily fruit-veg serving</w:t>
            </w:r>
          </w:p>
        </w:tc>
        <w:tc>
          <w:tcPr>
            <w:tcW w:w="2025" w:type="pct"/>
            <w:tcBorders>
              <w:top w:val="nil"/>
              <w:left w:val="nil"/>
              <w:right w:val="nil"/>
            </w:tcBorders>
            <w:shd w:val="clear" w:color="auto" w:fill="auto"/>
            <w:vAlign w:val="center"/>
            <w:hideMark/>
          </w:tcPr>
          <w:p w14:paraId="6CA85908"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52656ABD" w14:textId="77777777" w:rsidTr="00000849">
        <w:trPr>
          <w:trHeight w:val="630"/>
        </w:trPr>
        <w:tc>
          <w:tcPr>
            <w:tcW w:w="2975" w:type="pct"/>
            <w:tcBorders>
              <w:top w:val="nil"/>
              <w:left w:val="nil"/>
              <w:right w:val="single" w:sz="8" w:space="0" w:color="auto"/>
            </w:tcBorders>
            <w:shd w:val="clear" w:color="auto" w:fill="auto"/>
            <w:vAlign w:val="center"/>
            <w:hideMark/>
          </w:tcPr>
          <w:p w14:paraId="3F35E54E" w14:textId="77777777"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&lt;5 daily fruit-veg servings</w:t>
            </w:r>
          </w:p>
        </w:tc>
        <w:tc>
          <w:tcPr>
            <w:tcW w:w="2025" w:type="pct"/>
            <w:tcBorders>
              <w:top w:val="nil"/>
              <w:left w:val="nil"/>
              <w:right w:val="nil"/>
            </w:tcBorders>
            <w:shd w:val="clear" w:color="auto" w:fill="auto"/>
            <w:vAlign w:val="center"/>
            <w:hideMark/>
          </w:tcPr>
          <w:p w14:paraId="11AABEED"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0.89 (0.77-1.03)</w:t>
            </w:r>
          </w:p>
        </w:tc>
      </w:tr>
      <w:tr w:rsidR="004535A3" w:rsidRPr="00000849" w14:paraId="4202675D" w14:textId="77777777" w:rsidTr="00000849">
        <w:trPr>
          <w:trHeight w:val="295"/>
        </w:trPr>
        <w:tc>
          <w:tcPr>
            <w:tcW w:w="2975" w:type="pct"/>
            <w:tcBorders>
              <w:left w:val="nil"/>
              <w:bottom w:val="nil"/>
              <w:right w:val="single" w:sz="8" w:space="0" w:color="auto"/>
            </w:tcBorders>
            <w:shd w:val="clear" w:color="auto" w:fill="auto"/>
            <w:vAlign w:val="center"/>
            <w:hideMark/>
          </w:tcPr>
          <w:p w14:paraId="17BCB59F"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Occasion</w:t>
            </w:r>
          </w:p>
        </w:tc>
        <w:tc>
          <w:tcPr>
            <w:tcW w:w="2025" w:type="pct"/>
            <w:tcBorders>
              <w:left w:val="nil"/>
              <w:bottom w:val="nil"/>
              <w:right w:val="nil"/>
            </w:tcBorders>
            <w:shd w:val="clear" w:color="auto" w:fill="auto"/>
            <w:noWrap/>
            <w:vAlign w:val="bottom"/>
            <w:hideMark/>
          </w:tcPr>
          <w:p w14:paraId="3D9049E3"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21180979" w14:textId="77777777" w:rsidTr="00000849">
        <w:trPr>
          <w:trHeight w:val="295"/>
        </w:trPr>
        <w:tc>
          <w:tcPr>
            <w:tcW w:w="2975" w:type="pct"/>
            <w:tcBorders>
              <w:top w:val="nil"/>
              <w:left w:val="nil"/>
              <w:bottom w:val="nil"/>
              <w:right w:val="single" w:sz="8" w:space="0" w:color="auto"/>
            </w:tcBorders>
            <w:shd w:val="clear" w:color="auto" w:fill="auto"/>
            <w:vAlign w:val="center"/>
            <w:hideMark/>
          </w:tcPr>
          <w:p w14:paraId="71443140" w14:textId="5CCE8F4F"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Wave 1</w:t>
            </w:r>
          </w:p>
        </w:tc>
        <w:tc>
          <w:tcPr>
            <w:tcW w:w="2025" w:type="pct"/>
            <w:tcBorders>
              <w:top w:val="nil"/>
              <w:left w:val="nil"/>
              <w:bottom w:val="nil"/>
              <w:right w:val="nil"/>
            </w:tcBorders>
            <w:shd w:val="clear" w:color="auto" w:fill="auto"/>
            <w:vAlign w:val="center"/>
            <w:hideMark/>
          </w:tcPr>
          <w:p w14:paraId="6022559D"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1 (1.00-1.00)</w:t>
            </w:r>
          </w:p>
        </w:tc>
      </w:tr>
      <w:tr w:rsidR="004535A3" w:rsidRPr="00000849" w14:paraId="376ABBF9" w14:textId="77777777" w:rsidTr="00000849">
        <w:trPr>
          <w:trHeight w:val="490"/>
        </w:trPr>
        <w:tc>
          <w:tcPr>
            <w:tcW w:w="2975" w:type="pct"/>
            <w:tcBorders>
              <w:top w:val="nil"/>
              <w:left w:val="nil"/>
              <w:bottom w:val="single" w:sz="8" w:space="0" w:color="auto"/>
              <w:right w:val="single" w:sz="8" w:space="0" w:color="auto"/>
            </w:tcBorders>
            <w:shd w:val="clear" w:color="auto" w:fill="auto"/>
            <w:vAlign w:val="center"/>
            <w:hideMark/>
          </w:tcPr>
          <w:p w14:paraId="3230339C" w14:textId="3435DB4C" w:rsidR="004535A3" w:rsidRPr="00000849" w:rsidRDefault="004535A3" w:rsidP="00DB4AF4">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Wave 2</w:t>
            </w:r>
          </w:p>
        </w:tc>
        <w:tc>
          <w:tcPr>
            <w:tcW w:w="2025" w:type="pct"/>
            <w:tcBorders>
              <w:top w:val="nil"/>
              <w:left w:val="nil"/>
              <w:bottom w:val="single" w:sz="8" w:space="0" w:color="auto"/>
              <w:right w:val="nil"/>
            </w:tcBorders>
            <w:shd w:val="clear" w:color="auto" w:fill="auto"/>
            <w:vAlign w:val="center"/>
            <w:hideMark/>
          </w:tcPr>
          <w:p w14:paraId="7E38BA8A" w14:textId="77777777" w:rsidR="004535A3" w:rsidRPr="00000849" w:rsidRDefault="004535A3" w:rsidP="00DB4AF4">
            <w:pPr>
              <w:spacing w:after="0" w:line="240" w:lineRule="auto"/>
              <w:jc w:val="center"/>
              <w:rPr>
                <w:rFonts w:ascii="Calibri" w:eastAsia="Times New Roman" w:hAnsi="Calibri" w:cs="Calibri"/>
                <w:b/>
                <w:bCs/>
                <w:color w:val="000000"/>
                <w:sz w:val="18"/>
                <w:szCs w:val="18"/>
                <w:lang w:val="en-US"/>
              </w:rPr>
            </w:pPr>
            <w:r w:rsidRPr="00000849">
              <w:rPr>
                <w:rFonts w:ascii="Calibri" w:eastAsia="Times New Roman" w:hAnsi="Calibri" w:cs="Calibri"/>
                <w:b/>
                <w:bCs/>
                <w:color w:val="000000"/>
                <w:sz w:val="18"/>
                <w:szCs w:val="18"/>
                <w:lang w:val="en-US"/>
              </w:rPr>
              <w:t>0.28*** (0.23-0.33)</w:t>
            </w:r>
          </w:p>
        </w:tc>
      </w:tr>
      <w:tr w:rsidR="004535A3" w:rsidRPr="00000849" w14:paraId="59BE670B" w14:textId="77777777" w:rsidTr="00000849">
        <w:trPr>
          <w:trHeight w:val="295"/>
        </w:trPr>
        <w:tc>
          <w:tcPr>
            <w:tcW w:w="2975" w:type="pct"/>
            <w:tcBorders>
              <w:top w:val="single" w:sz="8" w:space="0" w:color="auto"/>
              <w:left w:val="nil"/>
              <w:right w:val="single" w:sz="8" w:space="0" w:color="auto"/>
            </w:tcBorders>
            <w:shd w:val="clear" w:color="auto" w:fill="auto"/>
            <w:vAlign w:val="center"/>
            <w:hideMark/>
          </w:tcPr>
          <w:p w14:paraId="14BA182D"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w:t>
            </w:r>
          </w:p>
        </w:tc>
        <w:tc>
          <w:tcPr>
            <w:tcW w:w="2025" w:type="pct"/>
            <w:tcBorders>
              <w:top w:val="single" w:sz="8" w:space="0" w:color="auto"/>
              <w:left w:val="single" w:sz="8" w:space="0" w:color="auto"/>
              <w:right w:val="nil"/>
            </w:tcBorders>
            <w:shd w:val="clear" w:color="auto" w:fill="auto"/>
            <w:noWrap/>
            <w:vAlign w:val="bottom"/>
            <w:hideMark/>
          </w:tcPr>
          <w:p w14:paraId="423E2C39" w14:textId="77777777" w:rsidR="004535A3" w:rsidRPr="00000849" w:rsidRDefault="004535A3" w:rsidP="00DB4AF4">
            <w:pPr>
              <w:spacing w:after="0" w:line="240" w:lineRule="auto"/>
              <w:rPr>
                <w:rFonts w:ascii="Calibri" w:eastAsia="Times New Roman" w:hAnsi="Calibri" w:cs="Calibri"/>
                <w:color w:val="000000"/>
                <w:sz w:val="18"/>
                <w:szCs w:val="18"/>
                <w:lang w:val="en-US"/>
              </w:rPr>
            </w:pPr>
          </w:p>
        </w:tc>
      </w:tr>
      <w:tr w:rsidR="004535A3" w:rsidRPr="00000849" w14:paraId="671A72BD" w14:textId="77777777" w:rsidTr="00000849">
        <w:trPr>
          <w:trHeight w:val="490"/>
        </w:trPr>
        <w:tc>
          <w:tcPr>
            <w:tcW w:w="2975" w:type="pct"/>
            <w:tcBorders>
              <w:top w:val="nil"/>
              <w:left w:val="nil"/>
              <w:bottom w:val="single" w:sz="4" w:space="0" w:color="auto"/>
              <w:right w:val="single" w:sz="8" w:space="0" w:color="auto"/>
            </w:tcBorders>
            <w:shd w:val="clear" w:color="auto" w:fill="auto"/>
            <w:vAlign w:val="center"/>
            <w:hideMark/>
          </w:tcPr>
          <w:p w14:paraId="7883EB35" w14:textId="77777777" w:rsidR="004535A3" w:rsidRPr="00000849" w:rsidRDefault="004535A3" w:rsidP="00DB4AF4">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var(_cons[idn])</w:t>
            </w:r>
          </w:p>
        </w:tc>
        <w:tc>
          <w:tcPr>
            <w:tcW w:w="2025" w:type="pct"/>
            <w:tcBorders>
              <w:top w:val="nil"/>
              <w:left w:val="single" w:sz="8" w:space="0" w:color="auto"/>
              <w:bottom w:val="single" w:sz="4" w:space="0" w:color="auto"/>
              <w:right w:val="nil"/>
            </w:tcBorders>
            <w:shd w:val="clear" w:color="auto" w:fill="auto"/>
            <w:vAlign w:val="center"/>
            <w:hideMark/>
          </w:tcPr>
          <w:p w14:paraId="77E344C4" w14:textId="77777777" w:rsidR="004535A3" w:rsidRPr="00000849" w:rsidRDefault="004535A3" w:rsidP="00DB4AF4">
            <w:pPr>
              <w:spacing w:after="0" w:line="240" w:lineRule="auto"/>
              <w:jc w:val="center"/>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6.03*** (3.28-11.08)</w:t>
            </w:r>
          </w:p>
        </w:tc>
      </w:tr>
    </w:tbl>
    <w:p w14:paraId="529CFED8" w14:textId="5DE50424" w:rsidR="00DB4AF4" w:rsidRPr="00000849" w:rsidRDefault="00DB4AF4" w:rsidP="00F06E28">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F75FE5A" w14:textId="0BCC20D3" w:rsidR="003E7EDB" w:rsidRPr="00000849" w:rsidRDefault="003E7EDB" w:rsidP="00143B7E">
      <w:pPr>
        <w:spacing w:after="0" w:line="480" w:lineRule="auto"/>
        <w:ind w:firstLine="567"/>
        <w:jc w:val="both"/>
        <w:rPr>
          <w:rFonts w:cstheme="minorHAnsi"/>
          <w:color w:val="383838"/>
        </w:rPr>
      </w:pPr>
      <w:r w:rsidRPr="00000849">
        <w:rPr>
          <w:rFonts w:cstheme="minorHAnsi"/>
          <w:color w:val="383838"/>
          <w:sz w:val="24"/>
          <w:szCs w:val="24"/>
        </w:rPr>
        <w:t xml:space="preserve">When the clustered structure of the data is ignored and analysed as a fixed effects model involving 6,742 independent observations, the </w:t>
      </w:r>
      <w:r w:rsidR="009B7DDF" w:rsidRPr="00000849">
        <w:rPr>
          <w:rFonts w:cstheme="minorHAnsi"/>
          <w:color w:val="383838"/>
          <w:sz w:val="24"/>
          <w:szCs w:val="24"/>
        </w:rPr>
        <w:t xml:space="preserve">effect size of both the positive and negative predictors were attenuated (Appendix 9 Table </w:t>
      </w:r>
      <w:r w:rsidR="00527877" w:rsidRPr="00000849">
        <w:rPr>
          <w:rFonts w:cstheme="minorHAnsi"/>
          <w:color w:val="383838"/>
          <w:sz w:val="24"/>
          <w:szCs w:val="24"/>
        </w:rPr>
        <w:t>A10</w:t>
      </w:r>
      <w:r w:rsidR="009B7DDF" w:rsidRPr="00000849">
        <w:rPr>
          <w:rFonts w:cstheme="minorHAnsi"/>
          <w:color w:val="383838"/>
          <w:sz w:val="24"/>
          <w:szCs w:val="24"/>
        </w:rPr>
        <w:t xml:space="preserve">).  The standard errors around the odds ratios were lower than those in </w:t>
      </w:r>
      <w:r w:rsidR="00EE01E0" w:rsidRPr="00000849">
        <w:rPr>
          <w:rFonts w:cstheme="minorHAnsi"/>
          <w:color w:val="383838"/>
          <w:sz w:val="24"/>
          <w:szCs w:val="24"/>
        </w:rPr>
        <w:t xml:space="preserve">random effects </w:t>
      </w:r>
      <w:r w:rsidR="00EE01E0" w:rsidRPr="00000849">
        <w:rPr>
          <w:rFonts w:cstheme="minorHAnsi"/>
          <w:color w:val="383838"/>
          <w:sz w:val="24"/>
          <w:szCs w:val="24"/>
        </w:rPr>
        <w:lastRenderedPageBreak/>
        <w:t>model</w:t>
      </w:r>
      <w:r w:rsidR="001940E7" w:rsidRPr="00000849">
        <w:rPr>
          <w:rFonts w:cstheme="minorHAnsi"/>
          <w:color w:val="383838"/>
          <w:sz w:val="24"/>
          <w:szCs w:val="24"/>
        </w:rPr>
        <w:t xml:space="preserve">.  The AIC/BIC values for the </w:t>
      </w:r>
      <w:r w:rsidR="003A17AE" w:rsidRPr="00000849">
        <w:rPr>
          <w:rFonts w:cstheme="minorHAnsi"/>
          <w:color w:val="383838"/>
          <w:sz w:val="24"/>
          <w:szCs w:val="24"/>
        </w:rPr>
        <w:t>random</w:t>
      </w:r>
      <w:r w:rsidR="001940E7" w:rsidRPr="00000849">
        <w:rPr>
          <w:rFonts w:cstheme="minorHAnsi"/>
          <w:color w:val="383838"/>
          <w:sz w:val="24"/>
          <w:szCs w:val="24"/>
        </w:rPr>
        <w:t xml:space="preserve"> effects mode</w:t>
      </w:r>
      <w:r w:rsidR="003A17AE" w:rsidRPr="00000849">
        <w:rPr>
          <w:rFonts w:cstheme="minorHAnsi"/>
          <w:color w:val="383838"/>
          <w:sz w:val="24"/>
          <w:szCs w:val="24"/>
        </w:rPr>
        <w:t xml:space="preserve">l </w:t>
      </w:r>
      <w:r w:rsidR="001940E7" w:rsidRPr="00000849">
        <w:rPr>
          <w:rFonts w:cstheme="minorHAnsi"/>
          <w:color w:val="383838"/>
          <w:sz w:val="24"/>
          <w:szCs w:val="24"/>
        </w:rPr>
        <w:t>(8552.27 / 8818.1)</w:t>
      </w:r>
      <w:r w:rsidR="003A17AE" w:rsidRPr="00000849">
        <w:rPr>
          <w:rFonts w:cstheme="minorHAnsi"/>
          <w:color w:val="383838"/>
          <w:sz w:val="24"/>
          <w:szCs w:val="24"/>
        </w:rPr>
        <w:t xml:space="preserve"> </w:t>
      </w:r>
      <w:r w:rsidR="00A61BAB" w:rsidRPr="00000849">
        <w:rPr>
          <w:rFonts w:cstheme="minorHAnsi"/>
          <w:color w:val="383838"/>
          <w:sz w:val="24"/>
          <w:szCs w:val="24"/>
        </w:rPr>
        <w:t xml:space="preserve">were lower than those for </w:t>
      </w:r>
      <w:r w:rsidR="003A17AE" w:rsidRPr="00000849">
        <w:rPr>
          <w:rFonts w:cstheme="minorHAnsi"/>
          <w:color w:val="383838"/>
          <w:sz w:val="24"/>
          <w:szCs w:val="24"/>
        </w:rPr>
        <w:t xml:space="preserve">the fixed effects model </w:t>
      </w:r>
      <w:r w:rsidR="008871B3" w:rsidRPr="00000849">
        <w:rPr>
          <w:rFonts w:cstheme="minorHAnsi"/>
          <w:color w:val="383838"/>
          <w:sz w:val="24"/>
          <w:szCs w:val="24"/>
        </w:rPr>
        <w:t>(8629.91</w:t>
      </w:r>
      <w:r w:rsidR="00A61BAB" w:rsidRPr="00000849">
        <w:rPr>
          <w:rFonts w:cstheme="minorHAnsi"/>
          <w:color w:val="383838"/>
          <w:sz w:val="24"/>
          <w:szCs w:val="24"/>
        </w:rPr>
        <w:t xml:space="preserve"> / </w:t>
      </w:r>
      <w:r w:rsidR="008871B3" w:rsidRPr="00000849">
        <w:rPr>
          <w:rFonts w:cstheme="minorHAnsi"/>
          <w:color w:val="383838"/>
          <w:sz w:val="24"/>
          <w:szCs w:val="24"/>
        </w:rPr>
        <w:t>8888.9), suggesting that the random effects model provided a better fit to the data.  The likelihood ratio tests comparing the two models yielded a chi-squared statistic of 79.6, p&lt;0.001, confirming the random effects model as the superior one.</w:t>
      </w:r>
    </w:p>
    <w:p w14:paraId="659EA5DF" w14:textId="77777777" w:rsidR="00FC3593" w:rsidRPr="00000849" w:rsidRDefault="00FC3593"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3B0866EB" w14:textId="1E3D2894" w:rsidR="00E64E20" w:rsidRPr="00000849" w:rsidRDefault="002006AA" w:rsidP="00A61BAB">
      <w:pPr>
        <w:pStyle w:val="Heading2"/>
      </w:pPr>
      <w:bookmarkStart w:id="101" w:name="_Toc51472138"/>
      <w:r w:rsidRPr="00000849">
        <w:t>5.</w:t>
      </w:r>
      <w:r w:rsidR="00C665B2" w:rsidRPr="00000849">
        <w:t>6</w:t>
      </w:r>
      <w:r w:rsidR="00E64E20" w:rsidRPr="00000849">
        <w:tab/>
        <w:t xml:space="preserve">Determinants of the </w:t>
      </w:r>
      <w:r w:rsidR="000B7264" w:rsidRPr="00000849">
        <w:t>grades</w:t>
      </w:r>
      <w:r w:rsidR="00E64E20" w:rsidRPr="00000849">
        <w:t xml:space="preserve"> of hypertension</w:t>
      </w:r>
      <w:bookmarkEnd w:id="101"/>
    </w:p>
    <w:p w14:paraId="65333AB7" w14:textId="58E16EED" w:rsidR="000B7264" w:rsidRPr="00000849" w:rsidRDefault="002006AA" w:rsidP="004E2350">
      <w:pPr>
        <w:pStyle w:val="Heading3"/>
      </w:pPr>
      <w:bookmarkStart w:id="102" w:name="_Toc51472139"/>
      <w:r w:rsidRPr="00000849">
        <w:t>5.</w:t>
      </w:r>
      <w:r w:rsidR="00C665B2" w:rsidRPr="00000849">
        <w:t>6</w:t>
      </w:r>
      <w:r w:rsidR="000B7264" w:rsidRPr="00000849">
        <w:t>.1</w:t>
      </w:r>
      <w:r w:rsidR="000B7264" w:rsidRPr="00000849">
        <w:tab/>
        <w:t>Proportional odds assumption</w:t>
      </w:r>
      <w:bookmarkEnd w:id="102"/>
    </w:p>
    <w:p w14:paraId="1DCCD3CB" w14:textId="77777777" w:rsidR="000B7264" w:rsidRPr="00000849" w:rsidRDefault="000B7264"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3D228E7" w14:textId="765381E6" w:rsidR="001529A3" w:rsidRPr="00000849" w:rsidRDefault="00F36F9C" w:rsidP="00276928">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prevalence of the different g</w:t>
      </w:r>
      <w:r w:rsidR="001529A3" w:rsidRPr="00000849">
        <w:rPr>
          <w:rFonts w:asciiTheme="minorHAnsi" w:hAnsiTheme="minorHAnsi" w:cstheme="minorHAnsi"/>
          <w:color w:val="383838"/>
        </w:rPr>
        <w:t>rades of hypertension</w:t>
      </w:r>
      <w:r w:rsidRPr="00000849">
        <w:rPr>
          <w:rFonts w:asciiTheme="minorHAnsi" w:hAnsiTheme="minorHAnsi" w:cstheme="minorHAnsi"/>
          <w:color w:val="383838"/>
        </w:rPr>
        <w:t xml:space="preserve"> was presented in section </w:t>
      </w:r>
      <w:r w:rsidR="002006AA" w:rsidRPr="00000849">
        <w:rPr>
          <w:rFonts w:asciiTheme="minorHAnsi" w:hAnsiTheme="minorHAnsi" w:cstheme="minorHAnsi"/>
          <w:color w:val="383838"/>
        </w:rPr>
        <w:t>5.</w:t>
      </w:r>
      <w:r w:rsidRPr="00000849">
        <w:rPr>
          <w:rFonts w:asciiTheme="minorHAnsi" w:hAnsiTheme="minorHAnsi" w:cstheme="minorHAnsi"/>
          <w:color w:val="383838"/>
        </w:rPr>
        <w:t>4.  The grades of hypertension served as the response variable in</w:t>
      </w:r>
      <w:r w:rsidR="008A0789" w:rsidRPr="00000849">
        <w:rPr>
          <w:rFonts w:asciiTheme="minorHAnsi" w:hAnsiTheme="minorHAnsi" w:cstheme="minorHAnsi"/>
          <w:color w:val="383838"/>
        </w:rPr>
        <w:t xml:space="preserve"> an ordinal logistic regression model in which the same demographic, socioeconomic and lifestyle variables as in the previous models served as explanatory variables.</w:t>
      </w:r>
    </w:p>
    <w:p w14:paraId="50771230" w14:textId="6746E3BD" w:rsidR="00E64E20" w:rsidRPr="00000849" w:rsidRDefault="008A0789"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The determinants were assessed in a s</w:t>
      </w:r>
      <w:r w:rsidR="00681EA4" w:rsidRPr="00000849">
        <w:rPr>
          <w:rFonts w:asciiTheme="minorHAnsi" w:hAnsiTheme="minorHAnsi" w:cstheme="minorHAnsi"/>
          <w:color w:val="383838"/>
        </w:rPr>
        <w:t xml:space="preserve">ingle level </w:t>
      </w:r>
      <w:r w:rsidRPr="00000849">
        <w:rPr>
          <w:rFonts w:asciiTheme="minorHAnsi" w:hAnsiTheme="minorHAnsi" w:cstheme="minorHAnsi"/>
          <w:color w:val="383838"/>
        </w:rPr>
        <w:t xml:space="preserve">and multilevel multivariable </w:t>
      </w:r>
      <w:r w:rsidR="00681EA4" w:rsidRPr="00000849">
        <w:rPr>
          <w:rFonts w:asciiTheme="minorHAnsi" w:hAnsiTheme="minorHAnsi" w:cstheme="minorHAnsi"/>
          <w:color w:val="383838"/>
        </w:rPr>
        <w:t>ord</w:t>
      </w:r>
      <w:r w:rsidR="007878B2" w:rsidRPr="00000849">
        <w:rPr>
          <w:rFonts w:asciiTheme="minorHAnsi" w:hAnsiTheme="minorHAnsi" w:cstheme="minorHAnsi"/>
          <w:color w:val="383838"/>
        </w:rPr>
        <w:t>inal</w:t>
      </w:r>
      <w:r w:rsidR="00681EA4" w:rsidRPr="00000849">
        <w:rPr>
          <w:rFonts w:asciiTheme="minorHAnsi" w:hAnsiTheme="minorHAnsi" w:cstheme="minorHAnsi"/>
          <w:color w:val="383838"/>
        </w:rPr>
        <w:t xml:space="preserve"> logit analys</w:t>
      </w:r>
      <w:r w:rsidRPr="00000849">
        <w:rPr>
          <w:rFonts w:asciiTheme="minorHAnsi" w:hAnsiTheme="minorHAnsi" w:cstheme="minorHAnsi"/>
          <w:color w:val="383838"/>
        </w:rPr>
        <w:t>e</w:t>
      </w:r>
      <w:r w:rsidR="00681EA4" w:rsidRPr="00000849">
        <w:rPr>
          <w:rFonts w:asciiTheme="minorHAnsi" w:hAnsiTheme="minorHAnsi" w:cstheme="minorHAnsi"/>
          <w:color w:val="383838"/>
        </w:rPr>
        <w:t>s</w:t>
      </w:r>
      <w:r w:rsidRPr="00000849">
        <w:rPr>
          <w:rFonts w:asciiTheme="minorHAnsi" w:hAnsiTheme="minorHAnsi" w:cstheme="minorHAnsi"/>
          <w:color w:val="383838"/>
        </w:rPr>
        <w:t xml:space="preserve">.  </w:t>
      </w:r>
      <w:r w:rsidR="008504FE" w:rsidRPr="00000849">
        <w:rPr>
          <w:rFonts w:asciiTheme="minorHAnsi" w:hAnsiTheme="minorHAnsi" w:cstheme="minorHAnsi"/>
          <w:color w:val="383838"/>
        </w:rPr>
        <w:t>The last two</w:t>
      </w:r>
      <w:r w:rsidR="002011C2" w:rsidRPr="00000849">
        <w:rPr>
          <w:rFonts w:asciiTheme="minorHAnsi" w:hAnsiTheme="minorHAnsi" w:cstheme="minorHAnsi"/>
          <w:color w:val="383838"/>
        </w:rPr>
        <w:t xml:space="preserve"> of the four ordered</w:t>
      </w:r>
      <w:r w:rsidR="008504FE" w:rsidRPr="00000849">
        <w:rPr>
          <w:rFonts w:asciiTheme="minorHAnsi" w:hAnsiTheme="minorHAnsi" w:cstheme="minorHAnsi"/>
          <w:color w:val="383838"/>
        </w:rPr>
        <w:t xml:space="preserve"> categories of hypertension, Grade 2 and 3 (moderate and severe hypertension) w</w:t>
      </w:r>
      <w:r w:rsidR="00393BE4" w:rsidRPr="00000849">
        <w:rPr>
          <w:rFonts w:asciiTheme="minorHAnsi" w:hAnsiTheme="minorHAnsi" w:cstheme="minorHAnsi"/>
          <w:color w:val="383838"/>
        </w:rPr>
        <w:t>ere</w:t>
      </w:r>
      <w:r w:rsidR="008504FE" w:rsidRPr="00000849">
        <w:rPr>
          <w:rFonts w:asciiTheme="minorHAnsi" w:hAnsiTheme="minorHAnsi" w:cstheme="minorHAnsi"/>
          <w:color w:val="383838"/>
        </w:rPr>
        <w:t xml:space="preserve"> merged owing to small numbers to yield a combined prevalence of about 10%-11% in the study waves.  </w:t>
      </w:r>
      <w:r w:rsidR="00005E2D" w:rsidRPr="00000849">
        <w:rPr>
          <w:rFonts w:asciiTheme="minorHAnsi" w:hAnsiTheme="minorHAnsi" w:cstheme="minorHAnsi"/>
          <w:color w:val="383838"/>
        </w:rPr>
        <w:t xml:space="preserve">In the ordinal logistic regression, the proportional odds assumption which holds that the beta coefficients or odds ratios should be </w:t>
      </w:r>
      <w:r w:rsidR="0083761E" w:rsidRPr="00000849">
        <w:rPr>
          <w:rFonts w:asciiTheme="minorHAnsi" w:hAnsiTheme="minorHAnsi" w:cstheme="minorHAnsi"/>
          <w:color w:val="383838"/>
        </w:rPr>
        <w:t>the same (differing only in the intercepts)</w:t>
      </w:r>
      <w:r w:rsidR="00005E2D" w:rsidRPr="00000849">
        <w:rPr>
          <w:rFonts w:asciiTheme="minorHAnsi" w:hAnsiTheme="minorHAnsi" w:cstheme="minorHAnsi"/>
          <w:color w:val="383838"/>
        </w:rPr>
        <w:t xml:space="preserve"> when one category of the outcome variable is compared with </w:t>
      </w:r>
      <w:r w:rsidR="0083761E" w:rsidRPr="00000849">
        <w:rPr>
          <w:rFonts w:asciiTheme="minorHAnsi" w:hAnsiTheme="minorHAnsi" w:cstheme="minorHAnsi"/>
          <w:color w:val="383838"/>
        </w:rPr>
        <w:t xml:space="preserve">all the </w:t>
      </w:r>
      <w:r w:rsidR="00005E2D" w:rsidRPr="00000849">
        <w:rPr>
          <w:rFonts w:asciiTheme="minorHAnsi" w:hAnsiTheme="minorHAnsi" w:cstheme="minorHAnsi"/>
          <w:color w:val="383838"/>
        </w:rPr>
        <w:t>higher categories</w:t>
      </w:r>
      <w:r w:rsidR="00576EDF">
        <w:rPr>
          <w:rFonts w:asciiTheme="minorHAnsi" w:hAnsiTheme="minorHAnsi" w:cstheme="minorHAnsi"/>
          <w:color w:val="383838"/>
        </w:rPr>
        <w:t>, was respected</w:t>
      </w:r>
      <w:r w:rsidR="00005E2D" w:rsidRPr="00000849">
        <w:rPr>
          <w:rFonts w:asciiTheme="minorHAnsi" w:hAnsiTheme="minorHAnsi" w:cstheme="minorHAnsi"/>
          <w:color w:val="383838"/>
        </w:rPr>
        <w:t xml:space="preserve">.  As shown in </w:t>
      </w:r>
      <w:r w:rsidR="002011C2" w:rsidRPr="00000849">
        <w:rPr>
          <w:rFonts w:asciiTheme="minorHAnsi" w:hAnsiTheme="minorHAnsi" w:cstheme="minorHAnsi"/>
          <w:color w:val="383838"/>
        </w:rPr>
        <w:t xml:space="preserve">Appendix 10 </w:t>
      </w:r>
      <w:r w:rsidR="00005E2D" w:rsidRPr="00000849">
        <w:rPr>
          <w:rFonts w:asciiTheme="minorHAnsi" w:hAnsiTheme="minorHAnsi" w:cstheme="minorHAnsi"/>
          <w:color w:val="383838"/>
        </w:rPr>
        <w:t xml:space="preserve">Table </w:t>
      </w:r>
      <w:r w:rsidR="00527877" w:rsidRPr="00000849">
        <w:rPr>
          <w:rFonts w:asciiTheme="minorHAnsi" w:hAnsiTheme="minorHAnsi" w:cstheme="minorHAnsi"/>
          <w:color w:val="383838"/>
        </w:rPr>
        <w:t>A1</w:t>
      </w:r>
      <w:r w:rsidR="00005E2D" w:rsidRPr="00000849">
        <w:rPr>
          <w:rFonts w:asciiTheme="minorHAnsi" w:hAnsiTheme="minorHAnsi" w:cstheme="minorHAnsi"/>
          <w:color w:val="383838"/>
        </w:rPr>
        <w:t>1, the assumption was violated even after merging different categories of the response variable.</w:t>
      </w:r>
      <w:r w:rsidR="00393BE4" w:rsidRPr="00000849">
        <w:rPr>
          <w:rFonts w:asciiTheme="minorHAnsi" w:hAnsiTheme="minorHAnsi" w:cstheme="minorHAnsi"/>
          <w:color w:val="383838"/>
        </w:rPr>
        <w:t xml:space="preserve">  </w:t>
      </w:r>
    </w:p>
    <w:p w14:paraId="10DB577B" w14:textId="37D22676" w:rsidR="0083761E" w:rsidRPr="00000849" w:rsidRDefault="002011C2"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lastRenderedPageBreak/>
        <w:t xml:space="preserve">As explained in section 4.8.2, </w:t>
      </w:r>
      <w:r w:rsidR="00A15128" w:rsidRPr="00000849">
        <w:rPr>
          <w:rFonts w:asciiTheme="minorHAnsi" w:hAnsiTheme="minorHAnsi" w:cstheme="minorHAnsi"/>
          <w:color w:val="383838"/>
        </w:rPr>
        <w:t>the</w:t>
      </w:r>
      <w:r w:rsidR="0083761E" w:rsidRPr="00000849">
        <w:rPr>
          <w:rFonts w:asciiTheme="minorHAnsi" w:hAnsiTheme="minorHAnsi" w:cstheme="minorHAnsi"/>
          <w:color w:val="383838"/>
        </w:rPr>
        <w:t xml:space="preserve"> data were therefore fitted using a </w:t>
      </w:r>
      <w:r w:rsidR="00FF6DBC" w:rsidRPr="00000849">
        <w:rPr>
          <w:rFonts w:asciiTheme="minorHAnsi" w:hAnsiTheme="minorHAnsi" w:cstheme="minorHAnsi"/>
          <w:color w:val="383838"/>
        </w:rPr>
        <w:t xml:space="preserve">single level </w:t>
      </w:r>
      <w:r w:rsidR="0083761E" w:rsidRPr="00000849">
        <w:rPr>
          <w:rFonts w:asciiTheme="minorHAnsi" w:hAnsiTheme="minorHAnsi" w:cstheme="minorHAnsi"/>
          <w:color w:val="383838"/>
        </w:rPr>
        <w:t>generalized ordered logit model (</w:t>
      </w:r>
      <w:r w:rsidR="0083761E" w:rsidRPr="00000849">
        <w:rPr>
          <w:rFonts w:asciiTheme="minorHAnsi" w:hAnsiTheme="minorHAnsi" w:cstheme="minorHAnsi"/>
          <w:i/>
          <w:color w:val="383838"/>
        </w:rPr>
        <w:t>gologit2</w:t>
      </w:r>
      <w:r w:rsidR="0083761E" w:rsidRPr="00000849">
        <w:rPr>
          <w:rFonts w:asciiTheme="minorHAnsi" w:hAnsiTheme="minorHAnsi" w:cstheme="minorHAnsi"/>
          <w:color w:val="383838"/>
        </w:rPr>
        <w:t xml:space="preserve"> with the </w:t>
      </w:r>
      <w:r w:rsidR="0083761E" w:rsidRPr="00000849">
        <w:rPr>
          <w:rFonts w:asciiTheme="minorHAnsi" w:hAnsiTheme="minorHAnsi" w:cstheme="minorHAnsi"/>
          <w:i/>
          <w:color w:val="383838"/>
        </w:rPr>
        <w:t>autofit</w:t>
      </w:r>
      <w:r w:rsidR="0083761E" w:rsidRPr="00000849">
        <w:rPr>
          <w:rFonts w:asciiTheme="minorHAnsi" w:hAnsiTheme="minorHAnsi" w:cstheme="minorHAnsi"/>
          <w:color w:val="383838"/>
        </w:rPr>
        <w:t xml:space="preserve"> option in Stata) in which the parallel lines constraints of only the variables </w:t>
      </w:r>
      <w:r w:rsidRPr="00000849">
        <w:rPr>
          <w:rFonts w:asciiTheme="minorHAnsi" w:hAnsiTheme="minorHAnsi" w:cstheme="minorHAnsi"/>
          <w:color w:val="383838"/>
        </w:rPr>
        <w:t xml:space="preserve">violating the proportional odds assumption </w:t>
      </w:r>
      <w:r w:rsidR="0083761E" w:rsidRPr="00000849">
        <w:rPr>
          <w:rFonts w:asciiTheme="minorHAnsi" w:hAnsiTheme="minorHAnsi" w:cstheme="minorHAnsi"/>
          <w:color w:val="383838"/>
        </w:rPr>
        <w:t>were relaxed.  Th</w:t>
      </w:r>
      <w:r w:rsidR="00393BE4" w:rsidRPr="00000849">
        <w:rPr>
          <w:rFonts w:asciiTheme="minorHAnsi" w:hAnsiTheme="minorHAnsi" w:cstheme="minorHAnsi"/>
          <w:color w:val="383838"/>
        </w:rPr>
        <w:t xml:space="preserve">e Wald test chi-squared statistics </w:t>
      </w:r>
      <w:r w:rsidR="00A15128" w:rsidRPr="00000849">
        <w:rPr>
          <w:rFonts w:asciiTheme="minorHAnsi" w:hAnsiTheme="minorHAnsi" w:cstheme="minorHAnsi"/>
          <w:color w:val="383838"/>
        </w:rPr>
        <w:t>of</w:t>
      </w:r>
      <w:r w:rsidR="00FF6DBC" w:rsidRPr="00000849">
        <w:rPr>
          <w:rFonts w:asciiTheme="minorHAnsi" w:hAnsiTheme="minorHAnsi" w:cstheme="minorHAnsi"/>
          <w:color w:val="383838"/>
        </w:rPr>
        <w:t xml:space="preserve"> 29.70, 38.51 and 22.31 </w:t>
      </w:r>
      <w:r w:rsidR="00393BE4" w:rsidRPr="00000849">
        <w:rPr>
          <w:rFonts w:asciiTheme="minorHAnsi" w:hAnsiTheme="minorHAnsi" w:cstheme="minorHAnsi"/>
          <w:color w:val="383838"/>
        </w:rPr>
        <w:t>yielded p values of 0.58</w:t>
      </w:r>
      <w:r w:rsidR="00B5328A" w:rsidRPr="00000849">
        <w:rPr>
          <w:rFonts w:asciiTheme="minorHAnsi" w:hAnsiTheme="minorHAnsi" w:cstheme="minorHAnsi"/>
          <w:color w:val="383838"/>
        </w:rPr>
        <w:t xml:space="preserve"> and</w:t>
      </w:r>
      <w:r w:rsidR="00393BE4" w:rsidRPr="00000849">
        <w:rPr>
          <w:rFonts w:asciiTheme="minorHAnsi" w:hAnsiTheme="minorHAnsi" w:cstheme="minorHAnsi"/>
          <w:color w:val="383838"/>
        </w:rPr>
        <w:t xml:space="preserve"> 0.27 respectively in the </w:t>
      </w:r>
      <w:r w:rsidR="00FF6DBC" w:rsidRPr="00000849">
        <w:rPr>
          <w:rFonts w:asciiTheme="minorHAnsi" w:hAnsiTheme="minorHAnsi" w:cstheme="minorHAnsi"/>
          <w:color w:val="383838"/>
        </w:rPr>
        <w:t xml:space="preserve">single level full </w:t>
      </w:r>
      <w:r w:rsidR="00393BE4" w:rsidRPr="00000849">
        <w:rPr>
          <w:rFonts w:asciiTheme="minorHAnsi" w:hAnsiTheme="minorHAnsi" w:cstheme="minorHAnsi"/>
          <w:color w:val="383838"/>
        </w:rPr>
        <w:t>models</w:t>
      </w:r>
      <w:r w:rsidR="00FF6DBC" w:rsidRPr="00000849">
        <w:rPr>
          <w:rFonts w:asciiTheme="minorHAnsi" w:hAnsiTheme="minorHAnsi" w:cstheme="minorHAnsi"/>
          <w:color w:val="383838"/>
        </w:rPr>
        <w:t xml:space="preserve"> with explanatory variables</w:t>
      </w:r>
      <w:r w:rsidR="00393BE4" w:rsidRPr="00000849">
        <w:rPr>
          <w:rFonts w:asciiTheme="minorHAnsi" w:hAnsiTheme="minorHAnsi" w:cstheme="minorHAnsi"/>
          <w:color w:val="383838"/>
        </w:rPr>
        <w:t xml:space="preserve"> in W1</w:t>
      </w:r>
      <w:r w:rsidR="00B5328A" w:rsidRPr="00000849">
        <w:rPr>
          <w:rFonts w:asciiTheme="minorHAnsi" w:hAnsiTheme="minorHAnsi" w:cstheme="minorHAnsi"/>
          <w:color w:val="383838"/>
        </w:rPr>
        <w:t xml:space="preserve"> and </w:t>
      </w:r>
      <w:r w:rsidR="00393BE4" w:rsidRPr="00000849">
        <w:rPr>
          <w:rFonts w:asciiTheme="minorHAnsi" w:hAnsiTheme="minorHAnsi" w:cstheme="minorHAnsi"/>
          <w:color w:val="383838"/>
        </w:rPr>
        <w:t xml:space="preserve">W2 </w:t>
      </w:r>
      <w:r w:rsidR="00884F5E" w:rsidRPr="00000849">
        <w:rPr>
          <w:rFonts w:asciiTheme="minorHAnsi" w:hAnsiTheme="minorHAnsi" w:cstheme="minorHAnsi"/>
          <w:color w:val="383838"/>
        </w:rPr>
        <w:t>showing</w:t>
      </w:r>
      <w:r w:rsidR="00393BE4" w:rsidRPr="00000849">
        <w:rPr>
          <w:rFonts w:asciiTheme="minorHAnsi" w:hAnsiTheme="minorHAnsi" w:cstheme="minorHAnsi"/>
          <w:color w:val="383838"/>
        </w:rPr>
        <w:t xml:space="preserve"> that the proportional odds assumption or parallel lines assumption was met.</w:t>
      </w:r>
      <w:r w:rsidR="00FF6DBC" w:rsidRPr="00000849">
        <w:rPr>
          <w:rFonts w:asciiTheme="minorHAnsi" w:hAnsiTheme="minorHAnsi" w:cstheme="minorHAnsi"/>
          <w:color w:val="383838"/>
        </w:rPr>
        <w:t xml:space="preserve">  Thus, the odds ratio comparing the one level with the next lower level(s) of hypertension are the same</w:t>
      </w:r>
      <w:r w:rsidR="00826A8A" w:rsidRPr="00000849">
        <w:rPr>
          <w:rFonts w:asciiTheme="minorHAnsi" w:hAnsiTheme="minorHAnsi" w:cstheme="minorHAnsi"/>
          <w:color w:val="383838"/>
        </w:rPr>
        <w:t>, meaning the odds ratio comparing m</w:t>
      </w:r>
      <w:r w:rsidR="00FF6DBC" w:rsidRPr="00000849">
        <w:rPr>
          <w:rFonts w:asciiTheme="minorHAnsi" w:hAnsiTheme="minorHAnsi" w:cstheme="minorHAnsi"/>
          <w:color w:val="383838"/>
        </w:rPr>
        <w:t xml:space="preserve">oderate-severe hypertension versus normal and mild hypertension </w:t>
      </w:r>
      <w:r w:rsidR="00826A8A" w:rsidRPr="00000849">
        <w:rPr>
          <w:rFonts w:asciiTheme="minorHAnsi" w:hAnsiTheme="minorHAnsi" w:cstheme="minorHAnsi"/>
          <w:color w:val="383838"/>
        </w:rPr>
        <w:t>is the same</w:t>
      </w:r>
      <w:r w:rsidR="00FF6DBC" w:rsidRPr="00000849">
        <w:rPr>
          <w:rFonts w:asciiTheme="minorHAnsi" w:hAnsiTheme="minorHAnsi" w:cstheme="minorHAnsi"/>
          <w:color w:val="383838"/>
        </w:rPr>
        <w:t xml:space="preserve"> as that comparing mild hypertension and </w:t>
      </w:r>
      <w:r w:rsidR="00826A8A" w:rsidRPr="00000849">
        <w:rPr>
          <w:rFonts w:asciiTheme="minorHAnsi" w:hAnsiTheme="minorHAnsi" w:cstheme="minorHAnsi"/>
          <w:color w:val="383838"/>
        </w:rPr>
        <w:t>higher grade of hypertension</w:t>
      </w:r>
      <w:r w:rsidR="00FF6DBC" w:rsidRPr="00000849">
        <w:rPr>
          <w:rFonts w:asciiTheme="minorHAnsi" w:hAnsiTheme="minorHAnsi" w:cstheme="minorHAnsi"/>
          <w:color w:val="383838"/>
        </w:rPr>
        <w:t xml:space="preserve"> versus normal BP.</w:t>
      </w:r>
    </w:p>
    <w:p w14:paraId="06C4B389" w14:textId="432840BF" w:rsidR="000B7264" w:rsidRPr="00000849" w:rsidRDefault="000B7264" w:rsidP="003E25D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3D9CD86" w14:textId="75A2BA5B" w:rsidR="000B7264" w:rsidRPr="00000849" w:rsidRDefault="002006AA" w:rsidP="00000849">
      <w:pPr>
        <w:pStyle w:val="Heading3"/>
        <w:keepNext w:val="0"/>
        <w:keepLines w:val="0"/>
      </w:pPr>
      <w:bookmarkStart w:id="103" w:name="_Toc51472140"/>
      <w:r w:rsidRPr="00000849">
        <w:t>5.</w:t>
      </w:r>
      <w:r w:rsidR="00C665B2" w:rsidRPr="00000849">
        <w:t>6</w:t>
      </w:r>
      <w:r w:rsidR="000B7264" w:rsidRPr="00000849">
        <w:t>.2</w:t>
      </w:r>
      <w:r w:rsidR="000B7264" w:rsidRPr="00000849">
        <w:tab/>
        <w:t>Model fit in ordinal logistic regression</w:t>
      </w:r>
      <w:bookmarkEnd w:id="103"/>
    </w:p>
    <w:p w14:paraId="7A48BF24" w14:textId="77777777" w:rsidR="000B7264" w:rsidRPr="00000849" w:rsidRDefault="000B7264" w:rsidP="00000849">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684A761" w14:textId="2449C545" w:rsidR="00277DE7" w:rsidRPr="00000849" w:rsidRDefault="000B7264" w:rsidP="00000849">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two-level multivariable model grouped household level membership as level 2 and the individuals as Level 1.  </w:t>
      </w:r>
      <w:r w:rsidR="00626935" w:rsidRPr="00000849">
        <w:rPr>
          <w:rFonts w:asciiTheme="minorHAnsi" w:hAnsiTheme="minorHAnsi" w:cstheme="minorHAnsi"/>
          <w:color w:val="383838"/>
        </w:rPr>
        <w:t xml:space="preserve">In the three-level model, the individuals (level 1) were nested in households (level 2) which, in turn, were nested in EAs (level 3).  </w:t>
      </w:r>
      <w:r w:rsidR="00FF6DBC" w:rsidRPr="00000849">
        <w:rPr>
          <w:rFonts w:asciiTheme="minorHAnsi" w:hAnsiTheme="minorHAnsi" w:cstheme="minorHAnsi"/>
          <w:color w:val="383838"/>
        </w:rPr>
        <w:t xml:space="preserve">The </w:t>
      </w:r>
      <w:r w:rsidR="00470AB9" w:rsidRPr="00000849">
        <w:rPr>
          <w:rFonts w:asciiTheme="minorHAnsi" w:hAnsiTheme="minorHAnsi" w:cstheme="minorHAnsi"/>
          <w:color w:val="383838"/>
        </w:rPr>
        <w:t>two-level with</w:t>
      </w:r>
      <w:r w:rsidR="009164C7" w:rsidRPr="00000849">
        <w:rPr>
          <w:rFonts w:asciiTheme="minorHAnsi" w:hAnsiTheme="minorHAnsi" w:cstheme="minorHAnsi"/>
          <w:color w:val="383838"/>
        </w:rPr>
        <w:t xml:space="preserve"> the full set of</w:t>
      </w:r>
      <w:r w:rsidR="00470AB9" w:rsidRPr="00000849">
        <w:rPr>
          <w:rFonts w:asciiTheme="minorHAnsi" w:hAnsiTheme="minorHAnsi" w:cstheme="minorHAnsi"/>
          <w:color w:val="383838"/>
        </w:rPr>
        <w:t xml:space="preserve"> explanatory variables </w:t>
      </w:r>
      <w:r w:rsidR="00E77E62" w:rsidRPr="00000849">
        <w:rPr>
          <w:rFonts w:asciiTheme="minorHAnsi" w:hAnsiTheme="minorHAnsi" w:cstheme="minorHAnsi"/>
          <w:color w:val="383838"/>
        </w:rPr>
        <w:t xml:space="preserve">included </w:t>
      </w:r>
      <w:r w:rsidR="009164C7" w:rsidRPr="00000849">
        <w:rPr>
          <w:rFonts w:asciiTheme="minorHAnsi" w:hAnsiTheme="minorHAnsi" w:cstheme="minorHAnsi"/>
          <w:color w:val="383838"/>
        </w:rPr>
        <w:t>3</w:t>
      </w:r>
      <w:r w:rsidR="005A4391" w:rsidRPr="00000849">
        <w:rPr>
          <w:rFonts w:asciiTheme="minorHAnsi" w:hAnsiTheme="minorHAnsi" w:cstheme="minorHAnsi"/>
          <w:color w:val="383838"/>
        </w:rPr>
        <w:t>,</w:t>
      </w:r>
      <w:r w:rsidR="009164C7" w:rsidRPr="00000849">
        <w:rPr>
          <w:rFonts w:asciiTheme="minorHAnsi" w:hAnsiTheme="minorHAnsi" w:cstheme="minorHAnsi"/>
          <w:color w:val="383838"/>
        </w:rPr>
        <w:t xml:space="preserve">868 </w:t>
      </w:r>
      <w:r w:rsidR="00E77E62" w:rsidRPr="00000849">
        <w:rPr>
          <w:rFonts w:asciiTheme="minorHAnsi" w:hAnsiTheme="minorHAnsi" w:cstheme="minorHAnsi"/>
          <w:color w:val="383838"/>
        </w:rPr>
        <w:t>subjects in 3</w:t>
      </w:r>
      <w:r w:rsidR="00792205" w:rsidRPr="00000849">
        <w:rPr>
          <w:rFonts w:asciiTheme="minorHAnsi" w:hAnsiTheme="minorHAnsi" w:cstheme="minorHAnsi"/>
          <w:color w:val="383838"/>
        </w:rPr>
        <w:t>,</w:t>
      </w:r>
      <w:r w:rsidR="009164C7" w:rsidRPr="00000849">
        <w:rPr>
          <w:rFonts w:asciiTheme="minorHAnsi" w:hAnsiTheme="minorHAnsi" w:cstheme="minorHAnsi"/>
          <w:color w:val="383838"/>
        </w:rPr>
        <w:t>651</w:t>
      </w:r>
      <w:r w:rsidR="00E77E62" w:rsidRPr="00000849">
        <w:rPr>
          <w:rFonts w:asciiTheme="minorHAnsi" w:hAnsiTheme="minorHAnsi" w:cstheme="minorHAnsi"/>
          <w:color w:val="383838"/>
        </w:rPr>
        <w:t xml:space="preserve"> households or 1.1 subjects per household in W1</w:t>
      </w:r>
      <w:r w:rsidR="009164C7" w:rsidRPr="00000849">
        <w:rPr>
          <w:rFonts w:asciiTheme="minorHAnsi" w:hAnsiTheme="minorHAnsi" w:cstheme="minorHAnsi"/>
          <w:color w:val="383838"/>
        </w:rPr>
        <w:t xml:space="preserve"> and</w:t>
      </w:r>
      <w:r w:rsidR="00E77E62" w:rsidRPr="00000849">
        <w:rPr>
          <w:rFonts w:asciiTheme="minorHAnsi" w:hAnsiTheme="minorHAnsi" w:cstheme="minorHAnsi"/>
          <w:color w:val="383838"/>
        </w:rPr>
        <w:t xml:space="preserve"> </w:t>
      </w:r>
      <w:r w:rsidR="009164C7" w:rsidRPr="00000849">
        <w:rPr>
          <w:rFonts w:asciiTheme="minorHAnsi" w:hAnsiTheme="minorHAnsi" w:cstheme="minorHAnsi"/>
          <w:color w:val="383838"/>
        </w:rPr>
        <w:t>2</w:t>
      </w:r>
      <w:r w:rsidR="005A4391" w:rsidRPr="00000849">
        <w:rPr>
          <w:rFonts w:asciiTheme="minorHAnsi" w:hAnsiTheme="minorHAnsi" w:cstheme="minorHAnsi"/>
          <w:color w:val="383838"/>
        </w:rPr>
        <w:t>,</w:t>
      </w:r>
      <w:r w:rsidR="009164C7" w:rsidRPr="00000849">
        <w:rPr>
          <w:rFonts w:asciiTheme="minorHAnsi" w:hAnsiTheme="minorHAnsi" w:cstheme="minorHAnsi"/>
          <w:color w:val="383838"/>
        </w:rPr>
        <w:t>868</w:t>
      </w:r>
      <w:r w:rsidR="005A4391" w:rsidRPr="00000849">
        <w:rPr>
          <w:rFonts w:asciiTheme="minorHAnsi" w:hAnsiTheme="minorHAnsi" w:cstheme="minorHAnsi"/>
          <w:color w:val="383838"/>
        </w:rPr>
        <w:t xml:space="preserve"> subjects in 2,</w:t>
      </w:r>
      <w:r w:rsidR="009164C7" w:rsidRPr="00000849">
        <w:rPr>
          <w:rFonts w:asciiTheme="minorHAnsi" w:hAnsiTheme="minorHAnsi" w:cstheme="minorHAnsi"/>
          <w:color w:val="383838"/>
        </w:rPr>
        <w:t>392</w:t>
      </w:r>
      <w:r w:rsidR="005A4391" w:rsidRPr="00000849">
        <w:rPr>
          <w:rFonts w:asciiTheme="minorHAnsi" w:hAnsiTheme="minorHAnsi" w:cstheme="minorHAnsi"/>
          <w:color w:val="383838"/>
        </w:rPr>
        <w:t xml:space="preserve"> or 1.2 subjects per household in W2.  </w:t>
      </w:r>
      <w:r w:rsidR="00792205" w:rsidRPr="00000849">
        <w:rPr>
          <w:rFonts w:asciiTheme="minorHAnsi" w:hAnsiTheme="minorHAnsi" w:cstheme="minorHAnsi"/>
          <w:color w:val="383838"/>
        </w:rPr>
        <w:t>In the three-level model, there were 1</w:t>
      </w:r>
      <w:r w:rsidR="00D37018" w:rsidRPr="00000849">
        <w:rPr>
          <w:rFonts w:asciiTheme="minorHAnsi" w:hAnsiTheme="minorHAnsi" w:cstheme="minorHAnsi"/>
          <w:color w:val="383838"/>
        </w:rPr>
        <w:t>6</w:t>
      </w:r>
      <w:r w:rsidR="00792205" w:rsidRPr="00000849">
        <w:rPr>
          <w:rFonts w:asciiTheme="minorHAnsi" w:hAnsiTheme="minorHAnsi" w:cstheme="minorHAnsi"/>
          <w:color w:val="383838"/>
        </w:rPr>
        <w:t>.</w:t>
      </w:r>
      <w:r w:rsidR="00D37018" w:rsidRPr="00000849">
        <w:rPr>
          <w:rFonts w:asciiTheme="minorHAnsi" w:hAnsiTheme="minorHAnsi" w:cstheme="minorHAnsi"/>
          <w:color w:val="383838"/>
        </w:rPr>
        <w:t>5</w:t>
      </w:r>
      <w:r w:rsidR="00792205" w:rsidRPr="00000849">
        <w:rPr>
          <w:rFonts w:asciiTheme="minorHAnsi" w:hAnsiTheme="minorHAnsi" w:cstheme="minorHAnsi"/>
          <w:color w:val="383838"/>
        </w:rPr>
        <w:t xml:space="preserve"> </w:t>
      </w:r>
      <w:r w:rsidR="00D37018" w:rsidRPr="00000849">
        <w:rPr>
          <w:rFonts w:asciiTheme="minorHAnsi" w:hAnsiTheme="minorHAnsi" w:cstheme="minorHAnsi"/>
          <w:color w:val="383838"/>
        </w:rPr>
        <w:t>subjects</w:t>
      </w:r>
      <w:r w:rsidR="00792205" w:rsidRPr="00000849">
        <w:rPr>
          <w:rFonts w:asciiTheme="minorHAnsi" w:hAnsiTheme="minorHAnsi" w:cstheme="minorHAnsi"/>
          <w:color w:val="383838"/>
        </w:rPr>
        <w:t xml:space="preserve"> per EA in </w:t>
      </w:r>
      <w:r w:rsidR="00277DE7" w:rsidRPr="00000849">
        <w:rPr>
          <w:rFonts w:asciiTheme="minorHAnsi" w:hAnsiTheme="minorHAnsi" w:cstheme="minorHAnsi"/>
          <w:color w:val="383838"/>
        </w:rPr>
        <w:t xml:space="preserve">the 235 EAs in </w:t>
      </w:r>
      <w:r w:rsidR="00792205" w:rsidRPr="00000849">
        <w:rPr>
          <w:rFonts w:asciiTheme="minorHAnsi" w:hAnsiTheme="minorHAnsi" w:cstheme="minorHAnsi"/>
          <w:color w:val="383838"/>
        </w:rPr>
        <w:t>W1</w:t>
      </w:r>
      <w:r w:rsidR="00A61BAB" w:rsidRPr="00000849">
        <w:rPr>
          <w:rFonts w:asciiTheme="minorHAnsi" w:hAnsiTheme="minorHAnsi" w:cstheme="minorHAnsi"/>
          <w:color w:val="383838"/>
        </w:rPr>
        <w:t xml:space="preserve"> and</w:t>
      </w:r>
      <w:r w:rsidR="00792205" w:rsidRPr="00000849">
        <w:rPr>
          <w:rFonts w:asciiTheme="minorHAnsi" w:hAnsiTheme="minorHAnsi" w:cstheme="minorHAnsi"/>
          <w:color w:val="383838"/>
        </w:rPr>
        <w:t xml:space="preserve"> 1</w:t>
      </w:r>
      <w:r w:rsidR="00277DE7" w:rsidRPr="00000849">
        <w:rPr>
          <w:rFonts w:asciiTheme="minorHAnsi" w:hAnsiTheme="minorHAnsi" w:cstheme="minorHAnsi"/>
          <w:color w:val="383838"/>
        </w:rPr>
        <w:t>3</w:t>
      </w:r>
      <w:r w:rsidR="00792205" w:rsidRPr="00000849">
        <w:rPr>
          <w:rFonts w:asciiTheme="minorHAnsi" w:hAnsiTheme="minorHAnsi" w:cstheme="minorHAnsi"/>
          <w:color w:val="383838"/>
        </w:rPr>
        <w:t xml:space="preserve">.5 </w:t>
      </w:r>
      <w:r w:rsidR="00277DE7" w:rsidRPr="00000849">
        <w:rPr>
          <w:rFonts w:asciiTheme="minorHAnsi" w:hAnsiTheme="minorHAnsi" w:cstheme="minorHAnsi"/>
          <w:color w:val="383838"/>
        </w:rPr>
        <w:t xml:space="preserve">subjects per EA </w:t>
      </w:r>
      <w:r w:rsidR="00792205" w:rsidRPr="00000849">
        <w:rPr>
          <w:rFonts w:asciiTheme="minorHAnsi" w:hAnsiTheme="minorHAnsi" w:cstheme="minorHAnsi"/>
          <w:color w:val="383838"/>
        </w:rPr>
        <w:t xml:space="preserve">in </w:t>
      </w:r>
      <w:r w:rsidR="00277DE7" w:rsidRPr="00000849">
        <w:rPr>
          <w:rFonts w:asciiTheme="minorHAnsi" w:hAnsiTheme="minorHAnsi" w:cstheme="minorHAnsi"/>
          <w:color w:val="383838"/>
        </w:rPr>
        <w:t xml:space="preserve">the 213 EAs in </w:t>
      </w:r>
      <w:r w:rsidR="00792205" w:rsidRPr="00000849">
        <w:rPr>
          <w:rFonts w:asciiTheme="minorHAnsi" w:hAnsiTheme="minorHAnsi" w:cstheme="minorHAnsi"/>
          <w:color w:val="383838"/>
        </w:rPr>
        <w:t xml:space="preserve">W2.  </w:t>
      </w:r>
    </w:p>
    <w:p w14:paraId="55C4D971" w14:textId="6A4095C3" w:rsidR="00AA5EFA" w:rsidRPr="00000849" w:rsidRDefault="00384753" w:rsidP="00143B7E">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lastRenderedPageBreak/>
        <w:t xml:space="preserve">The likelihood ratio test comparing the two-level with the single level </w:t>
      </w:r>
      <w:r w:rsidR="00277DE7" w:rsidRPr="00000849">
        <w:rPr>
          <w:rFonts w:asciiTheme="minorHAnsi" w:hAnsiTheme="minorHAnsi" w:cstheme="minorHAnsi"/>
          <w:color w:val="383838"/>
        </w:rPr>
        <w:t xml:space="preserve">ordinal </w:t>
      </w:r>
      <w:r w:rsidRPr="00000849">
        <w:rPr>
          <w:rFonts w:asciiTheme="minorHAnsi" w:hAnsiTheme="minorHAnsi" w:cstheme="minorHAnsi"/>
          <w:color w:val="383838"/>
        </w:rPr>
        <w:t xml:space="preserve">model was </w:t>
      </w:r>
      <w:r w:rsidR="00277DE7" w:rsidRPr="00000849">
        <w:rPr>
          <w:rFonts w:asciiTheme="minorHAnsi" w:hAnsiTheme="minorHAnsi" w:cstheme="minorHAnsi"/>
          <w:color w:val="383838"/>
        </w:rPr>
        <w:t xml:space="preserve">not </w:t>
      </w:r>
      <w:r w:rsidRPr="00000849">
        <w:rPr>
          <w:rFonts w:asciiTheme="minorHAnsi" w:hAnsiTheme="minorHAnsi" w:cstheme="minorHAnsi"/>
          <w:color w:val="383838"/>
        </w:rPr>
        <w:t>statistically significant in W1 (chi</w:t>
      </w:r>
      <w:r w:rsidR="00705C00" w:rsidRPr="00000849">
        <w:rPr>
          <w:rFonts w:cstheme="minorHAnsi"/>
          <w:color w:val="383838"/>
          <w:vertAlign w:val="superscript"/>
        </w:rPr>
        <w:t>2</w:t>
      </w:r>
      <w:r w:rsidRPr="00000849">
        <w:rPr>
          <w:rFonts w:asciiTheme="minorHAnsi" w:hAnsiTheme="minorHAnsi" w:cstheme="minorHAnsi"/>
          <w:color w:val="383838"/>
        </w:rPr>
        <w:t xml:space="preserve"> </w:t>
      </w:r>
      <w:r w:rsidR="00705C00" w:rsidRPr="00000849">
        <w:rPr>
          <w:rFonts w:asciiTheme="minorHAnsi" w:hAnsiTheme="minorHAnsi" w:cstheme="minorHAnsi"/>
          <w:color w:val="383838"/>
        </w:rPr>
        <w:t>=</w:t>
      </w:r>
      <w:r w:rsidR="00277DE7" w:rsidRPr="00000849">
        <w:rPr>
          <w:rFonts w:asciiTheme="minorHAnsi" w:hAnsiTheme="minorHAnsi" w:cstheme="minorHAnsi"/>
          <w:color w:val="383838"/>
        </w:rPr>
        <w:t>1.54</w:t>
      </w:r>
      <w:r w:rsidR="00705C00" w:rsidRPr="00000849">
        <w:rPr>
          <w:rFonts w:asciiTheme="minorHAnsi" w:hAnsiTheme="minorHAnsi" w:cstheme="minorHAnsi"/>
          <w:color w:val="383838"/>
        </w:rPr>
        <w:t>, p=0.</w:t>
      </w:r>
      <w:r w:rsidR="00277DE7" w:rsidRPr="00000849">
        <w:rPr>
          <w:rFonts w:asciiTheme="minorHAnsi" w:hAnsiTheme="minorHAnsi" w:cstheme="minorHAnsi"/>
          <w:color w:val="383838"/>
        </w:rPr>
        <w:t>108</w:t>
      </w:r>
      <w:r w:rsidR="00705C00" w:rsidRPr="00000849">
        <w:rPr>
          <w:rFonts w:asciiTheme="minorHAnsi" w:hAnsiTheme="minorHAnsi" w:cstheme="minorHAnsi"/>
          <w:color w:val="383838"/>
        </w:rPr>
        <w:t>)</w:t>
      </w:r>
      <w:r w:rsidR="00277DE7" w:rsidRPr="00000849">
        <w:rPr>
          <w:rFonts w:asciiTheme="minorHAnsi" w:hAnsiTheme="minorHAnsi" w:cstheme="minorHAnsi"/>
          <w:color w:val="383838"/>
        </w:rPr>
        <w:t xml:space="preserve"> but was significant</w:t>
      </w:r>
      <w:r w:rsidR="00705C00" w:rsidRPr="00000849">
        <w:rPr>
          <w:rFonts w:asciiTheme="minorHAnsi" w:hAnsiTheme="minorHAnsi" w:cstheme="minorHAnsi"/>
          <w:color w:val="383838"/>
        </w:rPr>
        <w:t xml:space="preserve"> in W2 (chi</w:t>
      </w:r>
      <w:r w:rsidR="00705C00" w:rsidRPr="00000849">
        <w:rPr>
          <w:rFonts w:cstheme="minorHAnsi"/>
          <w:color w:val="383838"/>
          <w:vertAlign w:val="superscript"/>
        </w:rPr>
        <w:t>2</w:t>
      </w:r>
      <w:r w:rsidR="00705C00" w:rsidRPr="00000849">
        <w:rPr>
          <w:rFonts w:asciiTheme="minorHAnsi" w:hAnsiTheme="minorHAnsi" w:cstheme="minorHAnsi"/>
          <w:color w:val="383838"/>
        </w:rPr>
        <w:t xml:space="preserve"> = </w:t>
      </w:r>
      <w:r w:rsidR="00277DE7" w:rsidRPr="00000849">
        <w:rPr>
          <w:rFonts w:asciiTheme="minorHAnsi" w:hAnsiTheme="minorHAnsi" w:cstheme="minorHAnsi"/>
          <w:color w:val="383838"/>
        </w:rPr>
        <w:t>4</w:t>
      </w:r>
      <w:r w:rsidR="00705C00" w:rsidRPr="00000849">
        <w:rPr>
          <w:rFonts w:asciiTheme="minorHAnsi" w:hAnsiTheme="minorHAnsi" w:cstheme="minorHAnsi"/>
          <w:color w:val="383838"/>
        </w:rPr>
        <w:t>.</w:t>
      </w:r>
      <w:r w:rsidR="00277DE7" w:rsidRPr="00000849">
        <w:rPr>
          <w:rFonts w:asciiTheme="minorHAnsi" w:hAnsiTheme="minorHAnsi" w:cstheme="minorHAnsi"/>
          <w:color w:val="383838"/>
        </w:rPr>
        <w:t>42</w:t>
      </w:r>
      <w:r w:rsidR="00705C00" w:rsidRPr="00000849">
        <w:rPr>
          <w:rFonts w:asciiTheme="minorHAnsi" w:hAnsiTheme="minorHAnsi" w:cstheme="minorHAnsi"/>
          <w:color w:val="383838"/>
        </w:rPr>
        <w:t>, p</w:t>
      </w:r>
      <w:r w:rsidR="00277DE7" w:rsidRPr="00000849">
        <w:rPr>
          <w:rFonts w:asciiTheme="minorHAnsi" w:hAnsiTheme="minorHAnsi" w:cstheme="minorHAnsi"/>
          <w:color w:val="383838"/>
        </w:rPr>
        <w:t>=</w:t>
      </w:r>
      <w:r w:rsidR="00705C00" w:rsidRPr="00000849">
        <w:rPr>
          <w:rFonts w:asciiTheme="minorHAnsi" w:hAnsiTheme="minorHAnsi" w:cstheme="minorHAnsi"/>
          <w:color w:val="383838"/>
        </w:rPr>
        <w:t>0.01</w:t>
      </w:r>
      <w:r w:rsidR="00277DE7" w:rsidRPr="00000849">
        <w:rPr>
          <w:rFonts w:asciiTheme="minorHAnsi" w:hAnsiTheme="minorHAnsi" w:cstheme="minorHAnsi"/>
          <w:color w:val="383838"/>
        </w:rPr>
        <w:t>8</w:t>
      </w:r>
      <w:r w:rsidR="00705C00" w:rsidRPr="00000849">
        <w:rPr>
          <w:rFonts w:asciiTheme="minorHAnsi" w:hAnsiTheme="minorHAnsi" w:cstheme="minorHAnsi"/>
          <w:color w:val="383838"/>
        </w:rPr>
        <w:t>)</w:t>
      </w:r>
      <w:r w:rsidR="00277DE7" w:rsidRPr="00000849">
        <w:rPr>
          <w:rFonts w:asciiTheme="minorHAnsi" w:hAnsiTheme="minorHAnsi" w:cstheme="minorHAnsi"/>
          <w:color w:val="383838"/>
        </w:rPr>
        <w:t xml:space="preserve">.  </w:t>
      </w:r>
      <w:r w:rsidR="00AA5EFA" w:rsidRPr="00000849">
        <w:rPr>
          <w:rFonts w:asciiTheme="minorHAnsi" w:hAnsiTheme="minorHAnsi" w:cstheme="minorHAnsi"/>
          <w:color w:val="383838"/>
        </w:rPr>
        <w:t>The AIC/BIC values were lowest for the three-level ordinal model in W1 (Table 5.7).  The likelihood ratio tests comparing the three-level model with the two-level model for W2 favoured the former as providing a better fit to the data (chi2 = 7.08, p=0.008).  Overall, it would appear that the three-level model</w:t>
      </w:r>
      <w:r w:rsidR="005D1435" w:rsidRPr="00000849">
        <w:rPr>
          <w:rFonts w:asciiTheme="minorHAnsi" w:hAnsiTheme="minorHAnsi" w:cstheme="minorHAnsi"/>
          <w:color w:val="383838"/>
        </w:rPr>
        <w:t xml:space="preserve">, which takes account of the nested data structure at the household and enumeration area levels rather than ignore them, </w:t>
      </w:r>
      <w:r w:rsidR="00AA5EFA" w:rsidRPr="00000849">
        <w:rPr>
          <w:rFonts w:asciiTheme="minorHAnsi" w:hAnsiTheme="minorHAnsi" w:cstheme="minorHAnsi"/>
          <w:color w:val="383838"/>
        </w:rPr>
        <w:t xml:space="preserve">was the best </w:t>
      </w:r>
      <w:r w:rsidR="00B156F9" w:rsidRPr="00000849">
        <w:rPr>
          <w:rFonts w:asciiTheme="minorHAnsi" w:hAnsiTheme="minorHAnsi" w:cstheme="minorHAnsi"/>
          <w:color w:val="383838"/>
        </w:rPr>
        <w:t xml:space="preserve">fitting </w:t>
      </w:r>
      <w:r w:rsidR="00AA5EFA" w:rsidRPr="00000849">
        <w:rPr>
          <w:rFonts w:asciiTheme="minorHAnsi" w:hAnsiTheme="minorHAnsi" w:cstheme="minorHAnsi"/>
          <w:color w:val="383838"/>
        </w:rPr>
        <w:t xml:space="preserve">model for both W1 and W2.  </w:t>
      </w:r>
      <w:r w:rsidR="00B156F9" w:rsidRPr="00000849">
        <w:rPr>
          <w:rFonts w:asciiTheme="minorHAnsi" w:hAnsiTheme="minorHAnsi" w:cstheme="minorHAnsi"/>
          <w:color w:val="383838"/>
        </w:rPr>
        <w:t>Accordingly, the determinants of hypertension w</w:t>
      </w:r>
      <w:r w:rsidR="00576EDF">
        <w:rPr>
          <w:rFonts w:asciiTheme="minorHAnsi" w:hAnsiTheme="minorHAnsi" w:cstheme="minorHAnsi"/>
          <w:color w:val="383838"/>
        </w:rPr>
        <w:t>ere</w:t>
      </w:r>
      <w:r w:rsidR="00B156F9" w:rsidRPr="00000849">
        <w:rPr>
          <w:rFonts w:asciiTheme="minorHAnsi" w:hAnsiTheme="minorHAnsi" w:cstheme="minorHAnsi"/>
          <w:color w:val="383838"/>
        </w:rPr>
        <w:t xml:space="preserve"> derived from this model.</w:t>
      </w:r>
    </w:p>
    <w:p w14:paraId="6C99F33A" w14:textId="282F3FA4" w:rsidR="00AA5EFA" w:rsidRPr="00000849" w:rsidRDefault="00AA5EFA" w:rsidP="00AA5EFA">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8DE7720" w14:textId="0E599D6F" w:rsidR="00AA5EFA" w:rsidRPr="00000849" w:rsidRDefault="00AA5EFA" w:rsidP="00143B7E">
      <w:pPr>
        <w:pStyle w:val="Caption"/>
        <w:rPr>
          <w:rFonts w:cstheme="minorHAnsi"/>
          <w:color w:val="383838"/>
        </w:rPr>
      </w:pPr>
      <w:bookmarkStart w:id="104" w:name="_Toc71153635"/>
      <w:r w:rsidRPr="00000849">
        <w:t>Table 5.</w:t>
      </w:r>
      <w:fldSimple w:instr=" SEQ Table_5. \* ARABIC ">
        <w:r w:rsidR="00C0100F">
          <w:rPr>
            <w:noProof/>
          </w:rPr>
          <w:t>7</w:t>
        </w:r>
      </w:fldSimple>
      <w:r w:rsidRPr="00000849">
        <w:t>:</w:t>
      </w:r>
      <w:r w:rsidRPr="00000849">
        <w:tab/>
        <w:t>Selection criteria for single, two- and three-level multilevel ordinal logistic regression analysis of determinants of hypertension in study Waves 1 and 2</w:t>
      </w:r>
      <w:bookmarkEnd w:id="104"/>
    </w:p>
    <w:tbl>
      <w:tblPr>
        <w:tblStyle w:val="PlainTable1"/>
        <w:tblW w:w="5000" w:type="pct"/>
        <w:tblInd w:w="0" w:type="dxa"/>
        <w:tblLook w:val="06A0" w:firstRow="1" w:lastRow="0" w:firstColumn="1" w:lastColumn="0" w:noHBand="1" w:noVBand="1"/>
      </w:tblPr>
      <w:tblGrid>
        <w:gridCol w:w="1047"/>
        <w:gridCol w:w="887"/>
        <w:gridCol w:w="943"/>
        <w:gridCol w:w="994"/>
        <w:gridCol w:w="887"/>
        <w:gridCol w:w="933"/>
        <w:gridCol w:w="933"/>
        <w:gridCol w:w="897"/>
        <w:gridCol w:w="780"/>
      </w:tblGrid>
      <w:tr w:rsidR="005D1435" w:rsidRPr="00000849" w14:paraId="7031D35E" w14:textId="77777777" w:rsidTr="005D1435">
        <w:trPr>
          <w:cnfStyle w:val="100000000000" w:firstRow="1" w:lastRow="0" w:firstColumn="0" w:lastColumn="0" w:oddVBand="0" w:evenVBand="0" w:oddHBand="0" w:evenHBand="0" w:firstRowFirstColumn="0" w:firstRowLastColumn="0" w:lastRowFirstColumn="0" w:lastRowLastColumn="0"/>
          <w:divId w:val="1688829448"/>
          <w:trHeight w:val="540"/>
        </w:trPr>
        <w:tc>
          <w:tcPr>
            <w:cnfStyle w:val="001000000000" w:firstRow="0" w:lastRow="0" w:firstColumn="1" w:lastColumn="0" w:oddVBand="0" w:evenVBand="0" w:oddHBand="0" w:evenHBand="0" w:firstRowFirstColumn="0" w:firstRowLastColumn="0" w:lastRowFirstColumn="0" w:lastRowLastColumn="0"/>
            <w:tcW w:w="631" w:type="pct"/>
            <w:vMerge w:val="restart"/>
            <w:noWrap/>
            <w:hideMark/>
          </w:tcPr>
          <w:p w14:paraId="1CEDA563" w14:textId="77777777" w:rsidR="00AA5EFA" w:rsidRPr="00000849" w:rsidRDefault="00AA5EFA" w:rsidP="00AA5EFA">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Model</w:t>
            </w:r>
          </w:p>
        </w:tc>
        <w:tc>
          <w:tcPr>
            <w:tcW w:w="534" w:type="pct"/>
            <w:vMerge w:val="restart"/>
            <w:noWrap/>
            <w:hideMark/>
          </w:tcPr>
          <w:p w14:paraId="63EE8381" w14:textId="77777777" w:rsidR="00AA5EFA" w:rsidRPr="00000849" w:rsidRDefault="00AA5EFA" w:rsidP="00AA5E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Obs</w:t>
            </w:r>
          </w:p>
        </w:tc>
        <w:tc>
          <w:tcPr>
            <w:tcW w:w="568" w:type="pct"/>
            <w:vMerge w:val="restart"/>
            <w:noWrap/>
            <w:hideMark/>
          </w:tcPr>
          <w:p w14:paraId="5037E313" w14:textId="77777777" w:rsidR="00AA5EFA" w:rsidRPr="00000849" w:rsidRDefault="00AA5EFA" w:rsidP="00AA5E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ll(null)</w:t>
            </w:r>
          </w:p>
        </w:tc>
        <w:tc>
          <w:tcPr>
            <w:tcW w:w="599" w:type="pct"/>
            <w:vMerge w:val="restart"/>
            <w:noWrap/>
            <w:hideMark/>
          </w:tcPr>
          <w:p w14:paraId="0B0F295F" w14:textId="77777777" w:rsidR="00AA5EFA" w:rsidRPr="00000849" w:rsidRDefault="00AA5EFA" w:rsidP="00AA5E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ll(model)</w:t>
            </w:r>
          </w:p>
        </w:tc>
        <w:tc>
          <w:tcPr>
            <w:tcW w:w="534" w:type="pct"/>
            <w:vMerge w:val="restart"/>
            <w:noWrap/>
            <w:hideMark/>
          </w:tcPr>
          <w:p w14:paraId="5FB2D057" w14:textId="77777777" w:rsidR="00AA5EFA" w:rsidRPr="00000849" w:rsidRDefault="00AA5EFA" w:rsidP="00AA5E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df</w:t>
            </w:r>
          </w:p>
        </w:tc>
        <w:tc>
          <w:tcPr>
            <w:tcW w:w="562" w:type="pct"/>
            <w:vMerge w:val="restart"/>
            <w:noWrap/>
            <w:hideMark/>
          </w:tcPr>
          <w:p w14:paraId="69EF8799" w14:textId="77777777" w:rsidR="00AA5EFA" w:rsidRPr="00000849" w:rsidRDefault="00AA5EFA" w:rsidP="00AA5E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AIC</w:t>
            </w:r>
          </w:p>
        </w:tc>
        <w:tc>
          <w:tcPr>
            <w:tcW w:w="562" w:type="pct"/>
            <w:vMerge w:val="restart"/>
            <w:noWrap/>
            <w:hideMark/>
          </w:tcPr>
          <w:p w14:paraId="2531EB4D" w14:textId="77777777" w:rsidR="00AA5EFA" w:rsidRPr="00000849" w:rsidRDefault="00AA5EFA" w:rsidP="00AA5E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BIC</w:t>
            </w:r>
          </w:p>
        </w:tc>
        <w:tc>
          <w:tcPr>
            <w:tcW w:w="1010" w:type="pct"/>
            <w:gridSpan w:val="2"/>
            <w:hideMark/>
          </w:tcPr>
          <w:p w14:paraId="071C9FF9" w14:textId="77777777" w:rsidR="00AA5EFA" w:rsidRPr="00000849" w:rsidRDefault="00AA5EFA" w:rsidP="00AA5E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LR test vs. ordered logistic model</w:t>
            </w:r>
          </w:p>
        </w:tc>
      </w:tr>
      <w:tr w:rsidR="005D1435" w:rsidRPr="00000849" w14:paraId="031676E3" w14:textId="77777777" w:rsidTr="00143B7E">
        <w:trPr>
          <w:divId w:val="1688829448"/>
          <w:trHeight w:val="555"/>
        </w:trPr>
        <w:tc>
          <w:tcPr>
            <w:cnfStyle w:val="001000000000" w:firstRow="0" w:lastRow="0" w:firstColumn="1" w:lastColumn="0" w:oddVBand="0" w:evenVBand="0" w:oddHBand="0" w:evenHBand="0" w:firstRowFirstColumn="0" w:firstRowLastColumn="0" w:lastRowFirstColumn="0" w:lastRowLastColumn="0"/>
            <w:tcW w:w="631" w:type="pct"/>
            <w:vMerge/>
            <w:hideMark/>
          </w:tcPr>
          <w:p w14:paraId="4286BB07" w14:textId="77777777" w:rsidR="00AA5EFA" w:rsidRPr="00000849" w:rsidRDefault="00AA5EFA" w:rsidP="00AA5EFA">
            <w:pPr>
              <w:spacing w:after="0" w:line="240" w:lineRule="auto"/>
              <w:rPr>
                <w:rFonts w:ascii="Calibri" w:eastAsia="Times New Roman" w:hAnsi="Calibri" w:cs="Calibri"/>
                <w:color w:val="000000"/>
                <w:sz w:val="20"/>
                <w:szCs w:val="20"/>
                <w:lang w:eastAsia="en-GB"/>
              </w:rPr>
            </w:pPr>
          </w:p>
        </w:tc>
        <w:tc>
          <w:tcPr>
            <w:tcW w:w="534" w:type="pct"/>
            <w:vMerge/>
            <w:hideMark/>
          </w:tcPr>
          <w:p w14:paraId="45C1DB60"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68" w:type="pct"/>
            <w:vMerge/>
            <w:hideMark/>
          </w:tcPr>
          <w:p w14:paraId="3909D7EE"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99" w:type="pct"/>
            <w:vMerge/>
            <w:hideMark/>
          </w:tcPr>
          <w:p w14:paraId="49AD8812"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34" w:type="pct"/>
            <w:vMerge/>
            <w:hideMark/>
          </w:tcPr>
          <w:p w14:paraId="214A06BD"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62" w:type="pct"/>
            <w:vMerge/>
            <w:hideMark/>
          </w:tcPr>
          <w:p w14:paraId="2FF13F3A"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62" w:type="pct"/>
            <w:vMerge/>
            <w:hideMark/>
          </w:tcPr>
          <w:p w14:paraId="5513613F"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c>
          <w:tcPr>
            <w:tcW w:w="540" w:type="pct"/>
            <w:hideMark/>
          </w:tcPr>
          <w:p w14:paraId="63868B2C"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 xml:space="preserve">chi-squared </w:t>
            </w:r>
          </w:p>
        </w:tc>
        <w:tc>
          <w:tcPr>
            <w:tcW w:w="470" w:type="pct"/>
            <w:hideMark/>
          </w:tcPr>
          <w:p w14:paraId="3B95F64B"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p value</w:t>
            </w:r>
          </w:p>
        </w:tc>
      </w:tr>
      <w:tr w:rsidR="00AA5EFA" w:rsidRPr="00000849" w14:paraId="76EBA686" w14:textId="77777777" w:rsidTr="00143B7E">
        <w:trPr>
          <w:divId w:val="1688829448"/>
          <w:trHeight w:val="285"/>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auto"/>
            <w:noWrap/>
            <w:hideMark/>
          </w:tcPr>
          <w:p w14:paraId="0FDB9B90" w14:textId="77777777" w:rsidR="00AA5EFA" w:rsidRPr="00000849" w:rsidRDefault="00AA5EFA" w:rsidP="00AA5EFA">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Wave 1 </w:t>
            </w:r>
          </w:p>
        </w:tc>
      </w:tr>
      <w:tr w:rsidR="005D1435" w:rsidRPr="00000849" w14:paraId="7586F9E8" w14:textId="77777777" w:rsidTr="00143B7E">
        <w:trPr>
          <w:divId w:val="1688829448"/>
          <w:trHeight w:val="285"/>
        </w:trPr>
        <w:tc>
          <w:tcPr>
            <w:cnfStyle w:val="001000000000" w:firstRow="0" w:lastRow="0" w:firstColumn="1" w:lastColumn="0" w:oddVBand="0" w:evenVBand="0" w:oddHBand="0" w:evenHBand="0" w:firstRowFirstColumn="0" w:firstRowLastColumn="0" w:lastRowFirstColumn="0" w:lastRowLastColumn="0"/>
            <w:tcW w:w="631" w:type="pct"/>
            <w:noWrap/>
            <w:hideMark/>
          </w:tcPr>
          <w:p w14:paraId="496050E6" w14:textId="77777777" w:rsidR="00AA5EFA" w:rsidRPr="00000849" w:rsidRDefault="00AA5EFA" w:rsidP="00AA5EFA">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color w:val="000000"/>
                <w:sz w:val="20"/>
                <w:szCs w:val="20"/>
                <w:lang w:eastAsia="en-GB"/>
              </w:rPr>
              <w:t>1-Level</w:t>
            </w:r>
          </w:p>
        </w:tc>
        <w:tc>
          <w:tcPr>
            <w:tcW w:w="534" w:type="pct"/>
            <w:noWrap/>
            <w:hideMark/>
          </w:tcPr>
          <w:p w14:paraId="0F0C68E4"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3,868</w:t>
            </w:r>
          </w:p>
        </w:tc>
        <w:tc>
          <w:tcPr>
            <w:tcW w:w="568" w:type="pct"/>
            <w:noWrap/>
            <w:hideMark/>
          </w:tcPr>
          <w:p w14:paraId="6A20A46E"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-4099.33</w:t>
            </w:r>
          </w:p>
        </w:tc>
        <w:tc>
          <w:tcPr>
            <w:tcW w:w="599" w:type="pct"/>
            <w:noWrap/>
            <w:hideMark/>
          </w:tcPr>
          <w:p w14:paraId="0150F33F"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-3931.65</w:t>
            </w:r>
          </w:p>
        </w:tc>
        <w:tc>
          <w:tcPr>
            <w:tcW w:w="534" w:type="pct"/>
            <w:noWrap/>
            <w:hideMark/>
          </w:tcPr>
          <w:p w14:paraId="19905EDA"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42</w:t>
            </w:r>
          </w:p>
        </w:tc>
        <w:tc>
          <w:tcPr>
            <w:tcW w:w="562" w:type="pct"/>
            <w:noWrap/>
            <w:hideMark/>
          </w:tcPr>
          <w:p w14:paraId="5293960E" w14:textId="7DF51A3C"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7,947.29</w:t>
            </w:r>
          </w:p>
        </w:tc>
        <w:tc>
          <w:tcPr>
            <w:tcW w:w="562" w:type="pct"/>
            <w:noWrap/>
            <w:hideMark/>
          </w:tcPr>
          <w:p w14:paraId="02F079A8"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8,210.23</w:t>
            </w:r>
          </w:p>
        </w:tc>
        <w:tc>
          <w:tcPr>
            <w:tcW w:w="540" w:type="pct"/>
            <w:noWrap/>
            <w:hideMark/>
          </w:tcPr>
          <w:p w14:paraId="5E77E6AA"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c>
          <w:tcPr>
            <w:tcW w:w="470" w:type="pct"/>
            <w:noWrap/>
            <w:hideMark/>
          </w:tcPr>
          <w:p w14:paraId="38D8F049"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5D1435" w:rsidRPr="00000849" w14:paraId="30113889" w14:textId="77777777" w:rsidTr="005D1435">
        <w:trPr>
          <w:divId w:val="1688829448"/>
          <w:trHeight w:val="285"/>
        </w:trPr>
        <w:tc>
          <w:tcPr>
            <w:cnfStyle w:val="001000000000" w:firstRow="0" w:lastRow="0" w:firstColumn="1" w:lastColumn="0" w:oddVBand="0" w:evenVBand="0" w:oddHBand="0" w:evenHBand="0" w:firstRowFirstColumn="0" w:firstRowLastColumn="0" w:lastRowFirstColumn="0" w:lastRowLastColumn="0"/>
            <w:tcW w:w="631" w:type="pct"/>
            <w:noWrap/>
            <w:hideMark/>
          </w:tcPr>
          <w:p w14:paraId="562E2DDE" w14:textId="77777777" w:rsidR="00AA5EFA" w:rsidRPr="00000849" w:rsidRDefault="00AA5EFA" w:rsidP="00AA5EFA">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color w:val="000000"/>
                <w:sz w:val="20"/>
                <w:szCs w:val="20"/>
                <w:lang w:eastAsia="en-GB"/>
              </w:rPr>
              <w:t>2-Level</w:t>
            </w:r>
          </w:p>
        </w:tc>
        <w:tc>
          <w:tcPr>
            <w:tcW w:w="534" w:type="pct"/>
            <w:noWrap/>
            <w:hideMark/>
          </w:tcPr>
          <w:p w14:paraId="44A28FC4"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3,868</w:t>
            </w:r>
          </w:p>
        </w:tc>
        <w:tc>
          <w:tcPr>
            <w:tcW w:w="568" w:type="pct"/>
            <w:noWrap/>
            <w:hideMark/>
          </w:tcPr>
          <w:p w14:paraId="2B721E2F"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t>
            </w:r>
          </w:p>
        </w:tc>
        <w:tc>
          <w:tcPr>
            <w:tcW w:w="599" w:type="pct"/>
            <w:noWrap/>
            <w:hideMark/>
          </w:tcPr>
          <w:p w14:paraId="53FCAB98"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-3,945.14</w:t>
            </w:r>
          </w:p>
        </w:tc>
        <w:tc>
          <w:tcPr>
            <w:tcW w:w="534" w:type="pct"/>
            <w:noWrap/>
            <w:hideMark/>
          </w:tcPr>
          <w:p w14:paraId="1F4FBABD"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39</w:t>
            </w:r>
          </w:p>
        </w:tc>
        <w:tc>
          <w:tcPr>
            <w:tcW w:w="562" w:type="pct"/>
            <w:noWrap/>
            <w:hideMark/>
          </w:tcPr>
          <w:p w14:paraId="50BBBA4D"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7,968.28</w:t>
            </w:r>
          </w:p>
        </w:tc>
        <w:tc>
          <w:tcPr>
            <w:tcW w:w="562" w:type="pct"/>
            <w:noWrap/>
            <w:hideMark/>
          </w:tcPr>
          <w:p w14:paraId="4CE70D6A"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8,212.44</w:t>
            </w:r>
          </w:p>
        </w:tc>
        <w:tc>
          <w:tcPr>
            <w:tcW w:w="540" w:type="pct"/>
            <w:noWrap/>
            <w:hideMark/>
          </w:tcPr>
          <w:p w14:paraId="56FA757F"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1.54</w:t>
            </w:r>
          </w:p>
        </w:tc>
        <w:tc>
          <w:tcPr>
            <w:tcW w:w="470" w:type="pct"/>
            <w:noWrap/>
            <w:hideMark/>
          </w:tcPr>
          <w:p w14:paraId="617A68BE"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0.1076</w:t>
            </w:r>
          </w:p>
        </w:tc>
      </w:tr>
      <w:tr w:rsidR="005D1435" w:rsidRPr="00000849" w14:paraId="56510A2A" w14:textId="77777777" w:rsidTr="00143B7E">
        <w:trPr>
          <w:divId w:val="1688829448"/>
          <w:trHeight w:val="285"/>
        </w:trPr>
        <w:tc>
          <w:tcPr>
            <w:cnfStyle w:val="001000000000" w:firstRow="0" w:lastRow="0" w:firstColumn="1" w:lastColumn="0" w:oddVBand="0" w:evenVBand="0" w:oddHBand="0" w:evenHBand="0" w:firstRowFirstColumn="0" w:firstRowLastColumn="0" w:lastRowFirstColumn="0" w:lastRowLastColumn="0"/>
            <w:tcW w:w="631" w:type="pct"/>
            <w:noWrap/>
            <w:hideMark/>
          </w:tcPr>
          <w:p w14:paraId="1FB2AEBF" w14:textId="77777777" w:rsidR="00AA5EFA" w:rsidRPr="00000849" w:rsidRDefault="00AA5EFA" w:rsidP="00AA5EFA">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color w:val="000000"/>
                <w:sz w:val="20"/>
                <w:szCs w:val="20"/>
                <w:lang w:eastAsia="en-GB"/>
              </w:rPr>
              <w:t>3-Level</w:t>
            </w:r>
          </w:p>
        </w:tc>
        <w:tc>
          <w:tcPr>
            <w:tcW w:w="534" w:type="pct"/>
            <w:noWrap/>
            <w:hideMark/>
          </w:tcPr>
          <w:p w14:paraId="24E69A19"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3,868</w:t>
            </w:r>
          </w:p>
        </w:tc>
        <w:tc>
          <w:tcPr>
            <w:tcW w:w="568" w:type="pct"/>
            <w:noWrap/>
            <w:hideMark/>
          </w:tcPr>
          <w:p w14:paraId="3DB27A36"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t>
            </w:r>
          </w:p>
        </w:tc>
        <w:tc>
          <w:tcPr>
            <w:tcW w:w="599" w:type="pct"/>
            <w:noWrap/>
            <w:hideMark/>
          </w:tcPr>
          <w:p w14:paraId="03074E40"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-3,908.96</w:t>
            </w:r>
          </w:p>
        </w:tc>
        <w:tc>
          <w:tcPr>
            <w:tcW w:w="534" w:type="pct"/>
            <w:noWrap/>
            <w:hideMark/>
          </w:tcPr>
          <w:p w14:paraId="4A519E8D"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39</w:t>
            </w:r>
          </w:p>
        </w:tc>
        <w:tc>
          <w:tcPr>
            <w:tcW w:w="562" w:type="pct"/>
            <w:noWrap/>
            <w:hideMark/>
          </w:tcPr>
          <w:p w14:paraId="383C74FF"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7,897.92</w:t>
            </w:r>
          </w:p>
        </w:tc>
        <w:tc>
          <w:tcPr>
            <w:tcW w:w="562" w:type="pct"/>
            <w:noWrap/>
            <w:hideMark/>
          </w:tcPr>
          <w:p w14:paraId="02612917"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8,148.34</w:t>
            </w:r>
          </w:p>
        </w:tc>
        <w:tc>
          <w:tcPr>
            <w:tcW w:w="540" w:type="pct"/>
            <w:noWrap/>
            <w:hideMark/>
          </w:tcPr>
          <w:p w14:paraId="647211A6"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xml:space="preserve"> -</w:t>
            </w:r>
          </w:p>
        </w:tc>
        <w:tc>
          <w:tcPr>
            <w:tcW w:w="470" w:type="pct"/>
            <w:noWrap/>
            <w:hideMark/>
          </w:tcPr>
          <w:p w14:paraId="071BF34A"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xml:space="preserve"> -</w:t>
            </w:r>
          </w:p>
        </w:tc>
      </w:tr>
      <w:tr w:rsidR="00AA5EFA" w:rsidRPr="00000849" w14:paraId="5A88649A" w14:textId="77777777" w:rsidTr="00143B7E">
        <w:trPr>
          <w:divId w:val="1688829448"/>
          <w:trHeight w:val="285"/>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auto"/>
            <w:noWrap/>
            <w:hideMark/>
          </w:tcPr>
          <w:p w14:paraId="7DFFD481" w14:textId="77777777" w:rsidR="00AA5EFA" w:rsidRPr="00000849" w:rsidRDefault="00AA5EFA" w:rsidP="00AA5EFA">
            <w:pPr>
              <w:spacing w:after="0" w:line="240" w:lineRule="auto"/>
              <w:jc w:val="center"/>
              <w:rPr>
                <w:rFonts w:ascii="Calibri" w:eastAsia="Times New Roman" w:hAnsi="Calibri" w:cs="Calibri"/>
                <w:b w:val="0"/>
                <w:bCs w:val="0"/>
                <w:color w:val="000000"/>
                <w:sz w:val="20"/>
                <w:szCs w:val="20"/>
                <w:lang w:eastAsia="en-GB"/>
              </w:rPr>
            </w:pPr>
            <w:r w:rsidRPr="00000849">
              <w:rPr>
                <w:rFonts w:ascii="Calibri" w:eastAsia="Times New Roman" w:hAnsi="Calibri" w:cs="Calibri"/>
                <w:color w:val="000000"/>
                <w:sz w:val="20"/>
                <w:szCs w:val="20"/>
                <w:lang w:eastAsia="en-GB"/>
              </w:rPr>
              <w:t>Wave 2 </w:t>
            </w:r>
          </w:p>
        </w:tc>
      </w:tr>
      <w:tr w:rsidR="005D1435" w:rsidRPr="00000849" w14:paraId="1B38B720" w14:textId="77777777" w:rsidTr="00143B7E">
        <w:trPr>
          <w:divId w:val="1688829448"/>
          <w:trHeight w:val="285"/>
        </w:trPr>
        <w:tc>
          <w:tcPr>
            <w:cnfStyle w:val="001000000000" w:firstRow="0" w:lastRow="0" w:firstColumn="1" w:lastColumn="0" w:oddVBand="0" w:evenVBand="0" w:oddHBand="0" w:evenHBand="0" w:firstRowFirstColumn="0" w:firstRowLastColumn="0" w:lastRowFirstColumn="0" w:lastRowLastColumn="0"/>
            <w:tcW w:w="631" w:type="pct"/>
            <w:noWrap/>
            <w:hideMark/>
          </w:tcPr>
          <w:p w14:paraId="3D885F02" w14:textId="77777777" w:rsidR="00AA5EFA" w:rsidRPr="00000849" w:rsidRDefault="00AA5EFA" w:rsidP="00AA5EFA">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color w:val="000000"/>
                <w:sz w:val="20"/>
                <w:szCs w:val="20"/>
                <w:lang w:eastAsia="en-GB"/>
              </w:rPr>
              <w:t>1-Level</w:t>
            </w:r>
          </w:p>
        </w:tc>
        <w:tc>
          <w:tcPr>
            <w:tcW w:w="534" w:type="pct"/>
            <w:noWrap/>
            <w:hideMark/>
          </w:tcPr>
          <w:p w14:paraId="33B19B41"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2,868</w:t>
            </w:r>
          </w:p>
        </w:tc>
        <w:tc>
          <w:tcPr>
            <w:tcW w:w="568" w:type="pct"/>
            <w:noWrap/>
            <w:hideMark/>
          </w:tcPr>
          <w:p w14:paraId="3F9DEA0D"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-2438.52</w:t>
            </w:r>
          </w:p>
        </w:tc>
        <w:tc>
          <w:tcPr>
            <w:tcW w:w="599" w:type="pct"/>
            <w:noWrap/>
            <w:hideMark/>
          </w:tcPr>
          <w:p w14:paraId="2828BB9B"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-2343.94</w:t>
            </w:r>
          </w:p>
        </w:tc>
        <w:tc>
          <w:tcPr>
            <w:tcW w:w="534" w:type="pct"/>
            <w:noWrap/>
            <w:hideMark/>
          </w:tcPr>
          <w:p w14:paraId="3DB1FCB4"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40</w:t>
            </w:r>
          </w:p>
        </w:tc>
        <w:tc>
          <w:tcPr>
            <w:tcW w:w="562" w:type="pct"/>
            <w:noWrap/>
            <w:hideMark/>
          </w:tcPr>
          <w:p w14:paraId="70386599"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4,767.88</w:t>
            </w:r>
          </w:p>
        </w:tc>
        <w:tc>
          <w:tcPr>
            <w:tcW w:w="562" w:type="pct"/>
            <w:noWrap/>
            <w:hideMark/>
          </w:tcPr>
          <w:p w14:paraId="3E9E811D"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5,006.33</w:t>
            </w:r>
          </w:p>
        </w:tc>
        <w:tc>
          <w:tcPr>
            <w:tcW w:w="540" w:type="pct"/>
            <w:noWrap/>
            <w:hideMark/>
          </w:tcPr>
          <w:p w14:paraId="61CC09FA"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c>
          <w:tcPr>
            <w:tcW w:w="470" w:type="pct"/>
            <w:noWrap/>
            <w:hideMark/>
          </w:tcPr>
          <w:p w14:paraId="6BA7B0DB" w14:textId="77777777" w:rsidR="00AA5EFA" w:rsidRPr="00000849" w:rsidRDefault="00AA5EFA" w:rsidP="00AA5E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5D1435" w:rsidRPr="00000849" w14:paraId="4071C2B8" w14:textId="77777777" w:rsidTr="005D1435">
        <w:trPr>
          <w:divId w:val="1688829448"/>
          <w:trHeight w:val="285"/>
        </w:trPr>
        <w:tc>
          <w:tcPr>
            <w:cnfStyle w:val="001000000000" w:firstRow="0" w:lastRow="0" w:firstColumn="1" w:lastColumn="0" w:oddVBand="0" w:evenVBand="0" w:oddHBand="0" w:evenHBand="0" w:firstRowFirstColumn="0" w:firstRowLastColumn="0" w:lastRowFirstColumn="0" w:lastRowLastColumn="0"/>
            <w:tcW w:w="631" w:type="pct"/>
            <w:noWrap/>
            <w:hideMark/>
          </w:tcPr>
          <w:p w14:paraId="69D5F9F3" w14:textId="77777777" w:rsidR="00AA5EFA" w:rsidRPr="00000849" w:rsidRDefault="00AA5EFA" w:rsidP="00AA5EFA">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color w:val="000000"/>
                <w:sz w:val="20"/>
                <w:szCs w:val="20"/>
                <w:lang w:eastAsia="en-GB"/>
              </w:rPr>
              <w:t>2-Level</w:t>
            </w:r>
          </w:p>
        </w:tc>
        <w:tc>
          <w:tcPr>
            <w:tcW w:w="534" w:type="pct"/>
            <w:noWrap/>
            <w:hideMark/>
          </w:tcPr>
          <w:p w14:paraId="50E2C960"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2,868</w:t>
            </w:r>
          </w:p>
        </w:tc>
        <w:tc>
          <w:tcPr>
            <w:tcW w:w="568" w:type="pct"/>
            <w:noWrap/>
            <w:hideMark/>
          </w:tcPr>
          <w:p w14:paraId="27544982"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t>
            </w:r>
          </w:p>
        </w:tc>
        <w:tc>
          <w:tcPr>
            <w:tcW w:w="599" w:type="pct"/>
            <w:noWrap/>
            <w:hideMark/>
          </w:tcPr>
          <w:p w14:paraId="6794CDB3"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-2352.12</w:t>
            </w:r>
          </w:p>
        </w:tc>
        <w:tc>
          <w:tcPr>
            <w:tcW w:w="534" w:type="pct"/>
            <w:noWrap/>
            <w:hideMark/>
          </w:tcPr>
          <w:p w14:paraId="52A44530"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39</w:t>
            </w:r>
          </w:p>
        </w:tc>
        <w:tc>
          <w:tcPr>
            <w:tcW w:w="562" w:type="pct"/>
            <w:noWrap/>
            <w:hideMark/>
          </w:tcPr>
          <w:p w14:paraId="02FF1144"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4,782.23</w:t>
            </w:r>
          </w:p>
        </w:tc>
        <w:tc>
          <w:tcPr>
            <w:tcW w:w="562" w:type="pct"/>
            <w:noWrap/>
            <w:hideMark/>
          </w:tcPr>
          <w:p w14:paraId="0E46147B"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5,014.73</w:t>
            </w:r>
          </w:p>
        </w:tc>
        <w:tc>
          <w:tcPr>
            <w:tcW w:w="540" w:type="pct"/>
            <w:noWrap/>
            <w:hideMark/>
          </w:tcPr>
          <w:p w14:paraId="318C5DB2"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4.42</w:t>
            </w:r>
          </w:p>
        </w:tc>
        <w:tc>
          <w:tcPr>
            <w:tcW w:w="470" w:type="pct"/>
            <w:noWrap/>
            <w:hideMark/>
          </w:tcPr>
          <w:p w14:paraId="70F34A2E"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0.0177</w:t>
            </w:r>
          </w:p>
        </w:tc>
      </w:tr>
      <w:tr w:rsidR="005D1435" w:rsidRPr="00000849" w14:paraId="3CAE52F2" w14:textId="77777777" w:rsidTr="00143B7E">
        <w:trPr>
          <w:divId w:val="1688829448"/>
          <w:trHeight w:val="285"/>
        </w:trPr>
        <w:tc>
          <w:tcPr>
            <w:cnfStyle w:val="001000000000" w:firstRow="0" w:lastRow="0" w:firstColumn="1" w:lastColumn="0" w:oddVBand="0" w:evenVBand="0" w:oddHBand="0" w:evenHBand="0" w:firstRowFirstColumn="0" w:firstRowLastColumn="0" w:lastRowFirstColumn="0" w:lastRowLastColumn="0"/>
            <w:tcW w:w="631" w:type="pct"/>
            <w:noWrap/>
            <w:hideMark/>
          </w:tcPr>
          <w:p w14:paraId="6747D7FF" w14:textId="77777777" w:rsidR="00AA5EFA" w:rsidRPr="00000849" w:rsidRDefault="00AA5EFA" w:rsidP="00AA5EFA">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color w:val="000000"/>
                <w:sz w:val="20"/>
                <w:szCs w:val="20"/>
                <w:lang w:eastAsia="en-GB"/>
              </w:rPr>
              <w:t>3-Level</w:t>
            </w:r>
          </w:p>
        </w:tc>
        <w:tc>
          <w:tcPr>
            <w:tcW w:w="534" w:type="pct"/>
            <w:noWrap/>
            <w:hideMark/>
          </w:tcPr>
          <w:p w14:paraId="4A363298"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2,868</w:t>
            </w:r>
          </w:p>
        </w:tc>
        <w:tc>
          <w:tcPr>
            <w:tcW w:w="568" w:type="pct"/>
            <w:noWrap/>
            <w:hideMark/>
          </w:tcPr>
          <w:p w14:paraId="1C3FCCB5"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t>
            </w:r>
          </w:p>
        </w:tc>
        <w:tc>
          <w:tcPr>
            <w:tcW w:w="599" w:type="pct"/>
            <w:noWrap/>
            <w:hideMark/>
          </w:tcPr>
          <w:p w14:paraId="569D0D46"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-2348.58</w:t>
            </w:r>
          </w:p>
        </w:tc>
        <w:tc>
          <w:tcPr>
            <w:tcW w:w="534" w:type="pct"/>
            <w:noWrap/>
            <w:hideMark/>
          </w:tcPr>
          <w:p w14:paraId="6213283E"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40</w:t>
            </w:r>
          </w:p>
        </w:tc>
        <w:tc>
          <w:tcPr>
            <w:tcW w:w="562" w:type="pct"/>
            <w:noWrap/>
            <w:hideMark/>
          </w:tcPr>
          <w:p w14:paraId="13FBCF5B"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4,777.15</w:t>
            </w:r>
          </w:p>
        </w:tc>
        <w:tc>
          <w:tcPr>
            <w:tcW w:w="562" w:type="pct"/>
            <w:noWrap/>
            <w:hideMark/>
          </w:tcPr>
          <w:p w14:paraId="3E4EA110"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5,015.61</w:t>
            </w:r>
          </w:p>
        </w:tc>
        <w:tc>
          <w:tcPr>
            <w:tcW w:w="540" w:type="pct"/>
            <w:noWrap/>
            <w:hideMark/>
          </w:tcPr>
          <w:p w14:paraId="6985B5D5"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xml:space="preserve"> -</w:t>
            </w:r>
          </w:p>
        </w:tc>
        <w:tc>
          <w:tcPr>
            <w:tcW w:w="470" w:type="pct"/>
            <w:noWrap/>
            <w:hideMark/>
          </w:tcPr>
          <w:p w14:paraId="499D901C" w14:textId="77777777" w:rsidR="00AA5EFA" w:rsidRPr="00000849" w:rsidRDefault="00AA5EFA" w:rsidP="00AA5E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xml:space="preserve"> -</w:t>
            </w:r>
          </w:p>
        </w:tc>
      </w:tr>
    </w:tbl>
    <w:p w14:paraId="0F1D3512" w14:textId="2A20CC23" w:rsidR="00AA5EFA" w:rsidRPr="00000849" w:rsidRDefault="00170F30" w:rsidP="00AA5EFA">
      <w:pPr>
        <w:pStyle w:val="NormalWeb"/>
        <w:shd w:val="clear" w:color="auto" w:fill="FFFFFF"/>
        <w:spacing w:before="0" w:beforeAutospacing="0" w:after="165" w:afterAutospacing="0" w:line="480" w:lineRule="auto"/>
        <w:jc w:val="both"/>
        <w:rPr>
          <w:rFonts w:asciiTheme="minorHAnsi" w:hAnsiTheme="minorHAnsi" w:cstheme="minorHAnsi"/>
          <w:color w:val="383838"/>
          <w:sz w:val="18"/>
          <w:szCs w:val="18"/>
        </w:rPr>
      </w:pPr>
      <w:r w:rsidRPr="00000849">
        <w:rPr>
          <w:rFonts w:asciiTheme="minorHAnsi" w:hAnsiTheme="minorHAnsi" w:cstheme="minorHAnsi"/>
          <w:color w:val="383838"/>
          <w:sz w:val="18"/>
          <w:szCs w:val="18"/>
        </w:rPr>
        <w:t>Key: as in Table 5.5</w:t>
      </w:r>
    </w:p>
    <w:p w14:paraId="47442053" w14:textId="79A477A0" w:rsidR="00170F30" w:rsidRPr="00000849" w:rsidRDefault="00170F30" w:rsidP="00AA5EFA">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D445662" w14:textId="77777777" w:rsidR="002508CE" w:rsidRPr="00000849" w:rsidRDefault="002508CE" w:rsidP="002508CE">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In the three-level null model, 12.4% and 15.3% of the total variation in hypertension in W1 and W2 respectively was due to unobserved household and enumeration area level factors.  </w:t>
      </w:r>
    </w:p>
    <w:p w14:paraId="358E4045" w14:textId="77777777" w:rsidR="002508CE" w:rsidRPr="00000849" w:rsidRDefault="002508CE" w:rsidP="00AA5EFA">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18B1E440" w14:textId="77777777" w:rsidR="00BA0384" w:rsidRPr="00000849" w:rsidRDefault="00BA0384" w:rsidP="004E2350">
      <w:pPr>
        <w:pStyle w:val="Heading3"/>
      </w:pPr>
      <w:bookmarkStart w:id="105" w:name="_Toc51472141"/>
      <w:r w:rsidRPr="00000849">
        <w:t>5.6.3</w:t>
      </w:r>
      <w:r w:rsidRPr="00000849">
        <w:tab/>
        <w:t>Determinants of normal BP and different grades of hypertension</w:t>
      </w:r>
      <w:bookmarkEnd w:id="105"/>
    </w:p>
    <w:p w14:paraId="7B8E33A1" w14:textId="77777777" w:rsidR="00BA0384" w:rsidRPr="00000849" w:rsidRDefault="00BA0384" w:rsidP="00BA0384">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77B13685" w14:textId="77777777" w:rsidR="004C0064" w:rsidRPr="00000849" w:rsidRDefault="00BA0384" w:rsidP="00150C4E">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As in previous models associated with hypertension, the residence in GAR, having never married or having previously been married</w:t>
      </w:r>
      <w:r w:rsidR="00AA4C97" w:rsidRPr="00000849">
        <w:rPr>
          <w:rFonts w:asciiTheme="minorHAnsi" w:hAnsiTheme="minorHAnsi" w:cstheme="minorHAnsi"/>
          <w:color w:val="383838"/>
        </w:rPr>
        <w:t>,</w:t>
      </w:r>
      <w:r w:rsidRPr="00000849">
        <w:rPr>
          <w:rFonts w:asciiTheme="minorHAnsi" w:hAnsiTheme="minorHAnsi" w:cstheme="minorHAnsi"/>
          <w:color w:val="383838"/>
        </w:rPr>
        <w:t xml:space="preserve"> were </w:t>
      </w:r>
      <w:r w:rsidR="003C5382" w:rsidRPr="00000849">
        <w:rPr>
          <w:rFonts w:asciiTheme="minorHAnsi" w:hAnsiTheme="minorHAnsi" w:cstheme="minorHAnsi"/>
          <w:color w:val="383838"/>
        </w:rPr>
        <w:t xml:space="preserve">consistently </w:t>
      </w:r>
      <w:r w:rsidRPr="00000849">
        <w:rPr>
          <w:rFonts w:asciiTheme="minorHAnsi" w:hAnsiTheme="minorHAnsi" w:cstheme="minorHAnsi"/>
          <w:color w:val="383838"/>
        </w:rPr>
        <w:t>associated with higher grades of hypertension</w:t>
      </w:r>
      <w:r w:rsidR="007E1E26" w:rsidRPr="00000849">
        <w:rPr>
          <w:rFonts w:asciiTheme="minorHAnsi" w:hAnsiTheme="minorHAnsi" w:cstheme="minorHAnsi"/>
          <w:color w:val="383838"/>
        </w:rPr>
        <w:t xml:space="preserve"> in both waves</w:t>
      </w:r>
      <w:r w:rsidRPr="00000849">
        <w:rPr>
          <w:rFonts w:asciiTheme="minorHAnsi" w:hAnsiTheme="minorHAnsi" w:cstheme="minorHAnsi"/>
          <w:color w:val="383838"/>
        </w:rPr>
        <w:t>, holding the other variables in the single and multilevel models constant (Table 5.</w:t>
      </w:r>
      <w:r w:rsidR="009D515F" w:rsidRPr="00000849">
        <w:rPr>
          <w:rFonts w:asciiTheme="minorHAnsi" w:hAnsiTheme="minorHAnsi" w:cstheme="minorHAnsi"/>
          <w:color w:val="383838"/>
        </w:rPr>
        <w:t>8</w:t>
      </w:r>
      <w:r w:rsidRPr="00000849">
        <w:rPr>
          <w:rFonts w:asciiTheme="minorHAnsi" w:hAnsiTheme="minorHAnsi" w:cstheme="minorHAnsi"/>
          <w:color w:val="383838"/>
        </w:rPr>
        <w:t xml:space="preserve">).  </w:t>
      </w:r>
      <w:r w:rsidR="003C5382" w:rsidRPr="00000849">
        <w:rPr>
          <w:rFonts w:asciiTheme="minorHAnsi" w:hAnsiTheme="minorHAnsi" w:cstheme="minorHAnsi"/>
          <w:color w:val="383838"/>
        </w:rPr>
        <w:t>In contrast, h</w:t>
      </w:r>
      <w:r w:rsidRPr="00000849">
        <w:rPr>
          <w:rFonts w:asciiTheme="minorHAnsi" w:hAnsiTheme="minorHAnsi" w:cstheme="minorHAnsi"/>
          <w:color w:val="383838"/>
        </w:rPr>
        <w:t xml:space="preserve">aving worked in the past seven days was consistently associated with mild hypertension or normal blood pressure.  Being in the age group 65-74 years, being a </w:t>
      </w:r>
      <w:r w:rsidR="00BA200A" w:rsidRPr="00000849">
        <w:rPr>
          <w:rFonts w:asciiTheme="minorHAnsi" w:hAnsiTheme="minorHAnsi" w:cstheme="minorHAnsi"/>
          <w:color w:val="383838"/>
        </w:rPr>
        <w:t>Muslim</w:t>
      </w:r>
      <w:r w:rsidRPr="00000849">
        <w:rPr>
          <w:rFonts w:asciiTheme="minorHAnsi" w:hAnsiTheme="minorHAnsi" w:cstheme="minorHAnsi"/>
          <w:color w:val="383838"/>
        </w:rPr>
        <w:t xml:space="preserve">, being overweight/obese or a </w:t>
      </w:r>
      <w:r w:rsidR="000C7CD5" w:rsidRPr="00000849">
        <w:rPr>
          <w:rFonts w:asciiTheme="minorHAnsi" w:hAnsiTheme="minorHAnsi" w:cstheme="minorHAnsi"/>
          <w:color w:val="383838"/>
        </w:rPr>
        <w:t xml:space="preserve">having a </w:t>
      </w:r>
      <w:r w:rsidRPr="00000849">
        <w:rPr>
          <w:rFonts w:asciiTheme="minorHAnsi" w:hAnsiTheme="minorHAnsi" w:cstheme="minorHAnsi"/>
          <w:color w:val="383838"/>
        </w:rPr>
        <w:t xml:space="preserve">high WC was associated with higher grade of hypertension in one or other study wave.  Having attained secondary or higher education was associated with mild or no hypertension in W1. </w:t>
      </w:r>
    </w:p>
    <w:p w14:paraId="263C11AF" w14:textId="77777777" w:rsidR="004C0064" w:rsidRPr="00000849" w:rsidRDefault="004C0064" w:rsidP="00000849">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As in the multilevel model, high level physical activity was associated with opposite effects in W1 and in W2, being ‘harmful’ in one and ‘protective’ of higher grades of hypertension in the other.</w:t>
      </w:r>
    </w:p>
    <w:p w14:paraId="72E83693" w14:textId="4DF56923" w:rsidR="004C0064" w:rsidRPr="00000849" w:rsidRDefault="004C0064" w:rsidP="004C0064">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63A0036E" w14:textId="5ACF4F76" w:rsidR="00103B4A" w:rsidRPr="00000849" w:rsidRDefault="00103B4A" w:rsidP="00150C4E">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209BB1A5" w14:textId="77777777" w:rsidR="00276928" w:rsidRPr="00000849" w:rsidRDefault="00276928" w:rsidP="00150C4E">
      <w:pPr>
        <w:pStyle w:val="NormalWeb"/>
        <w:shd w:val="clear" w:color="auto" w:fill="FFFFFF"/>
        <w:spacing w:before="0" w:beforeAutospacing="0" w:after="165" w:afterAutospacing="0" w:line="480" w:lineRule="auto"/>
        <w:jc w:val="both"/>
        <w:rPr>
          <w:rFonts w:asciiTheme="minorHAnsi" w:hAnsiTheme="minorHAnsi" w:cstheme="minorHAnsi"/>
          <w:color w:val="383838"/>
        </w:rPr>
        <w:sectPr w:rsidR="00276928" w:rsidRPr="00000849" w:rsidSect="008D5ECD">
          <w:pgSz w:w="11906" w:h="16838"/>
          <w:pgMar w:top="1440" w:right="1440" w:bottom="1440" w:left="2155" w:header="708" w:footer="708" w:gutter="0"/>
          <w:cols w:space="708"/>
          <w:docGrid w:linePitch="360"/>
        </w:sectPr>
      </w:pPr>
    </w:p>
    <w:p w14:paraId="3BCE9726" w14:textId="7B69A5E7" w:rsidR="00161E87" w:rsidRPr="00000849" w:rsidRDefault="00D10525" w:rsidP="00B448FE">
      <w:pPr>
        <w:pStyle w:val="Caption"/>
        <w:rPr>
          <w:color w:val="383838"/>
        </w:rPr>
      </w:pPr>
      <w:bookmarkStart w:id="106" w:name="_Toc71153636"/>
      <w:r w:rsidRPr="00000849">
        <w:lastRenderedPageBreak/>
        <w:t>Table 5.</w:t>
      </w:r>
      <w:fldSimple w:instr=" SEQ Table_5. \* ARABIC ">
        <w:r w:rsidR="00C0100F">
          <w:rPr>
            <w:noProof/>
          </w:rPr>
          <w:t>8</w:t>
        </w:r>
      </w:fldSimple>
      <w:r w:rsidR="00161E87" w:rsidRPr="00000849">
        <w:t>:</w:t>
      </w:r>
      <w:r w:rsidRPr="00000849">
        <w:tab/>
      </w:r>
      <w:r w:rsidR="00161E87" w:rsidRPr="00000849">
        <w:t xml:space="preserve"> Single and multilevel ordinal logistic regression among study </w:t>
      </w:r>
      <w:r w:rsidR="00AA0A34" w:rsidRPr="00000849">
        <w:t>Wave 1</w:t>
      </w:r>
      <w:r w:rsidR="00B5328A" w:rsidRPr="00000849">
        <w:t xml:space="preserve"> and </w:t>
      </w:r>
      <w:r w:rsidR="00161E87" w:rsidRPr="00000849">
        <w:t>W2 participants</w:t>
      </w:r>
      <w:bookmarkEnd w:id="106"/>
      <w:r w:rsidR="00161E87" w:rsidRPr="00000849">
        <w:t xml:space="preserve"> </w:t>
      </w:r>
    </w:p>
    <w:tbl>
      <w:tblPr>
        <w:tblStyle w:val="PlainTable1"/>
        <w:tblW w:w="5000" w:type="pct"/>
        <w:tblInd w:w="0" w:type="dxa"/>
        <w:tblLayout w:type="fixed"/>
        <w:tblLook w:val="06A0" w:firstRow="1" w:lastRow="0" w:firstColumn="1" w:lastColumn="0" w:noHBand="1" w:noVBand="1"/>
      </w:tblPr>
      <w:tblGrid>
        <w:gridCol w:w="2091"/>
        <w:gridCol w:w="1552"/>
        <w:gridCol w:w="1554"/>
        <w:gridCol w:w="1552"/>
        <w:gridCol w:w="1552"/>
      </w:tblGrid>
      <w:tr w:rsidR="004535A3" w:rsidRPr="00000849" w14:paraId="6FC6143A" w14:textId="77777777" w:rsidTr="00000849">
        <w:trPr>
          <w:cnfStyle w:val="100000000000" w:firstRow="1" w:lastRow="0" w:firstColumn="0" w:lastColumn="0" w:oddVBand="0" w:evenVBand="0" w:oddHBand="0" w:evenHBand="0" w:firstRowFirstColumn="0" w:firstRowLastColumn="0" w:lastRowFirstColumn="0" w:lastRowLastColumn="0"/>
          <w:trHeight w:val="310"/>
          <w:tblHeader/>
        </w:trPr>
        <w:tc>
          <w:tcPr>
            <w:cnfStyle w:val="001000000000" w:firstRow="0" w:lastRow="0" w:firstColumn="1" w:lastColumn="0" w:oddVBand="0" w:evenVBand="0" w:oddHBand="0" w:evenHBand="0" w:firstRowFirstColumn="0" w:firstRowLastColumn="0" w:lastRowFirstColumn="0" w:lastRowLastColumn="0"/>
            <w:tcW w:w="1259" w:type="pct"/>
            <w:vMerge w:val="restart"/>
            <w:noWrap/>
            <w:hideMark/>
          </w:tcPr>
          <w:p w14:paraId="71D78543" w14:textId="77777777" w:rsidR="004535A3" w:rsidRPr="00000849" w:rsidRDefault="004535A3" w:rsidP="00161E87">
            <w:pPr>
              <w:spacing w:after="0" w:line="240" w:lineRule="auto"/>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Variable</w:t>
            </w:r>
          </w:p>
        </w:tc>
        <w:tc>
          <w:tcPr>
            <w:tcW w:w="1871" w:type="pct"/>
            <w:gridSpan w:val="2"/>
            <w:noWrap/>
            <w:hideMark/>
          </w:tcPr>
          <w:p w14:paraId="7882A025" w14:textId="4BB78E85" w:rsidR="004535A3" w:rsidRPr="00000849" w:rsidRDefault="004535A3" w:rsidP="00161E8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Single level Multivariable</w:t>
            </w:r>
          </w:p>
        </w:tc>
        <w:tc>
          <w:tcPr>
            <w:tcW w:w="1870" w:type="pct"/>
            <w:gridSpan w:val="2"/>
            <w:noWrap/>
            <w:hideMark/>
          </w:tcPr>
          <w:p w14:paraId="5F434CF7" w14:textId="6A56A629" w:rsidR="004535A3" w:rsidRPr="00000849" w:rsidRDefault="004535A3" w:rsidP="00161E8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Multilevel (3-level) multivariable</w:t>
            </w:r>
          </w:p>
        </w:tc>
      </w:tr>
      <w:tr w:rsidR="004535A3" w:rsidRPr="00000849" w14:paraId="3074BE6E" w14:textId="77777777" w:rsidTr="00000849">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1259" w:type="pct"/>
            <w:vMerge/>
            <w:hideMark/>
          </w:tcPr>
          <w:p w14:paraId="1D02EE88"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p>
        </w:tc>
        <w:tc>
          <w:tcPr>
            <w:tcW w:w="935" w:type="pct"/>
            <w:hideMark/>
          </w:tcPr>
          <w:p w14:paraId="14859BD2" w14:textId="77777777" w:rsidR="004535A3" w:rsidRPr="00000849" w:rsidRDefault="004535A3" w:rsidP="00161E8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Wave 1, OR (95% CI)</w:t>
            </w:r>
          </w:p>
        </w:tc>
        <w:tc>
          <w:tcPr>
            <w:tcW w:w="936" w:type="pct"/>
            <w:hideMark/>
          </w:tcPr>
          <w:p w14:paraId="64B7748B" w14:textId="77777777" w:rsidR="004535A3" w:rsidRPr="00000849" w:rsidRDefault="004535A3" w:rsidP="00161E8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Wave 2 (all), OR (95% CI)</w:t>
            </w:r>
          </w:p>
        </w:tc>
        <w:tc>
          <w:tcPr>
            <w:tcW w:w="935" w:type="pct"/>
            <w:hideMark/>
          </w:tcPr>
          <w:p w14:paraId="71FDAF27" w14:textId="77777777" w:rsidR="004535A3" w:rsidRPr="00000849" w:rsidRDefault="004535A3" w:rsidP="00161E8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Wave 1, OR (95% CI)</w:t>
            </w:r>
          </w:p>
        </w:tc>
        <w:tc>
          <w:tcPr>
            <w:tcW w:w="935" w:type="pct"/>
            <w:hideMark/>
          </w:tcPr>
          <w:p w14:paraId="2C3558B7" w14:textId="77777777" w:rsidR="004535A3" w:rsidRPr="00000849" w:rsidRDefault="004535A3" w:rsidP="00161E87">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Wave 2 (all), OR (95% CI)</w:t>
            </w:r>
          </w:p>
        </w:tc>
      </w:tr>
      <w:tr w:rsidR="004535A3" w:rsidRPr="00000849" w14:paraId="47259314"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09BA5DC0"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Sex of respondent</w:t>
            </w:r>
          </w:p>
        </w:tc>
        <w:tc>
          <w:tcPr>
            <w:tcW w:w="935" w:type="pct"/>
            <w:shd w:val="clear" w:color="auto" w:fill="auto"/>
            <w:hideMark/>
          </w:tcPr>
          <w:p w14:paraId="4DAB55C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hideMark/>
          </w:tcPr>
          <w:p w14:paraId="4106BAF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03A5883A"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0067CF19"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46329913"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noWrap/>
            <w:hideMark/>
          </w:tcPr>
          <w:p w14:paraId="07884F9E"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Males</w:t>
            </w:r>
          </w:p>
        </w:tc>
        <w:tc>
          <w:tcPr>
            <w:tcW w:w="935" w:type="pct"/>
            <w:hideMark/>
          </w:tcPr>
          <w:p w14:paraId="136322B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hideMark/>
          </w:tcPr>
          <w:p w14:paraId="5D37707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161297B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6252ADA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076B500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noWrap/>
            <w:hideMark/>
          </w:tcPr>
          <w:p w14:paraId="1E273922"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Females</w:t>
            </w:r>
          </w:p>
        </w:tc>
        <w:tc>
          <w:tcPr>
            <w:tcW w:w="935" w:type="pct"/>
            <w:shd w:val="clear" w:color="auto" w:fill="auto"/>
            <w:hideMark/>
          </w:tcPr>
          <w:p w14:paraId="61C78EE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0.89 (0.75-1.05)</w:t>
            </w:r>
          </w:p>
        </w:tc>
        <w:tc>
          <w:tcPr>
            <w:tcW w:w="936" w:type="pct"/>
            <w:shd w:val="clear" w:color="auto" w:fill="auto"/>
            <w:hideMark/>
          </w:tcPr>
          <w:p w14:paraId="3FC27E6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0.91 (0.74-1.13)</w:t>
            </w:r>
          </w:p>
        </w:tc>
        <w:tc>
          <w:tcPr>
            <w:tcW w:w="935" w:type="pct"/>
            <w:shd w:val="clear" w:color="auto" w:fill="auto"/>
            <w:hideMark/>
          </w:tcPr>
          <w:p w14:paraId="125BFA2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0.85 (0.71-1.03)</w:t>
            </w:r>
          </w:p>
        </w:tc>
        <w:tc>
          <w:tcPr>
            <w:tcW w:w="935" w:type="pct"/>
            <w:shd w:val="clear" w:color="auto" w:fill="auto"/>
            <w:hideMark/>
          </w:tcPr>
          <w:p w14:paraId="6D97E82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 (0.71-1.15)</w:t>
            </w:r>
          </w:p>
        </w:tc>
      </w:tr>
      <w:tr w:rsidR="004535A3" w:rsidRPr="00000849" w14:paraId="78393F5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3AE979B4"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Age groups</w:t>
            </w:r>
          </w:p>
        </w:tc>
        <w:tc>
          <w:tcPr>
            <w:tcW w:w="935" w:type="pct"/>
            <w:hideMark/>
          </w:tcPr>
          <w:p w14:paraId="29EEB67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hideMark/>
          </w:tcPr>
          <w:p w14:paraId="45DB0FC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4D8EEB3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7EE3526E"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7EA1788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noWrap/>
            <w:hideMark/>
          </w:tcPr>
          <w:p w14:paraId="4740BFF5"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50 - 64</w:t>
            </w:r>
          </w:p>
        </w:tc>
        <w:tc>
          <w:tcPr>
            <w:tcW w:w="935" w:type="pct"/>
            <w:shd w:val="clear" w:color="auto" w:fill="auto"/>
            <w:hideMark/>
          </w:tcPr>
          <w:p w14:paraId="1A10E68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shd w:val="clear" w:color="auto" w:fill="auto"/>
            <w:hideMark/>
          </w:tcPr>
          <w:p w14:paraId="1567CE2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3864BCD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0BAD99D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132D58ED"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1259" w:type="pct"/>
            <w:noWrap/>
            <w:hideMark/>
          </w:tcPr>
          <w:p w14:paraId="13997357"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65 - 74</w:t>
            </w:r>
          </w:p>
        </w:tc>
        <w:tc>
          <w:tcPr>
            <w:tcW w:w="935" w:type="pct"/>
            <w:hideMark/>
          </w:tcPr>
          <w:p w14:paraId="00EA8F2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1.03 (0.89-1.20)</w:t>
            </w:r>
          </w:p>
        </w:tc>
        <w:tc>
          <w:tcPr>
            <w:tcW w:w="936" w:type="pct"/>
            <w:hideMark/>
          </w:tcPr>
          <w:p w14:paraId="4183582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1.44*** (1.19-1.75)</w:t>
            </w:r>
          </w:p>
        </w:tc>
        <w:tc>
          <w:tcPr>
            <w:tcW w:w="935" w:type="pct"/>
            <w:hideMark/>
          </w:tcPr>
          <w:p w14:paraId="498F042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(0.84-1.19)</w:t>
            </w:r>
          </w:p>
        </w:tc>
        <w:tc>
          <w:tcPr>
            <w:tcW w:w="935" w:type="pct"/>
            <w:hideMark/>
          </w:tcPr>
          <w:p w14:paraId="0EA02E3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1.54*** (1.25-1.91)</w:t>
            </w:r>
          </w:p>
        </w:tc>
      </w:tr>
      <w:tr w:rsidR="004535A3" w:rsidRPr="00000849" w14:paraId="33DDC8C3"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noWrap/>
            <w:hideMark/>
          </w:tcPr>
          <w:p w14:paraId="4DB93498"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75-plus</w:t>
            </w:r>
          </w:p>
        </w:tc>
        <w:tc>
          <w:tcPr>
            <w:tcW w:w="935" w:type="pct"/>
            <w:shd w:val="clear" w:color="auto" w:fill="auto"/>
            <w:hideMark/>
          </w:tcPr>
          <w:p w14:paraId="5523836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 (0.74-1.09)</w:t>
            </w:r>
          </w:p>
        </w:tc>
        <w:tc>
          <w:tcPr>
            <w:tcW w:w="936" w:type="pct"/>
            <w:shd w:val="clear" w:color="auto" w:fill="auto"/>
            <w:hideMark/>
          </w:tcPr>
          <w:p w14:paraId="4E7524F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1.27 (1.00-1.61)</w:t>
            </w:r>
          </w:p>
        </w:tc>
        <w:tc>
          <w:tcPr>
            <w:tcW w:w="935" w:type="pct"/>
            <w:shd w:val="clear" w:color="auto" w:fill="auto"/>
            <w:hideMark/>
          </w:tcPr>
          <w:p w14:paraId="35F6873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0.85 (0.67-1.06)</w:t>
            </w:r>
          </w:p>
        </w:tc>
        <w:tc>
          <w:tcPr>
            <w:tcW w:w="935" w:type="pct"/>
            <w:shd w:val="clear" w:color="auto" w:fill="auto"/>
            <w:hideMark/>
          </w:tcPr>
          <w:p w14:paraId="4DAF3C7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1.32 (0.99-1.76)</w:t>
            </w:r>
          </w:p>
        </w:tc>
      </w:tr>
      <w:tr w:rsidR="004535A3" w:rsidRPr="00000849" w14:paraId="545B37A6"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5E6BA3E6"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Type of residence</w:t>
            </w:r>
          </w:p>
        </w:tc>
        <w:tc>
          <w:tcPr>
            <w:tcW w:w="935" w:type="pct"/>
            <w:hideMark/>
          </w:tcPr>
          <w:p w14:paraId="627B9E3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hideMark/>
          </w:tcPr>
          <w:p w14:paraId="3B70D6B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580B411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42CD2942"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756A0E2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noWrap/>
            <w:hideMark/>
          </w:tcPr>
          <w:p w14:paraId="4A72B6F1"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Rural</w:t>
            </w:r>
          </w:p>
        </w:tc>
        <w:tc>
          <w:tcPr>
            <w:tcW w:w="935" w:type="pct"/>
            <w:shd w:val="clear" w:color="auto" w:fill="auto"/>
            <w:hideMark/>
          </w:tcPr>
          <w:p w14:paraId="2DE11B0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shd w:val="clear" w:color="auto" w:fill="auto"/>
            <w:hideMark/>
          </w:tcPr>
          <w:p w14:paraId="2FD6054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6437AA9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469873D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72A1CD79"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noWrap/>
            <w:hideMark/>
          </w:tcPr>
          <w:p w14:paraId="00AE1051"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Urban</w:t>
            </w:r>
          </w:p>
        </w:tc>
        <w:tc>
          <w:tcPr>
            <w:tcW w:w="935" w:type="pct"/>
            <w:hideMark/>
          </w:tcPr>
          <w:p w14:paraId="30B4A99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1.13 (0.96-1.32)</w:t>
            </w:r>
          </w:p>
        </w:tc>
        <w:tc>
          <w:tcPr>
            <w:tcW w:w="936" w:type="pct"/>
            <w:hideMark/>
          </w:tcPr>
          <w:p w14:paraId="1DDB38F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(0.82-1.22)</w:t>
            </w:r>
          </w:p>
        </w:tc>
        <w:tc>
          <w:tcPr>
            <w:tcW w:w="935" w:type="pct"/>
            <w:hideMark/>
          </w:tcPr>
          <w:p w14:paraId="7E95627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1.15 (0.92-1.45)</w:t>
            </w:r>
          </w:p>
        </w:tc>
        <w:tc>
          <w:tcPr>
            <w:tcW w:w="935" w:type="pct"/>
            <w:hideMark/>
          </w:tcPr>
          <w:p w14:paraId="43EEBED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0.99 (0.75-1.30)</w:t>
            </w:r>
          </w:p>
        </w:tc>
      </w:tr>
      <w:tr w:rsidR="004535A3" w:rsidRPr="00000849" w14:paraId="14586596" w14:textId="77777777" w:rsidTr="00000849">
        <w:trPr>
          <w:trHeight w:val="324"/>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445486A1"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Regional Groups</w:t>
            </w:r>
          </w:p>
        </w:tc>
        <w:tc>
          <w:tcPr>
            <w:tcW w:w="935" w:type="pct"/>
            <w:shd w:val="clear" w:color="auto" w:fill="auto"/>
            <w:hideMark/>
          </w:tcPr>
          <w:p w14:paraId="79BDA91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hideMark/>
          </w:tcPr>
          <w:p w14:paraId="7C0C2EE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4C22F41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73FAD119"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338EDE3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noWrap/>
            <w:hideMark/>
          </w:tcPr>
          <w:p w14:paraId="1E3DD860"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Northern regions</w:t>
            </w:r>
          </w:p>
        </w:tc>
        <w:tc>
          <w:tcPr>
            <w:tcW w:w="935" w:type="pct"/>
            <w:hideMark/>
          </w:tcPr>
          <w:p w14:paraId="45A2AD2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hideMark/>
          </w:tcPr>
          <w:p w14:paraId="0CD94F3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536E8E9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5361200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0EA4F42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noWrap/>
            <w:hideMark/>
          </w:tcPr>
          <w:p w14:paraId="0AEFD8A6"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Other regions</w:t>
            </w:r>
          </w:p>
        </w:tc>
        <w:tc>
          <w:tcPr>
            <w:tcW w:w="935" w:type="pct"/>
            <w:shd w:val="clear" w:color="auto" w:fill="auto"/>
            <w:hideMark/>
          </w:tcPr>
          <w:p w14:paraId="2E5704A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1.78*** (1.38-2.29)</w:t>
            </w:r>
          </w:p>
        </w:tc>
        <w:tc>
          <w:tcPr>
            <w:tcW w:w="936" w:type="pct"/>
            <w:shd w:val="clear" w:color="auto" w:fill="auto"/>
            <w:hideMark/>
          </w:tcPr>
          <w:p w14:paraId="5B5AB59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1.15 (0.85-1.56)</w:t>
            </w:r>
          </w:p>
        </w:tc>
        <w:tc>
          <w:tcPr>
            <w:tcW w:w="935" w:type="pct"/>
            <w:shd w:val="clear" w:color="auto" w:fill="auto"/>
            <w:hideMark/>
          </w:tcPr>
          <w:p w14:paraId="3E1A601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2.02*** (1.36-3.00)</w:t>
            </w:r>
          </w:p>
        </w:tc>
        <w:tc>
          <w:tcPr>
            <w:tcW w:w="935" w:type="pct"/>
            <w:shd w:val="clear" w:color="auto" w:fill="auto"/>
            <w:hideMark/>
          </w:tcPr>
          <w:p w14:paraId="14E5B11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1.15 (0.80-1.66)</w:t>
            </w:r>
          </w:p>
        </w:tc>
      </w:tr>
      <w:tr w:rsidR="004535A3" w:rsidRPr="00000849" w14:paraId="4F3B1775"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1259" w:type="pct"/>
            <w:noWrap/>
            <w:hideMark/>
          </w:tcPr>
          <w:p w14:paraId="6937F048"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Greater Accra Region</w:t>
            </w:r>
          </w:p>
        </w:tc>
        <w:tc>
          <w:tcPr>
            <w:tcW w:w="935" w:type="pct"/>
            <w:hideMark/>
          </w:tcPr>
          <w:p w14:paraId="2209F21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1.84*** (1.32-2.54)</w:t>
            </w:r>
          </w:p>
        </w:tc>
        <w:tc>
          <w:tcPr>
            <w:tcW w:w="936" w:type="pct"/>
            <w:hideMark/>
          </w:tcPr>
          <w:p w14:paraId="729A3B5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2.56*** (1.68-3.90)</w:t>
            </w:r>
          </w:p>
        </w:tc>
        <w:tc>
          <w:tcPr>
            <w:tcW w:w="935" w:type="pct"/>
            <w:hideMark/>
          </w:tcPr>
          <w:p w14:paraId="1C64FA7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2.17*** (1.37-3.41)</w:t>
            </w:r>
          </w:p>
        </w:tc>
        <w:tc>
          <w:tcPr>
            <w:tcW w:w="935" w:type="pct"/>
            <w:hideMark/>
          </w:tcPr>
          <w:p w14:paraId="68E8A4C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2.24** (1.37-3.65)</w:t>
            </w:r>
          </w:p>
        </w:tc>
      </w:tr>
      <w:tr w:rsidR="004535A3" w:rsidRPr="00000849" w14:paraId="463A66B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28FFBCD2"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 xml:space="preserve">Marital status </w:t>
            </w:r>
          </w:p>
        </w:tc>
        <w:tc>
          <w:tcPr>
            <w:tcW w:w="935" w:type="pct"/>
            <w:shd w:val="clear" w:color="auto" w:fill="auto"/>
            <w:hideMark/>
          </w:tcPr>
          <w:p w14:paraId="75FB8B8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hideMark/>
          </w:tcPr>
          <w:p w14:paraId="4E2549B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662CD1E6"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607D55FF"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1970717B" w14:textId="77777777" w:rsidTr="00000849">
        <w:trPr>
          <w:trHeight w:val="480"/>
        </w:trPr>
        <w:tc>
          <w:tcPr>
            <w:cnfStyle w:val="001000000000" w:firstRow="0" w:lastRow="0" w:firstColumn="1" w:lastColumn="0" w:oddVBand="0" w:evenVBand="0" w:oddHBand="0" w:evenHBand="0" w:firstRowFirstColumn="0" w:firstRowLastColumn="0" w:lastRowFirstColumn="0" w:lastRowLastColumn="0"/>
            <w:tcW w:w="1259" w:type="pct"/>
            <w:hideMark/>
          </w:tcPr>
          <w:p w14:paraId="49840B72"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Currently married or cohabiting</w:t>
            </w:r>
          </w:p>
        </w:tc>
        <w:tc>
          <w:tcPr>
            <w:tcW w:w="935" w:type="pct"/>
            <w:hideMark/>
          </w:tcPr>
          <w:p w14:paraId="69B7E36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hideMark/>
          </w:tcPr>
          <w:p w14:paraId="4E9B380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4D62463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4E2BD5E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602A6704"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09BE4C9D"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Previously or never married</w:t>
            </w:r>
          </w:p>
        </w:tc>
        <w:tc>
          <w:tcPr>
            <w:tcW w:w="935" w:type="pct"/>
            <w:shd w:val="clear" w:color="auto" w:fill="auto"/>
            <w:hideMark/>
          </w:tcPr>
          <w:p w14:paraId="648DCDB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1.26** (1.08-1.47)</w:t>
            </w:r>
          </w:p>
        </w:tc>
        <w:tc>
          <w:tcPr>
            <w:tcW w:w="936" w:type="pct"/>
            <w:shd w:val="clear" w:color="auto" w:fill="auto"/>
            <w:hideMark/>
          </w:tcPr>
          <w:p w14:paraId="2F1AE06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1.51*** (1.26-1.81)</w:t>
            </w:r>
          </w:p>
        </w:tc>
        <w:tc>
          <w:tcPr>
            <w:tcW w:w="935" w:type="pct"/>
            <w:shd w:val="clear" w:color="auto" w:fill="auto"/>
            <w:hideMark/>
          </w:tcPr>
          <w:p w14:paraId="518A98F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1.27** (1.08-1.50)</w:t>
            </w:r>
          </w:p>
        </w:tc>
        <w:tc>
          <w:tcPr>
            <w:tcW w:w="935" w:type="pct"/>
            <w:shd w:val="clear" w:color="auto" w:fill="auto"/>
            <w:hideMark/>
          </w:tcPr>
          <w:p w14:paraId="4D1B2B2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1.54*** (1.25-1.89)</w:t>
            </w:r>
          </w:p>
        </w:tc>
      </w:tr>
      <w:tr w:rsidR="004535A3" w:rsidRPr="00000849" w14:paraId="45CF6734"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55BEF1D9"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Ethnicity</w:t>
            </w:r>
          </w:p>
        </w:tc>
        <w:tc>
          <w:tcPr>
            <w:tcW w:w="935" w:type="pct"/>
            <w:hideMark/>
          </w:tcPr>
          <w:p w14:paraId="1950F32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hideMark/>
          </w:tcPr>
          <w:p w14:paraId="518D6A3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78ACDB7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1A6D22D4"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17F5EB79"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noWrap/>
            <w:hideMark/>
          </w:tcPr>
          <w:p w14:paraId="40B6FCFF"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Northern groups</w:t>
            </w:r>
          </w:p>
        </w:tc>
        <w:tc>
          <w:tcPr>
            <w:tcW w:w="935" w:type="pct"/>
            <w:shd w:val="clear" w:color="auto" w:fill="auto"/>
            <w:hideMark/>
          </w:tcPr>
          <w:p w14:paraId="4714AAF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shd w:val="clear" w:color="auto" w:fill="auto"/>
            <w:hideMark/>
          </w:tcPr>
          <w:p w14:paraId="7EEE8D0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3098F9E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77B6F27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211C4C6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50574DFC"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Akan</w:t>
            </w:r>
          </w:p>
        </w:tc>
        <w:tc>
          <w:tcPr>
            <w:tcW w:w="935" w:type="pct"/>
            <w:hideMark/>
          </w:tcPr>
          <w:p w14:paraId="40578BE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1.08 (0.86-1.36)</w:t>
            </w:r>
          </w:p>
        </w:tc>
        <w:tc>
          <w:tcPr>
            <w:tcW w:w="936" w:type="pct"/>
            <w:hideMark/>
          </w:tcPr>
          <w:p w14:paraId="799EB7B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1.05 (0.81-1.35)</w:t>
            </w:r>
          </w:p>
        </w:tc>
        <w:tc>
          <w:tcPr>
            <w:tcW w:w="935" w:type="pct"/>
            <w:hideMark/>
          </w:tcPr>
          <w:p w14:paraId="57F3627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1.07 (0.82-1.39)</w:t>
            </w:r>
          </w:p>
        </w:tc>
        <w:tc>
          <w:tcPr>
            <w:tcW w:w="935" w:type="pct"/>
            <w:hideMark/>
          </w:tcPr>
          <w:p w14:paraId="2F1656D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1.08 (0.78-1.49)</w:t>
            </w:r>
          </w:p>
        </w:tc>
      </w:tr>
      <w:tr w:rsidR="004535A3" w:rsidRPr="00000849" w14:paraId="0624733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55AB92E9"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Ga-Adangme</w:t>
            </w:r>
          </w:p>
        </w:tc>
        <w:tc>
          <w:tcPr>
            <w:tcW w:w="935" w:type="pct"/>
            <w:shd w:val="clear" w:color="auto" w:fill="auto"/>
            <w:hideMark/>
          </w:tcPr>
          <w:p w14:paraId="322FD4C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0.83 (0.63-1.10)</w:t>
            </w:r>
          </w:p>
        </w:tc>
        <w:tc>
          <w:tcPr>
            <w:tcW w:w="936" w:type="pct"/>
            <w:shd w:val="clear" w:color="auto" w:fill="auto"/>
            <w:hideMark/>
          </w:tcPr>
          <w:p w14:paraId="7002B1D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1.11 (0.81-1.52)</w:t>
            </w:r>
          </w:p>
        </w:tc>
        <w:tc>
          <w:tcPr>
            <w:tcW w:w="935" w:type="pct"/>
            <w:shd w:val="clear" w:color="auto" w:fill="auto"/>
            <w:hideMark/>
          </w:tcPr>
          <w:p w14:paraId="66CA4F8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0.82 (0.60-1.13)</w:t>
            </w:r>
          </w:p>
        </w:tc>
        <w:tc>
          <w:tcPr>
            <w:tcW w:w="935" w:type="pct"/>
            <w:shd w:val="clear" w:color="auto" w:fill="auto"/>
            <w:hideMark/>
          </w:tcPr>
          <w:p w14:paraId="7A59F6A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1.18 (0.78-1.76)</w:t>
            </w:r>
          </w:p>
        </w:tc>
      </w:tr>
      <w:tr w:rsidR="004535A3" w:rsidRPr="00000849" w14:paraId="6EEA927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3F65F148"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Others</w:t>
            </w:r>
          </w:p>
        </w:tc>
        <w:tc>
          <w:tcPr>
            <w:tcW w:w="935" w:type="pct"/>
            <w:hideMark/>
          </w:tcPr>
          <w:p w14:paraId="44E6363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0.84 (0.67-1.06)</w:t>
            </w:r>
          </w:p>
        </w:tc>
        <w:tc>
          <w:tcPr>
            <w:tcW w:w="936" w:type="pct"/>
            <w:hideMark/>
          </w:tcPr>
          <w:p w14:paraId="4EBBAF4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1.04 (0.76-1.43)</w:t>
            </w:r>
          </w:p>
        </w:tc>
        <w:tc>
          <w:tcPr>
            <w:tcW w:w="935" w:type="pct"/>
            <w:hideMark/>
          </w:tcPr>
          <w:p w14:paraId="3E448BF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0.85 (0.65-1.11)</w:t>
            </w:r>
          </w:p>
        </w:tc>
        <w:tc>
          <w:tcPr>
            <w:tcW w:w="935" w:type="pct"/>
            <w:hideMark/>
          </w:tcPr>
          <w:p w14:paraId="66BA2BF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1.04 (0.73-1.48)</w:t>
            </w:r>
          </w:p>
        </w:tc>
      </w:tr>
      <w:tr w:rsidR="004535A3" w:rsidRPr="00000849" w14:paraId="09780EE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3801C6DB"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Religious group</w:t>
            </w:r>
          </w:p>
        </w:tc>
        <w:tc>
          <w:tcPr>
            <w:tcW w:w="935" w:type="pct"/>
            <w:shd w:val="clear" w:color="auto" w:fill="auto"/>
            <w:hideMark/>
          </w:tcPr>
          <w:p w14:paraId="3736A17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hideMark/>
          </w:tcPr>
          <w:p w14:paraId="45DE21C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5389F3E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6E5E3077"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212BC67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5DE07434"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Christian</w:t>
            </w:r>
          </w:p>
        </w:tc>
        <w:tc>
          <w:tcPr>
            <w:tcW w:w="935" w:type="pct"/>
            <w:hideMark/>
          </w:tcPr>
          <w:p w14:paraId="06D6E94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hideMark/>
          </w:tcPr>
          <w:p w14:paraId="7DBF077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5385A5B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493459B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1999293B"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2769B233"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Islam</w:t>
            </w:r>
          </w:p>
        </w:tc>
        <w:tc>
          <w:tcPr>
            <w:tcW w:w="935" w:type="pct"/>
            <w:shd w:val="clear" w:color="auto" w:fill="auto"/>
            <w:hideMark/>
          </w:tcPr>
          <w:p w14:paraId="1CE628B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1.22 (0.98-1.52)</w:t>
            </w:r>
          </w:p>
        </w:tc>
        <w:tc>
          <w:tcPr>
            <w:tcW w:w="936" w:type="pct"/>
            <w:shd w:val="clear" w:color="auto" w:fill="auto"/>
            <w:hideMark/>
          </w:tcPr>
          <w:p w14:paraId="44B5CF2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1.30* (1.01-1.68)</w:t>
            </w:r>
          </w:p>
        </w:tc>
        <w:tc>
          <w:tcPr>
            <w:tcW w:w="935" w:type="pct"/>
            <w:shd w:val="clear" w:color="auto" w:fill="auto"/>
            <w:hideMark/>
          </w:tcPr>
          <w:p w14:paraId="47571A4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1.11 (0.84-1.47)</w:t>
            </w:r>
          </w:p>
        </w:tc>
        <w:tc>
          <w:tcPr>
            <w:tcW w:w="935" w:type="pct"/>
            <w:shd w:val="clear" w:color="auto" w:fill="auto"/>
            <w:hideMark/>
          </w:tcPr>
          <w:p w14:paraId="7397BF9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1.35 (0.96-1.90)</w:t>
            </w:r>
          </w:p>
        </w:tc>
      </w:tr>
      <w:tr w:rsidR="004535A3" w:rsidRPr="00000849" w14:paraId="0445571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23CF87AA"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Others</w:t>
            </w:r>
          </w:p>
        </w:tc>
        <w:tc>
          <w:tcPr>
            <w:tcW w:w="935" w:type="pct"/>
            <w:hideMark/>
          </w:tcPr>
          <w:p w14:paraId="6B94465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1.05 (0.86-1.29)</w:t>
            </w:r>
          </w:p>
        </w:tc>
        <w:tc>
          <w:tcPr>
            <w:tcW w:w="936" w:type="pct"/>
            <w:hideMark/>
          </w:tcPr>
          <w:p w14:paraId="325A8F2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1.32 (0.97-1.79)</w:t>
            </w:r>
          </w:p>
        </w:tc>
        <w:tc>
          <w:tcPr>
            <w:tcW w:w="935" w:type="pct"/>
            <w:hideMark/>
          </w:tcPr>
          <w:p w14:paraId="12A811E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1.09 (0.85-1.40)</w:t>
            </w:r>
          </w:p>
        </w:tc>
        <w:tc>
          <w:tcPr>
            <w:tcW w:w="935" w:type="pct"/>
            <w:hideMark/>
          </w:tcPr>
          <w:p w14:paraId="54C2D1C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1.36 (0.89-2.09)</w:t>
            </w:r>
          </w:p>
        </w:tc>
      </w:tr>
      <w:tr w:rsidR="004535A3" w:rsidRPr="00000849" w14:paraId="7F50747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732AC865"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Educational level</w:t>
            </w:r>
          </w:p>
        </w:tc>
        <w:tc>
          <w:tcPr>
            <w:tcW w:w="935" w:type="pct"/>
            <w:shd w:val="clear" w:color="auto" w:fill="auto"/>
            <w:hideMark/>
          </w:tcPr>
          <w:p w14:paraId="4B56CFF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hideMark/>
          </w:tcPr>
          <w:p w14:paraId="5C75FC2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6B09360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hideMark/>
          </w:tcPr>
          <w:p w14:paraId="5B6A2C1D"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3103DEF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4C91BC8C"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Nil</w:t>
            </w:r>
          </w:p>
        </w:tc>
        <w:tc>
          <w:tcPr>
            <w:tcW w:w="935" w:type="pct"/>
            <w:hideMark/>
          </w:tcPr>
          <w:p w14:paraId="0DFB184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hideMark/>
          </w:tcPr>
          <w:p w14:paraId="74E0532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5F21E8A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32E6491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52B51B5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7C8E597D"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Primary or less</w:t>
            </w:r>
          </w:p>
        </w:tc>
        <w:tc>
          <w:tcPr>
            <w:tcW w:w="935" w:type="pct"/>
            <w:shd w:val="clear" w:color="auto" w:fill="auto"/>
            <w:hideMark/>
          </w:tcPr>
          <w:p w14:paraId="7C0BF87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0.91 (0.77-1.08)</w:t>
            </w:r>
          </w:p>
        </w:tc>
        <w:tc>
          <w:tcPr>
            <w:tcW w:w="936" w:type="pct"/>
            <w:shd w:val="clear" w:color="auto" w:fill="auto"/>
            <w:hideMark/>
          </w:tcPr>
          <w:p w14:paraId="7248926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1.03 (0.83-1.28)</w:t>
            </w:r>
          </w:p>
        </w:tc>
        <w:tc>
          <w:tcPr>
            <w:tcW w:w="935" w:type="pct"/>
            <w:shd w:val="clear" w:color="auto" w:fill="auto"/>
            <w:hideMark/>
          </w:tcPr>
          <w:p w14:paraId="564AF06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 (0.75-1.08)</w:t>
            </w:r>
          </w:p>
        </w:tc>
        <w:tc>
          <w:tcPr>
            <w:tcW w:w="935" w:type="pct"/>
            <w:shd w:val="clear" w:color="auto" w:fill="auto"/>
            <w:hideMark/>
          </w:tcPr>
          <w:p w14:paraId="13F5365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1.02 (0.79-1.31)</w:t>
            </w:r>
          </w:p>
        </w:tc>
      </w:tr>
      <w:tr w:rsidR="004535A3" w:rsidRPr="00000849" w14:paraId="4C8B5F2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08E664D3"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Secondary or higher</w:t>
            </w:r>
          </w:p>
        </w:tc>
        <w:tc>
          <w:tcPr>
            <w:tcW w:w="935" w:type="pct"/>
            <w:hideMark/>
          </w:tcPr>
          <w:p w14:paraId="09B6971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0.77** (0.64-0.93)</w:t>
            </w:r>
          </w:p>
        </w:tc>
        <w:tc>
          <w:tcPr>
            <w:tcW w:w="936" w:type="pct"/>
            <w:hideMark/>
          </w:tcPr>
          <w:p w14:paraId="3CCE4BA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1.03 (0.80-1.31)</w:t>
            </w:r>
          </w:p>
        </w:tc>
        <w:tc>
          <w:tcPr>
            <w:tcW w:w="935" w:type="pct"/>
            <w:hideMark/>
          </w:tcPr>
          <w:p w14:paraId="7D7E326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0.77* (0.62-0.96)</w:t>
            </w:r>
          </w:p>
        </w:tc>
        <w:tc>
          <w:tcPr>
            <w:tcW w:w="935" w:type="pct"/>
            <w:hideMark/>
          </w:tcPr>
          <w:p w14:paraId="6D61379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1.04 (0.79-1.36)</w:t>
            </w:r>
          </w:p>
        </w:tc>
      </w:tr>
      <w:tr w:rsidR="004535A3" w:rsidRPr="00000849" w14:paraId="0398A1A7" w14:textId="77777777" w:rsidTr="00000849">
        <w:trPr>
          <w:trHeight w:val="450"/>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19CF28E7"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Employer in current or most recent job</w:t>
            </w:r>
          </w:p>
        </w:tc>
        <w:tc>
          <w:tcPr>
            <w:tcW w:w="935" w:type="pct"/>
            <w:shd w:val="clear" w:color="auto" w:fill="auto"/>
            <w:hideMark/>
          </w:tcPr>
          <w:p w14:paraId="3B60DA7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hideMark/>
          </w:tcPr>
          <w:p w14:paraId="0DA9078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5185D54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hideMark/>
          </w:tcPr>
          <w:p w14:paraId="1653A29E"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4926563A"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117E325A"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Informal</w:t>
            </w:r>
          </w:p>
        </w:tc>
        <w:tc>
          <w:tcPr>
            <w:tcW w:w="935" w:type="pct"/>
            <w:hideMark/>
          </w:tcPr>
          <w:p w14:paraId="315E606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hideMark/>
          </w:tcPr>
          <w:p w14:paraId="0CA4B0E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77E9A31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59230B6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46C7BD39"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5EC6D618"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Self-employed</w:t>
            </w:r>
          </w:p>
        </w:tc>
        <w:tc>
          <w:tcPr>
            <w:tcW w:w="935" w:type="pct"/>
            <w:shd w:val="clear" w:color="auto" w:fill="auto"/>
            <w:hideMark/>
          </w:tcPr>
          <w:p w14:paraId="0D104D8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 (0.71-1.15)</w:t>
            </w:r>
          </w:p>
        </w:tc>
        <w:tc>
          <w:tcPr>
            <w:tcW w:w="936" w:type="pct"/>
            <w:shd w:val="clear" w:color="auto" w:fill="auto"/>
            <w:hideMark/>
          </w:tcPr>
          <w:p w14:paraId="457C1D9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0.97 (0.79-1.19)</w:t>
            </w:r>
          </w:p>
        </w:tc>
        <w:tc>
          <w:tcPr>
            <w:tcW w:w="935" w:type="pct"/>
            <w:shd w:val="clear" w:color="auto" w:fill="auto"/>
            <w:hideMark/>
          </w:tcPr>
          <w:p w14:paraId="588B31B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0.91 (0.66-1.26)</w:t>
            </w:r>
          </w:p>
        </w:tc>
        <w:tc>
          <w:tcPr>
            <w:tcW w:w="935" w:type="pct"/>
            <w:shd w:val="clear" w:color="auto" w:fill="auto"/>
            <w:hideMark/>
          </w:tcPr>
          <w:p w14:paraId="6EFF872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0.95 (0.75-1.22)</w:t>
            </w:r>
          </w:p>
        </w:tc>
      </w:tr>
      <w:tr w:rsidR="004535A3" w:rsidRPr="00000849" w14:paraId="4509CE3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77B305AD"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Public sector</w:t>
            </w:r>
          </w:p>
        </w:tc>
        <w:tc>
          <w:tcPr>
            <w:tcW w:w="935" w:type="pct"/>
            <w:hideMark/>
          </w:tcPr>
          <w:p w14:paraId="29EDB31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0.95 (0.69-1.30)</w:t>
            </w:r>
          </w:p>
        </w:tc>
        <w:tc>
          <w:tcPr>
            <w:tcW w:w="936" w:type="pct"/>
            <w:hideMark/>
          </w:tcPr>
          <w:p w14:paraId="1EFD1D5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0.94 (0.65-1.38)</w:t>
            </w:r>
          </w:p>
        </w:tc>
        <w:tc>
          <w:tcPr>
            <w:tcW w:w="935" w:type="pct"/>
            <w:hideMark/>
          </w:tcPr>
          <w:p w14:paraId="0C0D3DC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0.96 (0.66-1.39)</w:t>
            </w:r>
          </w:p>
        </w:tc>
        <w:tc>
          <w:tcPr>
            <w:tcW w:w="935" w:type="pct"/>
            <w:hideMark/>
          </w:tcPr>
          <w:p w14:paraId="7307392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 (0.61-1.33)</w:t>
            </w:r>
          </w:p>
        </w:tc>
      </w:tr>
      <w:tr w:rsidR="004535A3" w:rsidRPr="00000849" w14:paraId="10BC82D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2438AF2E"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Private sector</w:t>
            </w:r>
          </w:p>
        </w:tc>
        <w:tc>
          <w:tcPr>
            <w:tcW w:w="935" w:type="pct"/>
            <w:shd w:val="clear" w:color="auto" w:fill="auto"/>
            <w:hideMark/>
          </w:tcPr>
          <w:p w14:paraId="2DA54F1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1.27 (0.86-1.87)</w:t>
            </w:r>
          </w:p>
        </w:tc>
        <w:tc>
          <w:tcPr>
            <w:tcW w:w="936" w:type="pct"/>
            <w:shd w:val="clear" w:color="auto" w:fill="auto"/>
            <w:hideMark/>
          </w:tcPr>
          <w:p w14:paraId="39D7842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0.96 (0.60-1.54)</w:t>
            </w:r>
          </w:p>
        </w:tc>
        <w:tc>
          <w:tcPr>
            <w:tcW w:w="935" w:type="pct"/>
            <w:shd w:val="clear" w:color="auto" w:fill="auto"/>
            <w:hideMark/>
          </w:tcPr>
          <w:p w14:paraId="4FCEC9E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1.32 (0.84-2.06)</w:t>
            </w:r>
          </w:p>
        </w:tc>
        <w:tc>
          <w:tcPr>
            <w:tcW w:w="935" w:type="pct"/>
            <w:shd w:val="clear" w:color="auto" w:fill="auto"/>
            <w:hideMark/>
          </w:tcPr>
          <w:p w14:paraId="4B25168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0.94 (0.58-1.50)</w:t>
            </w:r>
          </w:p>
        </w:tc>
      </w:tr>
      <w:tr w:rsidR="004535A3" w:rsidRPr="00000849" w14:paraId="77F68DF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2AF41B78"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Work history past 7 days</w:t>
            </w:r>
          </w:p>
        </w:tc>
        <w:tc>
          <w:tcPr>
            <w:tcW w:w="935" w:type="pct"/>
            <w:hideMark/>
          </w:tcPr>
          <w:p w14:paraId="71CE884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hideMark/>
          </w:tcPr>
          <w:p w14:paraId="1B4E38A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570DBBB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hideMark/>
          </w:tcPr>
          <w:p w14:paraId="44E8763D"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41EC446A"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48B12AA6"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Not currently working</w:t>
            </w:r>
          </w:p>
        </w:tc>
        <w:tc>
          <w:tcPr>
            <w:tcW w:w="935" w:type="pct"/>
            <w:shd w:val="clear" w:color="auto" w:fill="auto"/>
            <w:hideMark/>
          </w:tcPr>
          <w:p w14:paraId="4FBE0E2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shd w:val="clear" w:color="auto" w:fill="auto"/>
            <w:hideMark/>
          </w:tcPr>
          <w:p w14:paraId="4930CA1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30EEBCE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51D0AEB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38ACCBF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200960C4"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lastRenderedPageBreak/>
              <w:t>Currently working</w:t>
            </w:r>
          </w:p>
        </w:tc>
        <w:tc>
          <w:tcPr>
            <w:tcW w:w="935" w:type="pct"/>
            <w:hideMark/>
          </w:tcPr>
          <w:p w14:paraId="22D1F2E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0.74*** (0.63-0.88)</w:t>
            </w:r>
          </w:p>
        </w:tc>
        <w:tc>
          <w:tcPr>
            <w:tcW w:w="936" w:type="pct"/>
            <w:hideMark/>
          </w:tcPr>
          <w:p w14:paraId="6B606E7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0.77** (0.64-0.93)</w:t>
            </w:r>
          </w:p>
        </w:tc>
        <w:tc>
          <w:tcPr>
            <w:tcW w:w="935" w:type="pct"/>
            <w:hideMark/>
          </w:tcPr>
          <w:p w14:paraId="436BC59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0.68*** (0.56-0.81)</w:t>
            </w:r>
          </w:p>
        </w:tc>
        <w:tc>
          <w:tcPr>
            <w:tcW w:w="935" w:type="pct"/>
            <w:hideMark/>
          </w:tcPr>
          <w:p w14:paraId="18881EA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0.74* (0.58-0.93)</w:t>
            </w:r>
          </w:p>
        </w:tc>
      </w:tr>
      <w:tr w:rsidR="004535A3" w:rsidRPr="00000849" w14:paraId="0074AF52"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5819C960"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 xml:space="preserve">Wealth quintile </w:t>
            </w:r>
          </w:p>
        </w:tc>
        <w:tc>
          <w:tcPr>
            <w:tcW w:w="935" w:type="pct"/>
            <w:shd w:val="clear" w:color="auto" w:fill="auto"/>
            <w:hideMark/>
          </w:tcPr>
          <w:p w14:paraId="704F515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hideMark/>
          </w:tcPr>
          <w:p w14:paraId="2DF1A02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0399DAC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hideMark/>
          </w:tcPr>
          <w:p w14:paraId="406A7A41"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2FEB9E4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177683FB"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Q1 Poorest</w:t>
            </w:r>
          </w:p>
        </w:tc>
        <w:tc>
          <w:tcPr>
            <w:tcW w:w="935" w:type="pct"/>
            <w:hideMark/>
          </w:tcPr>
          <w:p w14:paraId="38B1E79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hideMark/>
          </w:tcPr>
          <w:p w14:paraId="1C0E3BB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39C5C16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729A018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1B6DD8F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7D24AEC2"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Q2 Poor</w:t>
            </w:r>
          </w:p>
        </w:tc>
        <w:tc>
          <w:tcPr>
            <w:tcW w:w="935" w:type="pct"/>
            <w:shd w:val="clear" w:color="auto" w:fill="auto"/>
            <w:hideMark/>
          </w:tcPr>
          <w:p w14:paraId="035150E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 (0.97-1.49)</w:t>
            </w:r>
          </w:p>
        </w:tc>
        <w:tc>
          <w:tcPr>
            <w:tcW w:w="936" w:type="pct"/>
            <w:shd w:val="clear" w:color="auto" w:fill="auto"/>
            <w:hideMark/>
          </w:tcPr>
          <w:p w14:paraId="619A3EB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0.91 (0.72-1.16)</w:t>
            </w:r>
          </w:p>
        </w:tc>
        <w:tc>
          <w:tcPr>
            <w:tcW w:w="935" w:type="pct"/>
            <w:shd w:val="clear" w:color="auto" w:fill="auto"/>
            <w:hideMark/>
          </w:tcPr>
          <w:p w14:paraId="7098572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1.15 (0.89-1.49)</w:t>
            </w:r>
          </w:p>
        </w:tc>
        <w:tc>
          <w:tcPr>
            <w:tcW w:w="935" w:type="pct"/>
            <w:shd w:val="clear" w:color="auto" w:fill="auto"/>
            <w:hideMark/>
          </w:tcPr>
          <w:p w14:paraId="1F54CA1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0.89 (0.69-1.16)</w:t>
            </w:r>
          </w:p>
        </w:tc>
      </w:tr>
      <w:tr w:rsidR="004535A3" w:rsidRPr="00000849" w14:paraId="016B2470"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60292F0E"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Q3 Mod poor</w:t>
            </w:r>
          </w:p>
        </w:tc>
        <w:tc>
          <w:tcPr>
            <w:tcW w:w="935" w:type="pct"/>
            <w:hideMark/>
          </w:tcPr>
          <w:p w14:paraId="26FF163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1.41** (1.12-1.78)</w:t>
            </w:r>
          </w:p>
        </w:tc>
        <w:tc>
          <w:tcPr>
            <w:tcW w:w="936" w:type="pct"/>
            <w:hideMark/>
          </w:tcPr>
          <w:p w14:paraId="2302EAB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1.02 (0.78-1.35)</w:t>
            </w:r>
          </w:p>
        </w:tc>
        <w:tc>
          <w:tcPr>
            <w:tcW w:w="935" w:type="pct"/>
            <w:hideMark/>
          </w:tcPr>
          <w:p w14:paraId="74430DE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1.27 (0.96-1.68)</w:t>
            </w:r>
          </w:p>
        </w:tc>
        <w:tc>
          <w:tcPr>
            <w:tcW w:w="935" w:type="pct"/>
            <w:hideMark/>
          </w:tcPr>
          <w:p w14:paraId="4B79612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1.03 (0.73-1.45)</w:t>
            </w:r>
          </w:p>
        </w:tc>
      </w:tr>
      <w:tr w:rsidR="004535A3" w:rsidRPr="00000849" w14:paraId="38A41763"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06618C45"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Q4 Rich</w:t>
            </w:r>
          </w:p>
        </w:tc>
        <w:tc>
          <w:tcPr>
            <w:tcW w:w="935" w:type="pct"/>
            <w:shd w:val="clear" w:color="auto" w:fill="auto"/>
            <w:hideMark/>
          </w:tcPr>
          <w:p w14:paraId="674EF3A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1.18 (0.91-1.54)</w:t>
            </w:r>
          </w:p>
        </w:tc>
        <w:tc>
          <w:tcPr>
            <w:tcW w:w="936" w:type="pct"/>
            <w:shd w:val="clear" w:color="auto" w:fill="auto"/>
            <w:hideMark/>
          </w:tcPr>
          <w:p w14:paraId="5AE6490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0.96 (0.70-1.30)</w:t>
            </w:r>
          </w:p>
        </w:tc>
        <w:tc>
          <w:tcPr>
            <w:tcW w:w="935" w:type="pct"/>
            <w:shd w:val="clear" w:color="auto" w:fill="auto"/>
            <w:hideMark/>
          </w:tcPr>
          <w:p w14:paraId="121BD41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1.07 (0.79-1.47)</w:t>
            </w:r>
          </w:p>
        </w:tc>
        <w:tc>
          <w:tcPr>
            <w:tcW w:w="935" w:type="pct"/>
            <w:shd w:val="clear" w:color="auto" w:fill="auto"/>
            <w:hideMark/>
          </w:tcPr>
          <w:p w14:paraId="50A511F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0.95 (0.65-1.38)</w:t>
            </w:r>
          </w:p>
        </w:tc>
      </w:tr>
      <w:tr w:rsidR="004535A3" w:rsidRPr="00000849" w14:paraId="2D27922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0A2208EF"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Q5 Richest</w:t>
            </w:r>
          </w:p>
        </w:tc>
        <w:tc>
          <w:tcPr>
            <w:tcW w:w="935" w:type="pct"/>
            <w:hideMark/>
          </w:tcPr>
          <w:p w14:paraId="56BD75B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1.21 (0.88-1.65)</w:t>
            </w:r>
          </w:p>
        </w:tc>
        <w:tc>
          <w:tcPr>
            <w:tcW w:w="936" w:type="pct"/>
            <w:hideMark/>
          </w:tcPr>
          <w:p w14:paraId="3D5AC75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0.92 (0.64-1.32)</w:t>
            </w:r>
          </w:p>
        </w:tc>
        <w:tc>
          <w:tcPr>
            <w:tcW w:w="935" w:type="pct"/>
            <w:hideMark/>
          </w:tcPr>
          <w:p w14:paraId="4088BF3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0.94 (0.66-1.35)</w:t>
            </w:r>
          </w:p>
        </w:tc>
        <w:tc>
          <w:tcPr>
            <w:tcW w:w="935" w:type="pct"/>
            <w:hideMark/>
          </w:tcPr>
          <w:p w14:paraId="591CEF0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0.94 (0.60-1.49)</w:t>
            </w:r>
          </w:p>
        </w:tc>
      </w:tr>
      <w:tr w:rsidR="004535A3" w:rsidRPr="00000849" w14:paraId="4A1453F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621F9C31"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Physical activity level</w:t>
            </w:r>
          </w:p>
        </w:tc>
        <w:tc>
          <w:tcPr>
            <w:tcW w:w="935" w:type="pct"/>
            <w:shd w:val="clear" w:color="auto" w:fill="auto"/>
            <w:hideMark/>
          </w:tcPr>
          <w:p w14:paraId="71B7E77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hideMark/>
          </w:tcPr>
          <w:p w14:paraId="37373D4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035018D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32D6B7B1"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2A731602"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08E5C915"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Low physical activity</w:t>
            </w:r>
          </w:p>
        </w:tc>
        <w:tc>
          <w:tcPr>
            <w:tcW w:w="935" w:type="pct"/>
            <w:hideMark/>
          </w:tcPr>
          <w:p w14:paraId="725FCD6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hideMark/>
          </w:tcPr>
          <w:p w14:paraId="6057805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733CFDA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05DCC59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5EC0B9FB"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1C200F24"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Moderate physical activity</w:t>
            </w:r>
          </w:p>
        </w:tc>
        <w:tc>
          <w:tcPr>
            <w:tcW w:w="935" w:type="pct"/>
            <w:shd w:val="clear" w:color="auto" w:fill="auto"/>
            <w:hideMark/>
          </w:tcPr>
          <w:p w14:paraId="14F190D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1.05 (0.89-1.25)</w:t>
            </w:r>
          </w:p>
        </w:tc>
        <w:tc>
          <w:tcPr>
            <w:tcW w:w="936" w:type="pct"/>
            <w:shd w:val="clear" w:color="auto" w:fill="auto"/>
            <w:hideMark/>
          </w:tcPr>
          <w:p w14:paraId="124E3F2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0.84 (0.70-1.01)</w:t>
            </w:r>
          </w:p>
        </w:tc>
        <w:tc>
          <w:tcPr>
            <w:tcW w:w="935" w:type="pct"/>
            <w:shd w:val="clear" w:color="auto" w:fill="auto"/>
            <w:hideMark/>
          </w:tcPr>
          <w:p w14:paraId="3DED28F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1.07 (0.88-1.31)</w:t>
            </w:r>
          </w:p>
        </w:tc>
        <w:tc>
          <w:tcPr>
            <w:tcW w:w="935" w:type="pct"/>
            <w:shd w:val="clear" w:color="auto" w:fill="auto"/>
            <w:hideMark/>
          </w:tcPr>
          <w:p w14:paraId="4E48B93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0.84 (0.68-1.02)</w:t>
            </w:r>
          </w:p>
        </w:tc>
      </w:tr>
      <w:tr w:rsidR="004535A3" w:rsidRPr="00000849" w14:paraId="7E2B9D0A"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22ABB517"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High physical activity</w:t>
            </w:r>
          </w:p>
        </w:tc>
        <w:tc>
          <w:tcPr>
            <w:tcW w:w="935" w:type="pct"/>
            <w:hideMark/>
          </w:tcPr>
          <w:p w14:paraId="304F043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1.48*** (1.23-1.76)</w:t>
            </w:r>
          </w:p>
        </w:tc>
        <w:tc>
          <w:tcPr>
            <w:tcW w:w="936" w:type="pct"/>
            <w:hideMark/>
          </w:tcPr>
          <w:p w14:paraId="6261185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0.72** (0.57-0.90)</w:t>
            </w:r>
          </w:p>
        </w:tc>
        <w:tc>
          <w:tcPr>
            <w:tcW w:w="935" w:type="pct"/>
            <w:hideMark/>
          </w:tcPr>
          <w:p w14:paraId="1F83DF9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1.34* (1.06-1.70)</w:t>
            </w:r>
          </w:p>
        </w:tc>
        <w:tc>
          <w:tcPr>
            <w:tcW w:w="935" w:type="pct"/>
            <w:hideMark/>
          </w:tcPr>
          <w:p w14:paraId="2125A1B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0.69** (0.52-0.90)</w:t>
            </w:r>
          </w:p>
        </w:tc>
      </w:tr>
      <w:tr w:rsidR="004535A3" w:rsidRPr="00000849" w14:paraId="2ED0912F" w14:textId="77777777" w:rsidTr="00000849">
        <w:trPr>
          <w:trHeight w:val="450"/>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6A34719B"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BMI category</w:t>
            </w:r>
          </w:p>
        </w:tc>
        <w:tc>
          <w:tcPr>
            <w:tcW w:w="935" w:type="pct"/>
            <w:shd w:val="clear" w:color="auto" w:fill="auto"/>
            <w:hideMark/>
          </w:tcPr>
          <w:p w14:paraId="78F7339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hideMark/>
          </w:tcPr>
          <w:p w14:paraId="3E82A0A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0D92CAF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shd w:val="clear" w:color="auto" w:fill="auto"/>
            <w:noWrap/>
            <w:hideMark/>
          </w:tcPr>
          <w:p w14:paraId="5380CA9B"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32B4E81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125E7CF0"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Underweight</w:t>
            </w:r>
          </w:p>
        </w:tc>
        <w:tc>
          <w:tcPr>
            <w:tcW w:w="935" w:type="pct"/>
            <w:hideMark/>
          </w:tcPr>
          <w:p w14:paraId="4DEBB3E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hideMark/>
          </w:tcPr>
          <w:p w14:paraId="66610E3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6094392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hideMark/>
          </w:tcPr>
          <w:p w14:paraId="3160A13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0E2D22D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6138B756"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Normal weight</w:t>
            </w:r>
          </w:p>
        </w:tc>
        <w:tc>
          <w:tcPr>
            <w:tcW w:w="935" w:type="pct"/>
            <w:shd w:val="clear" w:color="auto" w:fill="auto"/>
            <w:hideMark/>
          </w:tcPr>
          <w:p w14:paraId="57DE372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1.37** (1.13-1.66)</w:t>
            </w:r>
          </w:p>
        </w:tc>
        <w:tc>
          <w:tcPr>
            <w:tcW w:w="936" w:type="pct"/>
            <w:shd w:val="clear" w:color="auto" w:fill="auto"/>
            <w:hideMark/>
          </w:tcPr>
          <w:p w14:paraId="02F7D0D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0.97 (0.75-1.26)</w:t>
            </w:r>
          </w:p>
        </w:tc>
        <w:tc>
          <w:tcPr>
            <w:tcW w:w="935" w:type="pct"/>
            <w:shd w:val="clear" w:color="auto" w:fill="auto"/>
            <w:hideMark/>
          </w:tcPr>
          <w:p w14:paraId="14BEF6E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1.39** (1.12-1.73)</w:t>
            </w:r>
          </w:p>
        </w:tc>
        <w:tc>
          <w:tcPr>
            <w:tcW w:w="935" w:type="pct"/>
            <w:shd w:val="clear" w:color="auto" w:fill="auto"/>
            <w:hideMark/>
          </w:tcPr>
          <w:p w14:paraId="7D13655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0.97 (0.70-1.34)</w:t>
            </w:r>
          </w:p>
        </w:tc>
      </w:tr>
      <w:tr w:rsidR="004535A3" w:rsidRPr="00000849" w14:paraId="3001CA8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749EFCB4"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Overweight</w:t>
            </w:r>
          </w:p>
        </w:tc>
        <w:tc>
          <w:tcPr>
            <w:tcW w:w="935" w:type="pct"/>
            <w:hideMark/>
          </w:tcPr>
          <w:p w14:paraId="12517AB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2.21*** (1.71-2.86)</w:t>
            </w:r>
          </w:p>
        </w:tc>
        <w:tc>
          <w:tcPr>
            <w:tcW w:w="936" w:type="pct"/>
            <w:hideMark/>
          </w:tcPr>
          <w:p w14:paraId="5ADE1CC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1.19 (0.85-1.66)</w:t>
            </w:r>
          </w:p>
        </w:tc>
        <w:tc>
          <w:tcPr>
            <w:tcW w:w="935" w:type="pct"/>
            <w:hideMark/>
          </w:tcPr>
          <w:p w14:paraId="1458438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2.00*** (1.48-2.70)</w:t>
            </w:r>
          </w:p>
        </w:tc>
        <w:tc>
          <w:tcPr>
            <w:tcW w:w="935" w:type="pct"/>
            <w:hideMark/>
          </w:tcPr>
          <w:p w14:paraId="1922995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 (0.79-1.81)</w:t>
            </w:r>
          </w:p>
        </w:tc>
      </w:tr>
      <w:tr w:rsidR="004535A3" w:rsidRPr="00000849" w14:paraId="1FFC355A"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4FC48D3D"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Obese</w:t>
            </w:r>
          </w:p>
        </w:tc>
        <w:tc>
          <w:tcPr>
            <w:tcW w:w="935" w:type="pct"/>
            <w:shd w:val="clear" w:color="auto" w:fill="auto"/>
            <w:hideMark/>
          </w:tcPr>
          <w:p w14:paraId="426B4D5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2.75*** (2.01-3.77)</w:t>
            </w:r>
          </w:p>
        </w:tc>
        <w:tc>
          <w:tcPr>
            <w:tcW w:w="936" w:type="pct"/>
            <w:shd w:val="clear" w:color="auto" w:fill="auto"/>
            <w:hideMark/>
          </w:tcPr>
          <w:p w14:paraId="2982662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1.29 (0.87-1.92)</w:t>
            </w:r>
          </w:p>
        </w:tc>
        <w:tc>
          <w:tcPr>
            <w:tcW w:w="935" w:type="pct"/>
            <w:shd w:val="clear" w:color="auto" w:fill="auto"/>
            <w:hideMark/>
          </w:tcPr>
          <w:p w14:paraId="1E23154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2.60*** (1.78-3.80)</w:t>
            </w:r>
          </w:p>
        </w:tc>
        <w:tc>
          <w:tcPr>
            <w:tcW w:w="935" w:type="pct"/>
            <w:shd w:val="clear" w:color="auto" w:fill="auto"/>
            <w:hideMark/>
          </w:tcPr>
          <w:p w14:paraId="42F3FB7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1.28 (0.81-2.03)</w:t>
            </w:r>
          </w:p>
        </w:tc>
      </w:tr>
      <w:tr w:rsidR="004535A3" w:rsidRPr="00000849" w14:paraId="6C24D8C5" w14:textId="77777777" w:rsidTr="00000849">
        <w:trPr>
          <w:trHeight w:val="428"/>
        </w:trPr>
        <w:tc>
          <w:tcPr>
            <w:cnfStyle w:val="001000000000" w:firstRow="0" w:lastRow="0" w:firstColumn="1" w:lastColumn="0" w:oddVBand="0" w:evenVBand="0" w:oddHBand="0" w:evenHBand="0" w:firstRowFirstColumn="0" w:firstRowLastColumn="0" w:lastRowFirstColumn="0" w:lastRowLastColumn="0"/>
            <w:tcW w:w="1259" w:type="pct"/>
            <w:hideMark/>
          </w:tcPr>
          <w:p w14:paraId="299775AB"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 xml:space="preserve">Waist circumference </w:t>
            </w:r>
          </w:p>
        </w:tc>
        <w:tc>
          <w:tcPr>
            <w:tcW w:w="935" w:type="pct"/>
            <w:hideMark/>
          </w:tcPr>
          <w:p w14:paraId="3289EEE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hideMark/>
          </w:tcPr>
          <w:p w14:paraId="709EB5D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38FB512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1C64C0E6"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5524214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5C9CE7F7"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&lt;80 cm</w:t>
            </w:r>
          </w:p>
        </w:tc>
        <w:tc>
          <w:tcPr>
            <w:tcW w:w="935" w:type="pct"/>
            <w:shd w:val="clear" w:color="auto" w:fill="auto"/>
            <w:hideMark/>
          </w:tcPr>
          <w:p w14:paraId="0A7BC5E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shd w:val="clear" w:color="auto" w:fill="auto"/>
            <w:hideMark/>
          </w:tcPr>
          <w:p w14:paraId="4962DF5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01D218D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740EC80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4D01FD41"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661E3BA5"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&gt;=80 to &lt;90 cm</w:t>
            </w:r>
          </w:p>
        </w:tc>
        <w:tc>
          <w:tcPr>
            <w:tcW w:w="935" w:type="pct"/>
            <w:hideMark/>
          </w:tcPr>
          <w:p w14:paraId="30E31D6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1.02 (0.85-1.22)</w:t>
            </w:r>
          </w:p>
        </w:tc>
        <w:tc>
          <w:tcPr>
            <w:tcW w:w="936" w:type="pct"/>
            <w:hideMark/>
          </w:tcPr>
          <w:p w14:paraId="13EAF66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1.15 (0.91-1.45)</w:t>
            </w:r>
          </w:p>
        </w:tc>
        <w:tc>
          <w:tcPr>
            <w:tcW w:w="935" w:type="pct"/>
            <w:hideMark/>
          </w:tcPr>
          <w:p w14:paraId="63EF449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1.08 (0.89-1.32)</w:t>
            </w:r>
          </w:p>
        </w:tc>
        <w:tc>
          <w:tcPr>
            <w:tcW w:w="935" w:type="pct"/>
            <w:hideMark/>
          </w:tcPr>
          <w:p w14:paraId="6D27EB8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1.18 (0.91-1.55)</w:t>
            </w:r>
          </w:p>
        </w:tc>
      </w:tr>
      <w:tr w:rsidR="004535A3" w:rsidRPr="00000849" w14:paraId="622BBE44"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605D73CA"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&gt;=90 cm</w:t>
            </w:r>
          </w:p>
        </w:tc>
        <w:tc>
          <w:tcPr>
            <w:tcW w:w="935" w:type="pct"/>
            <w:shd w:val="clear" w:color="auto" w:fill="auto"/>
            <w:hideMark/>
          </w:tcPr>
          <w:p w14:paraId="7C2FE9A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1.07 (0.82-1.39)</w:t>
            </w:r>
          </w:p>
        </w:tc>
        <w:tc>
          <w:tcPr>
            <w:tcW w:w="936" w:type="pct"/>
            <w:shd w:val="clear" w:color="auto" w:fill="auto"/>
            <w:hideMark/>
          </w:tcPr>
          <w:p w14:paraId="5524246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1.24 (0.90-1.70)</w:t>
            </w:r>
          </w:p>
        </w:tc>
        <w:tc>
          <w:tcPr>
            <w:tcW w:w="935" w:type="pct"/>
            <w:shd w:val="clear" w:color="auto" w:fill="auto"/>
            <w:hideMark/>
          </w:tcPr>
          <w:p w14:paraId="5CE65AE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1.16 (0.85-1.56)</w:t>
            </w:r>
          </w:p>
        </w:tc>
        <w:tc>
          <w:tcPr>
            <w:tcW w:w="935" w:type="pct"/>
            <w:shd w:val="clear" w:color="auto" w:fill="auto"/>
            <w:hideMark/>
          </w:tcPr>
          <w:p w14:paraId="0C3AB99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1.29 (0.89-1.87)</w:t>
            </w:r>
          </w:p>
        </w:tc>
      </w:tr>
      <w:tr w:rsidR="004535A3" w:rsidRPr="00000849" w14:paraId="036F9594"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432F21B3"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Hip circumference</w:t>
            </w:r>
          </w:p>
        </w:tc>
        <w:tc>
          <w:tcPr>
            <w:tcW w:w="935" w:type="pct"/>
            <w:hideMark/>
          </w:tcPr>
          <w:p w14:paraId="022CB88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hideMark/>
          </w:tcPr>
          <w:p w14:paraId="08B0E1F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34881D6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64DCFC24"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0480FC8F"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6ACA083C"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&lt;90 cm</w:t>
            </w:r>
          </w:p>
        </w:tc>
        <w:tc>
          <w:tcPr>
            <w:tcW w:w="935" w:type="pct"/>
            <w:shd w:val="clear" w:color="auto" w:fill="auto"/>
            <w:hideMark/>
          </w:tcPr>
          <w:p w14:paraId="63AACBD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shd w:val="clear" w:color="auto" w:fill="auto"/>
            <w:hideMark/>
          </w:tcPr>
          <w:p w14:paraId="2A5B2CF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05E60E3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65BCAD6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0AC68F7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6365BA03"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&gt;=90 to &lt;100 cm</w:t>
            </w:r>
          </w:p>
        </w:tc>
        <w:tc>
          <w:tcPr>
            <w:tcW w:w="935" w:type="pct"/>
            <w:hideMark/>
          </w:tcPr>
          <w:p w14:paraId="509DEA8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 (0.99-1.44)</w:t>
            </w:r>
          </w:p>
        </w:tc>
        <w:tc>
          <w:tcPr>
            <w:tcW w:w="936" w:type="pct"/>
            <w:hideMark/>
          </w:tcPr>
          <w:p w14:paraId="553BAE1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1.08 (0.86-1.36)</w:t>
            </w:r>
          </w:p>
        </w:tc>
        <w:tc>
          <w:tcPr>
            <w:tcW w:w="935" w:type="pct"/>
            <w:hideMark/>
          </w:tcPr>
          <w:p w14:paraId="3DDBEF5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1.21* (1.00-1.47)</w:t>
            </w:r>
          </w:p>
        </w:tc>
        <w:tc>
          <w:tcPr>
            <w:tcW w:w="935" w:type="pct"/>
            <w:hideMark/>
          </w:tcPr>
          <w:p w14:paraId="3978EC3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1.09 (0.85-1.39)</w:t>
            </w:r>
          </w:p>
        </w:tc>
      </w:tr>
      <w:tr w:rsidR="004535A3" w:rsidRPr="00000849" w14:paraId="726F63C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7E7B48B5"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&gt;=100 cm</w:t>
            </w:r>
          </w:p>
        </w:tc>
        <w:tc>
          <w:tcPr>
            <w:tcW w:w="935" w:type="pct"/>
            <w:shd w:val="clear" w:color="auto" w:fill="auto"/>
            <w:hideMark/>
          </w:tcPr>
          <w:p w14:paraId="5AA13E9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1.11 (0.83-1.48)</w:t>
            </w:r>
          </w:p>
        </w:tc>
        <w:tc>
          <w:tcPr>
            <w:tcW w:w="936" w:type="pct"/>
            <w:shd w:val="clear" w:color="auto" w:fill="auto"/>
            <w:hideMark/>
          </w:tcPr>
          <w:p w14:paraId="76EB03F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(0.71-1.39)</w:t>
            </w:r>
          </w:p>
        </w:tc>
        <w:tc>
          <w:tcPr>
            <w:tcW w:w="935" w:type="pct"/>
            <w:shd w:val="clear" w:color="auto" w:fill="auto"/>
            <w:hideMark/>
          </w:tcPr>
          <w:p w14:paraId="2C96721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1.2 (0.89-1.62)</w:t>
            </w:r>
          </w:p>
        </w:tc>
        <w:tc>
          <w:tcPr>
            <w:tcW w:w="935" w:type="pct"/>
            <w:shd w:val="clear" w:color="auto" w:fill="auto"/>
            <w:hideMark/>
          </w:tcPr>
          <w:p w14:paraId="22A36F2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0.99 (0.67-1.48)</w:t>
            </w:r>
          </w:p>
        </w:tc>
      </w:tr>
      <w:tr w:rsidR="004535A3" w:rsidRPr="00000849" w14:paraId="58E29C8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3653DA6E"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Smoke behaviour</w:t>
            </w:r>
          </w:p>
        </w:tc>
        <w:tc>
          <w:tcPr>
            <w:tcW w:w="935" w:type="pct"/>
            <w:hideMark/>
          </w:tcPr>
          <w:p w14:paraId="49EF81A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hideMark/>
          </w:tcPr>
          <w:p w14:paraId="044DDFC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7F694E9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05F93088"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161A41A4"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089BE633"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Never smoker</w:t>
            </w:r>
          </w:p>
        </w:tc>
        <w:tc>
          <w:tcPr>
            <w:tcW w:w="935" w:type="pct"/>
            <w:shd w:val="clear" w:color="auto" w:fill="auto"/>
            <w:hideMark/>
          </w:tcPr>
          <w:p w14:paraId="5FDAEF5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shd w:val="clear" w:color="auto" w:fill="auto"/>
            <w:hideMark/>
          </w:tcPr>
          <w:p w14:paraId="6D1DD5D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4D5981C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7DD54C6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387B6E5C"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0854E9C1"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Former smoker</w:t>
            </w:r>
          </w:p>
        </w:tc>
        <w:tc>
          <w:tcPr>
            <w:tcW w:w="935" w:type="pct"/>
            <w:hideMark/>
          </w:tcPr>
          <w:p w14:paraId="3C9834E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1.12 (0.93-1.36)</w:t>
            </w:r>
          </w:p>
        </w:tc>
        <w:tc>
          <w:tcPr>
            <w:tcW w:w="936" w:type="pct"/>
            <w:hideMark/>
          </w:tcPr>
          <w:p w14:paraId="3633618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1.53 (0.98-2.38)</w:t>
            </w:r>
          </w:p>
        </w:tc>
        <w:tc>
          <w:tcPr>
            <w:tcW w:w="935" w:type="pct"/>
            <w:hideMark/>
          </w:tcPr>
          <w:p w14:paraId="3734F4C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1.15 (0.94-1.41)</w:t>
            </w:r>
          </w:p>
        </w:tc>
        <w:tc>
          <w:tcPr>
            <w:tcW w:w="935" w:type="pct"/>
            <w:hideMark/>
          </w:tcPr>
          <w:p w14:paraId="059E49D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1.5 (0.93-2.44)</w:t>
            </w:r>
          </w:p>
        </w:tc>
      </w:tr>
      <w:tr w:rsidR="004535A3" w:rsidRPr="00000849" w14:paraId="15AF9B4A"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72458660"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Current smoker</w:t>
            </w:r>
          </w:p>
        </w:tc>
        <w:tc>
          <w:tcPr>
            <w:tcW w:w="935" w:type="pct"/>
            <w:shd w:val="clear" w:color="auto" w:fill="auto"/>
            <w:hideMark/>
          </w:tcPr>
          <w:p w14:paraId="7041119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1.02 (0.82-1.27)</w:t>
            </w:r>
          </w:p>
        </w:tc>
        <w:tc>
          <w:tcPr>
            <w:tcW w:w="936" w:type="pct"/>
            <w:shd w:val="clear" w:color="auto" w:fill="auto"/>
            <w:hideMark/>
          </w:tcPr>
          <w:p w14:paraId="0B4D1D3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1.03 (0.68-1.57)</w:t>
            </w:r>
          </w:p>
        </w:tc>
        <w:tc>
          <w:tcPr>
            <w:tcW w:w="935" w:type="pct"/>
            <w:shd w:val="clear" w:color="auto" w:fill="auto"/>
            <w:hideMark/>
          </w:tcPr>
          <w:p w14:paraId="4470917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 (0.86-1.42)</w:t>
            </w:r>
          </w:p>
        </w:tc>
        <w:tc>
          <w:tcPr>
            <w:tcW w:w="935" w:type="pct"/>
            <w:shd w:val="clear" w:color="auto" w:fill="auto"/>
            <w:hideMark/>
          </w:tcPr>
          <w:p w14:paraId="2D893DB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1.01 (0.63-1.63)</w:t>
            </w:r>
          </w:p>
        </w:tc>
      </w:tr>
      <w:tr w:rsidR="004535A3" w:rsidRPr="00000849" w14:paraId="52B30D19"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0CE535D6"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Alcohol consumption</w:t>
            </w:r>
          </w:p>
        </w:tc>
        <w:tc>
          <w:tcPr>
            <w:tcW w:w="935" w:type="pct"/>
            <w:hideMark/>
          </w:tcPr>
          <w:p w14:paraId="504EFEF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hideMark/>
          </w:tcPr>
          <w:p w14:paraId="0197909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100BD2F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30A8898C"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487C4D2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3A0A55D1"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Lifetime abstainer</w:t>
            </w:r>
          </w:p>
        </w:tc>
        <w:tc>
          <w:tcPr>
            <w:tcW w:w="935" w:type="pct"/>
            <w:shd w:val="clear" w:color="auto" w:fill="auto"/>
            <w:hideMark/>
          </w:tcPr>
          <w:p w14:paraId="398B15AF"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shd w:val="clear" w:color="auto" w:fill="auto"/>
            <w:hideMark/>
          </w:tcPr>
          <w:p w14:paraId="27CB9D7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4D3FD9D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2594F73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1891EC22"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63A8CA53"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Non-heavy drinker</w:t>
            </w:r>
          </w:p>
        </w:tc>
        <w:tc>
          <w:tcPr>
            <w:tcW w:w="935" w:type="pct"/>
            <w:hideMark/>
          </w:tcPr>
          <w:p w14:paraId="5D66C75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0.97 (0.84-1.12)</w:t>
            </w:r>
          </w:p>
        </w:tc>
        <w:tc>
          <w:tcPr>
            <w:tcW w:w="936" w:type="pct"/>
            <w:hideMark/>
          </w:tcPr>
          <w:p w14:paraId="4AFA31B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1.12 (0.93-1.37)</w:t>
            </w:r>
          </w:p>
        </w:tc>
        <w:tc>
          <w:tcPr>
            <w:tcW w:w="935" w:type="pct"/>
            <w:hideMark/>
          </w:tcPr>
          <w:p w14:paraId="646A965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0.99 (0.85-1.16)</w:t>
            </w:r>
          </w:p>
        </w:tc>
        <w:tc>
          <w:tcPr>
            <w:tcW w:w="935" w:type="pct"/>
            <w:hideMark/>
          </w:tcPr>
          <w:p w14:paraId="6815886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1.13 (0.89-1.43)</w:t>
            </w:r>
          </w:p>
        </w:tc>
      </w:tr>
      <w:tr w:rsidR="004535A3" w:rsidRPr="00000849" w14:paraId="21DD8E12"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311C976A"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Heavy drinker</w:t>
            </w:r>
          </w:p>
        </w:tc>
        <w:tc>
          <w:tcPr>
            <w:tcW w:w="935" w:type="pct"/>
            <w:shd w:val="clear" w:color="auto" w:fill="auto"/>
            <w:hideMark/>
          </w:tcPr>
          <w:p w14:paraId="30E986C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0.95 (0.62-1.46)</w:t>
            </w:r>
          </w:p>
        </w:tc>
        <w:tc>
          <w:tcPr>
            <w:tcW w:w="936" w:type="pct"/>
            <w:shd w:val="clear" w:color="auto" w:fill="auto"/>
            <w:hideMark/>
          </w:tcPr>
          <w:p w14:paraId="09E4BF9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0.52 (0.23-1.17)</w:t>
            </w:r>
          </w:p>
        </w:tc>
        <w:tc>
          <w:tcPr>
            <w:tcW w:w="935" w:type="pct"/>
            <w:shd w:val="clear" w:color="auto" w:fill="auto"/>
            <w:hideMark/>
          </w:tcPr>
          <w:p w14:paraId="09EE3DC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1.03 (0.68-1.56)</w:t>
            </w:r>
          </w:p>
        </w:tc>
        <w:tc>
          <w:tcPr>
            <w:tcW w:w="935" w:type="pct"/>
            <w:shd w:val="clear" w:color="auto" w:fill="auto"/>
            <w:hideMark/>
          </w:tcPr>
          <w:p w14:paraId="13C5C6B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0.58 (0.21-1.60)</w:t>
            </w:r>
          </w:p>
        </w:tc>
      </w:tr>
      <w:tr w:rsidR="004535A3" w:rsidRPr="00000849" w14:paraId="77E1DA7A"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4BA002FC"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Daily fruit/veg serving</w:t>
            </w:r>
          </w:p>
        </w:tc>
        <w:tc>
          <w:tcPr>
            <w:tcW w:w="935" w:type="pct"/>
            <w:hideMark/>
          </w:tcPr>
          <w:p w14:paraId="549F4B1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hideMark/>
          </w:tcPr>
          <w:p w14:paraId="7E10D7D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5AD337DC"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5" w:type="pct"/>
            <w:noWrap/>
            <w:hideMark/>
          </w:tcPr>
          <w:p w14:paraId="7412D560"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3C4516E1" w14:textId="77777777" w:rsidTr="00000849">
        <w:trPr>
          <w:trHeight w:val="523"/>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2E877A99"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&gt;=5 daily fruit-veg serving</w:t>
            </w:r>
          </w:p>
        </w:tc>
        <w:tc>
          <w:tcPr>
            <w:tcW w:w="935" w:type="pct"/>
            <w:shd w:val="clear" w:color="auto" w:fill="auto"/>
            <w:hideMark/>
          </w:tcPr>
          <w:p w14:paraId="1E77183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6" w:type="pct"/>
            <w:shd w:val="clear" w:color="auto" w:fill="auto"/>
            <w:hideMark/>
          </w:tcPr>
          <w:p w14:paraId="59E917F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7DEC415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c>
          <w:tcPr>
            <w:tcW w:w="935" w:type="pct"/>
            <w:shd w:val="clear" w:color="auto" w:fill="auto"/>
            <w:hideMark/>
          </w:tcPr>
          <w:p w14:paraId="6B92C87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 (1.00-1.00)</w:t>
            </w:r>
          </w:p>
        </w:tc>
      </w:tr>
      <w:tr w:rsidR="004535A3" w:rsidRPr="00000849" w14:paraId="6A69FA3E" w14:textId="77777777" w:rsidTr="00000849">
        <w:trPr>
          <w:trHeight w:val="630"/>
        </w:trPr>
        <w:tc>
          <w:tcPr>
            <w:cnfStyle w:val="001000000000" w:firstRow="0" w:lastRow="0" w:firstColumn="1" w:lastColumn="0" w:oddVBand="0" w:evenVBand="0" w:oddHBand="0" w:evenHBand="0" w:firstRowFirstColumn="0" w:firstRowLastColumn="0" w:lastRowFirstColumn="0" w:lastRowLastColumn="0"/>
            <w:tcW w:w="1259" w:type="pct"/>
            <w:hideMark/>
          </w:tcPr>
          <w:p w14:paraId="418B8BFB" w14:textId="77777777" w:rsidR="004535A3" w:rsidRPr="00000849" w:rsidRDefault="004535A3" w:rsidP="00161E87">
            <w:pPr>
              <w:spacing w:after="0" w:line="240" w:lineRule="auto"/>
              <w:ind w:firstLineChars="100" w:firstLine="160"/>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&lt;5 daily fruit-veg servings</w:t>
            </w:r>
          </w:p>
        </w:tc>
        <w:tc>
          <w:tcPr>
            <w:tcW w:w="935" w:type="pct"/>
            <w:hideMark/>
          </w:tcPr>
          <w:p w14:paraId="2185F8A6"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1.02 (0.88-1.18)</w:t>
            </w:r>
          </w:p>
        </w:tc>
        <w:tc>
          <w:tcPr>
            <w:tcW w:w="936" w:type="pct"/>
            <w:hideMark/>
          </w:tcPr>
          <w:p w14:paraId="2BA0B15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6"/>
                <w:szCs w:val="16"/>
              </w:rPr>
            </w:pPr>
            <w:r w:rsidRPr="00000849">
              <w:rPr>
                <w:rFonts w:ascii="Calibri" w:eastAsia="Times New Roman" w:hAnsi="Calibri" w:cs="Calibri"/>
                <w:b/>
                <w:bCs/>
                <w:color w:val="000000"/>
                <w:sz w:val="16"/>
                <w:szCs w:val="16"/>
              </w:rPr>
              <w:t>0.85* (0.72-0.99)</w:t>
            </w:r>
          </w:p>
        </w:tc>
        <w:tc>
          <w:tcPr>
            <w:tcW w:w="935" w:type="pct"/>
            <w:hideMark/>
          </w:tcPr>
          <w:p w14:paraId="36C1343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0.99 (0.84-1.16)</w:t>
            </w:r>
          </w:p>
        </w:tc>
        <w:tc>
          <w:tcPr>
            <w:tcW w:w="935" w:type="pct"/>
            <w:hideMark/>
          </w:tcPr>
          <w:p w14:paraId="2CFDDA3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0.85 (0.71-1.02)</w:t>
            </w:r>
          </w:p>
        </w:tc>
      </w:tr>
      <w:tr w:rsidR="004535A3" w:rsidRPr="00000849" w14:paraId="0C10DAED"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7EB21082"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w:t>
            </w:r>
          </w:p>
        </w:tc>
        <w:tc>
          <w:tcPr>
            <w:tcW w:w="935" w:type="pct"/>
            <w:shd w:val="clear" w:color="auto" w:fill="auto"/>
            <w:hideMark/>
          </w:tcPr>
          <w:p w14:paraId="10305253"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6" w:type="pct"/>
            <w:shd w:val="clear" w:color="auto" w:fill="auto"/>
            <w:noWrap/>
            <w:hideMark/>
          </w:tcPr>
          <w:p w14:paraId="28D300D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c>
          <w:tcPr>
            <w:tcW w:w="935" w:type="pct"/>
            <w:shd w:val="clear" w:color="auto" w:fill="auto"/>
            <w:noWrap/>
            <w:hideMark/>
          </w:tcPr>
          <w:p w14:paraId="59D5171A"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c>
          <w:tcPr>
            <w:tcW w:w="935" w:type="pct"/>
            <w:shd w:val="clear" w:color="auto" w:fill="auto"/>
            <w:noWrap/>
            <w:hideMark/>
          </w:tcPr>
          <w:p w14:paraId="5EE43482"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4232C918"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7DAB6E11"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cut1</w:t>
            </w:r>
          </w:p>
        </w:tc>
        <w:tc>
          <w:tcPr>
            <w:tcW w:w="935" w:type="pct"/>
            <w:hideMark/>
          </w:tcPr>
          <w:p w14:paraId="34AA7651"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6" w:type="pct"/>
            <w:noWrap/>
            <w:hideMark/>
          </w:tcPr>
          <w:p w14:paraId="0A89C9E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c>
          <w:tcPr>
            <w:tcW w:w="935" w:type="pct"/>
            <w:hideMark/>
          </w:tcPr>
          <w:p w14:paraId="0B8D40A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2.43* (1.20-4.92)</w:t>
            </w:r>
          </w:p>
        </w:tc>
        <w:tc>
          <w:tcPr>
            <w:tcW w:w="935" w:type="pct"/>
            <w:hideMark/>
          </w:tcPr>
          <w:p w14:paraId="44F68E0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3.15*** (1.83-5.42)</w:t>
            </w:r>
          </w:p>
        </w:tc>
      </w:tr>
      <w:tr w:rsidR="004535A3" w:rsidRPr="00000849" w14:paraId="2D64F64D" w14:textId="77777777" w:rsidTr="00000849">
        <w:trPr>
          <w:trHeight w:val="490"/>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31597696"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cut2</w:t>
            </w:r>
          </w:p>
        </w:tc>
        <w:tc>
          <w:tcPr>
            <w:tcW w:w="935" w:type="pct"/>
            <w:shd w:val="clear" w:color="auto" w:fill="auto"/>
            <w:hideMark/>
          </w:tcPr>
          <w:p w14:paraId="50271C4D"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6" w:type="pct"/>
            <w:shd w:val="clear" w:color="auto" w:fill="auto"/>
            <w:noWrap/>
            <w:hideMark/>
          </w:tcPr>
          <w:p w14:paraId="07759E9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c>
          <w:tcPr>
            <w:tcW w:w="935" w:type="pct"/>
            <w:shd w:val="clear" w:color="auto" w:fill="auto"/>
            <w:hideMark/>
          </w:tcPr>
          <w:p w14:paraId="60E0552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8.00*** (3.73-17.18)</w:t>
            </w:r>
          </w:p>
        </w:tc>
        <w:tc>
          <w:tcPr>
            <w:tcW w:w="935" w:type="pct"/>
            <w:shd w:val="clear" w:color="auto" w:fill="auto"/>
            <w:hideMark/>
          </w:tcPr>
          <w:p w14:paraId="192EF21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15.23*** (8.29-28.00)</w:t>
            </w:r>
          </w:p>
        </w:tc>
      </w:tr>
      <w:tr w:rsidR="004535A3" w:rsidRPr="00000849" w14:paraId="78AD8145" w14:textId="77777777" w:rsidTr="00000849">
        <w:trPr>
          <w:trHeight w:val="735"/>
        </w:trPr>
        <w:tc>
          <w:tcPr>
            <w:cnfStyle w:val="001000000000" w:firstRow="0" w:lastRow="0" w:firstColumn="1" w:lastColumn="0" w:oddVBand="0" w:evenVBand="0" w:oddHBand="0" w:evenHBand="0" w:firstRowFirstColumn="0" w:firstRowLastColumn="0" w:lastRowFirstColumn="0" w:lastRowLastColumn="0"/>
            <w:tcW w:w="1259" w:type="pct"/>
            <w:hideMark/>
          </w:tcPr>
          <w:p w14:paraId="1549B71A"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lastRenderedPageBreak/>
              <w:t>var(_cons(hhid)) for 2-level; var(_cons(q0101b)) for 3-level model</w:t>
            </w:r>
          </w:p>
        </w:tc>
        <w:tc>
          <w:tcPr>
            <w:tcW w:w="935" w:type="pct"/>
            <w:hideMark/>
          </w:tcPr>
          <w:p w14:paraId="48020CBA"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p>
        </w:tc>
        <w:tc>
          <w:tcPr>
            <w:tcW w:w="936" w:type="pct"/>
            <w:noWrap/>
            <w:hideMark/>
          </w:tcPr>
          <w:p w14:paraId="11AF22D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c>
          <w:tcPr>
            <w:tcW w:w="935" w:type="pct"/>
            <w:hideMark/>
          </w:tcPr>
          <w:p w14:paraId="260AAB7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1.34*** (1.15-1.56)</w:t>
            </w:r>
          </w:p>
        </w:tc>
        <w:tc>
          <w:tcPr>
            <w:tcW w:w="935" w:type="pct"/>
            <w:hideMark/>
          </w:tcPr>
          <w:p w14:paraId="0260CB2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1.12* (1.00-1.25)</w:t>
            </w:r>
          </w:p>
        </w:tc>
      </w:tr>
      <w:tr w:rsidR="004535A3" w:rsidRPr="00000849" w14:paraId="40432062" w14:textId="77777777" w:rsidTr="00000849">
        <w:trPr>
          <w:trHeight w:val="310"/>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3345310C"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var(_cons(q0101b&gt;hhid))</w:t>
            </w:r>
          </w:p>
        </w:tc>
        <w:tc>
          <w:tcPr>
            <w:tcW w:w="935" w:type="pct"/>
            <w:shd w:val="clear" w:color="auto" w:fill="auto"/>
            <w:hideMark/>
          </w:tcPr>
          <w:p w14:paraId="0077724E"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6" w:type="pct"/>
            <w:shd w:val="clear" w:color="auto" w:fill="auto"/>
            <w:noWrap/>
            <w:hideMark/>
          </w:tcPr>
          <w:p w14:paraId="0168BEC1"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935" w:type="pct"/>
            <w:shd w:val="clear" w:color="auto" w:fill="auto"/>
            <w:hideMark/>
          </w:tcPr>
          <w:p w14:paraId="796C612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1.19 (0.55-2.56)</w:t>
            </w:r>
          </w:p>
        </w:tc>
        <w:tc>
          <w:tcPr>
            <w:tcW w:w="935" w:type="pct"/>
            <w:shd w:val="clear" w:color="auto" w:fill="auto"/>
            <w:hideMark/>
          </w:tcPr>
          <w:p w14:paraId="4DD70288"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1.61 (0.84-3.09)</w:t>
            </w:r>
          </w:p>
        </w:tc>
      </w:tr>
      <w:tr w:rsidR="004535A3" w:rsidRPr="00000849" w14:paraId="44067A4B"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5B3BCAE0"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 xml:space="preserve">Pseudo </w:t>
            </w:r>
            <w:r w:rsidRPr="00000849">
              <w:rPr>
                <w:rFonts w:ascii="Calibri" w:eastAsia="Times New Roman" w:hAnsi="Calibri" w:cs="Calibri"/>
                <w:b w:val="0"/>
                <w:bCs w:val="0"/>
                <w:i/>
                <w:iCs/>
                <w:color w:val="000000"/>
                <w:sz w:val="16"/>
                <w:szCs w:val="16"/>
              </w:rPr>
              <w:t>R</w:t>
            </w:r>
            <w:r w:rsidRPr="00000849">
              <w:rPr>
                <w:rFonts w:ascii="Calibri" w:eastAsia="Times New Roman" w:hAnsi="Calibri" w:cs="Calibri"/>
                <w:b w:val="0"/>
                <w:bCs w:val="0"/>
                <w:color w:val="000000"/>
                <w:sz w:val="16"/>
                <w:szCs w:val="16"/>
                <w:vertAlign w:val="superscript"/>
              </w:rPr>
              <w:t>2</w:t>
            </w:r>
          </w:p>
        </w:tc>
        <w:tc>
          <w:tcPr>
            <w:tcW w:w="935" w:type="pct"/>
            <w:shd w:val="clear" w:color="auto" w:fill="auto"/>
            <w:hideMark/>
          </w:tcPr>
          <w:p w14:paraId="1FE2DC3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0.0409063 </w:t>
            </w:r>
          </w:p>
        </w:tc>
        <w:tc>
          <w:tcPr>
            <w:tcW w:w="936" w:type="pct"/>
            <w:shd w:val="clear" w:color="auto" w:fill="auto"/>
            <w:hideMark/>
          </w:tcPr>
          <w:p w14:paraId="5D266EC9"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0.0387854 </w:t>
            </w:r>
          </w:p>
        </w:tc>
        <w:tc>
          <w:tcPr>
            <w:tcW w:w="935" w:type="pct"/>
            <w:shd w:val="clear" w:color="auto" w:fill="auto"/>
            <w:noWrap/>
            <w:hideMark/>
          </w:tcPr>
          <w:p w14:paraId="2981C162"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c>
          <w:tcPr>
            <w:tcW w:w="935" w:type="pct"/>
            <w:shd w:val="clear" w:color="auto" w:fill="auto"/>
            <w:noWrap/>
            <w:hideMark/>
          </w:tcPr>
          <w:p w14:paraId="71E489F7" w14:textId="77777777" w:rsidR="004535A3" w:rsidRPr="00000849" w:rsidRDefault="004535A3" w:rsidP="00161E87">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6"/>
                <w:szCs w:val="16"/>
              </w:rPr>
            </w:pPr>
          </w:p>
        </w:tc>
      </w:tr>
      <w:tr w:rsidR="004535A3" w:rsidRPr="00000849" w14:paraId="7C9008C5"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478E767F" w14:textId="77777777" w:rsidR="004535A3" w:rsidRPr="00000849" w:rsidRDefault="004535A3" w:rsidP="00161E87">
            <w:pPr>
              <w:spacing w:after="0" w:line="240" w:lineRule="auto"/>
              <w:rPr>
                <w:rFonts w:ascii="Calibri" w:eastAsia="Times New Roman" w:hAnsi="Calibri" w:cs="Calibri"/>
                <w:b w:val="0"/>
                <w:bCs w:val="0"/>
                <w:i/>
                <w:iCs/>
                <w:color w:val="000000"/>
                <w:sz w:val="16"/>
                <w:szCs w:val="16"/>
              </w:rPr>
            </w:pPr>
            <w:r w:rsidRPr="00000849">
              <w:rPr>
                <w:rFonts w:ascii="Calibri" w:eastAsia="Times New Roman" w:hAnsi="Calibri" w:cs="Calibri"/>
                <w:b w:val="0"/>
                <w:bCs w:val="0"/>
                <w:i/>
                <w:iCs/>
                <w:color w:val="000000"/>
                <w:sz w:val="16"/>
                <w:szCs w:val="16"/>
              </w:rPr>
              <w:t>AIC</w:t>
            </w:r>
          </w:p>
        </w:tc>
        <w:tc>
          <w:tcPr>
            <w:tcW w:w="935" w:type="pct"/>
            <w:hideMark/>
          </w:tcPr>
          <w:p w14:paraId="3F64CB8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7947.29 </w:t>
            </w:r>
          </w:p>
        </w:tc>
        <w:tc>
          <w:tcPr>
            <w:tcW w:w="936" w:type="pct"/>
            <w:hideMark/>
          </w:tcPr>
          <w:p w14:paraId="18E0579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4767.88 </w:t>
            </w:r>
          </w:p>
        </w:tc>
        <w:tc>
          <w:tcPr>
            <w:tcW w:w="935" w:type="pct"/>
            <w:hideMark/>
          </w:tcPr>
          <w:p w14:paraId="148F533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7897.91 </w:t>
            </w:r>
          </w:p>
        </w:tc>
        <w:tc>
          <w:tcPr>
            <w:tcW w:w="935" w:type="pct"/>
            <w:hideMark/>
          </w:tcPr>
          <w:p w14:paraId="5978B97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4777.15 </w:t>
            </w:r>
          </w:p>
        </w:tc>
      </w:tr>
      <w:tr w:rsidR="004535A3" w:rsidRPr="00000849" w14:paraId="2F618946"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3CAD61A2" w14:textId="77777777" w:rsidR="004535A3" w:rsidRPr="00000849" w:rsidRDefault="004535A3" w:rsidP="00161E87">
            <w:pPr>
              <w:spacing w:after="0" w:line="240" w:lineRule="auto"/>
              <w:rPr>
                <w:rFonts w:ascii="Calibri" w:eastAsia="Times New Roman" w:hAnsi="Calibri" w:cs="Calibri"/>
                <w:b w:val="0"/>
                <w:bCs w:val="0"/>
                <w:i/>
                <w:iCs/>
                <w:color w:val="000000"/>
                <w:sz w:val="16"/>
                <w:szCs w:val="16"/>
              </w:rPr>
            </w:pPr>
            <w:r w:rsidRPr="00000849">
              <w:rPr>
                <w:rFonts w:ascii="Calibri" w:eastAsia="Times New Roman" w:hAnsi="Calibri" w:cs="Calibri"/>
                <w:b w:val="0"/>
                <w:bCs w:val="0"/>
                <w:i/>
                <w:iCs/>
                <w:color w:val="000000"/>
                <w:sz w:val="16"/>
                <w:szCs w:val="16"/>
              </w:rPr>
              <w:t>BIC</w:t>
            </w:r>
          </w:p>
        </w:tc>
        <w:tc>
          <w:tcPr>
            <w:tcW w:w="935" w:type="pct"/>
            <w:shd w:val="clear" w:color="auto" w:fill="auto"/>
            <w:hideMark/>
          </w:tcPr>
          <w:p w14:paraId="62874543"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8210.23 </w:t>
            </w:r>
          </w:p>
        </w:tc>
        <w:tc>
          <w:tcPr>
            <w:tcW w:w="936" w:type="pct"/>
            <w:shd w:val="clear" w:color="auto" w:fill="auto"/>
            <w:hideMark/>
          </w:tcPr>
          <w:p w14:paraId="7A790B2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5006.33 </w:t>
            </w:r>
          </w:p>
        </w:tc>
        <w:tc>
          <w:tcPr>
            <w:tcW w:w="935" w:type="pct"/>
            <w:shd w:val="clear" w:color="auto" w:fill="auto"/>
            <w:hideMark/>
          </w:tcPr>
          <w:p w14:paraId="46FF9C61"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8148.33 </w:t>
            </w:r>
          </w:p>
        </w:tc>
        <w:tc>
          <w:tcPr>
            <w:tcW w:w="935" w:type="pct"/>
            <w:shd w:val="clear" w:color="auto" w:fill="auto"/>
            <w:hideMark/>
          </w:tcPr>
          <w:p w14:paraId="571F1E5D"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5015.61 </w:t>
            </w:r>
          </w:p>
        </w:tc>
      </w:tr>
      <w:tr w:rsidR="004535A3" w:rsidRPr="00000849" w14:paraId="7544BEE7" w14:textId="77777777" w:rsidTr="00000849">
        <w:trPr>
          <w:trHeight w:val="295"/>
        </w:trPr>
        <w:tc>
          <w:tcPr>
            <w:cnfStyle w:val="001000000000" w:firstRow="0" w:lastRow="0" w:firstColumn="1" w:lastColumn="0" w:oddVBand="0" w:evenVBand="0" w:oddHBand="0" w:evenHBand="0" w:firstRowFirstColumn="0" w:firstRowLastColumn="0" w:lastRowFirstColumn="0" w:lastRowLastColumn="0"/>
            <w:tcW w:w="1259" w:type="pct"/>
            <w:hideMark/>
          </w:tcPr>
          <w:p w14:paraId="6440D7D3"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p</w:t>
            </w:r>
          </w:p>
        </w:tc>
        <w:tc>
          <w:tcPr>
            <w:tcW w:w="935" w:type="pct"/>
            <w:hideMark/>
          </w:tcPr>
          <w:p w14:paraId="26A49464"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0 </w:t>
            </w:r>
          </w:p>
        </w:tc>
        <w:tc>
          <w:tcPr>
            <w:tcW w:w="936" w:type="pct"/>
            <w:hideMark/>
          </w:tcPr>
          <w:p w14:paraId="12DD98E5"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0 </w:t>
            </w:r>
          </w:p>
        </w:tc>
        <w:tc>
          <w:tcPr>
            <w:tcW w:w="935" w:type="pct"/>
            <w:hideMark/>
          </w:tcPr>
          <w:p w14:paraId="772AD167"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0 </w:t>
            </w:r>
          </w:p>
        </w:tc>
        <w:tc>
          <w:tcPr>
            <w:tcW w:w="935" w:type="pct"/>
            <w:hideMark/>
          </w:tcPr>
          <w:p w14:paraId="40B043D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0 </w:t>
            </w:r>
          </w:p>
        </w:tc>
      </w:tr>
      <w:tr w:rsidR="004535A3" w:rsidRPr="00000849" w14:paraId="48CF5180" w14:textId="77777777" w:rsidTr="00000849">
        <w:trPr>
          <w:trHeight w:val="310"/>
        </w:trPr>
        <w:tc>
          <w:tcPr>
            <w:cnfStyle w:val="001000000000" w:firstRow="0" w:lastRow="0" w:firstColumn="1" w:lastColumn="0" w:oddVBand="0" w:evenVBand="0" w:oddHBand="0" w:evenHBand="0" w:firstRowFirstColumn="0" w:firstRowLastColumn="0" w:lastRowFirstColumn="0" w:lastRowLastColumn="0"/>
            <w:tcW w:w="1259" w:type="pct"/>
            <w:shd w:val="clear" w:color="auto" w:fill="auto"/>
            <w:hideMark/>
          </w:tcPr>
          <w:p w14:paraId="695C8F96" w14:textId="77777777" w:rsidR="004535A3" w:rsidRPr="00000849" w:rsidRDefault="004535A3" w:rsidP="00161E87">
            <w:pPr>
              <w:spacing w:after="0" w:line="240" w:lineRule="auto"/>
              <w:rPr>
                <w:rFonts w:ascii="Calibri" w:eastAsia="Times New Roman" w:hAnsi="Calibri" w:cs="Calibri"/>
                <w:b w:val="0"/>
                <w:bCs w:val="0"/>
                <w:color w:val="000000"/>
                <w:sz w:val="16"/>
                <w:szCs w:val="16"/>
              </w:rPr>
            </w:pPr>
            <w:r w:rsidRPr="00000849">
              <w:rPr>
                <w:rFonts w:ascii="Calibri" w:eastAsia="Times New Roman" w:hAnsi="Calibri" w:cs="Calibri"/>
                <w:b w:val="0"/>
                <w:bCs w:val="0"/>
                <w:color w:val="000000"/>
                <w:sz w:val="16"/>
                <w:szCs w:val="16"/>
              </w:rPr>
              <w:t>Observations</w:t>
            </w:r>
          </w:p>
        </w:tc>
        <w:tc>
          <w:tcPr>
            <w:tcW w:w="935" w:type="pct"/>
            <w:shd w:val="clear" w:color="auto" w:fill="auto"/>
            <w:hideMark/>
          </w:tcPr>
          <w:p w14:paraId="1EFD6E72"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3868 </w:t>
            </w:r>
          </w:p>
        </w:tc>
        <w:tc>
          <w:tcPr>
            <w:tcW w:w="936" w:type="pct"/>
            <w:shd w:val="clear" w:color="auto" w:fill="auto"/>
            <w:hideMark/>
          </w:tcPr>
          <w:p w14:paraId="7B82D60A"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2868 </w:t>
            </w:r>
          </w:p>
        </w:tc>
        <w:tc>
          <w:tcPr>
            <w:tcW w:w="935" w:type="pct"/>
            <w:shd w:val="clear" w:color="auto" w:fill="auto"/>
            <w:hideMark/>
          </w:tcPr>
          <w:p w14:paraId="43493060"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3868 </w:t>
            </w:r>
          </w:p>
        </w:tc>
        <w:tc>
          <w:tcPr>
            <w:tcW w:w="935" w:type="pct"/>
            <w:shd w:val="clear" w:color="auto" w:fill="auto"/>
            <w:hideMark/>
          </w:tcPr>
          <w:p w14:paraId="69D1B39B" w14:textId="77777777" w:rsidR="004535A3" w:rsidRPr="00000849" w:rsidRDefault="004535A3" w:rsidP="00161E8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2868 </w:t>
            </w:r>
          </w:p>
        </w:tc>
      </w:tr>
    </w:tbl>
    <w:p w14:paraId="73EAD88B" w14:textId="77777777" w:rsidR="00150C4E" w:rsidRPr="00000849" w:rsidRDefault="00150C4E" w:rsidP="00150C4E">
      <w:pPr>
        <w:spacing w:after="0" w:line="240" w:lineRule="auto"/>
        <w:rPr>
          <w:rFonts w:eastAsia="Times New Roman" w:cstheme="minorHAnsi"/>
          <w:color w:val="000000"/>
          <w:sz w:val="18"/>
          <w:szCs w:val="18"/>
          <w:lang w:val="en-US"/>
        </w:rPr>
      </w:pPr>
      <w:r w:rsidRPr="00000849">
        <w:rPr>
          <w:rFonts w:eastAsia="Times New Roman" w:cstheme="minorHAnsi"/>
          <w:color w:val="000000"/>
          <w:sz w:val="18"/>
          <w:szCs w:val="18"/>
          <w:lang w:val="en-US"/>
        </w:rPr>
        <w:t>Exponentiated coefficients; 95% confidence intervals in brackets</w:t>
      </w:r>
    </w:p>
    <w:p w14:paraId="138244FC" w14:textId="77777777" w:rsidR="00150C4E" w:rsidRPr="00000849" w:rsidRDefault="00150C4E" w:rsidP="00150C4E">
      <w:pPr>
        <w:spacing w:after="0" w:line="240" w:lineRule="auto"/>
        <w:rPr>
          <w:rFonts w:eastAsia="Times New Roman" w:cstheme="minorHAnsi"/>
          <w:color w:val="000000"/>
          <w:sz w:val="18"/>
          <w:szCs w:val="18"/>
          <w:lang w:val="en-US"/>
        </w:rPr>
      </w:pPr>
      <w:r w:rsidRPr="00000849">
        <w:rPr>
          <w:rFonts w:eastAsia="Times New Roman" w:cstheme="minorHAnsi"/>
          <w:color w:val="000000"/>
          <w:sz w:val="18"/>
          <w:szCs w:val="18"/>
          <w:vertAlign w:val="superscript"/>
          <w:lang w:val="en-US"/>
        </w:rPr>
        <w:t>*</w:t>
      </w:r>
      <w:r w:rsidRPr="00000849">
        <w:rPr>
          <w:rFonts w:eastAsia="Times New Roman" w:cstheme="minorHAnsi"/>
          <w:color w:val="000000"/>
          <w:sz w:val="18"/>
          <w:szCs w:val="18"/>
          <w:lang w:val="en-US"/>
        </w:rPr>
        <w:t xml:space="preserve"> </w:t>
      </w:r>
      <w:r w:rsidRPr="00000849">
        <w:rPr>
          <w:rFonts w:eastAsia="Times New Roman" w:cstheme="minorHAnsi"/>
          <w:i/>
          <w:iCs/>
          <w:color w:val="000000"/>
          <w:sz w:val="18"/>
          <w:szCs w:val="18"/>
          <w:lang w:val="en-US"/>
        </w:rPr>
        <w:t>p</w:t>
      </w:r>
      <w:r w:rsidRPr="00000849">
        <w:rPr>
          <w:rFonts w:eastAsia="Times New Roman" w:cstheme="minorHAnsi"/>
          <w:color w:val="000000"/>
          <w:sz w:val="18"/>
          <w:szCs w:val="18"/>
          <w:lang w:val="en-US"/>
        </w:rPr>
        <w:t xml:space="preserve"> &lt; 0.05, </w:t>
      </w:r>
      <w:r w:rsidRPr="00000849">
        <w:rPr>
          <w:rFonts w:eastAsia="Times New Roman" w:cstheme="minorHAnsi"/>
          <w:color w:val="000000"/>
          <w:sz w:val="18"/>
          <w:szCs w:val="18"/>
          <w:vertAlign w:val="superscript"/>
          <w:lang w:val="en-US"/>
        </w:rPr>
        <w:t>**</w:t>
      </w:r>
      <w:r w:rsidRPr="00000849">
        <w:rPr>
          <w:rFonts w:eastAsia="Times New Roman" w:cstheme="minorHAnsi"/>
          <w:color w:val="000000"/>
          <w:sz w:val="18"/>
          <w:szCs w:val="18"/>
          <w:lang w:val="en-US"/>
        </w:rPr>
        <w:t xml:space="preserve"> </w:t>
      </w:r>
      <w:r w:rsidRPr="00000849">
        <w:rPr>
          <w:rFonts w:eastAsia="Times New Roman" w:cstheme="minorHAnsi"/>
          <w:i/>
          <w:iCs/>
          <w:color w:val="000000"/>
          <w:sz w:val="18"/>
          <w:szCs w:val="18"/>
          <w:lang w:val="en-US"/>
        </w:rPr>
        <w:t>p</w:t>
      </w:r>
      <w:r w:rsidRPr="00000849">
        <w:rPr>
          <w:rFonts w:eastAsia="Times New Roman" w:cstheme="minorHAnsi"/>
          <w:color w:val="000000"/>
          <w:sz w:val="18"/>
          <w:szCs w:val="18"/>
          <w:lang w:val="en-US"/>
        </w:rPr>
        <w:t xml:space="preserve"> &lt; 0.01, </w:t>
      </w:r>
      <w:r w:rsidRPr="00000849">
        <w:rPr>
          <w:rFonts w:eastAsia="Times New Roman" w:cstheme="minorHAnsi"/>
          <w:color w:val="000000"/>
          <w:sz w:val="18"/>
          <w:szCs w:val="18"/>
          <w:vertAlign w:val="superscript"/>
          <w:lang w:val="en-US"/>
        </w:rPr>
        <w:t>***</w:t>
      </w:r>
      <w:r w:rsidRPr="00000849">
        <w:rPr>
          <w:rFonts w:eastAsia="Times New Roman" w:cstheme="minorHAnsi"/>
          <w:color w:val="000000"/>
          <w:sz w:val="18"/>
          <w:szCs w:val="18"/>
          <w:lang w:val="en-US"/>
        </w:rPr>
        <w:t xml:space="preserve"> </w:t>
      </w:r>
      <w:r w:rsidRPr="00000849">
        <w:rPr>
          <w:rFonts w:eastAsia="Times New Roman" w:cstheme="minorHAnsi"/>
          <w:i/>
          <w:iCs/>
          <w:color w:val="000000"/>
          <w:sz w:val="18"/>
          <w:szCs w:val="18"/>
          <w:lang w:val="en-US"/>
        </w:rPr>
        <w:t>p</w:t>
      </w:r>
      <w:r w:rsidRPr="00000849">
        <w:rPr>
          <w:rFonts w:eastAsia="Times New Roman" w:cstheme="minorHAnsi"/>
          <w:color w:val="000000"/>
          <w:sz w:val="18"/>
          <w:szCs w:val="18"/>
          <w:lang w:val="en-US"/>
        </w:rPr>
        <w:t xml:space="preserve"> &lt; 0.001</w:t>
      </w:r>
    </w:p>
    <w:p w14:paraId="036CA37E" w14:textId="77CDD5D9" w:rsidR="000B7264" w:rsidRPr="00000849" w:rsidRDefault="000B7264" w:rsidP="000B7264">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160F3E26" w14:textId="5D1F1C86" w:rsidR="004C0064" w:rsidRPr="00000849" w:rsidRDefault="004C0064" w:rsidP="005E4E02">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Despite the test results mentioned in section 5.6.1, the proportional odds assumption was partially violated for two variables in W1 in the single level generalized ordinal regression analysis, these being residence in administrative region and work history in the past one week.  This resulted in two different odds ratios depending on the levels of the ordered outcome variable being compared.  </w:t>
      </w:r>
      <w:r w:rsidR="00950678" w:rsidRPr="00000849">
        <w:rPr>
          <w:rFonts w:asciiTheme="minorHAnsi" w:hAnsiTheme="minorHAnsi" w:cstheme="minorHAnsi"/>
          <w:color w:val="383838"/>
        </w:rPr>
        <w:t xml:space="preserve">The adjusted odds of having mild or higher grade of hypertension </w:t>
      </w:r>
      <w:r w:rsidR="00001C18" w:rsidRPr="00000849">
        <w:rPr>
          <w:rFonts w:asciiTheme="minorHAnsi" w:hAnsiTheme="minorHAnsi" w:cstheme="minorHAnsi"/>
          <w:color w:val="383838"/>
        </w:rPr>
        <w:t>relative to</w:t>
      </w:r>
      <w:r w:rsidR="00950678" w:rsidRPr="00000849">
        <w:rPr>
          <w:rFonts w:asciiTheme="minorHAnsi" w:hAnsiTheme="minorHAnsi" w:cstheme="minorHAnsi"/>
          <w:color w:val="383838"/>
        </w:rPr>
        <w:t xml:space="preserve"> having normal BP among residents of other regions was </w:t>
      </w:r>
      <w:r w:rsidR="00001C18" w:rsidRPr="00000849">
        <w:rPr>
          <w:rFonts w:asciiTheme="minorHAnsi" w:hAnsiTheme="minorHAnsi" w:cstheme="minorHAnsi"/>
          <w:color w:val="383838"/>
        </w:rPr>
        <w:t xml:space="preserve">1.78 (95% CI: 1.38-2.29) </w:t>
      </w:r>
      <w:r w:rsidR="00576EDF">
        <w:rPr>
          <w:rFonts w:asciiTheme="minorHAnsi" w:hAnsiTheme="minorHAnsi" w:cstheme="minorHAnsi"/>
          <w:color w:val="383838"/>
        </w:rPr>
        <w:t xml:space="preserve">times </w:t>
      </w:r>
      <w:r w:rsidR="00001C18" w:rsidRPr="00000849">
        <w:rPr>
          <w:rFonts w:asciiTheme="minorHAnsi" w:hAnsiTheme="minorHAnsi" w:cstheme="minorHAnsi"/>
          <w:color w:val="383838"/>
        </w:rPr>
        <w:t xml:space="preserve">that among residents in the northern regions while the </w:t>
      </w:r>
      <w:r w:rsidR="00F85AC7" w:rsidRPr="00000849">
        <w:rPr>
          <w:rFonts w:asciiTheme="minorHAnsi" w:hAnsiTheme="minorHAnsi" w:cstheme="minorHAnsi"/>
          <w:color w:val="383838"/>
        </w:rPr>
        <w:t xml:space="preserve">adjusted </w:t>
      </w:r>
      <w:r w:rsidR="00001C18" w:rsidRPr="00000849">
        <w:rPr>
          <w:rFonts w:asciiTheme="minorHAnsi" w:hAnsiTheme="minorHAnsi" w:cstheme="minorHAnsi"/>
          <w:color w:val="383838"/>
        </w:rPr>
        <w:t xml:space="preserve">odds of having moderate or severe hypertension relative to having mild hypertension or normal BP was 1.53 (95% CI: 1.16-2.00) </w:t>
      </w:r>
      <w:r w:rsidR="00576EDF">
        <w:rPr>
          <w:rFonts w:asciiTheme="minorHAnsi" w:hAnsiTheme="minorHAnsi" w:cstheme="minorHAnsi"/>
          <w:color w:val="383838"/>
        </w:rPr>
        <w:t xml:space="preserve">times that </w:t>
      </w:r>
      <w:r w:rsidR="00001C18" w:rsidRPr="00000849">
        <w:rPr>
          <w:rFonts w:asciiTheme="minorHAnsi" w:hAnsiTheme="minorHAnsi" w:cstheme="minorHAnsi"/>
          <w:color w:val="383838"/>
        </w:rPr>
        <w:t xml:space="preserve">among </w:t>
      </w:r>
      <w:r w:rsidR="00F85AC7" w:rsidRPr="00000849">
        <w:rPr>
          <w:rFonts w:asciiTheme="minorHAnsi" w:hAnsiTheme="minorHAnsi" w:cstheme="minorHAnsi"/>
          <w:color w:val="383838"/>
        </w:rPr>
        <w:t xml:space="preserve">the same comparison group of residents.  </w:t>
      </w:r>
    </w:p>
    <w:p w14:paraId="0D85AAE7" w14:textId="75CAE8BD" w:rsidR="00950678" w:rsidRPr="00000849" w:rsidRDefault="004C0064" w:rsidP="005E4E02">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R</w:t>
      </w:r>
      <w:r w:rsidR="00F85AC7" w:rsidRPr="00000849">
        <w:rPr>
          <w:rFonts w:asciiTheme="minorHAnsi" w:hAnsiTheme="minorHAnsi" w:cstheme="minorHAnsi"/>
          <w:color w:val="383838"/>
        </w:rPr>
        <w:t>egard</w:t>
      </w:r>
      <w:r w:rsidRPr="00000849">
        <w:rPr>
          <w:rFonts w:asciiTheme="minorHAnsi" w:hAnsiTheme="minorHAnsi" w:cstheme="minorHAnsi"/>
          <w:color w:val="383838"/>
        </w:rPr>
        <w:t>ing</w:t>
      </w:r>
      <w:r w:rsidR="00F85AC7" w:rsidRPr="00000849">
        <w:rPr>
          <w:rFonts w:asciiTheme="minorHAnsi" w:hAnsiTheme="minorHAnsi" w:cstheme="minorHAnsi"/>
          <w:color w:val="383838"/>
        </w:rPr>
        <w:t xml:space="preserve"> work history, the adjusted odds of having mild or higher grade of hypertension relative to having normal BP among those currently working was 0.74 (95% CI: 0.63-0.88) times that among those not currently working while the adjusted odds of having moderate or severe hypertension relative to having mild hypertension or normal BP was 0.63 (95% CI: 0.53-0.75) among the same comparison group</w:t>
      </w:r>
      <w:r w:rsidR="00201FD4" w:rsidRPr="00000849">
        <w:rPr>
          <w:rFonts w:asciiTheme="minorHAnsi" w:hAnsiTheme="minorHAnsi" w:cstheme="minorHAnsi"/>
          <w:color w:val="383838"/>
        </w:rPr>
        <w:t>s</w:t>
      </w:r>
      <w:r w:rsidR="00F85AC7" w:rsidRPr="00000849">
        <w:rPr>
          <w:rFonts w:asciiTheme="minorHAnsi" w:hAnsiTheme="minorHAnsi" w:cstheme="minorHAnsi"/>
          <w:color w:val="383838"/>
        </w:rPr>
        <w:t xml:space="preserve"> </w:t>
      </w:r>
      <w:r w:rsidR="00201FD4" w:rsidRPr="00000849">
        <w:rPr>
          <w:rFonts w:asciiTheme="minorHAnsi" w:hAnsiTheme="minorHAnsi" w:cstheme="minorHAnsi"/>
          <w:color w:val="383838"/>
        </w:rPr>
        <w:t xml:space="preserve">based </w:t>
      </w:r>
      <w:r w:rsidR="00201FD4" w:rsidRPr="00000849">
        <w:rPr>
          <w:rFonts w:asciiTheme="minorHAnsi" w:hAnsiTheme="minorHAnsi" w:cstheme="minorHAnsi"/>
          <w:color w:val="383838"/>
        </w:rPr>
        <w:lastRenderedPageBreak/>
        <w:t>on work history</w:t>
      </w:r>
      <w:r w:rsidR="00F85AC7" w:rsidRPr="00000849">
        <w:rPr>
          <w:rFonts w:asciiTheme="minorHAnsi" w:hAnsiTheme="minorHAnsi" w:cstheme="minorHAnsi"/>
          <w:color w:val="383838"/>
        </w:rPr>
        <w:t xml:space="preserve">.  </w:t>
      </w:r>
      <w:r w:rsidR="00201FD4" w:rsidRPr="00000849">
        <w:rPr>
          <w:rFonts w:asciiTheme="minorHAnsi" w:hAnsiTheme="minorHAnsi" w:cstheme="minorHAnsi"/>
          <w:color w:val="383838"/>
        </w:rPr>
        <w:t xml:space="preserve">Thus, while the magnitude of the effect size was different for these two variables, the two values were in the same direction.  </w:t>
      </w:r>
      <w:r w:rsidR="003758DC" w:rsidRPr="00000849">
        <w:rPr>
          <w:rFonts w:asciiTheme="minorHAnsi" w:hAnsiTheme="minorHAnsi" w:cstheme="minorHAnsi"/>
          <w:color w:val="383838"/>
        </w:rPr>
        <w:t>Otherwise, the proportional odds assumption was met in all the other regression analyses.</w:t>
      </w:r>
    </w:p>
    <w:p w14:paraId="7B3FC880" w14:textId="77777777" w:rsidR="00F506F1" w:rsidRPr="00000849" w:rsidRDefault="00F506F1" w:rsidP="005E4E02">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4D188F37" w14:textId="46367B84" w:rsidR="00F506F1" w:rsidRPr="00000849" w:rsidRDefault="002006AA" w:rsidP="00E93D4C">
      <w:pPr>
        <w:pStyle w:val="Heading2"/>
      </w:pPr>
      <w:bookmarkStart w:id="107" w:name="_Toc51472142"/>
      <w:r w:rsidRPr="00000849">
        <w:t>5.</w:t>
      </w:r>
      <w:r w:rsidR="00C665B2" w:rsidRPr="00000849">
        <w:t>7</w:t>
      </w:r>
      <w:r w:rsidR="00F506F1" w:rsidRPr="00000849">
        <w:tab/>
        <w:t xml:space="preserve">Awareness, </w:t>
      </w:r>
      <w:r w:rsidR="00101F48" w:rsidRPr="00000849">
        <w:t>d</w:t>
      </w:r>
      <w:r w:rsidR="00F506F1" w:rsidRPr="00000849">
        <w:t xml:space="preserve">etection and </w:t>
      </w:r>
      <w:r w:rsidR="00101F48" w:rsidRPr="00000849">
        <w:t>c</w:t>
      </w:r>
      <w:r w:rsidR="00F506F1" w:rsidRPr="00000849">
        <w:t xml:space="preserve">ontrol of </w:t>
      </w:r>
      <w:r w:rsidR="00101F48" w:rsidRPr="00000849">
        <w:t>h</w:t>
      </w:r>
      <w:r w:rsidR="00F506F1" w:rsidRPr="00000849">
        <w:t>ypertension</w:t>
      </w:r>
      <w:bookmarkEnd w:id="107"/>
    </w:p>
    <w:p w14:paraId="423AFE75" w14:textId="77777777" w:rsidR="00F506F1" w:rsidRPr="00000849" w:rsidRDefault="00F506F1" w:rsidP="00000849">
      <w:pPr>
        <w:pStyle w:val="NormalWeb"/>
        <w:keepNext/>
        <w:keepLines/>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6C40A14C" w14:textId="48D5D032" w:rsidR="00F506F1" w:rsidRPr="00000849" w:rsidRDefault="00F506F1" w:rsidP="00000849">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In W1, among 2</w:t>
      </w:r>
      <w:r w:rsidR="00545FA0" w:rsidRPr="00000849">
        <w:rPr>
          <w:rFonts w:asciiTheme="minorHAnsi" w:hAnsiTheme="minorHAnsi" w:cstheme="minorHAnsi"/>
          <w:color w:val="383838"/>
        </w:rPr>
        <w:t>,</w:t>
      </w:r>
      <w:r w:rsidRPr="00000849">
        <w:rPr>
          <w:rFonts w:asciiTheme="minorHAnsi" w:hAnsiTheme="minorHAnsi" w:cstheme="minorHAnsi"/>
          <w:color w:val="383838"/>
        </w:rPr>
        <w:t xml:space="preserve">409 </w:t>
      </w:r>
      <w:r w:rsidR="00545FA0" w:rsidRPr="00000849">
        <w:rPr>
          <w:rFonts w:asciiTheme="minorHAnsi" w:hAnsiTheme="minorHAnsi" w:cstheme="minorHAnsi"/>
          <w:color w:val="383838"/>
        </w:rPr>
        <w:t xml:space="preserve">subjects </w:t>
      </w:r>
      <w:r w:rsidRPr="00000849">
        <w:rPr>
          <w:rFonts w:asciiTheme="minorHAnsi" w:hAnsiTheme="minorHAnsi" w:cstheme="minorHAnsi"/>
          <w:color w:val="383838"/>
        </w:rPr>
        <w:t xml:space="preserve">classified as having hypertension, 23.3% were aware of their condition, 16.7% were on treatment with anti-hypertensive medication in the past two weeks and 4.7% had their BP controlled.  In the weighted analyses, these figures corresponded to 24.1%, 17.6% and 4.8% (Table </w:t>
      </w:r>
      <w:r w:rsidR="002006AA" w:rsidRPr="00000849">
        <w:rPr>
          <w:rFonts w:asciiTheme="minorHAnsi" w:hAnsiTheme="minorHAnsi" w:cstheme="minorHAnsi"/>
          <w:color w:val="383838"/>
        </w:rPr>
        <w:t>5.</w:t>
      </w:r>
      <w:r w:rsidR="00682F64" w:rsidRPr="00000849">
        <w:rPr>
          <w:rFonts w:asciiTheme="minorHAnsi" w:hAnsiTheme="minorHAnsi" w:cstheme="minorHAnsi"/>
          <w:color w:val="383838"/>
        </w:rPr>
        <w:t>9</w:t>
      </w:r>
      <w:r w:rsidRPr="00000849">
        <w:rPr>
          <w:rFonts w:asciiTheme="minorHAnsi" w:hAnsiTheme="minorHAnsi" w:cstheme="minorHAnsi"/>
          <w:color w:val="383838"/>
        </w:rPr>
        <w:t xml:space="preserve">).  The weighted proportions improved considerably to 72.8% on treatment in the past two weeks among known </w:t>
      </w:r>
      <w:r w:rsidR="00E70525" w:rsidRPr="00000849">
        <w:rPr>
          <w:rFonts w:asciiTheme="minorHAnsi" w:hAnsiTheme="minorHAnsi" w:cstheme="minorHAnsi"/>
          <w:color w:val="383838"/>
        </w:rPr>
        <w:t>people with hypertension</w:t>
      </w:r>
      <w:r w:rsidRPr="00000849">
        <w:rPr>
          <w:rFonts w:asciiTheme="minorHAnsi" w:hAnsiTheme="minorHAnsi" w:cstheme="minorHAnsi"/>
          <w:color w:val="383838"/>
        </w:rPr>
        <w:t xml:space="preserve"> and to 23.7% of blood pressure under control among the </w:t>
      </w:r>
      <w:r w:rsidR="00E70525" w:rsidRPr="00000849">
        <w:rPr>
          <w:rFonts w:asciiTheme="minorHAnsi" w:hAnsiTheme="minorHAnsi" w:cstheme="minorHAnsi"/>
          <w:color w:val="383838"/>
        </w:rPr>
        <w:t>people with hypertension</w:t>
      </w:r>
      <w:r w:rsidRPr="00000849">
        <w:rPr>
          <w:rFonts w:asciiTheme="minorHAnsi" w:hAnsiTheme="minorHAnsi" w:cstheme="minorHAnsi"/>
          <w:color w:val="383838"/>
        </w:rPr>
        <w:t xml:space="preserve"> on treatment whose BP was measured.</w:t>
      </w:r>
    </w:p>
    <w:p w14:paraId="2B44723F" w14:textId="77777777" w:rsidR="00E37554" w:rsidRPr="00000849" w:rsidRDefault="00E37554" w:rsidP="00F506F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0CCA11DC" w14:textId="6D2E0FA9" w:rsidR="00F506F1" w:rsidRPr="00000849" w:rsidRDefault="00D10525" w:rsidP="00B448FE">
      <w:pPr>
        <w:pStyle w:val="Caption"/>
        <w:rPr>
          <w:color w:val="383838"/>
        </w:rPr>
      </w:pPr>
      <w:bookmarkStart w:id="108" w:name="_Toc71153637"/>
      <w:r w:rsidRPr="00000849">
        <w:t>Table 5.</w:t>
      </w:r>
      <w:fldSimple w:instr=" SEQ Table_5. \* ARABIC ">
        <w:r w:rsidR="00C0100F">
          <w:rPr>
            <w:noProof/>
          </w:rPr>
          <w:t>9</w:t>
        </w:r>
      </w:fldSimple>
      <w:r w:rsidR="00F506F1" w:rsidRPr="00000849">
        <w:t>:</w:t>
      </w:r>
      <w:r w:rsidRPr="00000849">
        <w:tab/>
      </w:r>
      <w:r w:rsidR="00F506F1" w:rsidRPr="00000849">
        <w:t xml:space="preserve">Weighted proportion of awareness, treatment and control of hypertension in study </w:t>
      </w:r>
      <w:r w:rsidR="00AA0A34" w:rsidRPr="00000849">
        <w:t>Wave 1</w:t>
      </w:r>
      <w:r w:rsidR="00B5328A" w:rsidRPr="00000849">
        <w:t xml:space="preserve"> and </w:t>
      </w:r>
      <w:r w:rsidR="00F506F1" w:rsidRPr="00000849">
        <w:t>study W2 participants</w:t>
      </w:r>
      <w:bookmarkEnd w:id="108"/>
      <w:r w:rsidR="00F506F1" w:rsidRPr="00000849">
        <w:t xml:space="preserve"> </w:t>
      </w:r>
    </w:p>
    <w:tbl>
      <w:tblPr>
        <w:tblStyle w:val="PlainTable2"/>
        <w:tblW w:w="5000" w:type="pct"/>
        <w:tblLook w:val="04A0" w:firstRow="1" w:lastRow="0" w:firstColumn="1" w:lastColumn="0" w:noHBand="0" w:noVBand="1"/>
      </w:tblPr>
      <w:tblGrid>
        <w:gridCol w:w="3582"/>
        <w:gridCol w:w="1127"/>
        <w:gridCol w:w="1052"/>
        <w:gridCol w:w="218"/>
        <w:gridCol w:w="979"/>
        <w:gridCol w:w="1044"/>
        <w:gridCol w:w="309"/>
      </w:tblGrid>
      <w:tr w:rsidR="002264B3" w:rsidRPr="00000849" w14:paraId="4D3A82C6" w14:textId="77777777" w:rsidTr="002264B3">
        <w:trPr>
          <w:cnfStyle w:val="100000000000" w:firstRow="1" w:lastRow="0" w:firstColumn="0" w:lastColumn="0" w:oddVBand="0" w:evenVBand="0" w:oddHBand="0" w:evenHBand="0" w:firstRowFirstColumn="0" w:firstRowLastColumn="0" w:lastRowFirstColumn="0" w:lastRowLastColumn="0"/>
          <w:trHeight w:val="460"/>
          <w:tblHeader/>
        </w:trPr>
        <w:tc>
          <w:tcPr>
            <w:cnfStyle w:val="001000000000" w:firstRow="0" w:lastRow="0" w:firstColumn="1" w:lastColumn="0" w:oddVBand="0" w:evenVBand="0" w:oddHBand="0" w:evenHBand="0" w:firstRowFirstColumn="0" w:firstRowLastColumn="0" w:lastRowFirstColumn="0" w:lastRowLastColumn="0"/>
            <w:tcW w:w="2155" w:type="pct"/>
            <w:vMerge w:val="restart"/>
            <w:hideMark/>
          </w:tcPr>
          <w:p w14:paraId="3F1BDD45" w14:textId="77777777" w:rsidR="002264B3" w:rsidRPr="00000849" w:rsidRDefault="002264B3" w:rsidP="003A3250">
            <w:pPr>
              <w:keepNext/>
              <w:keepLines/>
              <w:spacing w:after="0" w:line="240" w:lineRule="auto"/>
              <w:rPr>
                <w:rFonts w:ascii="Calibri" w:eastAsia="Times New Roman" w:hAnsi="Calibri" w:cs="Calibri"/>
                <w:color w:val="000000"/>
                <w:sz w:val="20"/>
                <w:szCs w:val="20"/>
              </w:rPr>
            </w:pPr>
            <w:r w:rsidRPr="00000849">
              <w:rPr>
                <w:rFonts w:ascii="Calibri" w:eastAsia="Times New Roman" w:hAnsi="Calibri" w:cs="Calibri"/>
                <w:color w:val="000000"/>
                <w:sz w:val="20"/>
                <w:szCs w:val="20"/>
              </w:rPr>
              <w:t>Description</w:t>
            </w:r>
          </w:p>
        </w:tc>
        <w:tc>
          <w:tcPr>
            <w:tcW w:w="1442" w:type="pct"/>
            <w:gridSpan w:val="3"/>
            <w:hideMark/>
          </w:tcPr>
          <w:p w14:paraId="4D136249" w14:textId="6C0B55DB" w:rsidR="002264B3" w:rsidRPr="00000849" w:rsidRDefault="002264B3" w:rsidP="003A3250">
            <w:pPr>
              <w:keepNext/>
              <w:keepLine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rPr>
            </w:pPr>
            <w:r w:rsidRPr="00000849">
              <w:rPr>
                <w:rFonts w:ascii="Calibri" w:eastAsia="Times New Roman" w:hAnsi="Calibri" w:cs="Calibri"/>
                <w:color w:val="000000"/>
                <w:sz w:val="20"/>
                <w:szCs w:val="20"/>
              </w:rPr>
              <w:t>Total number in subset screened</w:t>
            </w:r>
          </w:p>
        </w:tc>
        <w:tc>
          <w:tcPr>
            <w:tcW w:w="1403" w:type="pct"/>
            <w:gridSpan w:val="3"/>
            <w:hideMark/>
          </w:tcPr>
          <w:p w14:paraId="5CE578E8" w14:textId="3F675B3E" w:rsidR="002264B3" w:rsidRPr="00000849" w:rsidRDefault="002264B3" w:rsidP="003A3250">
            <w:pPr>
              <w:keepNext/>
              <w:keepLine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szCs w:val="20"/>
              </w:rPr>
            </w:pPr>
            <w:r w:rsidRPr="00000849">
              <w:rPr>
                <w:rFonts w:ascii="Calibri" w:eastAsia="Times New Roman" w:hAnsi="Calibri" w:cs="Calibri"/>
                <w:color w:val="000000"/>
                <w:sz w:val="20"/>
                <w:szCs w:val="20"/>
              </w:rPr>
              <w:t>weighted % with attribute</w:t>
            </w:r>
          </w:p>
        </w:tc>
      </w:tr>
      <w:tr w:rsidR="002264B3" w:rsidRPr="00000849" w14:paraId="213831DE" w14:textId="77777777" w:rsidTr="00143B7E">
        <w:trPr>
          <w:gridAfter w:val="1"/>
          <w:cnfStyle w:val="100000000000" w:firstRow="1" w:lastRow="0" w:firstColumn="0" w:lastColumn="0" w:oddVBand="0" w:evenVBand="0" w:oddHBand="0" w:evenHBand="0" w:firstRowFirstColumn="0" w:firstRowLastColumn="0" w:lastRowFirstColumn="0" w:lastRowLastColumn="0"/>
          <w:wAfter w:w="186" w:type="pct"/>
          <w:trHeight w:val="540"/>
          <w:tblHeader/>
        </w:trPr>
        <w:tc>
          <w:tcPr>
            <w:cnfStyle w:val="001000000000" w:firstRow="0" w:lastRow="0" w:firstColumn="1" w:lastColumn="0" w:oddVBand="0" w:evenVBand="0" w:oddHBand="0" w:evenHBand="0" w:firstRowFirstColumn="0" w:firstRowLastColumn="0" w:lastRowFirstColumn="0" w:lastRowLastColumn="0"/>
            <w:tcW w:w="2155" w:type="pct"/>
            <w:vMerge/>
            <w:hideMark/>
          </w:tcPr>
          <w:p w14:paraId="58B7B2F4" w14:textId="77777777" w:rsidR="002264B3" w:rsidRPr="00000849" w:rsidRDefault="002264B3" w:rsidP="003A3250">
            <w:pPr>
              <w:spacing w:after="0" w:line="240" w:lineRule="auto"/>
              <w:rPr>
                <w:rFonts w:ascii="Calibri" w:eastAsia="Times New Roman" w:hAnsi="Calibri" w:cs="Calibri"/>
                <w:color w:val="000000"/>
                <w:sz w:val="20"/>
                <w:szCs w:val="20"/>
              </w:rPr>
            </w:pPr>
          </w:p>
        </w:tc>
        <w:tc>
          <w:tcPr>
            <w:tcW w:w="678" w:type="pct"/>
            <w:hideMark/>
          </w:tcPr>
          <w:p w14:paraId="1A59305B" w14:textId="77777777" w:rsidR="002264B3" w:rsidRPr="00000849" w:rsidRDefault="002264B3" w:rsidP="003A32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W1</w:t>
            </w:r>
          </w:p>
        </w:tc>
        <w:tc>
          <w:tcPr>
            <w:tcW w:w="633" w:type="pct"/>
            <w:hideMark/>
          </w:tcPr>
          <w:p w14:paraId="6AA0D43E" w14:textId="77777777" w:rsidR="002264B3" w:rsidRPr="00000849" w:rsidRDefault="002264B3" w:rsidP="003A32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W2</w:t>
            </w:r>
          </w:p>
        </w:tc>
        <w:tc>
          <w:tcPr>
            <w:tcW w:w="720" w:type="pct"/>
            <w:gridSpan w:val="2"/>
            <w:hideMark/>
          </w:tcPr>
          <w:p w14:paraId="6230456E" w14:textId="77777777" w:rsidR="002264B3" w:rsidRPr="00000849" w:rsidRDefault="002264B3" w:rsidP="003A32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W1</w:t>
            </w:r>
          </w:p>
        </w:tc>
        <w:tc>
          <w:tcPr>
            <w:tcW w:w="628" w:type="pct"/>
            <w:hideMark/>
          </w:tcPr>
          <w:p w14:paraId="70E47961" w14:textId="77777777" w:rsidR="002264B3" w:rsidRPr="00000849" w:rsidRDefault="002264B3" w:rsidP="003A32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W2</w:t>
            </w:r>
          </w:p>
        </w:tc>
      </w:tr>
      <w:tr w:rsidR="002264B3" w:rsidRPr="00000849" w14:paraId="3716110A" w14:textId="77777777" w:rsidTr="00143B7E">
        <w:trPr>
          <w:gridAfter w:val="1"/>
          <w:cnfStyle w:val="000000100000" w:firstRow="0" w:lastRow="0" w:firstColumn="0" w:lastColumn="0" w:oddVBand="0" w:evenVBand="0" w:oddHBand="1" w:evenHBand="0" w:firstRowFirstColumn="0" w:firstRowLastColumn="0" w:lastRowFirstColumn="0" w:lastRowLastColumn="0"/>
          <w:wAfter w:w="186" w:type="pct"/>
          <w:trHeight w:val="540"/>
        </w:trPr>
        <w:tc>
          <w:tcPr>
            <w:cnfStyle w:val="001000000000" w:firstRow="0" w:lastRow="0" w:firstColumn="1" w:lastColumn="0" w:oddVBand="0" w:evenVBand="0" w:oddHBand="0" w:evenHBand="0" w:firstRowFirstColumn="0" w:firstRowLastColumn="0" w:lastRowFirstColumn="0" w:lastRowLastColumn="0"/>
            <w:tcW w:w="2155" w:type="pct"/>
            <w:hideMark/>
          </w:tcPr>
          <w:p w14:paraId="03DDD7A3" w14:textId="4906AB12" w:rsidR="002264B3" w:rsidRPr="00000849" w:rsidRDefault="002264B3" w:rsidP="003A3250">
            <w:pPr>
              <w:spacing w:after="0" w:line="240" w:lineRule="auto"/>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People with hypertension previously aware of having hypertension</w:t>
            </w:r>
          </w:p>
        </w:tc>
        <w:tc>
          <w:tcPr>
            <w:tcW w:w="678" w:type="pct"/>
            <w:hideMark/>
          </w:tcPr>
          <w:p w14:paraId="70A62E5A"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2409</w:t>
            </w:r>
          </w:p>
        </w:tc>
        <w:tc>
          <w:tcPr>
            <w:tcW w:w="633" w:type="pct"/>
            <w:hideMark/>
          </w:tcPr>
          <w:p w14:paraId="324D1DFE"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878</w:t>
            </w:r>
          </w:p>
        </w:tc>
        <w:tc>
          <w:tcPr>
            <w:tcW w:w="720" w:type="pct"/>
            <w:gridSpan w:val="2"/>
            <w:hideMark/>
          </w:tcPr>
          <w:p w14:paraId="1BE1E9F8"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24.1</w:t>
            </w:r>
          </w:p>
        </w:tc>
        <w:tc>
          <w:tcPr>
            <w:tcW w:w="628" w:type="pct"/>
            <w:hideMark/>
          </w:tcPr>
          <w:p w14:paraId="44D98185"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27.6</w:t>
            </w:r>
          </w:p>
        </w:tc>
      </w:tr>
      <w:tr w:rsidR="002264B3" w:rsidRPr="00000849" w14:paraId="50AB90A2" w14:textId="77777777" w:rsidTr="00143B7E">
        <w:trPr>
          <w:gridAfter w:val="1"/>
          <w:wAfter w:w="186" w:type="pct"/>
          <w:trHeight w:val="1080"/>
        </w:trPr>
        <w:tc>
          <w:tcPr>
            <w:cnfStyle w:val="001000000000" w:firstRow="0" w:lastRow="0" w:firstColumn="1" w:lastColumn="0" w:oddVBand="0" w:evenVBand="0" w:oddHBand="0" w:evenHBand="0" w:firstRowFirstColumn="0" w:firstRowLastColumn="0" w:lastRowFirstColumn="0" w:lastRowLastColumn="0"/>
            <w:tcW w:w="2155" w:type="pct"/>
            <w:hideMark/>
          </w:tcPr>
          <w:p w14:paraId="6498759C" w14:textId="77777777" w:rsidR="002264B3" w:rsidRPr="00000849" w:rsidRDefault="002264B3" w:rsidP="003A3250">
            <w:pPr>
              <w:spacing w:after="0" w:line="240" w:lineRule="auto"/>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Among all classified as having hypertension, those on treatment in the past two weeks</w:t>
            </w:r>
          </w:p>
        </w:tc>
        <w:tc>
          <w:tcPr>
            <w:tcW w:w="678" w:type="pct"/>
            <w:hideMark/>
          </w:tcPr>
          <w:p w14:paraId="47E4DEBA" w14:textId="77777777" w:rsidR="002264B3" w:rsidRPr="00000849" w:rsidRDefault="002264B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2409</w:t>
            </w:r>
          </w:p>
        </w:tc>
        <w:tc>
          <w:tcPr>
            <w:tcW w:w="633" w:type="pct"/>
            <w:hideMark/>
          </w:tcPr>
          <w:p w14:paraId="3241657B" w14:textId="77777777" w:rsidR="002264B3" w:rsidRPr="00000849" w:rsidRDefault="002264B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766</w:t>
            </w:r>
          </w:p>
        </w:tc>
        <w:tc>
          <w:tcPr>
            <w:tcW w:w="720" w:type="pct"/>
            <w:gridSpan w:val="2"/>
            <w:hideMark/>
          </w:tcPr>
          <w:p w14:paraId="2F377C76" w14:textId="77777777" w:rsidR="002264B3" w:rsidRPr="00000849" w:rsidRDefault="002264B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17.6</w:t>
            </w:r>
          </w:p>
        </w:tc>
        <w:tc>
          <w:tcPr>
            <w:tcW w:w="628" w:type="pct"/>
            <w:hideMark/>
          </w:tcPr>
          <w:p w14:paraId="7EAE8112" w14:textId="77777777" w:rsidR="002264B3" w:rsidRPr="00000849" w:rsidRDefault="002264B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11.5</w:t>
            </w:r>
          </w:p>
        </w:tc>
      </w:tr>
      <w:tr w:rsidR="002264B3" w:rsidRPr="00000849" w14:paraId="19510078" w14:textId="77777777" w:rsidTr="00143B7E">
        <w:trPr>
          <w:gridAfter w:val="1"/>
          <w:cnfStyle w:val="000000100000" w:firstRow="0" w:lastRow="0" w:firstColumn="0" w:lastColumn="0" w:oddVBand="0" w:evenVBand="0" w:oddHBand="1" w:evenHBand="0" w:firstRowFirstColumn="0" w:firstRowLastColumn="0" w:lastRowFirstColumn="0" w:lastRowLastColumn="0"/>
          <w:wAfter w:w="186" w:type="pct"/>
          <w:trHeight w:val="810"/>
        </w:trPr>
        <w:tc>
          <w:tcPr>
            <w:cnfStyle w:val="001000000000" w:firstRow="0" w:lastRow="0" w:firstColumn="1" w:lastColumn="0" w:oddVBand="0" w:evenVBand="0" w:oddHBand="0" w:evenHBand="0" w:firstRowFirstColumn="0" w:firstRowLastColumn="0" w:lastRowFirstColumn="0" w:lastRowLastColumn="0"/>
            <w:tcW w:w="2155" w:type="pct"/>
            <w:hideMark/>
          </w:tcPr>
          <w:p w14:paraId="60D87602" w14:textId="1FDDADC7" w:rsidR="002264B3" w:rsidRPr="00000849" w:rsidRDefault="002264B3" w:rsidP="003A3250">
            <w:pPr>
              <w:spacing w:after="0" w:line="240" w:lineRule="auto"/>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Among known people with hypertension, those on treatment in the past two weeks</w:t>
            </w:r>
          </w:p>
        </w:tc>
        <w:tc>
          <w:tcPr>
            <w:tcW w:w="678" w:type="pct"/>
            <w:hideMark/>
          </w:tcPr>
          <w:p w14:paraId="6B341ECA"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562</w:t>
            </w:r>
          </w:p>
        </w:tc>
        <w:tc>
          <w:tcPr>
            <w:tcW w:w="633" w:type="pct"/>
            <w:hideMark/>
          </w:tcPr>
          <w:p w14:paraId="498E1315"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107</w:t>
            </w:r>
          </w:p>
        </w:tc>
        <w:tc>
          <w:tcPr>
            <w:tcW w:w="720" w:type="pct"/>
            <w:gridSpan w:val="2"/>
            <w:hideMark/>
          </w:tcPr>
          <w:p w14:paraId="239B4167"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72.8</w:t>
            </w:r>
          </w:p>
        </w:tc>
        <w:tc>
          <w:tcPr>
            <w:tcW w:w="628" w:type="pct"/>
            <w:hideMark/>
          </w:tcPr>
          <w:p w14:paraId="1628D33A"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66.7</w:t>
            </w:r>
          </w:p>
        </w:tc>
      </w:tr>
      <w:tr w:rsidR="002264B3" w:rsidRPr="00000849" w14:paraId="46381259" w14:textId="77777777" w:rsidTr="00143B7E">
        <w:trPr>
          <w:gridAfter w:val="1"/>
          <w:wAfter w:w="186" w:type="pct"/>
          <w:trHeight w:val="810"/>
        </w:trPr>
        <w:tc>
          <w:tcPr>
            <w:cnfStyle w:val="001000000000" w:firstRow="0" w:lastRow="0" w:firstColumn="1" w:lastColumn="0" w:oddVBand="0" w:evenVBand="0" w:oddHBand="0" w:evenHBand="0" w:firstRowFirstColumn="0" w:firstRowLastColumn="0" w:lastRowFirstColumn="0" w:lastRowLastColumn="0"/>
            <w:tcW w:w="2155" w:type="pct"/>
            <w:hideMark/>
          </w:tcPr>
          <w:p w14:paraId="538BB763" w14:textId="77777777" w:rsidR="002264B3" w:rsidRPr="00000849" w:rsidRDefault="002264B3" w:rsidP="003A3250">
            <w:pPr>
              <w:spacing w:after="0" w:line="240" w:lineRule="auto"/>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lastRenderedPageBreak/>
              <w:t>Among all classified as having hypertension, those with controlled blood pressure</w:t>
            </w:r>
          </w:p>
        </w:tc>
        <w:tc>
          <w:tcPr>
            <w:tcW w:w="678" w:type="pct"/>
            <w:hideMark/>
          </w:tcPr>
          <w:p w14:paraId="320728DB" w14:textId="77777777" w:rsidR="002264B3" w:rsidRPr="00000849" w:rsidRDefault="002264B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2402</w:t>
            </w:r>
          </w:p>
        </w:tc>
        <w:tc>
          <w:tcPr>
            <w:tcW w:w="633" w:type="pct"/>
            <w:hideMark/>
          </w:tcPr>
          <w:p w14:paraId="57B735DE" w14:textId="77777777" w:rsidR="002264B3" w:rsidRPr="00000849" w:rsidRDefault="002264B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1221</w:t>
            </w:r>
          </w:p>
        </w:tc>
        <w:tc>
          <w:tcPr>
            <w:tcW w:w="720" w:type="pct"/>
            <w:gridSpan w:val="2"/>
            <w:hideMark/>
          </w:tcPr>
          <w:p w14:paraId="03CBDC5B" w14:textId="77777777" w:rsidR="002264B3" w:rsidRPr="00000849" w:rsidRDefault="002264B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4.8</w:t>
            </w:r>
          </w:p>
        </w:tc>
        <w:tc>
          <w:tcPr>
            <w:tcW w:w="628" w:type="pct"/>
            <w:hideMark/>
          </w:tcPr>
          <w:p w14:paraId="3ED14349" w14:textId="77777777" w:rsidR="002264B3" w:rsidRPr="00000849" w:rsidRDefault="002264B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2.3</w:t>
            </w:r>
          </w:p>
        </w:tc>
      </w:tr>
      <w:tr w:rsidR="002264B3" w:rsidRPr="00000849" w14:paraId="1D6DED4F" w14:textId="77777777" w:rsidTr="00143B7E">
        <w:trPr>
          <w:gridAfter w:val="1"/>
          <w:cnfStyle w:val="000000100000" w:firstRow="0" w:lastRow="0" w:firstColumn="0" w:lastColumn="0" w:oddVBand="0" w:evenVBand="0" w:oddHBand="1" w:evenHBand="0" w:firstRowFirstColumn="0" w:firstRowLastColumn="0" w:lastRowFirstColumn="0" w:lastRowLastColumn="0"/>
          <w:wAfter w:w="186" w:type="pct"/>
          <w:trHeight w:val="810"/>
        </w:trPr>
        <w:tc>
          <w:tcPr>
            <w:cnfStyle w:val="001000000000" w:firstRow="0" w:lastRow="0" w:firstColumn="1" w:lastColumn="0" w:oddVBand="0" w:evenVBand="0" w:oddHBand="0" w:evenHBand="0" w:firstRowFirstColumn="0" w:firstRowLastColumn="0" w:lastRowFirstColumn="0" w:lastRowLastColumn="0"/>
            <w:tcW w:w="2155" w:type="pct"/>
            <w:hideMark/>
          </w:tcPr>
          <w:p w14:paraId="7024B260" w14:textId="166075C6" w:rsidR="002264B3" w:rsidRPr="00000849" w:rsidRDefault="002264B3" w:rsidP="003A3250">
            <w:pPr>
              <w:spacing w:after="0" w:line="240" w:lineRule="auto"/>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Among people with hypertension on treatment, those with controlled blood pressure</w:t>
            </w:r>
          </w:p>
        </w:tc>
        <w:tc>
          <w:tcPr>
            <w:tcW w:w="678" w:type="pct"/>
            <w:hideMark/>
          </w:tcPr>
          <w:p w14:paraId="4ADC091B"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395</w:t>
            </w:r>
          </w:p>
        </w:tc>
        <w:tc>
          <w:tcPr>
            <w:tcW w:w="633" w:type="pct"/>
            <w:hideMark/>
          </w:tcPr>
          <w:p w14:paraId="765630F0"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83</w:t>
            </w:r>
          </w:p>
        </w:tc>
        <w:tc>
          <w:tcPr>
            <w:tcW w:w="720" w:type="pct"/>
            <w:gridSpan w:val="2"/>
            <w:hideMark/>
          </w:tcPr>
          <w:p w14:paraId="1BED562E"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23.7</w:t>
            </w:r>
          </w:p>
        </w:tc>
        <w:tc>
          <w:tcPr>
            <w:tcW w:w="628" w:type="pct"/>
            <w:hideMark/>
          </w:tcPr>
          <w:p w14:paraId="7B0FD19D" w14:textId="77777777" w:rsidR="002264B3" w:rsidRPr="00000849" w:rsidRDefault="002264B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31.6</w:t>
            </w:r>
          </w:p>
        </w:tc>
      </w:tr>
    </w:tbl>
    <w:p w14:paraId="1D35AE0B" w14:textId="2CBB95EC" w:rsidR="00F506F1" w:rsidRPr="00000849" w:rsidRDefault="00F506F1" w:rsidP="00F506F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1197399D" w14:textId="7D090133" w:rsidR="002264B3" w:rsidRPr="00000849" w:rsidRDefault="00581CA3" w:rsidP="00A8780E">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I</w:t>
      </w:r>
      <w:r w:rsidR="002264B3" w:rsidRPr="00000849">
        <w:rPr>
          <w:rFonts w:asciiTheme="minorHAnsi" w:hAnsiTheme="minorHAnsi" w:cstheme="minorHAnsi"/>
          <w:color w:val="383838"/>
        </w:rPr>
        <w:t xml:space="preserve">n W2, the weighted prevalence of those with previous diagnosis of hypertension was </w:t>
      </w:r>
      <w:r w:rsidRPr="00000849">
        <w:rPr>
          <w:rFonts w:asciiTheme="minorHAnsi" w:hAnsiTheme="minorHAnsi" w:cstheme="minorHAnsi"/>
          <w:color w:val="383838"/>
        </w:rPr>
        <w:t>27.6</w:t>
      </w:r>
      <w:r w:rsidR="002264B3"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11.5% </w:t>
      </w:r>
      <w:r w:rsidR="002264B3" w:rsidRPr="00000849">
        <w:rPr>
          <w:rFonts w:asciiTheme="minorHAnsi" w:hAnsiTheme="minorHAnsi" w:cstheme="minorHAnsi"/>
          <w:color w:val="383838"/>
        </w:rPr>
        <w:t xml:space="preserve">were on treatment and </w:t>
      </w:r>
      <w:r w:rsidRPr="00000849">
        <w:rPr>
          <w:rFonts w:asciiTheme="minorHAnsi" w:hAnsiTheme="minorHAnsi" w:cstheme="minorHAnsi"/>
          <w:color w:val="383838"/>
        </w:rPr>
        <w:t>2.3</w:t>
      </w:r>
      <w:r w:rsidR="002264B3" w:rsidRPr="00000849">
        <w:rPr>
          <w:rFonts w:asciiTheme="minorHAnsi" w:hAnsiTheme="minorHAnsi" w:cstheme="minorHAnsi"/>
          <w:color w:val="383838"/>
        </w:rPr>
        <w:t xml:space="preserve">% had their BP controlled.  As in W1, the figures improved to </w:t>
      </w:r>
      <w:r w:rsidRPr="00000849">
        <w:rPr>
          <w:rFonts w:asciiTheme="minorHAnsi" w:hAnsiTheme="minorHAnsi" w:cstheme="minorHAnsi"/>
          <w:color w:val="383838"/>
        </w:rPr>
        <w:t>66.7</w:t>
      </w:r>
      <w:r w:rsidR="002264B3" w:rsidRPr="00000849">
        <w:rPr>
          <w:rFonts w:asciiTheme="minorHAnsi" w:hAnsiTheme="minorHAnsi" w:cstheme="minorHAnsi"/>
          <w:color w:val="383838"/>
        </w:rPr>
        <w:t xml:space="preserve">% treatment </w:t>
      </w:r>
      <w:r w:rsidR="004C0064" w:rsidRPr="00000849">
        <w:rPr>
          <w:rFonts w:asciiTheme="minorHAnsi" w:hAnsiTheme="minorHAnsi" w:cstheme="minorHAnsi"/>
          <w:color w:val="383838"/>
        </w:rPr>
        <w:t xml:space="preserve">prevalence </w:t>
      </w:r>
      <w:r w:rsidR="002264B3" w:rsidRPr="00000849">
        <w:rPr>
          <w:rFonts w:asciiTheme="minorHAnsi" w:hAnsiTheme="minorHAnsi" w:cstheme="minorHAnsi"/>
          <w:color w:val="383838"/>
        </w:rPr>
        <w:t>among known people with hypertension and 3</w:t>
      </w:r>
      <w:r w:rsidRPr="00000849">
        <w:rPr>
          <w:rFonts w:asciiTheme="minorHAnsi" w:hAnsiTheme="minorHAnsi" w:cstheme="minorHAnsi"/>
          <w:color w:val="383838"/>
        </w:rPr>
        <w:t>1</w:t>
      </w:r>
      <w:r w:rsidR="002264B3" w:rsidRPr="00000849">
        <w:rPr>
          <w:rFonts w:asciiTheme="minorHAnsi" w:hAnsiTheme="minorHAnsi" w:cstheme="minorHAnsi"/>
          <w:color w:val="383838"/>
        </w:rPr>
        <w:t xml:space="preserve">.6% blood pressure control </w:t>
      </w:r>
      <w:r w:rsidR="004C0064" w:rsidRPr="00000849">
        <w:rPr>
          <w:rFonts w:asciiTheme="minorHAnsi" w:hAnsiTheme="minorHAnsi" w:cstheme="minorHAnsi"/>
          <w:color w:val="383838"/>
        </w:rPr>
        <w:t xml:space="preserve">prevalence </w:t>
      </w:r>
      <w:r w:rsidR="002264B3" w:rsidRPr="00000849">
        <w:rPr>
          <w:rFonts w:asciiTheme="minorHAnsi" w:hAnsiTheme="minorHAnsi" w:cstheme="minorHAnsi"/>
          <w:color w:val="383838"/>
        </w:rPr>
        <w:t>among people with hypertension who reported taking mediation in the past two weeks.</w:t>
      </w:r>
    </w:p>
    <w:p w14:paraId="3D1B77C2" w14:textId="32E18AD1" w:rsidR="00A8780E" w:rsidRPr="00000849" w:rsidRDefault="00A8780E" w:rsidP="00A8780E">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The analysis of the determinants of the awareness, treatment and control of hypertension was beyond the scope of this study.</w:t>
      </w:r>
    </w:p>
    <w:p w14:paraId="33735008" w14:textId="77777777" w:rsidR="00A8780E" w:rsidRPr="00000849" w:rsidRDefault="00A8780E" w:rsidP="00F506F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2F629445" w14:textId="17EBF570" w:rsidR="00F506F1" w:rsidRPr="00000849" w:rsidRDefault="002006AA" w:rsidP="00A61BAB">
      <w:pPr>
        <w:pStyle w:val="Heading2"/>
      </w:pPr>
      <w:bookmarkStart w:id="109" w:name="_Toc51472143"/>
      <w:r w:rsidRPr="00000849">
        <w:t>5.</w:t>
      </w:r>
      <w:r w:rsidR="00C665B2" w:rsidRPr="00000849">
        <w:t>8</w:t>
      </w:r>
      <w:r w:rsidR="00F506F1" w:rsidRPr="00000849">
        <w:tab/>
        <w:t>Clustering of risk factors</w:t>
      </w:r>
      <w:bookmarkEnd w:id="109"/>
    </w:p>
    <w:p w14:paraId="73DEDE59" w14:textId="77777777" w:rsidR="00F506F1" w:rsidRPr="00000849" w:rsidRDefault="00F506F1" w:rsidP="00F506F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480500E1" w14:textId="39FF4F06" w:rsidR="00F506F1" w:rsidRPr="00000849" w:rsidRDefault="00F506F1" w:rsidP="00F506F1">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co-occurrence of seven chronic NCD risk factors was </w:t>
      </w:r>
      <w:r w:rsidR="00545FA0" w:rsidRPr="00000849">
        <w:rPr>
          <w:rFonts w:asciiTheme="minorHAnsi" w:hAnsiTheme="minorHAnsi" w:cstheme="minorHAnsi"/>
          <w:color w:val="383838"/>
        </w:rPr>
        <w:t>assessed</w:t>
      </w:r>
      <w:r w:rsidR="00C46752" w:rsidRPr="00000849">
        <w:rPr>
          <w:rFonts w:asciiTheme="minorHAnsi" w:hAnsiTheme="minorHAnsi" w:cstheme="minorHAnsi"/>
          <w:color w:val="383838"/>
        </w:rPr>
        <w:t xml:space="preserve"> descriptively</w:t>
      </w:r>
      <w:r w:rsidR="00545FA0" w:rsidRPr="00000849">
        <w:rPr>
          <w:rFonts w:asciiTheme="minorHAnsi" w:hAnsiTheme="minorHAnsi" w:cstheme="minorHAnsi"/>
          <w:color w:val="383838"/>
        </w:rPr>
        <w:t xml:space="preserve"> for each study wave</w:t>
      </w:r>
      <w:r w:rsidRPr="00000849">
        <w:rPr>
          <w:rFonts w:asciiTheme="minorHAnsi" w:hAnsiTheme="minorHAnsi" w:cstheme="minorHAnsi"/>
          <w:color w:val="383838"/>
        </w:rPr>
        <w:t xml:space="preserve">.  These risk factors were low physical activity, obesity, central obesity, current daily tobacco use, heavy alcohol intake, inadequate daily fruit and vegetable intake and hypertension.  The mean number of risk factors per participant in W1 </w:t>
      </w:r>
      <w:r w:rsidR="00581CA3" w:rsidRPr="00000849">
        <w:rPr>
          <w:rFonts w:asciiTheme="minorHAnsi" w:hAnsiTheme="minorHAnsi" w:cstheme="minorHAnsi"/>
          <w:color w:val="383838"/>
        </w:rPr>
        <w:t xml:space="preserve">and </w:t>
      </w:r>
      <w:r w:rsidRPr="00000849">
        <w:rPr>
          <w:rFonts w:asciiTheme="minorHAnsi" w:hAnsiTheme="minorHAnsi" w:cstheme="minorHAnsi"/>
          <w:color w:val="383838"/>
        </w:rPr>
        <w:t>W2 was 2.5</w:t>
      </w:r>
      <w:r w:rsidR="00581CA3" w:rsidRPr="00000849">
        <w:rPr>
          <w:rFonts w:asciiTheme="minorHAnsi" w:hAnsiTheme="minorHAnsi" w:cstheme="minorHAnsi"/>
          <w:color w:val="383838"/>
        </w:rPr>
        <w:t xml:space="preserve"> and</w:t>
      </w:r>
      <w:r w:rsidRPr="00000849">
        <w:rPr>
          <w:rFonts w:asciiTheme="minorHAnsi" w:hAnsiTheme="minorHAnsi" w:cstheme="minorHAnsi"/>
          <w:color w:val="383838"/>
        </w:rPr>
        <w:t xml:space="preserve"> 2.2 respectively.  The proportion with no identifiable risk factors was 2.3% </w:t>
      </w:r>
      <w:r w:rsidR="00581CA3" w:rsidRPr="00000849">
        <w:rPr>
          <w:rFonts w:asciiTheme="minorHAnsi" w:hAnsiTheme="minorHAnsi" w:cstheme="minorHAnsi"/>
          <w:color w:val="383838"/>
        </w:rPr>
        <w:t xml:space="preserve">and </w:t>
      </w:r>
      <w:r w:rsidRPr="00000849">
        <w:rPr>
          <w:rFonts w:asciiTheme="minorHAnsi" w:hAnsiTheme="minorHAnsi" w:cstheme="minorHAnsi"/>
          <w:color w:val="383838"/>
        </w:rPr>
        <w:t xml:space="preserve">4.8% respectively (Table </w:t>
      </w:r>
      <w:r w:rsidR="002006AA" w:rsidRPr="00000849">
        <w:rPr>
          <w:rFonts w:asciiTheme="minorHAnsi" w:hAnsiTheme="minorHAnsi" w:cstheme="minorHAnsi"/>
          <w:color w:val="383838"/>
        </w:rPr>
        <w:t>5.</w:t>
      </w:r>
      <w:r w:rsidR="00581CA3" w:rsidRPr="00000849">
        <w:rPr>
          <w:rFonts w:asciiTheme="minorHAnsi" w:hAnsiTheme="minorHAnsi" w:cstheme="minorHAnsi"/>
          <w:color w:val="383838"/>
        </w:rPr>
        <w:t>10</w:t>
      </w:r>
      <w:r w:rsidRPr="00000849">
        <w:rPr>
          <w:rFonts w:asciiTheme="minorHAnsi" w:hAnsiTheme="minorHAnsi" w:cstheme="minorHAnsi"/>
          <w:color w:val="383838"/>
        </w:rPr>
        <w:t xml:space="preserve">).  The proportion with two or more concurrent risk factors was 83.0% in W1 </w:t>
      </w:r>
      <w:r w:rsidR="00581CA3" w:rsidRPr="00000849">
        <w:rPr>
          <w:rFonts w:asciiTheme="minorHAnsi" w:hAnsiTheme="minorHAnsi" w:cstheme="minorHAnsi"/>
          <w:color w:val="383838"/>
        </w:rPr>
        <w:t xml:space="preserve">and </w:t>
      </w:r>
      <w:r w:rsidRPr="00000849">
        <w:rPr>
          <w:rFonts w:asciiTheme="minorHAnsi" w:hAnsiTheme="minorHAnsi" w:cstheme="minorHAnsi"/>
          <w:color w:val="383838"/>
        </w:rPr>
        <w:t xml:space="preserve">71.4% in W2 participants. </w:t>
      </w:r>
    </w:p>
    <w:p w14:paraId="2FCBFA81" w14:textId="7FEA6CDD" w:rsidR="00D24C87" w:rsidRPr="00000849" w:rsidRDefault="00D24C87" w:rsidP="00143B7E">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lastRenderedPageBreak/>
        <w:t xml:space="preserve">About </w:t>
      </w:r>
      <w:r w:rsidR="00E953A9" w:rsidRPr="00000849">
        <w:rPr>
          <w:rFonts w:asciiTheme="minorHAnsi" w:hAnsiTheme="minorHAnsi" w:cstheme="minorHAnsi"/>
          <w:color w:val="383838"/>
        </w:rPr>
        <w:t>78%/76%</w:t>
      </w:r>
      <w:r w:rsidRPr="00000849">
        <w:rPr>
          <w:rFonts w:asciiTheme="minorHAnsi" w:hAnsiTheme="minorHAnsi" w:cstheme="minorHAnsi"/>
          <w:color w:val="383838"/>
        </w:rPr>
        <w:t xml:space="preserve"> of participants in </w:t>
      </w:r>
      <w:r w:rsidR="00E953A9" w:rsidRPr="00000849">
        <w:rPr>
          <w:rFonts w:asciiTheme="minorHAnsi" w:hAnsiTheme="minorHAnsi" w:cstheme="minorHAnsi"/>
          <w:color w:val="383838"/>
        </w:rPr>
        <w:t>W1/W2</w:t>
      </w:r>
      <w:r w:rsidRPr="00000849">
        <w:rPr>
          <w:rFonts w:asciiTheme="minorHAnsi" w:hAnsiTheme="minorHAnsi" w:cstheme="minorHAnsi"/>
          <w:color w:val="383838"/>
        </w:rPr>
        <w:t xml:space="preserve"> had central obesity, 69%</w:t>
      </w:r>
      <w:r w:rsidR="00E953A9" w:rsidRPr="00000849">
        <w:rPr>
          <w:rFonts w:asciiTheme="minorHAnsi" w:hAnsiTheme="minorHAnsi" w:cstheme="minorHAnsi"/>
          <w:color w:val="383838"/>
        </w:rPr>
        <w:t>/50%</w:t>
      </w:r>
      <w:r w:rsidRPr="00000849">
        <w:rPr>
          <w:rFonts w:asciiTheme="minorHAnsi" w:hAnsiTheme="minorHAnsi" w:cstheme="minorHAnsi"/>
          <w:color w:val="383838"/>
        </w:rPr>
        <w:t xml:space="preserve"> reported inadequate daily fruit and vegetable intake while 57%</w:t>
      </w:r>
      <w:r w:rsidR="00E953A9" w:rsidRPr="00000849">
        <w:rPr>
          <w:rFonts w:asciiTheme="minorHAnsi" w:hAnsiTheme="minorHAnsi" w:cstheme="minorHAnsi"/>
          <w:color w:val="383838"/>
        </w:rPr>
        <w:t>/35%</w:t>
      </w:r>
      <w:r w:rsidRPr="00000849">
        <w:rPr>
          <w:rFonts w:asciiTheme="minorHAnsi" w:hAnsiTheme="minorHAnsi" w:cstheme="minorHAnsi"/>
          <w:color w:val="383838"/>
        </w:rPr>
        <w:t xml:space="preserve"> had hypertension, 33%</w:t>
      </w:r>
      <w:r w:rsidR="00E953A9" w:rsidRPr="00000849">
        <w:rPr>
          <w:rFonts w:asciiTheme="minorHAnsi" w:hAnsiTheme="minorHAnsi" w:cstheme="minorHAnsi"/>
          <w:color w:val="383838"/>
        </w:rPr>
        <w:t>/40</w:t>
      </w:r>
      <w:r w:rsidRPr="00000849">
        <w:rPr>
          <w:rFonts w:asciiTheme="minorHAnsi" w:hAnsiTheme="minorHAnsi" w:cstheme="minorHAnsi"/>
          <w:color w:val="383838"/>
        </w:rPr>
        <w:t>% reported low physical activity, 11%</w:t>
      </w:r>
      <w:r w:rsidR="00E953A9" w:rsidRPr="00000849">
        <w:rPr>
          <w:rFonts w:asciiTheme="minorHAnsi" w:hAnsiTheme="minorHAnsi" w:cstheme="minorHAnsi"/>
          <w:color w:val="383838"/>
        </w:rPr>
        <w:t>/4%</w:t>
      </w:r>
      <w:r w:rsidRPr="00000849">
        <w:rPr>
          <w:rFonts w:asciiTheme="minorHAnsi" w:hAnsiTheme="minorHAnsi" w:cstheme="minorHAnsi"/>
          <w:color w:val="383838"/>
        </w:rPr>
        <w:t xml:space="preserve"> reported current daily tobacco use and 10%</w:t>
      </w:r>
      <w:r w:rsidR="00E953A9" w:rsidRPr="00000849">
        <w:rPr>
          <w:rFonts w:asciiTheme="minorHAnsi" w:hAnsiTheme="minorHAnsi" w:cstheme="minorHAnsi"/>
          <w:color w:val="383838"/>
        </w:rPr>
        <w:t>/</w:t>
      </w:r>
      <w:r w:rsidRPr="00000849">
        <w:rPr>
          <w:rFonts w:asciiTheme="minorHAnsi" w:hAnsiTheme="minorHAnsi" w:cstheme="minorHAnsi"/>
          <w:color w:val="383838"/>
        </w:rPr>
        <w:t>1</w:t>
      </w:r>
      <w:r w:rsidR="00E953A9" w:rsidRPr="00000849">
        <w:rPr>
          <w:rFonts w:asciiTheme="minorHAnsi" w:hAnsiTheme="minorHAnsi" w:cstheme="minorHAnsi"/>
          <w:color w:val="383838"/>
        </w:rPr>
        <w:t>3</w:t>
      </w:r>
      <w:r w:rsidRPr="00000849">
        <w:rPr>
          <w:rFonts w:asciiTheme="minorHAnsi" w:hAnsiTheme="minorHAnsi" w:cstheme="minorHAnsi"/>
          <w:color w:val="383838"/>
        </w:rPr>
        <w:t xml:space="preserve">% were obese.  The least frequent risk factor was heavy alcohol use reported by </w:t>
      </w:r>
      <w:r w:rsidR="00E953A9" w:rsidRPr="00000849">
        <w:rPr>
          <w:rFonts w:asciiTheme="minorHAnsi" w:hAnsiTheme="minorHAnsi" w:cstheme="minorHAnsi"/>
          <w:color w:val="383838"/>
        </w:rPr>
        <w:t>2%/</w:t>
      </w:r>
      <w:r w:rsidRPr="00000849">
        <w:rPr>
          <w:rFonts w:asciiTheme="minorHAnsi" w:hAnsiTheme="minorHAnsi" w:cstheme="minorHAnsi"/>
          <w:color w:val="383838"/>
        </w:rPr>
        <w:t xml:space="preserve">1% of </w:t>
      </w:r>
      <w:r w:rsidR="00E953A9" w:rsidRPr="00000849">
        <w:rPr>
          <w:rFonts w:asciiTheme="minorHAnsi" w:hAnsiTheme="minorHAnsi" w:cstheme="minorHAnsi"/>
          <w:color w:val="383838"/>
        </w:rPr>
        <w:t xml:space="preserve">W1/W2 </w:t>
      </w:r>
      <w:r w:rsidRPr="00000849">
        <w:rPr>
          <w:rFonts w:asciiTheme="minorHAnsi" w:hAnsiTheme="minorHAnsi" w:cstheme="minorHAnsi"/>
          <w:color w:val="383838"/>
        </w:rPr>
        <w:t>study participants.</w:t>
      </w:r>
    </w:p>
    <w:p w14:paraId="02FF9E05" w14:textId="77777777" w:rsidR="00F506F1" w:rsidRPr="00000849" w:rsidRDefault="00F506F1" w:rsidP="00F506F1">
      <w:pPr>
        <w:spacing w:after="0" w:line="360" w:lineRule="auto"/>
        <w:jc w:val="both"/>
      </w:pPr>
    </w:p>
    <w:p w14:paraId="235DD6F9" w14:textId="3944CEEA" w:rsidR="00F506F1" w:rsidRPr="00000849" w:rsidRDefault="00D10525" w:rsidP="00B448FE">
      <w:pPr>
        <w:pStyle w:val="Caption"/>
        <w:rPr>
          <w:color w:val="383838"/>
        </w:rPr>
      </w:pPr>
      <w:bookmarkStart w:id="110" w:name="_Toc71153638"/>
      <w:r w:rsidRPr="00000849">
        <w:t xml:space="preserve">Table 5. </w:t>
      </w:r>
      <w:fldSimple w:instr=" SEQ Table_5. \* ARABIC ">
        <w:r w:rsidR="00C0100F">
          <w:rPr>
            <w:noProof/>
          </w:rPr>
          <w:t>10</w:t>
        </w:r>
      </w:fldSimple>
      <w:r w:rsidR="00F506F1" w:rsidRPr="00000849">
        <w:t>:</w:t>
      </w:r>
      <w:r w:rsidRPr="00000849">
        <w:tab/>
      </w:r>
      <w:r w:rsidR="00F506F1" w:rsidRPr="00000849">
        <w:t xml:space="preserve">Weighted prevalence of nil, single or multiple chronic NCD risk factors among study </w:t>
      </w:r>
      <w:r w:rsidR="00A8780E" w:rsidRPr="00000849">
        <w:t>W</w:t>
      </w:r>
      <w:r w:rsidR="00F506F1" w:rsidRPr="00000849">
        <w:t>1</w:t>
      </w:r>
      <w:r w:rsidR="00B5328A" w:rsidRPr="00000849">
        <w:t xml:space="preserve"> and </w:t>
      </w:r>
      <w:r w:rsidR="00F506F1" w:rsidRPr="00000849">
        <w:t>study W2 participants</w:t>
      </w:r>
      <w:bookmarkEnd w:id="110"/>
      <w:r w:rsidR="00F506F1" w:rsidRPr="00000849">
        <w:t xml:space="preserve"> </w:t>
      </w:r>
    </w:p>
    <w:tbl>
      <w:tblPr>
        <w:tblStyle w:val="PlainTable21"/>
        <w:tblW w:w="5000" w:type="pct"/>
        <w:tblLook w:val="04A0" w:firstRow="1" w:lastRow="0" w:firstColumn="1" w:lastColumn="0" w:noHBand="0" w:noVBand="1"/>
      </w:tblPr>
      <w:tblGrid>
        <w:gridCol w:w="3623"/>
        <w:gridCol w:w="2344"/>
        <w:gridCol w:w="2344"/>
      </w:tblGrid>
      <w:tr w:rsidR="00581CA3" w:rsidRPr="00000849" w14:paraId="72ED4796" w14:textId="77777777" w:rsidTr="00143B7E">
        <w:trPr>
          <w:cnfStyle w:val="100000000000" w:firstRow="1" w:lastRow="0" w:firstColumn="0" w:lastColumn="0" w:oddVBand="0" w:evenVBand="0" w:oddHBand="0" w:evenHBand="0" w:firstRowFirstColumn="0" w:firstRowLastColumn="0" w:lastRowFirstColumn="0" w:lastRowLastColumn="0"/>
          <w:trHeight w:val="505"/>
          <w:tblHeader/>
        </w:trPr>
        <w:tc>
          <w:tcPr>
            <w:cnfStyle w:val="001000000000" w:firstRow="0" w:lastRow="0" w:firstColumn="1" w:lastColumn="0" w:oddVBand="0" w:evenVBand="0" w:oddHBand="0" w:evenHBand="0" w:firstRowFirstColumn="0" w:firstRowLastColumn="0" w:lastRowFirstColumn="0" w:lastRowLastColumn="0"/>
            <w:tcW w:w="2180" w:type="pct"/>
            <w:hideMark/>
          </w:tcPr>
          <w:p w14:paraId="620CC7ED" w14:textId="77777777" w:rsidR="00581CA3" w:rsidRPr="00000849" w:rsidRDefault="00581CA3" w:rsidP="003A3250">
            <w:pPr>
              <w:spacing w:after="0" w:line="240" w:lineRule="auto"/>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 Number of risk factors </w:t>
            </w:r>
          </w:p>
        </w:tc>
        <w:tc>
          <w:tcPr>
            <w:tcW w:w="1410" w:type="pct"/>
            <w:hideMark/>
          </w:tcPr>
          <w:p w14:paraId="1F5ECC28" w14:textId="77777777" w:rsidR="00581CA3" w:rsidRPr="00000849" w:rsidRDefault="00581CA3" w:rsidP="00143B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Wave 1 %</w:t>
            </w:r>
          </w:p>
        </w:tc>
        <w:tc>
          <w:tcPr>
            <w:tcW w:w="1410" w:type="pct"/>
            <w:hideMark/>
          </w:tcPr>
          <w:p w14:paraId="12CAD414" w14:textId="0752A32C" w:rsidR="00581CA3" w:rsidRPr="00000849" w:rsidRDefault="00581CA3" w:rsidP="00143B7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Wave 2 %</w:t>
            </w:r>
          </w:p>
        </w:tc>
      </w:tr>
      <w:tr w:rsidR="00581CA3" w:rsidRPr="00000849" w14:paraId="1067B88C" w14:textId="77777777" w:rsidTr="00143B7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80" w:type="pct"/>
            <w:noWrap/>
            <w:hideMark/>
          </w:tcPr>
          <w:p w14:paraId="13E03211" w14:textId="77777777" w:rsidR="00581CA3" w:rsidRPr="00000849" w:rsidRDefault="00581CA3" w:rsidP="003A3250">
            <w:pPr>
              <w:spacing w:after="0" w:line="240" w:lineRule="auto"/>
              <w:jc w:val="center"/>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0</w:t>
            </w:r>
          </w:p>
        </w:tc>
        <w:tc>
          <w:tcPr>
            <w:tcW w:w="1410" w:type="pct"/>
            <w:noWrap/>
            <w:hideMark/>
          </w:tcPr>
          <w:p w14:paraId="1AED714C" w14:textId="77777777" w:rsidR="00581CA3" w:rsidRPr="00000849" w:rsidRDefault="00581CA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2.3</w:t>
            </w:r>
          </w:p>
        </w:tc>
        <w:tc>
          <w:tcPr>
            <w:tcW w:w="1410" w:type="pct"/>
            <w:noWrap/>
            <w:hideMark/>
          </w:tcPr>
          <w:p w14:paraId="22203027" w14:textId="77777777" w:rsidR="00581CA3" w:rsidRPr="00000849" w:rsidRDefault="00581CA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4.8</w:t>
            </w:r>
          </w:p>
        </w:tc>
      </w:tr>
      <w:tr w:rsidR="00581CA3" w:rsidRPr="00000849" w14:paraId="5791ADD4" w14:textId="77777777" w:rsidTr="00143B7E">
        <w:trPr>
          <w:trHeight w:val="285"/>
        </w:trPr>
        <w:tc>
          <w:tcPr>
            <w:cnfStyle w:val="001000000000" w:firstRow="0" w:lastRow="0" w:firstColumn="1" w:lastColumn="0" w:oddVBand="0" w:evenVBand="0" w:oddHBand="0" w:evenHBand="0" w:firstRowFirstColumn="0" w:firstRowLastColumn="0" w:lastRowFirstColumn="0" w:lastRowLastColumn="0"/>
            <w:tcW w:w="2180" w:type="pct"/>
            <w:noWrap/>
            <w:hideMark/>
          </w:tcPr>
          <w:p w14:paraId="761F90AC" w14:textId="77777777" w:rsidR="00581CA3" w:rsidRPr="00000849" w:rsidRDefault="00581CA3" w:rsidP="003A3250">
            <w:pPr>
              <w:spacing w:after="0" w:line="240" w:lineRule="auto"/>
              <w:jc w:val="center"/>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1</w:t>
            </w:r>
          </w:p>
        </w:tc>
        <w:tc>
          <w:tcPr>
            <w:tcW w:w="1410" w:type="pct"/>
            <w:noWrap/>
            <w:hideMark/>
          </w:tcPr>
          <w:p w14:paraId="33FE1111" w14:textId="77777777" w:rsidR="00581CA3" w:rsidRPr="00000849" w:rsidRDefault="00581CA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14.7</w:t>
            </w:r>
          </w:p>
        </w:tc>
        <w:tc>
          <w:tcPr>
            <w:tcW w:w="1410" w:type="pct"/>
            <w:noWrap/>
            <w:hideMark/>
          </w:tcPr>
          <w:p w14:paraId="34E1994F" w14:textId="77777777" w:rsidR="00581CA3" w:rsidRPr="00000849" w:rsidRDefault="00581CA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23.8</w:t>
            </w:r>
          </w:p>
        </w:tc>
      </w:tr>
      <w:tr w:rsidR="00581CA3" w:rsidRPr="00000849" w14:paraId="13F9F605" w14:textId="77777777" w:rsidTr="00143B7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80" w:type="pct"/>
            <w:noWrap/>
            <w:hideMark/>
          </w:tcPr>
          <w:p w14:paraId="0AC68BB7" w14:textId="77777777" w:rsidR="00581CA3" w:rsidRPr="00000849" w:rsidRDefault="00581CA3" w:rsidP="003A3250">
            <w:pPr>
              <w:spacing w:after="0" w:line="240" w:lineRule="auto"/>
              <w:jc w:val="center"/>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2</w:t>
            </w:r>
          </w:p>
        </w:tc>
        <w:tc>
          <w:tcPr>
            <w:tcW w:w="1410" w:type="pct"/>
            <w:noWrap/>
            <w:hideMark/>
          </w:tcPr>
          <w:p w14:paraId="7DEA9BF5" w14:textId="77777777" w:rsidR="00581CA3" w:rsidRPr="00000849" w:rsidRDefault="00581CA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33.6</w:t>
            </w:r>
          </w:p>
        </w:tc>
        <w:tc>
          <w:tcPr>
            <w:tcW w:w="1410" w:type="pct"/>
            <w:noWrap/>
            <w:hideMark/>
          </w:tcPr>
          <w:p w14:paraId="2C6DF3DA" w14:textId="77777777" w:rsidR="00581CA3" w:rsidRPr="00000849" w:rsidRDefault="00581CA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35.0</w:t>
            </w:r>
          </w:p>
        </w:tc>
      </w:tr>
      <w:tr w:rsidR="00581CA3" w:rsidRPr="00000849" w14:paraId="2A8A0CE7" w14:textId="77777777" w:rsidTr="00143B7E">
        <w:trPr>
          <w:trHeight w:val="285"/>
        </w:trPr>
        <w:tc>
          <w:tcPr>
            <w:cnfStyle w:val="001000000000" w:firstRow="0" w:lastRow="0" w:firstColumn="1" w:lastColumn="0" w:oddVBand="0" w:evenVBand="0" w:oddHBand="0" w:evenHBand="0" w:firstRowFirstColumn="0" w:firstRowLastColumn="0" w:lastRowFirstColumn="0" w:lastRowLastColumn="0"/>
            <w:tcW w:w="2180" w:type="pct"/>
            <w:noWrap/>
            <w:hideMark/>
          </w:tcPr>
          <w:p w14:paraId="775FD4BC" w14:textId="77777777" w:rsidR="00581CA3" w:rsidRPr="00000849" w:rsidRDefault="00581CA3" w:rsidP="003A3250">
            <w:pPr>
              <w:spacing w:after="0" w:line="240" w:lineRule="auto"/>
              <w:jc w:val="center"/>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3</w:t>
            </w:r>
          </w:p>
        </w:tc>
        <w:tc>
          <w:tcPr>
            <w:tcW w:w="1410" w:type="pct"/>
            <w:noWrap/>
            <w:hideMark/>
          </w:tcPr>
          <w:p w14:paraId="327135F8" w14:textId="77777777" w:rsidR="00581CA3" w:rsidRPr="00000849" w:rsidRDefault="00581CA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31.5</w:t>
            </w:r>
          </w:p>
        </w:tc>
        <w:tc>
          <w:tcPr>
            <w:tcW w:w="1410" w:type="pct"/>
            <w:noWrap/>
            <w:hideMark/>
          </w:tcPr>
          <w:p w14:paraId="3C3046BB" w14:textId="77777777" w:rsidR="00581CA3" w:rsidRPr="00000849" w:rsidRDefault="00581CA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25.4</w:t>
            </w:r>
          </w:p>
        </w:tc>
      </w:tr>
      <w:tr w:rsidR="00581CA3" w:rsidRPr="00000849" w14:paraId="7723CC2A" w14:textId="77777777" w:rsidTr="00143B7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80" w:type="pct"/>
            <w:noWrap/>
            <w:hideMark/>
          </w:tcPr>
          <w:p w14:paraId="0D1DD123" w14:textId="77777777" w:rsidR="00581CA3" w:rsidRPr="00000849" w:rsidRDefault="00581CA3" w:rsidP="003A3250">
            <w:pPr>
              <w:spacing w:after="0" w:line="240" w:lineRule="auto"/>
              <w:jc w:val="center"/>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4</w:t>
            </w:r>
          </w:p>
        </w:tc>
        <w:tc>
          <w:tcPr>
            <w:tcW w:w="1410" w:type="pct"/>
            <w:noWrap/>
            <w:hideMark/>
          </w:tcPr>
          <w:p w14:paraId="4BECEFAD" w14:textId="77777777" w:rsidR="00581CA3" w:rsidRPr="00000849" w:rsidRDefault="00581CA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15.4</w:t>
            </w:r>
          </w:p>
        </w:tc>
        <w:tc>
          <w:tcPr>
            <w:tcW w:w="1410" w:type="pct"/>
            <w:noWrap/>
            <w:hideMark/>
          </w:tcPr>
          <w:p w14:paraId="5BB39005" w14:textId="77777777" w:rsidR="00581CA3" w:rsidRPr="00000849" w:rsidRDefault="00581CA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9.7</w:t>
            </w:r>
          </w:p>
        </w:tc>
      </w:tr>
      <w:tr w:rsidR="00581CA3" w:rsidRPr="00000849" w14:paraId="048505B6" w14:textId="77777777" w:rsidTr="00143B7E">
        <w:trPr>
          <w:trHeight w:val="285"/>
        </w:trPr>
        <w:tc>
          <w:tcPr>
            <w:cnfStyle w:val="001000000000" w:firstRow="0" w:lastRow="0" w:firstColumn="1" w:lastColumn="0" w:oddVBand="0" w:evenVBand="0" w:oddHBand="0" w:evenHBand="0" w:firstRowFirstColumn="0" w:firstRowLastColumn="0" w:lastRowFirstColumn="0" w:lastRowLastColumn="0"/>
            <w:tcW w:w="2180" w:type="pct"/>
            <w:noWrap/>
            <w:hideMark/>
          </w:tcPr>
          <w:p w14:paraId="335C51E2" w14:textId="0EFF1F2F" w:rsidR="00581CA3" w:rsidRPr="00000849" w:rsidRDefault="00581CA3" w:rsidP="003A3250">
            <w:pPr>
              <w:spacing w:after="0" w:line="240" w:lineRule="auto"/>
              <w:jc w:val="center"/>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≥5</w:t>
            </w:r>
          </w:p>
        </w:tc>
        <w:tc>
          <w:tcPr>
            <w:tcW w:w="1410" w:type="pct"/>
            <w:noWrap/>
            <w:hideMark/>
          </w:tcPr>
          <w:p w14:paraId="77BE10DB" w14:textId="22BF785C" w:rsidR="00581CA3" w:rsidRPr="00000849" w:rsidRDefault="00581CA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2.5</w:t>
            </w:r>
          </w:p>
        </w:tc>
        <w:tc>
          <w:tcPr>
            <w:tcW w:w="1410" w:type="pct"/>
            <w:noWrap/>
            <w:hideMark/>
          </w:tcPr>
          <w:p w14:paraId="5199A5E2" w14:textId="77777777" w:rsidR="00581CA3" w:rsidRPr="00000849" w:rsidRDefault="00581CA3" w:rsidP="003A325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1.3</w:t>
            </w:r>
          </w:p>
        </w:tc>
      </w:tr>
      <w:tr w:rsidR="00581CA3" w:rsidRPr="00000849" w14:paraId="6D417DA5" w14:textId="77777777" w:rsidTr="00143B7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180" w:type="pct"/>
            <w:hideMark/>
          </w:tcPr>
          <w:p w14:paraId="0C05C0CB" w14:textId="77777777" w:rsidR="00581CA3" w:rsidRPr="00000849" w:rsidRDefault="00581CA3" w:rsidP="003A3250">
            <w:pPr>
              <w:spacing w:after="0" w:line="240" w:lineRule="auto"/>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Total</w:t>
            </w:r>
          </w:p>
        </w:tc>
        <w:tc>
          <w:tcPr>
            <w:tcW w:w="1410" w:type="pct"/>
            <w:noWrap/>
            <w:hideMark/>
          </w:tcPr>
          <w:p w14:paraId="53C1D2A2" w14:textId="77777777" w:rsidR="00581CA3" w:rsidRPr="00000849" w:rsidRDefault="00581CA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100.0</w:t>
            </w:r>
          </w:p>
        </w:tc>
        <w:tc>
          <w:tcPr>
            <w:tcW w:w="1410" w:type="pct"/>
            <w:noWrap/>
            <w:hideMark/>
          </w:tcPr>
          <w:p w14:paraId="4DBA751B" w14:textId="77777777" w:rsidR="00581CA3" w:rsidRPr="00000849" w:rsidRDefault="00581CA3" w:rsidP="003A325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000849">
              <w:rPr>
                <w:rFonts w:ascii="Arial" w:eastAsia="Times New Roman" w:hAnsi="Arial" w:cs="Arial"/>
                <w:color w:val="000000"/>
                <w:sz w:val="18"/>
                <w:szCs w:val="18"/>
                <w:lang w:val="en-US"/>
              </w:rPr>
              <w:t>100.0</w:t>
            </w:r>
          </w:p>
        </w:tc>
      </w:tr>
    </w:tbl>
    <w:p w14:paraId="047E253F" w14:textId="77777777" w:rsidR="00F506F1" w:rsidRPr="00000849" w:rsidRDefault="00F506F1" w:rsidP="00F506F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p>
    <w:p w14:paraId="55698775" w14:textId="2646BB5D" w:rsidR="00BA21ED" w:rsidRPr="00000849" w:rsidRDefault="002006AA" w:rsidP="00A61BAB">
      <w:pPr>
        <w:pStyle w:val="Heading2"/>
      </w:pPr>
      <w:bookmarkStart w:id="111" w:name="_Toc51472144"/>
      <w:r w:rsidRPr="00000849">
        <w:t>5.</w:t>
      </w:r>
      <w:r w:rsidR="00C665B2" w:rsidRPr="00000849">
        <w:t>9</w:t>
      </w:r>
      <w:r w:rsidR="003E120D" w:rsidRPr="00000849">
        <w:tab/>
      </w:r>
      <w:r w:rsidR="00BA21ED" w:rsidRPr="00000849">
        <w:t>Summary</w:t>
      </w:r>
      <w:bookmarkEnd w:id="111"/>
    </w:p>
    <w:p w14:paraId="4C7E6E2B" w14:textId="35CEF5D9" w:rsidR="0011226C" w:rsidRPr="00000849" w:rsidRDefault="0011226C" w:rsidP="00143B7E">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6462E324" w14:textId="55700A29" w:rsidR="002E53EC" w:rsidRPr="00000849" w:rsidRDefault="00FC1C01" w:rsidP="005E4E02">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The analyses revealed that 57.0% of the study W1 older adults had hypertension.  In </w:t>
      </w:r>
      <w:r w:rsidR="00C46752" w:rsidRPr="00000849">
        <w:rPr>
          <w:rFonts w:asciiTheme="minorHAnsi" w:hAnsiTheme="minorHAnsi" w:cstheme="minorHAnsi"/>
          <w:color w:val="383838"/>
        </w:rPr>
        <w:t xml:space="preserve">the mixed cohort of </w:t>
      </w:r>
      <w:r w:rsidRPr="00000849">
        <w:rPr>
          <w:rFonts w:asciiTheme="minorHAnsi" w:hAnsiTheme="minorHAnsi" w:cstheme="minorHAnsi"/>
          <w:color w:val="383838"/>
        </w:rPr>
        <w:t>study W2, the prevalence was much lower at 35.1%</w:t>
      </w:r>
      <w:r w:rsidR="004C02C5" w:rsidRPr="00000849">
        <w:rPr>
          <w:rFonts w:asciiTheme="minorHAnsi" w:hAnsiTheme="minorHAnsi" w:cstheme="minorHAnsi"/>
          <w:color w:val="383838"/>
        </w:rPr>
        <w:t xml:space="preserve">.  Among those with hypertension, </w:t>
      </w:r>
      <w:r w:rsidR="00C46752" w:rsidRPr="00000849">
        <w:rPr>
          <w:rFonts w:asciiTheme="minorHAnsi" w:hAnsiTheme="minorHAnsi" w:cstheme="minorHAnsi"/>
          <w:color w:val="383838"/>
        </w:rPr>
        <w:t xml:space="preserve">25.4% </w:t>
      </w:r>
      <w:r w:rsidR="00E953A9" w:rsidRPr="00000849">
        <w:rPr>
          <w:rFonts w:asciiTheme="minorHAnsi" w:hAnsiTheme="minorHAnsi" w:cstheme="minorHAnsi"/>
          <w:color w:val="383838"/>
        </w:rPr>
        <w:t xml:space="preserve">and </w:t>
      </w:r>
      <w:r w:rsidR="00C46752" w:rsidRPr="00000849">
        <w:rPr>
          <w:rFonts w:asciiTheme="minorHAnsi" w:hAnsiTheme="minorHAnsi" w:cstheme="minorHAnsi"/>
          <w:color w:val="383838"/>
        </w:rPr>
        <w:t xml:space="preserve">12.5% had </w:t>
      </w:r>
      <w:r w:rsidR="004C02C5" w:rsidRPr="00000849">
        <w:rPr>
          <w:rFonts w:asciiTheme="minorHAnsi" w:hAnsiTheme="minorHAnsi" w:cstheme="minorHAnsi"/>
          <w:color w:val="383838"/>
        </w:rPr>
        <w:t>severe</w:t>
      </w:r>
      <w:r w:rsidRPr="00000849">
        <w:rPr>
          <w:rFonts w:asciiTheme="minorHAnsi" w:hAnsiTheme="minorHAnsi" w:cstheme="minorHAnsi"/>
          <w:color w:val="383838"/>
        </w:rPr>
        <w:t xml:space="preserve"> hypertension </w:t>
      </w:r>
      <w:r w:rsidR="00FD4327" w:rsidRPr="00000849">
        <w:rPr>
          <w:rFonts w:asciiTheme="minorHAnsi" w:hAnsiTheme="minorHAnsi" w:cstheme="minorHAnsi"/>
          <w:color w:val="383838"/>
        </w:rPr>
        <w:t>in W1</w:t>
      </w:r>
      <w:r w:rsidR="00E953A9" w:rsidRPr="00000849">
        <w:rPr>
          <w:rFonts w:asciiTheme="minorHAnsi" w:hAnsiTheme="minorHAnsi" w:cstheme="minorHAnsi"/>
          <w:color w:val="383838"/>
        </w:rPr>
        <w:t xml:space="preserve"> and </w:t>
      </w:r>
      <w:r w:rsidR="004C02C5" w:rsidRPr="00000849">
        <w:rPr>
          <w:rFonts w:asciiTheme="minorHAnsi" w:hAnsiTheme="minorHAnsi" w:cstheme="minorHAnsi"/>
          <w:color w:val="383838"/>
        </w:rPr>
        <w:t xml:space="preserve">W2 respectively.  </w:t>
      </w:r>
      <w:r w:rsidR="00414A12" w:rsidRPr="00000849">
        <w:rPr>
          <w:rFonts w:asciiTheme="minorHAnsi" w:hAnsiTheme="minorHAnsi" w:cstheme="minorHAnsi"/>
          <w:color w:val="383838"/>
        </w:rPr>
        <w:t xml:space="preserve">Up to 76% of </w:t>
      </w:r>
      <w:r w:rsidR="004C02C5" w:rsidRPr="00000849">
        <w:rPr>
          <w:rFonts w:asciiTheme="minorHAnsi" w:hAnsiTheme="minorHAnsi" w:cstheme="minorHAnsi"/>
          <w:color w:val="383838"/>
        </w:rPr>
        <w:t xml:space="preserve">hypertension </w:t>
      </w:r>
      <w:r w:rsidR="00414A12" w:rsidRPr="00000849">
        <w:rPr>
          <w:rFonts w:asciiTheme="minorHAnsi" w:hAnsiTheme="minorHAnsi" w:cstheme="minorHAnsi"/>
          <w:color w:val="383838"/>
        </w:rPr>
        <w:t xml:space="preserve">in older adults </w:t>
      </w:r>
      <w:r w:rsidR="004C02C5" w:rsidRPr="00000849">
        <w:rPr>
          <w:rFonts w:asciiTheme="minorHAnsi" w:hAnsiTheme="minorHAnsi" w:cstheme="minorHAnsi"/>
          <w:color w:val="383838"/>
        </w:rPr>
        <w:t xml:space="preserve">was undiagnosed and less than 5% was controlled.  Clustering of risk factors was common with more than </w:t>
      </w:r>
      <w:r w:rsidR="00576C40" w:rsidRPr="00000849">
        <w:rPr>
          <w:rFonts w:asciiTheme="minorHAnsi" w:hAnsiTheme="minorHAnsi" w:cstheme="minorHAnsi"/>
          <w:color w:val="383838"/>
        </w:rPr>
        <w:t>70%</w:t>
      </w:r>
      <w:r w:rsidR="004C02C5" w:rsidRPr="00000849">
        <w:rPr>
          <w:rFonts w:asciiTheme="minorHAnsi" w:hAnsiTheme="minorHAnsi" w:cstheme="minorHAnsi"/>
          <w:color w:val="383838"/>
        </w:rPr>
        <w:t xml:space="preserve"> of participants having at least two risk factors in the </w:t>
      </w:r>
      <w:r w:rsidR="00414A12" w:rsidRPr="00000849">
        <w:rPr>
          <w:rFonts w:asciiTheme="minorHAnsi" w:hAnsiTheme="minorHAnsi" w:cstheme="minorHAnsi"/>
          <w:color w:val="383838"/>
        </w:rPr>
        <w:t xml:space="preserve">separate </w:t>
      </w:r>
      <w:r w:rsidR="004C02C5" w:rsidRPr="00000849">
        <w:rPr>
          <w:rFonts w:asciiTheme="minorHAnsi" w:hAnsiTheme="minorHAnsi" w:cstheme="minorHAnsi"/>
          <w:color w:val="383838"/>
        </w:rPr>
        <w:t xml:space="preserve">study waves.  </w:t>
      </w:r>
    </w:p>
    <w:p w14:paraId="5FBA4F2F" w14:textId="4D7F311F" w:rsidR="007263CC" w:rsidRPr="00000849" w:rsidRDefault="00F752D8" w:rsidP="00143B7E">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In multilevel analyses, r</w:t>
      </w:r>
      <w:r w:rsidR="004C02C5" w:rsidRPr="00000849">
        <w:rPr>
          <w:rFonts w:asciiTheme="minorHAnsi" w:hAnsiTheme="minorHAnsi" w:cstheme="minorHAnsi"/>
          <w:color w:val="383838"/>
        </w:rPr>
        <w:t>esidence in the GAR</w:t>
      </w:r>
      <w:r w:rsidR="008B51F9" w:rsidRPr="00000849">
        <w:rPr>
          <w:rFonts w:asciiTheme="minorHAnsi" w:hAnsiTheme="minorHAnsi" w:cstheme="minorHAnsi"/>
          <w:color w:val="383838"/>
        </w:rPr>
        <w:t xml:space="preserve"> and having previously married or being never married were</w:t>
      </w:r>
      <w:r w:rsidR="004C02C5" w:rsidRPr="00000849">
        <w:rPr>
          <w:rFonts w:asciiTheme="minorHAnsi" w:hAnsiTheme="minorHAnsi" w:cstheme="minorHAnsi"/>
          <w:color w:val="383838"/>
        </w:rPr>
        <w:t xml:space="preserve"> consistent positive determinant</w:t>
      </w:r>
      <w:r w:rsidR="008B51F9" w:rsidRPr="00000849">
        <w:rPr>
          <w:rFonts w:asciiTheme="minorHAnsi" w:hAnsiTheme="minorHAnsi" w:cstheme="minorHAnsi"/>
          <w:color w:val="383838"/>
        </w:rPr>
        <w:t>s</w:t>
      </w:r>
      <w:r w:rsidR="004C02C5" w:rsidRPr="00000849">
        <w:rPr>
          <w:rFonts w:asciiTheme="minorHAnsi" w:hAnsiTheme="minorHAnsi" w:cstheme="minorHAnsi"/>
          <w:color w:val="383838"/>
        </w:rPr>
        <w:t xml:space="preserve"> of hypertension or</w:t>
      </w:r>
      <w:r w:rsidR="00F73BDB" w:rsidRPr="00000849">
        <w:rPr>
          <w:rFonts w:asciiTheme="minorHAnsi" w:hAnsiTheme="minorHAnsi" w:cstheme="minorHAnsi"/>
          <w:color w:val="383838"/>
        </w:rPr>
        <w:t xml:space="preserve"> of</w:t>
      </w:r>
      <w:r w:rsidR="004C02C5" w:rsidRPr="00000849">
        <w:rPr>
          <w:rFonts w:asciiTheme="minorHAnsi" w:hAnsiTheme="minorHAnsi" w:cstheme="minorHAnsi"/>
          <w:color w:val="383838"/>
        </w:rPr>
        <w:t xml:space="preserve"> its </w:t>
      </w:r>
      <w:r w:rsidR="004C02C5" w:rsidRPr="00000849">
        <w:rPr>
          <w:rFonts w:asciiTheme="minorHAnsi" w:hAnsiTheme="minorHAnsi" w:cstheme="minorHAnsi"/>
          <w:color w:val="383838"/>
        </w:rPr>
        <w:lastRenderedPageBreak/>
        <w:t>severity wh</w:t>
      </w:r>
      <w:r w:rsidR="008B51F9" w:rsidRPr="00000849">
        <w:rPr>
          <w:rFonts w:asciiTheme="minorHAnsi" w:hAnsiTheme="minorHAnsi" w:cstheme="minorHAnsi"/>
          <w:color w:val="383838"/>
        </w:rPr>
        <w:t>ile</w:t>
      </w:r>
      <w:r w:rsidR="004C02C5" w:rsidRPr="00000849">
        <w:rPr>
          <w:rFonts w:asciiTheme="minorHAnsi" w:hAnsiTheme="minorHAnsi" w:cstheme="minorHAnsi"/>
          <w:color w:val="383838"/>
        </w:rPr>
        <w:t xml:space="preserve"> having worked in the past seven days </w:t>
      </w:r>
      <w:r w:rsidR="008B51F9" w:rsidRPr="00000849">
        <w:rPr>
          <w:rFonts w:asciiTheme="minorHAnsi" w:hAnsiTheme="minorHAnsi" w:cstheme="minorHAnsi"/>
          <w:color w:val="383838"/>
        </w:rPr>
        <w:t>was a negative predictor of hypertension (Table 5.</w:t>
      </w:r>
      <w:r w:rsidR="00576C40" w:rsidRPr="00000849">
        <w:rPr>
          <w:rFonts w:asciiTheme="minorHAnsi" w:hAnsiTheme="minorHAnsi" w:cstheme="minorHAnsi"/>
          <w:color w:val="383838"/>
        </w:rPr>
        <w:t>11</w:t>
      </w:r>
      <w:r w:rsidR="008B51F9" w:rsidRPr="00000849">
        <w:rPr>
          <w:rFonts w:asciiTheme="minorHAnsi" w:hAnsiTheme="minorHAnsi" w:cstheme="minorHAnsi"/>
          <w:color w:val="383838"/>
        </w:rPr>
        <w:t>)</w:t>
      </w:r>
      <w:r w:rsidR="004C02C5" w:rsidRPr="00000849">
        <w:rPr>
          <w:rFonts w:asciiTheme="minorHAnsi" w:hAnsiTheme="minorHAnsi" w:cstheme="minorHAnsi"/>
          <w:color w:val="383838"/>
        </w:rPr>
        <w:t>.</w:t>
      </w:r>
      <w:r w:rsidR="00F73BDB" w:rsidRPr="00000849">
        <w:rPr>
          <w:rFonts w:asciiTheme="minorHAnsi" w:hAnsiTheme="minorHAnsi" w:cstheme="minorHAnsi"/>
          <w:color w:val="383838"/>
        </w:rPr>
        <w:t xml:space="preserve">  </w:t>
      </w:r>
      <w:r w:rsidR="00A36045">
        <w:rPr>
          <w:rFonts w:asciiTheme="minorHAnsi" w:hAnsiTheme="minorHAnsi" w:cstheme="minorHAnsi"/>
          <w:color w:val="383838"/>
        </w:rPr>
        <w:t xml:space="preserve">Some of the variation in the prevalence of hypertension in was due to unexplained factors at household and EA levels.  </w:t>
      </w:r>
      <w:r w:rsidR="00F73BDB" w:rsidRPr="00000849">
        <w:rPr>
          <w:rFonts w:asciiTheme="minorHAnsi" w:hAnsiTheme="minorHAnsi" w:cstheme="minorHAnsi"/>
          <w:color w:val="383838"/>
        </w:rPr>
        <w:t xml:space="preserve">In the </w:t>
      </w:r>
      <w:r w:rsidR="00210C7B" w:rsidRPr="00000849">
        <w:rPr>
          <w:rFonts w:asciiTheme="minorHAnsi" w:hAnsiTheme="minorHAnsi" w:cstheme="minorHAnsi"/>
          <w:color w:val="383838"/>
        </w:rPr>
        <w:t>longitudinal data analyses</w:t>
      </w:r>
      <w:r w:rsidR="00F73BDB" w:rsidRPr="00000849">
        <w:rPr>
          <w:rFonts w:asciiTheme="minorHAnsi" w:hAnsiTheme="minorHAnsi" w:cstheme="minorHAnsi"/>
          <w:color w:val="383838"/>
        </w:rPr>
        <w:t xml:space="preserve">, </w:t>
      </w:r>
      <w:r w:rsidR="008B51F9" w:rsidRPr="00000849">
        <w:rPr>
          <w:rFonts w:asciiTheme="minorHAnsi" w:hAnsiTheme="minorHAnsi" w:cstheme="minorHAnsi"/>
          <w:color w:val="383838"/>
        </w:rPr>
        <w:t xml:space="preserve">residence in GAR and being overweight/obese were strongly associated with hypertension while participating in the study </w:t>
      </w:r>
      <w:r w:rsidR="00F73BDB" w:rsidRPr="00000849">
        <w:rPr>
          <w:rFonts w:asciiTheme="minorHAnsi" w:hAnsiTheme="minorHAnsi" w:cstheme="minorHAnsi"/>
          <w:color w:val="383838"/>
        </w:rPr>
        <w:t xml:space="preserve">W2 </w:t>
      </w:r>
      <w:r w:rsidR="008B51F9" w:rsidRPr="00000849">
        <w:rPr>
          <w:rFonts w:asciiTheme="minorHAnsi" w:hAnsiTheme="minorHAnsi" w:cstheme="minorHAnsi"/>
          <w:color w:val="383838"/>
        </w:rPr>
        <w:t xml:space="preserve">was associated with the lowest </w:t>
      </w:r>
      <w:r w:rsidR="00A36045" w:rsidRPr="00000849">
        <w:rPr>
          <w:rFonts w:asciiTheme="minorHAnsi" w:hAnsiTheme="minorHAnsi" w:cstheme="minorHAnsi"/>
          <w:color w:val="383838"/>
        </w:rPr>
        <w:t>adjust</w:t>
      </w:r>
      <w:r w:rsidR="00A36045">
        <w:rPr>
          <w:rFonts w:asciiTheme="minorHAnsi" w:hAnsiTheme="minorHAnsi" w:cstheme="minorHAnsi"/>
          <w:color w:val="383838"/>
        </w:rPr>
        <w:t>ed</w:t>
      </w:r>
      <w:r w:rsidR="00A36045" w:rsidRPr="00000849">
        <w:rPr>
          <w:rFonts w:asciiTheme="minorHAnsi" w:hAnsiTheme="minorHAnsi" w:cstheme="minorHAnsi"/>
          <w:color w:val="383838"/>
        </w:rPr>
        <w:t xml:space="preserve"> </w:t>
      </w:r>
      <w:r w:rsidR="00F73BDB" w:rsidRPr="00000849">
        <w:rPr>
          <w:rFonts w:asciiTheme="minorHAnsi" w:hAnsiTheme="minorHAnsi" w:cstheme="minorHAnsi"/>
          <w:color w:val="383838"/>
        </w:rPr>
        <w:t>odds of hypertension.</w:t>
      </w:r>
    </w:p>
    <w:p w14:paraId="48D4B144" w14:textId="1DE078AF" w:rsidR="004C02C5" w:rsidRPr="00000849" w:rsidRDefault="004C02C5" w:rsidP="005E4E02">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47829C94" w14:textId="4D7E54D0" w:rsidR="008B51F9" w:rsidRPr="00000849" w:rsidRDefault="008B51F9" w:rsidP="00B448FE">
      <w:pPr>
        <w:pStyle w:val="Caption"/>
        <w:rPr>
          <w:rFonts w:cstheme="minorHAnsi"/>
          <w:color w:val="383838"/>
        </w:rPr>
      </w:pPr>
      <w:bookmarkStart w:id="112" w:name="_Toc71153639"/>
      <w:r w:rsidRPr="00000849">
        <w:t>Table 5.</w:t>
      </w:r>
      <w:fldSimple w:instr=" SEQ Table_5. \* ARABIC ">
        <w:r w:rsidR="00C0100F">
          <w:rPr>
            <w:noProof/>
          </w:rPr>
          <w:t>11</w:t>
        </w:r>
      </w:fldSimple>
      <w:r w:rsidRPr="00000849">
        <w:t>:</w:t>
      </w:r>
      <w:r w:rsidRPr="00000849">
        <w:tab/>
        <w:t>Summary of risk factors associated with hypertension or its severity among older adults in different regression models</w:t>
      </w:r>
      <w:bookmarkEnd w:id="112"/>
    </w:p>
    <w:tbl>
      <w:tblPr>
        <w:tblStyle w:val="PlainTable1"/>
        <w:tblW w:w="5000" w:type="pct"/>
        <w:tblInd w:w="0" w:type="dxa"/>
        <w:tblLook w:val="06A0" w:firstRow="1" w:lastRow="0" w:firstColumn="1" w:lastColumn="0" w:noHBand="1" w:noVBand="1"/>
      </w:tblPr>
      <w:tblGrid>
        <w:gridCol w:w="3441"/>
        <w:gridCol w:w="1542"/>
        <w:gridCol w:w="1213"/>
        <w:gridCol w:w="1113"/>
        <w:gridCol w:w="992"/>
      </w:tblGrid>
      <w:tr w:rsidR="00576C40" w:rsidRPr="00000849" w14:paraId="39A7EF7B" w14:textId="77777777" w:rsidTr="00920AA1">
        <w:trPr>
          <w:cnfStyle w:val="100000000000" w:firstRow="1" w:lastRow="0" w:firstColumn="0" w:lastColumn="0" w:oddVBand="0" w:evenVBand="0" w:oddHBand="0" w:evenHBand="0" w:firstRowFirstColumn="0" w:firstRowLastColumn="0" w:lastRowFirstColumn="0" w:lastRowLastColumn="0"/>
          <w:divId w:val="1503810472"/>
          <w:trHeight w:val="509"/>
        </w:trPr>
        <w:tc>
          <w:tcPr>
            <w:cnfStyle w:val="001000000000" w:firstRow="0" w:lastRow="0" w:firstColumn="1" w:lastColumn="0" w:oddVBand="0" w:evenVBand="0" w:oddHBand="0" w:evenHBand="0" w:firstRowFirstColumn="0" w:firstRowLastColumn="0" w:lastRowFirstColumn="0" w:lastRowLastColumn="0"/>
            <w:tcW w:w="1278" w:type="pct"/>
            <w:noWrap/>
            <w:hideMark/>
          </w:tcPr>
          <w:p w14:paraId="090F6347" w14:textId="77777777" w:rsidR="00576C40" w:rsidRPr="00000849" w:rsidRDefault="00576C40" w:rsidP="008B51F9">
            <w:pPr>
              <w:spacing w:after="0" w:line="240" w:lineRule="auto"/>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Variable</w:t>
            </w:r>
          </w:p>
        </w:tc>
        <w:tc>
          <w:tcPr>
            <w:tcW w:w="802" w:type="pct"/>
            <w:hideMark/>
          </w:tcPr>
          <w:p w14:paraId="2E606101" w14:textId="1081EF45" w:rsidR="00576C40" w:rsidRPr="00000849" w:rsidRDefault="00576C40" w:rsidP="008B51F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 xml:space="preserve">Single level multivariable </w:t>
            </w:r>
          </w:p>
        </w:tc>
        <w:tc>
          <w:tcPr>
            <w:tcW w:w="0" w:type="pct"/>
            <w:hideMark/>
          </w:tcPr>
          <w:p w14:paraId="48795AB7" w14:textId="63C4EBDA" w:rsidR="00576C40" w:rsidRPr="00000849" w:rsidRDefault="00576C40" w:rsidP="008B51F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 xml:space="preserve">3-level multivariable </w:t>
            </w:r>
          </w:p>
        </w:tc>
        <w:tc>
          <w:tcPr>
            <w:tcW w:w="0" w:type="pct"/>
            <w:hideMark/>
          </w:tcPr>
          <w:p w14:paraId="7299FDA3" w14:textId="1498F678" w:rsidR="00576C40" w:rsidRPr="00000849" w:rsidRDefault="00576C40" w:rsidP="008B51F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2-level longitudinal data*</w:t>
            </w:r>
          </w:p>
        </w:tc>
        <w:tc>
          <w:tcPr>
            <w:tcW w:w="0" w:type="pct"/>
            <w:hideMark/>
          </w:tcPr>
          <w:p w14:paraId="4B132CBB" w14:textId="4B341F20" w:rsidR="00576C40" w:rsidRPr="00000849" w:rsidRDefault="00576C40" w:rsidP="008B51F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 xml:space="preserve">3-level ordinal logistic regression </w:t>
            </w:r>
          </w:p>
        </w:tc>
      </w:tr>
      <w:tr w:rsidR="00576C40" w:rsidRPr="00000849" w14:paraId="2C0AA909"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7A9B0A96"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Female sex</w:t>
            </w:r>
          </w:p>
        </w:tc>
        <w:tc>
          <w:tcPr>
            <w:tcW w:w="802" w:type="pct"/>
            <w:noWrap/>
            <w:hideMark/>
          </w:tcPr>
          <w:p w14:paraId="28F21295"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76C8A764"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0ACA8FB5"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p>
        </w:tc>
        <w:tc>
          <w:tcPr>
            <w:tcW w:w="0" w:type="pct"/>
            <w:noWrap/>
            <w:hideMark/>
          </w:tcPr>
          <w:p w14:paraId="35AF9598"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p>
        </w:tc>
      </w:tr>
      <w:tr w:rsidR="00576C40" w:rsidRPr="00000849" w14:paraId="3F321A37"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30037651"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Older age</w:t>
            </w:r>
          </w:p>
        </w:tc>
        <w:tc>
          <w:tcPr>
            <w:tcW w:w="802" w:type="pct"/>
            <w:noWrap/>
            <w:hideMark/>
          </w:tcPr>
          <w:p w14:paraId="0FDED62C"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74B7C8B2"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499B5637"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0CA55ECA"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r>
      <w:tr w:rsidR="00576C40" w:rsidRPr="00000849" w14:paraId="769776C6"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0024779E"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GAR</w:t>
            </w:r>
          </w:p>
        </w:tc>
        <w:tc>
          <w:tcPr>
            <w:tcW w:w="802" w:type="pct"/>
            <w:noWrap/>
            <w:hideMark/>
          </w:tcPr>
          <w:p w14:paraId="120D8E64"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3135E9CC"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7C5711B2"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4D6353ED"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r>
      <w:tr w:rsidR="00576C40" w:rsidRPr="00000849" w14:paraId="79ECD0E8"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2BB4754E"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Other regions</w:t>
            </w:r>
          </w:p>
        </w:tc>
        <w:tc>
          <w:tcPr>
            <w:tcW w:w="802" w:type="pct"/>
            <w:noWrap/>
            <w:hideMark/>
          </w:tcPr>
          <w:p w14:paraId="4504F00D"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080BCFCA"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482F3214"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392274EF"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r>
      <w:tr w:rsidR="00576C40" w:rsidRPr="00000849" w14:paraId="79E3DABE"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0D175D8E"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Urban residence</w:t>
            </w:r>
          </w:p>
        </w:tc>
        <w:tc>
          <w:tcPr>
            <w:tcW w:w="802" w:type="pct"/>
            <w:noWrap/>
            <w:hideMark/>
          </w:tcPr>
          <w:p w14:paraId="546CBB12"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52E8AA8E"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p>
        </w:tc>
        <w:tc>
          <w:tcPr>
            <w:tcW w:w="0" w:type="pct"/>
            <w:noWrap/>
            <w:hideMark/>
          </w:tcPr>
          <w:p w14:paraId="42E3F795"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400423F2"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p>
        </w:tc>
      </w:tr>
      <w:tr w:rsidR="00576C40" w:rsidRPr="00000849" w14:paraId="58693CF4"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354BB771"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Previously married</w:t>
            </w:r>
          </w:p>
        </w:tc>
        <w:tc>
          <w:tcPr>
            <w:tcW w:w="802" w:type="pct"/>
            <w:noWrap/>
            <w:hideMark/>
          </w:tcPr>
          <w:p w14:paraId="34C92CD0"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4D5EC891"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4841309A"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718A0EDE"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r>
      <w:tr w:rsidR="00576C40" w:rsidRPr="00000849" w14:paraId="3DC80CA3"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58544278"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Other ethnicity</w:t>
            </w:r>
          </w:p>
        </w:tc>
        <w:tc>
          <w:tcPr>
            <w:tcW w:w="802" w:type="pct"/>
            <w:noWrap/>
            <w:hideMark/>
          </w:tcPr>
          <w:p w14:paraId="3386C9AA"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15758473"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5866E127"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18CE4F61"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p>
        </w:tc>
      </w:tr>
      <w:tr w:rsidR="00576C40" w:rsidRPr="00000849" w14:paraId="40959636"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3E999F3C"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Muslim</w:t>
            </w:r>
          </w:p>
        </w:tc>
        <w:tc>
          <w:tcPr>
            <w:tcW w:w="802" w:type="pct"/>
            <w:noWrap/>
            <w:hideMark/>
          </w:tcPr>
          <w:p w14:paraId="267E885B"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7AE66087"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7312274E"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63E0C294"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p>
        </w:tc>
      </w:tr>
      <w:tr w:rsidR="00576C40" w:rsidRPr="00000849" w14:paraId="212C311A"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45B0656A"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Higher education</w:t>
            </w:r>
          </w:p>
        </w:tc>
        <w:tc>
          <w:tcPr>
            <w:tcW w:w="802" w:type="pct"/>
            <w:noWrap/>
            <w:hideMark/>
          </w:tcPr>
          <w:p w14:paraId="1B2F7E82"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p>
        </w:tc>
        <w:tc>
          <w:tcPr>
            <w:tcW w:w="0" w:type="pct"/>
            <w:noWrap/>
            <w:hideMark/>
          </w:tcPr>
          <w:p w14:paraId="292FD5B7"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2B26A4C6"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p>
        </w:tc>
        <w:tc>
          <w:tcPr>
            <w:tcW w:w="0" w:type="pct"/>
            <w:noWrap/>
            <w:hideMark/>
          </w:tcPr>
          <w:p w14:paraId="4A184C19"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r>
      <w:tr w:rsidR="00576C40" w:rsidRPr="00000849" w14:paraId="7D5744C0"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37647A01"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Recently working</w:t>
            </w:r>
          </w:p>
        </w:tc>
        <w:tc>
          <w:tcPr>
            <w:tcW w:w="802" w:type="pct"/>
            <w:noWrap/>
            <w:hideMark/>
          </w:tcPr>
          <w:p w14:paraId="24A93DC0"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602B8F8D"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022EEF44"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01ED07F7"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r>
      <w:tr w:rsidR="00576C40" w:rsidRPr="00000849" w14:paraId="1F5B27CB" w14:textId="77777777" w:rsidTr="00920AA1">
        <w:trPr>
          <w:divId w:val="1503810472"/>
          <w:trHeight w:val="375"/>
        </w:trPr>
        <w:tc>
          <w:tcPr>
            <w:cnfStyle w:val="001000000000" w:firstRow="0" w:lastRow="0" w:firstColumn="1" w:lastColumn="0" w:oddVBand="0" w:evenVBand="0" w:oddHBand="0" w:evenHBand="0" w:firstRowFirstColumn="0" w:firstRowLastColumn="0" w:lastRowFirstColumn="0" w:lastRowLastColumn="0"/>
            <w:tcW w:w="1278" w:type="pct"/>
            <w:hideMark/>
          </w:tcPr>
          <w:p w14:paraId="17F57889"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Richer wealth quintile</w:t>
            </w:r>
          </w:p>
        </w:tc>
        <w:tc>
          <w:tcPr>
            <w:tcW w:w="802" w:type="pct"/>
            <w:noWrap/>
            <w:hideMark/>
          </w:tcPr>
          <w:p w14:paraId="3F1DD0D9" w14:textId="47780660"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r w:rsidR="00A36045">
              <w:rPr>
                <w:rFonts w:ascii="Calibri" w:eastAsia="Times New Roman" w:hAnsi="Calibri" w:cs="Calibri"/>
                <w:b/>
                <w:bCs/>
                <w:color w:val="000000"/>
                <w:sz w:val="18"/>
                <w:szCs w:val="18"/>
                <w:lang w:eastAsia="en-GB"/>
              </w:rPr>
              <w:t>NS</w:t>
            </w:r>
          </w:p>
        </w:tc>
        <w:tc>
          <w:tcPr>
            <w:tcW w:w="0" w:type="pct"/>
            <w:noWrap/>
            <w:hideMark/>
          </w:tcPr>
          <w:p w14:paraId="7768AFD6" w14:textId="347A0AD1" w:rsidR="00576C40" w:rsidRPr="00000849" w:rsidRDefault="00A36045"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Pr>
                <w:rFonts w:ascii="Calibri" w:eastAsia="Times New Roman" w:hAnsi="Calibri" w:cs="Calibri"/>
                <w:b/>
                <w:bCs/>
                <w:color w:val="000000"/>
                <w:sz w:val="18"/>
                <w:szCs w:val="18"/>
                <w:lang w:eastAsia="en-GB"/>
              </w:rPr>
              <w:t>NS</w:t>
            </w:r>
            <w:r w:rsidR="00576C40" w:rsidRPr="00000849">
              <w:rPr>
                <w:rFonts w:ascii="Calibri" w:eastAsia="Times New Roman" w:hAnsi="Calibri" w:cs="Calibri"/>
                <w:b/>
                <w:bCs/>
                <w:color w:val="000000"/>
                <w:sz w:val="18"/>
                <w:szCs w:val="18"/>
                <w:lang w:eastAsia="en-GB"/>
              </w:rPr>
              <w:t> </w:t>
            </w:r>
          </w:p>
        </w:tc>
        <w:tc>
          <w:tcPr>
            <w:tcW w:w="0" w:type="pct"/>
            <w:noWrap/>
            <w:hideMark/>
          </w:tcPr>
          <w:p w14:paraId="062E8D6C" w14:textId="238C4C1A" w:rsidR="00576C40" w:rsidRPr="00000849" w:rsidRDefault="00A36045"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Pr>
                <w:rFonts w:ascii="Calibri" w:eastAsia="Times New Roman" w:hAnsi="Calibri" w:cs="Calibri"/>
                <w:b/>
                <w:bCs/>
                <w:color w:val="000000"/>
                <w:sz w:val="18"/>
                <w:szCs w:val="18"/>
                <w:lang w:eastAsia="en-GB"/>
              </w:rPr>
              <w:t>NS</w:t>
            </w:r>
          </w:p>
        </w:tc>
        <w:tc>
          <w:tcPr>
            <w:tcW w:w="0" w:type="pct"/>
            <w:noWrap/>
            <w:hideMark/>
          </w:tcPr>
          <w:p w14:paraId="1A0A7C9C" w14:textId="5411BBAD" w:rsidR="00576C40" w:rsidRPr="00000849" w:rsidRDefault="00A36045"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Pr>
                <w:rFonts w:ascii="Calibri" w:eastAsia="Times New Roman" w:hAnsi="Calibri" w:cs="Calibri"/>
                <w:b/>
                <w:bCs/>
                <w:color w:val="000000"/>
                <w:sz w:val="18"/>
                <w:szCs w:val="18"/>
                <w:lang w:eastAsia="en-GB"/>
              </w:rPr>
              <w:t>NS</w:t>
            </w:r>
            <w:r w:rsidR="00576C40" w:rsidRPr="00000849">
              <w:rPr>
                <w:rFonts w:ascii="Calibri" w:eastAsia="Times New Roman" w:hAnsi="Calibri" w:cs="Calibri"/>
                <w:b/>
                <w:bCs/>
                <w:color w:val="000000"/>
                <w:sz w:val="18"/>
                <w:szCs w:val="18"/>
                <w:lang w:eastAsia="en-GB"/>
              </w:rPr>
              <w:t> </w:t>
            </w:r>
          </w:p>
        </w:tc>
      </w:tr>
      <w:tr w:rsidR="00576C40" w:rsidRPr="00000849" w14:paraId="178D030D"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0712564A"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Higher physical activity</w:t>
            </w:r>
          </w:p>
        </w:tc>
        <w:tc>
          <w:tcPr>
            <w:tcW w:w="802" w:type="pct"/>
            <w:noWrap/>
            <w:hideMark/>
          </w:tcPr>
          <w:p w14:paraId="6585098E"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2F7EA75C"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28E748A5"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 </w:t>
            </w:r>
          </w:p>
        </w:tc>
        <w:tc>
          <w:tcPr>
            <w:tcW w:w="0" w:type="pct"/>
            <w:noWrap/>
            <w:hideMark/>
          </w:tcPr>
          <w:p w14:paraId="56690FB9"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r>
      <w:tr w:rsidR="00576C40" w:rsidRPr="00000849" w14:paraId="6A13D056"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17BAD135"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Overweight / obesity</w:t>
            </w:r>
          </w:p>
        </w:tc>
        <w:tc>
          <w:tcPr>
            <w:tcW w:w="802" w:type="pct"/>
            <w:noWrap/>
            <w:hideMark/>
          </w:tcPr>
          <w:p w14:paraId="74F89CAB"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76436BBB"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1388E9DC"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42A5B4BF"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r>
      <w:tr w:rsidR="00576C40" w:rsidRPr="00000849" w14:paraId="40F8F74F"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152C61FD"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Heavy alcohol use</w:t>
            </w:r>
          </w:p>
        </w:tc>
        <w:tc>
          <w:tcPr>
            <w:tcW w:w="802" w:type="pct"/>
            <w:noWrap/>
            <w:hideMark/>
          </w:tcPr>
          <w:p w14:paraId="62B7EC38"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78BD8D94"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000849">
              <w:rPr>
                <w:rFonts w:ascii="Calibri" w:eastAsia="Times New Roman" w:hAnsi="Calibri" w:cs="Calibri"/>
                <w:b/>
                <w:bCs/>
                <w:color w:val="000000"/>
                <w:lang w:eastAsia="en-GB"/>
              </w:rPr>
              <w:t> </w:t>
            </w:r>
          </w:p>
        </w:tc>
        <w:tc>
          <w:tcPr>
            <w:tcW w:w="0" w:type="pct"/>
            <w:noWrap/>
            <w:hideMark/>
          </w:tcPr>
          <w:p w14:paraId="1AED67CB"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000849">
              <w:rPr>
                <w:rFonts w:ascii="Calibri" w:eastAsia="Times New Roman" w:hAnsi="Calibri" w:cs="Calibri"/>
                <w:b/>
                <w:bCs/>
                <w:color w:val="000000"/>
                <w:lang w:eastAsia="en-GB"/>
              </w:rPr>
              <w:t> </w:t>
            </w:r>
          </w:p>
        </w:tc>
        <w:tc>
          <w:tcPr>
            <w:tcW w:w="0" w:type="pct"/>
            <w:noWrap/>
            <w:hideMark/>
          </w:tcPr>
          <w:p w14:paraId="0B1508A2"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000849">
              <w:rPr>
                <w:rFonts w:ascii="Calibri" w:eastAsia="Times New Roman" w:hAnsi="Calibri" w:cs="Calibri"/>
                <w:b/>
                <w:bCs/>
                <w:color w:val="000000"/>
                <w:lang w:eastAsia="en-GB"/>
              </w:rPr>
              <w:t> </w:t>
            </w:r>
          </w:p>
        </w:tc>
      </w:tr>
      <w:tr w:rsidR="00576C40" w:rsidRPr="00000849" w14:paraId="0F973503" w14:textId="77777777" w:rsidTr="00920AA1">
        <w:trPr>
          <w:divId w:val="1503810472"/>
          <w:trHeight w:val="432"/>
        </w:trPr>
        <w:tc>
          <w:tcPr>
            <w:cnfStyle w:val="001000000000" w:firstRow="0" w:lastRow="0" w:firstColumn="1" w:lastColumn="0" w:oddVBand="0" w:evenVBand="0" w:oddHBand="0" w:evenHBand="0" w:firstRowFirstColumn="0" w:firstRowLastColumn="0" w:lastRowFirstColumn="0" w:lastRowLastColumn="0"/>
            <w:tcW w:w="1278" w:type="pct"/>
            <w:hideMark/>
          </w:tcPr>
          <w:p w14:paraId="2A345DFA" w14:textId="77777777" w:rsidR="00576C40" w:rsidRPr="00000849" w:rsidRDefault="00576C40" w:rsidP="008B51F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b w:val="0"/>
                <w:bCs w:val="0"/>
                <w:color w:val="000000"/>
                <w:sz w:val="18"/>
                <w:szCs w:val="18"/>
                <w:lang w:eastAsia="en-GB"/>
              </w:rPr>
              <w:t>Inadequate fruit-veg intake</w:t>
            </w:r>
          </w:p>
        </w:tc>
        <w:tc>
          <w:tcPr>
            <w:tcW w:w="802" w:type="pct"/>
            <w:noWrap/>
            <w:hideMark/>
          </w:tcPr>
          <w:p w14:paraId="36061637"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63007098"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t>
            </w:r>
          </w:p>
        </w:tc>
        <w:tc>
          <w:tcPr>
            <w:tcW w:w="0" w:type="pct"/>
            <w:noWrap/>
            <w:hideMark/>
          </w:tcPr>
          <w:p w14:paraId="22EC5A93"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000849">
              <w:rPr>
                <w:rFonts w:ascii="Calibri" w:eastAsia="Times New Roman" w:hAnsi="Calibri" w:cs="Calibri"/>
                <w:b/>
                <w:bCs/>
                <w:color w:val="000000"/>
                <w:lang w:eastAsia="en-GB"/>
              </w:rPr>
              <w:t> </w:t>
            </w:r>
          </w:p>
        </w:tc>
        <w:tc>
          <w:tcPr>
            <w:tcW w:w="0" w:type="pct"/>
            <w:noWrap/>
            <w:hideMark/>
          </w:tcPr>
          <w:p w14:paraId="130A5CCF" w14:textId="77777777" w:rsidR="00576C40" w:rsidRPr="00000849" w:rsidRDefault="00576C40" w:rsidP="008B51F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000849">
              <w:rPr>
                <w:rFonts w:ascii="Calibri" w:eastAsia="Times New Roman" w:hAnsi="Calibri" w:cs="Calibri"/>
                <w:b/>
                <w:bCs/>
                <w:color w:val="000000"/>
                <w:lang w:eastAsia="en-GB"/>
              </w:rPr>
              <w:t> </w:t>
            </w:r>
          </w:p>
        </w:tc>
      </w:tr>
    </w:tbl>
    <w:p w14:paraId="6E3FB928" w14:textId="32622FF1" w:rsidR="00077BCB" w:rsidRPr="00000849" w:rsidRDefault="00077BCB" w:rsidP="008B51F9">
      <w:pPr>
        <w:spacing w:after="0" w:line="240" w:lineRule="auto"/>
        <w:divId w:val="58334861"/>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 = positive predictor in one or other study wave; ++ = positive predictor in both study waves</w:t>
      </w:r>
    </w:p>
    <w:p w14:paraId="6488EEAB" w14:textId="10A67258" w:rsidR="00077BCB" w:rsidRPr="00000849" w:rsidRDefault="00077BCB" w:rsidP="008B51F9">
      <w:pPr>
        <w:spacing w:after="0" w:line="240" w:lineRule="auto"/>
        <w:divId w:val="58334861"/>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 = negative predictor in one or other study wave; -- = positive predictor in both study waves</w:t>
      </w:r>
    </w:p>
    <w:p w14:paraId="479C9F10" w14:textId="73526099" w:rsidR="00077BCB" w:rsidRPr="00000849" w:rsidRDefault="00077BCB" w:rsidP="008B51F9">
      <w:pPr>
        <w:spacing w:after="0" w:line="240" w:lineRule="auto"/>
        <w:divId w:val="58334861"/>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 = positive predictor in one wave, negative predictor in other study wave; blank = no statistically significant association</w:t>
      </w:r>
      <w:r w:rsidR="00A36045">
        <w:rPr>
          <w:rFonts w:ascii="Calibri" w:eastAsia="Times New Roman" w:hAnsi="Calibri" w:cs="Calibri"/>
          <w:color w:val="000000"/>
          <w:sz w:val="18"/>
          <w:szCs w:val="18"/>
          <w:lang w:eastAsia="en-GB"/>
        </w:rPr>
        <w:t>; NS = not significant</w:t>
      </w:r>
    </w:p>
    <w:p w14:paraId="29553938" w14:textId="1C917F4A" w:rsidR="00BA21ED" w:rsidRPr="00000849" w:rsidRDefault="00077BCB" w:rsidP="009F3E10">
      <w:pPr>
        <w:pStyle w:val="NormalWeb"/>
        <w:shd w:val="clear" w:color="auto" w:fill="FFFFFF"/>
        <w:spacing w:before="0" w:beforeAutospacing="0" w:after="165" w:afterAutospacing="0" w:line="480" w:lineRule="auto"/>
        <w:rPr>
          <w:rFonts w:asciiTheme="minorHAnsi" w:hAnsiTheme="minorHAnsi" w:cstheme="minorHAnsi"/>
          <w:color w:val="383838"/>
        </w:rPr>
      </w:pPr>
      <w:r w:rsidRPr="00000849">
        <w:rPr>
          <w:rFonts w:ascii="Calibri" w:hAnsi="Calibri" w:cs="Calibri"/>
          <w:color w:val="000000"/>
          <w:sz w:val="18"/>
          <w:szCs w:val="18"/>
        </w:rPr>
        <w:t>*Note: longitudinal data analysis pooled both study waves</w:t>
      </w:r>
      <w:r w:rsidR="00D1695D">
        <w:rPr>
          <w:rFonts w:ascii="Calibri" w:hAnsi="Calibri" w:cs="Calibri"/>
          <w:color w:val="000000"/>
          <w:sz w:val="18"/>
          <w:szCs w:val="18"/>
        </w:rPr>
        <w:tab/>
      </w:r>
    </w:p>
    <w:p w14:paraId="623F21BD" w14:textId="77777777" w:rsidR="003E120D" w:rsidRPr="00000849" w:rsidRDefault="003E120D" w:rsidP="009F3E10">
      <w:pPr>
        <w:pStyle w:val="NormalWeb"/>
        <w:shd w:val="clear" w:color="auto" w:fill="FFFFFF"/>
        <w:spacing w:before="0" w:beforeAutospacing="0" w:after="165" w:afterAutospacing="0" w:line="480" w:lineRule="auto"/>
        <w:rPr>
          <w:rFonts w:asciiTheme="minorHAnsi" w:hAnsiTheme="minorHAnsi" w:cstheme="minorHAnsi"/>
          <w:color w:val="383838"/>
        </w:rPr>
        <w:sectPr w:rsidR="003E120D" w:rsidRPr="00000849" w:rsidSect="008D5ECD">
          <w:pgSz w:w="11906" w:h="16838"/>
          <w:pgMar w:top="1440" w:right="1440" w:bottom="1440" w:left="2155" w:header="708" w:footer="708" w:gutter="0"/>
          <w:cols w:space="708"/>
          <w:docGrid w:linePitch="360"/>
        </w:sectPr>
      </w:pPr>
    </w:p>
    <w:p w14:paraId="7DE1908C" w14:textId="63B05D63" w:rsidR="002B0B4B" w:rsidRPr="00000849" w:rsidRDefault="00A13C44">
      <w:pPr>
        <w:pStyle w:val="Heading1"/>
      </w:pPr>
      <w:bookmarkStart w:id="113" w:name="_Toc51472145"/>
      <w:r w:rsidRPr="00000849">
        <w:lastRenderedPageBreak/>
        <w:t xml:space="preserve">Chapter </w:t>
      </w:r>
      <w:r w:rsidR="002006AA" w:rsidRPr="00000849">
        <w:t>6</w:t>
      </w:r>
      <w:r w:rsidRPr="00000849">
        <w:t>: Discussion</w:t>
      </w:r>
      <w:bookmarkEnd w:id="113"/>
    </w:p>
    <w:p w14:paraId="51733C9A" w14:textId="77777777" w:rsidR="002C6410" w:rsidRPr="00000849" w:rsidRDefault="002C6410"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4CE8AF98" w14:textId="46100A06" w:rsidR="002B0B4B" w:rsidRPr="00000849" w:rsidRDefault="002006AA" w:rsidP="00A61BAB">
      <w:pPr>
        <w:pStyle w:val="Heading2"/>
      </w:pPr>
      <w:bookmarkStart w:id="114" w:name="_Toc51472146"/>
      <w:r w:rsidRPr="00000849">
        <w:t>6.</w:t>
      </w:r>
      <w:r w:rsidR="003E120D" w:rsidRPr="00000849">
        <w:t>1</w:t>
      </w:r>
      <w:r w:rsidR="003E120D" w:rsidRPr="00000849">
        <w:tab/>
      </w:r>
      <w:r w:rsidR="002B0B4B" w:rsidRPr="00000849">
        <w:t>Introduction</w:t>
      </w:r>
      <w:bookmarkEnd w:id="114"/>
      <w:r w:rsidR="002B0B4B" w:rsidRPr="00000849">
        <w:t xml:space="preserve"> </w:t>
      </w:r>
    </w:p>
    <w:p w14:paraId="15A53748" w14:textId="6D27F45B" w:rsidR="002C6410" w:rsidRPr="00000849" w:rsidRDefault="002C6410"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5A9CF810" w14:textId="02AC244F" w:rsidR="000A7F51" w:rsidRPr="00000849" w:rsidRDefault="004C02C5" w:rsidP="006C25BB">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study</w:t>
      </w:r>
      <w:r w:rsidR="006C25BB" w:rsidRPr="00000849">
        <w:rPr>
          <w:rFonts w:asciiTheme="minorHAnsi" w:hAnsiTheme="minorHAnsi" w:cstheme="minorHAnsi"/>
          <w:color w:val="383838"/>
        </w:rPr>
        <w:t xml:space="preserve"> involved secondary data analyses of two waves </w:t>
      </w:r>
      <w:r w:rsidR="00DB186F" w:rsidRPr="00000849">
        <w:rPr>
          <w:rFonts w:asciiTheme="minorHAnsi" w:hAnsiTheme="minorHAnsi" w:cstheme="minorHAnsi"/>
          <w:color w:val="383838"/>
        </w:rPr>
        <w:t>of</w:t>
      </w:r>
      <w:r w:rsidR="006C25BB" w:rsidRPr="00000849">
        <w:rPr>
          <w:rFonts w:asciiTheme="minorHAnsi" w:hAnsiTheme="minorHAnsi" w:cstheme="minorHAnsi"/>
          <w:color w:val="383838"/>
        </w:rPr>
        <w:t xml:space="preserve"> the WHO-led longitudinal SAGE study in Ghana</w:t>
      </w:r>
      <w:r w:rsidR="004B532D" w:rsidRPr="00000849">
        <w:rPr>
          <w:rFonts w:asciiTheme="minorHAnsi" w:hAnsiTheme="minorHAnsi" w:cstheme="minorHAnsi"/>
          <w:color w:val="383838"/>
        </w:rPr>
        <w:t>, the most comprehensive data source</w:t>
      </w:r>
      <w:r w:rsidR="0027040A" w:rsidRPr="00000849">
        <w:rPr>
          <w:rFonts w:asciiTheme="minorHAnsi" w:hAnsiTheme="minorHAnsi" w:cstheme="minorHAnsi"/>
          <w:color w:val="383838"/>
        </w:rPr>
        <w:t xml:space="preserve"> </w:t>
      </w:r>
      <w:r w:rsidR="00F72D85" w:rsidRPr="00000849">
        <w:rPr>
          <w:rFonts w:asciiTheme="minorHAnsi" w:hAnsiTheme="minorHAnsi" w:cstheme="minorHAnsi"/>
          <w:color w:val="383838"/>
        </w:rPr>
        <w:t xml:space="preserve">currently available </w:t>
      </w:r>
      <w:r w:rsidR="0027040A" w:rsidRPr="00000849">
        <w:rPr>
          <w:rFonts w:asciiTheme="minorHAnsi" w:hAnsiTheme="minorHAnsi" w:cstheme="minorHAnsi"/>
          <w:color w:val="383838"/>
        </w:rPr>
        <w:t>on the health of older adults</w:t>
      </w:r>
      <w:r w:rsidR="006C25BB" w:rsidRPr="00000849">
        <w:rPr>
          <w:rFonts w:asciiTheme="minorHAnsi" w:hAnsiTheme="minorHAnsi" w:cstheme="minorHAnsi"/>
          <w:color w:val="383838"/>
        </w:rPr>
        <w:t xml:space="preserve">.  It </w:t>
      </w:r>
      <w:r w:rsidRPr="00000849">
        <w:rPr>
          <w:rFonts w:asciiTheme="minorHAnsi" w:hAnsiTheme="minorHAnsi" w:cstheme="minorHAnsi"/>
          <w:color w:val="383838"/>
        </w:rPr>
        <w:t>aimed to estimate the prevalence of hypertension</w:t>
      </w:r>
      <w:r w:rsidR="006C25BB" w:rsidRPr="00000849">
        <w:rPr>
          <w:rFonts w:asciiTheme="minorHAnsi" w:hAnsiTheme="minorHAnsi" w:cstheme="minorHAnsi"/>
          <w:color w:val="383838"/>
        </w:rPr>
        <w:t xml:space="preserve"> and its grades of severity</w:t>
      </w:r>
      <w:r w:rsidRPr="00000849">
        <w:rPr>
          <w:rFonts w:asciiTheme="minorHAnsi" w:hAnsiTheme="minorHAnsi" w:cstheme="minorHAnsi"/>
          <w:color w:val="383838"/>
        </w:rPr>
        <w:t xml:space="preserve"> in older adults in Ghana; </w:t>
      </w:r>
      <w:r w:rsidR="006C25BB" w:rsidRPr="00000849">
        <w:rPr>
          <w:rFonts w:asciiTheme="minorHAnsi" w:hAnsiTheme="minorHAnsi" w:cstheme="minorHAnsi"/>
          <w:color w:val="383838"/>
        </w:rPr>
        <w:t>identify</w:t>
      </w:r>
      <w:r w:rsidRPr="00000849">
        <w:rPr>
          <w:rFonts w:asciiTheme="minorHAnsi" w:hAnsiTheme="minorHAnsi" w:cstheme="minorHAnsi"/>
          <w:color w:val="383838"/>
        </w:rPr>
        <w:t xml:space="preserve"> the level of awareness of hypertension among those with the disease, th</w:t>
      </w:r>
      <w:r w:rsidR="006C25BB" w:rsidRPr="00000849">
        <w:rPr>
          <w:rFonts w:asciiTheme="minorHAnsi" w:hAnsiTheme="minorHAnsi" w:cstheme="minorHAnsi"/>
          <w:color w:val="383838"/>
        </w:rPr>
        <w:t xml:space="preserve">e proportion </w:t>
      </w:r>
      <w:r w:rsidRPr="00000849">
        <w:rPr>
          <w:rFonts w:asciiTheme="minorHAnsi" w:hAnsiTheme="minorHAnsi" w:cstheme="minorHAnsi"/>
          <w:color w:val="383838"/>
        </w:rPr>
        <w:t>on treatment</w:t>
      </w:r>
      <w:r w:rsidR="00DB186F" w:rsidRPr="00000849">
        <w:rPr>
          <w:rFonts w:asciiTheme="minorHAnsi" w:hAnsiTheme="minorHAnsi" w:cstheme="minorHAnsi"/>
          <w:color w:val="383838"/>
        </w:rPr>
        <w:t>,</w:t>
      </w:r>
      <w:r w:rsidRPr="00000849">
        <w:rPr>
          <w:rFonts w:asciiTheme="minorHAnsi" w:hAnsiTheme="minorHAnsi" w:cstheme="minorHAnsi"/>
          <w:color w:val="383838"/>
        </w:rPr>
        <w:t xml:space="preserve"> those who have their blood pressure controlled</w:t>
      </w:r>
      <w:r w:rsidR="00DB186F" w:rsidRPr="00000849">
        <w:rPr>
          <w:rFonts w:asciiTheme="minorHAnsi" w:hAnsiTheme="minorHAnsi" w:cstheme="minorHAnsi"/>
          <w:color w:val="383838"/>
        </w:rPr>
        <w:t xml:space="preserve"> as well as </w:t>
      </w:r>
      <w:r w:rsidRPr="00000849">
        <w:rPr>
          <w:rFonts w:asciiTheme="minorHAnsi" w:hAnsiTheme="minorHAnsi" w:cstheme="minorHAnsi"/>
          <w:color w:val="383838"/>
        </w:rPr>
        <w:t>the extent of clustering of chronic disease risk factors.</w:t>
      </w:r>
      <w:r w:rsidR="006C25BB" w:rsidRPr="00000849">
        <w:rPr>
          <w:rFonts w:asciiTheme="minorHAnsi" w:hAnsiTheme="minorHAnsi" w:cstheme="minorHAnsi"/>
          <w:color w:val="383838"/>
        </w:rPr>
        <w:t xml:space="preserve"> </w:t>
      </w:r>
      <w:r w:rsidR="000A7F51" w:rsidRPr="00000849">
        <w:rPr>
          <w:rFonts w:asciiTheme="minorHAnsi" w:hAnsiTheme="minorHAnsi" w:cstheme="minorHAnsi"/>
          <w:color w:val="383838"/>
        </w:rPr>
        <w:t xml:space="preserve"> </w:t>
      </w:r>
    </w:p>
    <w:p w14:paraId="29D3AE43" w14:textId="253BFCA1" w:rsidR="004C02C5" w:rsidRPr="00000849" w:rsidRDefault="000A7F51" w:rsidP="000A7F51">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The study also assessed the </w:t>
      </w:r>
      <w:r w:rsidR="006C25BB" w:rsidRPr="00000849">
        <w:rPr>
          <w:rFonts w:asciiTheme="minorHAnsi" w:hAnsiTheme="minorHAnsi" w:cstheme="minorHAnsi"/>
          <w:color w:val="383838"/>
        </w:rPr>
        <w:t>determinants</w:t>
      </w:r>
      <w:r w:rsidRPr="00000849">
        <w:rPr>
          <w:rFonts w:asciiTheme="minorHAnsi" w:hAnsiTheme="minorHAnsi" w:cstheme="minorHAnsi"/>
          <w:color w:val="383838"/>
        </w:rPr>
        <w:t xml:space="preserve"> of hypertension as well as its severity through a series of single and multilevel multivariable logistic regression models.  The determinants were assessed separately for each of the two waves and then </w:t>
      </w:r>
      <w:r w:rsidR="00DB186F" w:rsidRPr="00000849">
        <w:rPr>
          <w:rFonts w:asciiTheme="minorHAnsi" w:hAnsiTheme="minorHAnsi" w:cstheme="minorHAnsi"/>
          <w:color w:val="383838"/>
        </w:rPr>
        <w:t xml:space="preserve">in a </w:t>
      </w:r>
      <w:r w:rsidR="00210C7B" w:rsidRPr="00000849">
        <w:rPr>
          <w:rFonts w:asciiTheme="minorHAnsi" w:hAnsiTheme="minorHAnsi" w:cstheme="minorHAnsi"/>
          <w:color w:val="383838"/>
        </w:rPr>
        <w:t>longitudinal data analysis</w:t>
      </w:r>
      <w:r w:rsidR="00DB186F" w:rsidRPr="00000849">
        <w:rPr>
          <w:rFonts w:asciiTheme="minorHAnsi" w:hAnsiTheme="minorHAnsi" w:cstheme="minorHAnsi"/>
          <w:color w:val="383838"/>
        </w:rPr>
        <w:t xml:space="preserve"> </w:t>
      </w:r>
      <w:r w:rsidR="00F85918" w:rsidRPr="00000849">
        <w:rPr>
          <w:rFonts w:asciiTheme="minorHAnsi" w:hAnsiTheme="minorHAnsi" w:cstheme="minorHAnsi"/>
          <w:color w:val="383838"/>
        </w:rPr>
        <w:t>using a pooled dataset</w:t>
      </w:r>
      <w:r w:rsidRPr="00000849">
        <w:rPr>
          <w:rFonts w:asciiTheme="minorHAnsi" w:hAnsiTheme="minorHAnsi" w:cstheme="minorHAnsi"/>
          <w:color w:val="383838"/>
        </w:rPr>
        <w:t>.</w:t>
      </w:r>
    </w:p>
    <w:p w14:paraId="7177E4CA" w14:textId="1F910B0D" w:rsidR="002A02A6" w:rsidRPr="00000849" w:rsidRDefault="002A02A6" w:rsidP="00526A73">
      <w:pPr>
        <w:widowControl w:val="0"/>
        <w:spacing w:line="480" w:lineRule="auto"/>
        <w:jc w:val="both"/>
        <w:rPr>
          <w:rFonts w:cstheme="minorHAnsi"/>
          <w:sz w:val="24"/>
          <w:szCs w:val="24"/>
        </w:rPr>
      </w:pPr>
    </w:p>
    <w:p w14:paraId="7A9BEABC" w14:textId="4866B86C" w:rsidR="00BA21ED" w:rsidRPr="00000849" w:rsidRDefault="002006AA" w:rsidP="00A61BAB">
      <w:pPr>
        <w:pStyle w:val="Heading2"/>
      </w:pPr>
      <w:bookmarkStart w:id="115" w:name="_Toc51472147"/>
      <w:r w:rsidRPr="00000849">
        <w:t>6.</w:t>
      </w:r>
      <w:r w:rsidR="003E120D" w:rsidRPr="00000849">
        <w:t>2</w:t>
      </w:r>
      <w:r w:rsidR="003E120D" w:rsidRPr="00000849">
        <w:tab/>
      </w:r>
      <w:r w:rsidR="00BA21ED" w:rsidRPr="00000849">
        <w:t xml:space="preserve">Prevalence in </w:t>
      </w:r>
      <w:r w:rsidR="003E120D" w:rsidRPr="00000849">
        <w:t>h</w:t>
      </w:r>
      <w:r w:rsidR="00BA21ED" w:rsidRPr="00000849">
        <w:t xml:space="preserve">ypertension </w:t>
      </w:r>
      <w:r w:rsidR="003E120D" w:rsidRPr="00000849">
        <w:t>in</w:t>
      </w:r>
      <w:r w:rsidR="00BA21ED" w:rsidRPr="00000849">
        <w:t xml:space="preserve"> 2007/08 and 2015</w:t>
      </w:r>
      <w:bookmarkEnd w:id="115"/>
      <w:r w:rsidR="000A7F51" w:rsidRPr="00000849">
        <w:t xml:space="preserve"> </w:t>
      </w:r>
    </w:p>
    <w:p w14:paraId="4A891AB8" w14:textId="77777777" w:rsidR="002C6410" w:rsidRPr="00000849" w:rsidRDefault="002C6410"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13AD19AC" w14:textId="6464569E" w:rsidR="00A26BD8" w:rsidRPr="00000849" w:rsidRDefault="00F854DF" w:rsidP="00A26BD8">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In </w:t>
      </w:r>
      <w:r w:rsidR="000A7F51" w:rsidRPr="00000849">
        <w:rPr>
          <w:rFonts w:asciiTheme="minorHAnsi" w:hAnsiTheme="minorHAnsi" w:cstheme="minorHAnsi"/>
          <w:color w:val="383838"/>
        </w:rPr>
        <w:t>W1</w:t>
      </w:r>
      <w:r w:rsidR="007C5E12" w:rsidRPr="00000849">
        <w:rPr>
          <w:rFonts w:asciiTheme="minorHAnsi" w:hAnsiTheme="minorHAnsi" w:cstheme="minorHAnsi"/>
          <w:color w:val="383838"/>
        </w:rPr>
        <w:t xml:space="preserve">, </w:t>
      </w:r>
      <w:r w:rsidR="000A7F51" w:rsidRPr="00000849">
        <w:rPr>
          <w:rFonts w:asciiTheme="minorHAnsi" w:hAnsiTheme="minorHAnsi" w:cstheme="minorHAnsi"/>
          <w:color w:val="383838"/>
        </w:rPr>
        <w:t>about 57% of apparently health older adults</w:t>
      </w:r>
      <w:r w:rsidR="00077C11" w:rsidRPr="00000849">
        <w:rPr>
          <w:rFonts w:asciiTheme="minorHAnsi" w:hAnsiTheme="minorHAnsi" w:cstheme="minorHAnsi"/>
          <w:color w:val="383838"/>
        </w:rPr>
        <w:t xml:space="preserve"> aged 50 years </w:t>
      </w:r>
      <w:r w:rsidR="000A7F51" w:rsidRPr="00000849">
        <w:rPr>
          <w:rFonts w:asciiTheme="minorHAnsi" w:hAnsiTheme="minorHAnsi" w:cstheme="minorHAnsi"/>
          <w:color w:val="383838"/>
        </w:rPr>
        <w:t>ha</w:t>
      </w:r>
      <w:r w:rsidR="007C5E12" w:rsidRPr="00000849">
        <w:rPr>
          <w:rFonts w:asciiTheme="minorHAnsi" w:hAnsiTheme="minorHAnsi" w:cstheme="minorHAnsi"/>
          <w:color w:val="383838"/>
        </w:rPr>
        <w:t>d</w:t>
      </w:r>
      <w:r w:rsidR="000A7F51" w:rsidRPr="00000849">
        <w:rPr>
          <w:rFonts w:asciiTheme="minorHAnsi" w:hAnsiTheme="minorHAnsi" w:cstheme="minorHAnsi"/>
          <w:color w:val="383838"/>
        </w:rPr>
        <w:t xml:space="preserve"> hypertension</w:t>
      </w:r>
      <w:r w:rsidR="00A51519" w:rsidRPr="00000849">
        <w:rPr>
          <w:rFonts w:asciiTheme="minorHAnsi" w:hAnsiTheme="minorHAnsi" w:cstheme="minorHAnsi"/>
          <w:color w:val="383838"/>
        </w:rPr>
        <w:t xml:space="preserve"> compared with </w:t>
      </w:r>
      <w:r w:rsidR="00C75423" w:rsidRPr="00000849">
        <w:rPr>
          <w:rFonts w:asciiTheme="minorHAnsi" w:hAnsiTheme="minorHAnsi" w:cstheme="minorHAnsi"/>
          <w:color w:val="383838"/>
        </w:rPr>
        <w:t>35%</w:t>
      </w:r>
      <w:r w:rsidR="00A51519" w:rsidRPr="00000849">
        <w:rPr>
          <w:rFonts w:asciiTheme="minorHAnsi" w:hAnsiTheme="minorHAnsi" w:cstheme="minorHAnsi"/>
          <w:color w:val="383838"/>
        </w:rPr>
        <w:t xml:space="preserve"> i</w:t>
      </w:r>
      <w:r w:rsidR="007C5E12" w:rsidRPr="00000849">
        <w:rPr>
          <w:rFonts w:asciiTheme="minorHAnsi" w:hAnsiTheme="minorHAnsi" w:cstheme="minorHAnsi"/>
          <w:color w:val="383838"/>
        </w:rPr>
        <w:t>n W2</w:t>
      </w:r>
      <w:r w:rsidR="00A51519" w:rsidRPr="00000849">
        <w:rPr>
          <w:rFonts w:asciiTheme="minorHAnsi" w:hAnsiTheme="minorHAnsi" w:cstheme="minorHAnsi"/>
          <w:color w:val="383838"/>
        </w:rPr>
        <w:t xml:space="preserve">. </w:t>
      </w:r>
      <w:r w:rsidR="007C5E12" w:rsidRPr="00000849">
        <w:rPr>
          <w:rFonts w:asciiTheme="minorHAnsi" w:hAnsiTheme="minorHAnsi" w:cstheme="minorHAnsi"/>
          <w:color w:val="383838"/>
        </w:rPr>
        <w:t xml:space="preserve"> </w:t>
      </w:r>
      <w:r w:rsidR="00A214E8" w:rsidRPr="00000849">
        <w:rPr>
          <w:rFonts w:asciiTheme="minorHAnsi" w:hAnsiTheme="minorHAnsi" w:cstheme="minorHAnsi"/>
          <w:color w:val="383838"/>
        </w:rPr>
        <w:t>The W1 estimate i</w:t>
      </w:r>
      <w:r w:rsidR="00520A0E" w:rsidRPr="00000849">
        <w:rPr>
          <w:rFonts w:asciiTheme="minorHAnsi" w:hAnsiTheme="minorHAnsi" w:cstheme="minorHAnsi"/>
          <w:color w:val="383838"/>
        </w:rPr>
        <w:t>s consistent with that from r</w:t>
      </w:r>
      <w:r w:rsidR="007C5E12" w:rsidRPr="00000849">
        <w:rPr>
          <w:rFonts w:asciiTheme="minorHAnsi" w:hAnsiTheme="minorHAnsi" w:cstheme="minorHAnsi"/>
          <w:color w:val="383838"/>
        </w:rPr>
        <w:t xml:space="preserve">ecent meta-analyses that </w:t>
      </w:r>
      <w:r w:rsidR="00520A0E" w:rsidRPr="00000849">
        <w:rPr>
          <w:rFonts w:asciiTheme="minorHAnsi" w:hAnsiTheme="minorHAnsi" w:cstheme="minorHAnsi"/>
          <w:color w:val="383838"/>
        </w:rPr>
        <w:t xml:space="preserve">found that </w:t>
      </w:r>
      <w:r w:rsidR="007C5E12" w:rsidRPr="00000849">
        <w:rPr>
          <w:rFonts w:asciiTheme="minorHAnsi" w:hAnsiTheme="minorHAnsi" w:cstheme="minorHAnsi"/>
          <w:color w:val="383838"/>
        </w:rPr>
        <w:t>55</w:t>
      </w:r>
      <w:r w:rsidR="00077C11" w:rsidRPr="00000849">
        <w:rPr>
          <w:rFonts w:asciiTheme="minorHAnsi" w:hAnsiTheme="minorHAnsi" w:cstheme="minorHAnsi"/>
          <w:color w:val="383838"/>
        </w:rPr>
        <w:t xml:space="preserve">.2% of older adults aged ≥55 years </w:t>
      </w:r>
      <w:r w:rsidR="00645915"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&lt;EndNote&gt;&lt;Cite&gt;&lt;Author&gt;Kaze&lt;/Author&gt;&lt;Year&gt;2017&lt;/Year&gt;&lt;RecNum&gt;971&lt;/RecNum&gt;&lt;DisplayText&gt;(Kaze et al., 2017)&lt;/DisplayText&gt;&lt;record&gt;&lt;rec-number&gt;971&lt;/rec-number&gt;&lt;foreign-keys&gt;&lt;key app="EN" db-id="9tzf2rda8re2a9es5tuxart3swzx2zws2s02" timestamp="1575383663"&gt;971&lt;/key&gt;&lt;/foreign-keys&gt;&lt;ref-type name="Journal Article"&gt;17&lt;/ref-type&gt;&lt;contributors&gt;&lt;authors&gt;&lt;author&gt;Kaze, A. D.&lt;/author&gt;&lt;author&gt;Schutte, A. E.&lt;/author&gt;&lt;author&gt;Erqou, S.&lt;/author&gt;&lt;author&gt;Kengne, A. P.&lt;/author&gt;&lt;author&gt;Echouffo-Tcheugui, J. B.&lt;/author&gt;&lt;/authors&gt;&lt;/contributors&gt;&lt;auth-address&gt;aHarvard T.H. Chan School of Public Health, Boston, Massachusetts, USA bMRC Research Unit for Hypertension and Cardiovascular Disease, Hypertension in Africa Research Team (HART), North-West University, Potchefstroom, South Africa cDepartment of Medicine, University of Pittsburgh, Pittsburgh, Pennsylvania, USA dNon-Communicable Diseases Research Unit, South African Medical Research Council, University of Cape Town, Cape Town, South Africa eBrigham and Women&amp;apos;s Hospital, Harvard Medical School, Boston, Massachusetts, USA.&lt;/auth-address&gt;&lt;titles&gt;&lt;title&gt;Prevalence of hypertension in older people in Africa: a systematic review and meta-analysis&lt;/title&gt;&lt;secondary-title&gt;Journal of Hypertension&lt;/secondary-title&gt;&lt;alt-title&gt;Journal of hypertension&lt;/alt-title&gt;&lt;/titles&gt;&lt;pages&gt;1345-1352&lt;/pages&gt;&lt;volume&gt;35&lt;/volume&gt;&lt;number&gt;7&lt;/number&gt;&lt;edition&gt;2017/03/08&lt;/edition&gt;&lt;dates&gt;&lt;year&gt;2017&lt;/year&gt;&lt;pub-dates&gt;&lt;date&gt;Mar 06&lt;/date&gt;&lt;/pub-dates&gt;&lt;/dates&gt;&lt;isbn&gt;0263-6352&lt;/isbn&gt;&lt;accession-num&gt;28267038&lt;/accession-num&gt;&lt;urls&gt;&lt;/urls&gt;&lt;electronic-resource-num&gt;10.1097/HJH.0000000000001345&lt;/electronic-resource-num&gt;&lt;remote-database-provider&gt;NLM&lt;/remote-database-provider&gt;&lt;language&gt;eng&lt;/language&gt;&lt;/record&gt;&lt;/Cite&gt;&lt;/EndNote&gt;</w:instrText>
      </w:r>
      <w:r w:rsidR="00645915" w:rsidRPr="00000849">
        <w:rPr>
          <w:rFonts w:asciiTheme="minorHAnsi" w:hAnsiTheme="minorHAnsi" w:cstheme="minorHAnsi"/>
          <w:color w:val="383838"/>
        </w:rPr>
        <w:fldChar w:fldCharType="separate"/>
      </w:r>
      <w:r w:rsidR="00645915" w:rsidRPr="00000849">
        <w:rPr>
          <w:rFonts w:asciiTheme="minorHAnsi" w:hAnsiTheme="minorHAnsi" w:cstheme="minorHAnsi"/>
          <w:noProof/>
          <w:color w:val="383838"/>
        </w:rPr>
        <w:t>(Kaze et al., 2017)</w:t>
      </w:r>
      <w:r w:rsidR="00645915" w:rsidRPr="00000849">
        <w:rPr>
          <w:rFonts w:asciiTheme="minorHAnsi" w:hAnsiTheme="minorHAnsi" w:cstheme="minorHAnsi"/>
          <w:color w:val="383838"/>
        </w:rPr>
        <w:fldChar w:fldCharType="end"/>
      </w:r>
      <w:r w:rsidR="00077C11" w:rsidRPr="00000849">
        <w:rPr>
          <w:rFonts w:asciiTheme="minorHAnsi" w:hAnsiTheme="minorHAnsi" w:cstheme="minorHAnsi"/>
          <w:color w:val="383838"/>
        </w:rPr>
        <w:t xml:space="preserve"> and </w:t>
      </w:r>
      <w:r w:rsidR="00077C11" w:rsidRPr="00000849">
        <w:rPr>
          <w:rFonts w:asciiTheme="minorHAnsi" w:hAnsiTheme="minorHAnsi" w:cstheme="minorHAnsi"/>
          <w:color w:val="383838"/>
        </w:rPr>
        <w:lastRenderedPageBreak/>
        <w:t xml:space="preserve">57.0% of those aged ≥50 years in Africa have </w:t>
      </w:r>
      <w:r w:rsidR="007C5E12" w:rsidRPr="00000849">
        <w:rPr>
          <w:rFonts w:asciiTheme="minorHAnsi" w:hAnsiTheme="minorHAnsi" w:cstheme="minorHAnsi"/>
          <w:color w:val="383838"/>
        </w:rPr>
        <w:t>hypertension</w:t>
      </w:r>
      <w:r w:rsidR="006A263C" w:rsidRPr="00000849">
        <w:rPr>
          <w:rFonts w:asciiTheme="minorHAnsi" w:hAnsiTheme="minorHAnsi" w:cstheme="minorHAnsi"/>
          <w:color w:val="383838"/>
        </w:rPr>
        <w:t xml:space="preserve"> </w:t>
      </w:r>
      <w:r w:rsidR="006A263C" w:rsidRPr="00000849">
        <w:rPr>
          <w:rFonts w:asciiTheme="minorHAnsi" w:hAnsiTheme="minorHAnsi" w:cstheme="minorHAnsi"/>
          <w:color w:val="383838"/>
        </w:rPr>
        <w:fldChar w:fldCharType="begin"/>
      </w:r>
      <w:r w:rsidR="00B45210" w:rsidRPr="00000849">
        <w:rPr>
          <w:rFonts w:asciiTheme="minorHAnsi" w:hAnsiTheme="minorHAnsi" w:cstheme="minorHAnsi"/>
          <w:color w:val="383838"/>
        </w:rPr>
        <w:instrText xml:space="preserve"> ADDIN EN.CITE &lt;EndNote&gt;&lt;Cite&gt;&lt;Author&gt;Bosu&lt;/Author&gt;&lt;Year&gt;2019&lt;/Year&gt;&lt;RecNum&gt;975&lt;/RecNum&gt;&lt;DisplayText&gt;(Bosu et al., 2019b)&lt;/DisplayText&gt;&lt;record&gt;&lt;rec-number&gt;975&lt;/rec-number&gt;&lt;foreign-keys&gt;&lt;key app="EN" db-id="9tzf2rda8re2a9es5tuxart3swzx2zws2s02" timestamp="1575384237"&gt;975&lt;/key&gt;&lt;/foreign-keys&gt;&lt;ref-type name="Journal Article"&gt;17&lt;/ref-type&gt;&lt;contributors&gt;&lt;authors&gt;&lt;author&gt;Bosu, W. K.&lt;/author&gt;&lt;author&gt;Reilly, S. T.&lt;/author&gt;&lt;author&gt;Aheto, J. M. K.&lt;/author&gt;&lt;author&gt;Zucchelli, E.&lt;/author&gt;&lt;/authors&gt;&lt;/contributors&gt;&lt;auth-address&gt;Department of Public Health and Research, West African Health Organisation, Bobo-Dioulasso, Burkina Faso.&amp;#xD;Division of Health Research, Faculty of Health &amp;amp; Medicine, Lancaster University, Lancaster, United Kingdom.&amp;#xD;Department of Biostatistics, School of Public Health, University of Ghana, Legon, Accra, Ghana.&lt;/auth-address&gt;&lt;titles&gt;&lt;title&gt;Hypertension in older adults in Africa: A systematic review and meta-analysis&lt;/title&gt;&lt;secondary-title&gt;PLoS One&lt;/secondary-title&gt;&lt;/titles&gt;&lt;periodical&gt;&lt;full-title&gt;PLoS One&lt;/full-title&gt;&lt;/periodical&gt;&lt;pages&gt;e0214934&lt;/pages&gt;&lt;volume&gt;14&lt;/volume&gt;&lt;number&gt;4&lt;/number&gt;&lt;edition&gt;2019/04/06&lt;/edition&gt;&lt;dates&gt;&lt;year&gt;2019&lt;/year&gt;&lt;/dates&gt;&lt;isbn&gt;1932-6203 (Electronic)&amp;#xD;1932-6203 (Linking)&lt;/isbn&gt;&lt;accession-num&gt;30951534&lt;/accession-num&gt;&lt;urls&gt;&lt;related-urls&gt;&lt;url&gt;https://www.ncbi.nlm.nih.gov/pubmed/30951534&lt;/url&gt;&lt;/related-urls&gt;&lt;/urls&gt;&lt;custom2&gt;PMC6450645&lt;/custom2&gt;&lt;electronic-resource-num&gt;10.1371/journal.pone.0214934&lt;/electronic-resource-num&gt;&lt;/record&gt;&lt;/Cite&gt;&lt;/EndNote&gt;</w:instrText>
      </w:r>
      <w:r w:rsidR="006A263C"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(Bosu et al., 2019b)</w:t>
      </w:r>
      <w:r w:rsidR="006A263C" w:rsidRPr="00000849">
        <w:rPr>
          <w:rFonts w:asciiTheme="minorHAnsi" w:hAnsiTheme="minorHAnsi" w:cstheme="minorHAnsi"/>
          <w:color w:val="383838"/>
        </w:rPr>
        <w:fldChar w:fldCharType="end"/>
      </w:r>
      <w:r w:rsidR="00077C11" w:rsidRPr="00000849">
        <w:rPr>
          <w:rFonts w:asciiTheme="minorHAnsi" w:hAnsiTheme="minorHAnsi" w:cstheme="minorHAnsi"/>
          <w:color w:val="383838"/>
        </w:rPr>
        <w:t xml:space="preserve">. </w:t>
      </w:r>
      <w:r w:rsidR="00F85918" w:rsidRPr="00000849">
        <w:rPr>
          <w:rFonts w:asciiTheme="minorHAnsi" w:hAnsiTheme="minorHAnsi" w:cstheme="minorHAnsi"/>
          <w:color w:val="383838"/>
        </w:rPr>
        <w:t xml:space="preserve"> In the meta-analysis of studies conducted in Ghana, the pooled prevalence was 44.0%, which lies between the prevalence in the two SAGE study waves </w:t>
      </w:r>
      <w:r w:rsidR="00F85918" w:rsidRPr="00000849">
        <w:rPr>
          <w:rFonts w:asciiTheme="minorHAnsi" w:hAnsiTheme="minorHAnsi" w:cstheme="minorHAnsi"/>
          <w:color w:val="383838"/>
        </w:rPr>
        <w:fldChar w:fldCharType="begin"/>
      </w:r>
      <w:r w:rsidR="00F85918" w:rsidRPr="00000849">
        <w:rPr>
          <w:rFonts w:asciiTheme="minorHAnsi" w:hAnsiTheme="minorHAnsi" w:cstheme="minorHAnsi"/>
          <w:color w:val="383838"/>
        </w:rPr>
        <w:instrText xml:space="preserve"> ADDIN EN.CITE &lt;EndNote&gt;&lt;Cite&gt;&lt;Author&gt;Bosu&lt;/Author&gt;&lt;Year&gt;2019&lt;/Year&gt;&lt;RecNum&gt;975&lt;/RecNum&gt;&lt;DisplayText&gt;(Bosu et al., 2019b)&lt;/DisplayText&gt;&lt;record&gt;&lt;rec-number&gt;975&lt;/rec-number&gt;&lt;foreign-keys&gt;&lt;key app="EN" db-id="9tzf2rda8re2a9es5tuxart3swzx2zws2s02" timestamp="1575384237"&gt;975&lt;/key&gt;&lt;/foreign-keys&gt;&lt;ref-type name="Journal Article"&gt;17&lt;/ref-type&gt;&lt;contributors&gt;&lt;authors&gt;&lt;author&gt;Bosu, W. K.&lt;/author&gt;&lt;author&gt;Reilly, S. T.&lt;/author&gt;&lt;author&gt;Aheto, J. M. K.&lt;/author&gt;&lt;author&gt;Zucchelli, E.&lt;/author&gt;&lt;/authors&gt;&lt;/contributors&gt;&lt;auth-address&gt;Department of Public Health and Research, West African Health Organisation, Bobo-Dioulasso, Burkina Faso.&amp;#xD;Division of Health Research, Faculty of Health &amp;amp; Medicine, Lancaster University, Lancaster, United Kingdom.&amp;#xD;Department of Biostatistics, School of Public Health, University of Ghana, Legon, Accra, Ghana.&lt;/auth-address&gt;&lt;titles&gt;&lt;title&gt;Hypertension in older adults in Africa: A systematic review and meta-analysis&lt;/title&gt;&lt;secondary-title&gt;PLoS One&lt;/secondary-title&gt;&lt;/titles&gt;&lt;periodical&gt;&lt;full-title&gt;PLoS One&lt;/full-title&gt;&lt;/periodical&gt;&lt;pages&gt;e0214934&lt;/pages&gt;&lt;volume&gt;14&lt;/volume&gt;&lt;number&gt;4&lt;/number&gt;&lt;edition&gt;2019/04/06&lt;/edition&gt;&lt;dates&gt;&lt;year&gt;2019&lt;/year&gt;&lt;/dates&gt;&lt;isbn&gt;1932-6203 (Electronic)&amp;#xD;1932-6203 (Linking)&lt;/isbn&gt;&lt;accession-num&gt;30951534&lt;/accession-num&gt;&lt;urls&gt;&lt;related-urls&gt;&lt;url&gt;https://www.ncbi.nlm.nih.gov/pubmed/30951534&lt;/url&gt;&lt;/related-urls&gt;&lt;/urls&gt;&lt;custom2&gt;PMC6450645&lt;/custom2&gt;&lt;electronic-resource-num&gt;10.1371/journal.pone.0214934&lt;/electronic-resource-num&gt;&lt;/record&gt;&lt;/Cite&gt;&lt;/EndNote&gt;</w:instrText>
      </w:r>
      <w:r w:rsidR="00F85918" w:rsidRPr="00000849">
        <w:rPr>
          <w:rFonts w:asciiTheme="minorHAnsi" w:hAnsiTheme="minorHAnsi" w:cstheme="minorHAnsi"/>
          <w:color w:val="383838"/>
        </w:rPr>
        <w:fldChar w:fldCharType="separate"/>
      </w:r>
      <w:r w:rsidR="00F85918" w:rsidRPr="00000849">
        <w:rPr>
          <w:rFonts w:asciiTheme="minorHAnsi" w:hAnsiTheme="minorHAnsi" w:cstheme="minorHAnsi"/>
          <w:noProof/>
          <w:color w:val="383838"/>
        </w:rPr>
        <w:t>(Bosu et al., 2019b)</w:t>
      </w:r>
      <w:r w:rsidR="00F85918" w:rsidRPr="00000849">
        <w:rPr>
          <w:rFonts w:asciiTheme="minorHAnsi" w:hAnsiTheme="minorHAnsi" w:cstheme="minorHAnsi"/>
          <w:color w:val="383838"/>
        </w:rPr>
        <w:fldChar w:fldCharType="end"/>
      </w:r>
      <w:r w:rsidR="00F85918" w:rsidRPr="00000849">
        <w:rPr>
          <w:rFonts w:asciiTheme="minorHAnsi" w:hAnsiTheme="minorHAnsi" w:cstheme="minorHAnsi"/>
          <w:color w:val="383838"/>
        </w:rPr>
        <w:t xml:space="preserve">.  </w:t>
      </w:r>
      <w:r w:rsidR="00D1036B" w:rsidRPr="00000849">
        <w:rPr>
          <w:rFonts w:asciiTheme="minorHAnsi" w:hAnsiTheme="minorHAnsi" w:cstheme="minorHAnsi"/>
          <w:color w:val="383838"/>
        </w:rPr>
        <w:t xml:space="preserve">The W2 estimate </w:t>
      </w:r>
      <w:r w:rsidR="00620A27" w:rsidRPr="00000849">
        <w:rPr>
          <w:rFonts w:asciiTheme="minorHAnsi" w:hAnsiTheme="minorHAnsi" w:cstheme="minorHAnsi"/>
          <w:color w:val="383838"/>
        </w:rPr>
        <w:t xml:space="preserve">(35.1%) </w:t>
      </w:r>
      <w:r w:rsidR="00D1036B" w:rsidRPr="00000849">
        <w:rPr>
          <w:rFonts w:asciiTheme="minorHAnsi" w:hAnsiTheme="minorHAnsi" w:cstheme="minorHAnsi"/>
          <w:color w:val="383838"/>
        </w:rPr>
        <w:t>is consistent with the estimates</w:t>
      </w:r>
      <w:r w:rsidR="00A26BD8" w:rsidRPr="00000849">
        <w:rPr>
          <w:rFonts w:asciiTheme="minorHAnsi" w:hAnsiTheme="minorHAnsi" w:cstheme="minorHAnsi"/>
          <w:color w:val="383838"/>
        </w:rPr>
        <w:t xml:space="preserve"> of hypertension</w:t>
      </w:r>
      <w:r w:rsidR="00D1036B" w:rsidRPr="00000849">
        <w:rPr>
          <w:rFonts w:asciiTheme="minorHAnsi" w:hAnsiTheme="minorHAnsi" w:cstheme="minorHAnsi"/>
          <w:color w:val="383838"/>
        </w:rPr>
        <w:t xml:space="preserve"> </w:t>
      </w:r>
      <w:r w:rsidR="006A263C" w:rsidRPr="00000849">
        <w:rPr>
          <w:rFonts w:asciiTheme="minorHAnsi" w:hAnsiTheme="minorHAnsi" w:cstheme="minorHAnsi"/>
          <w:color w:val="383838"/>
        </w:rPr>
        <w:t>in</w:t>
      </w:r>
      <w:r w:rsidR="00D1036B" w:rsidRPr="00000849">
        <w:rPr>
          <w:rFonts w:asciiTheme="minorHAnsi" w:hAnsiTheme="minorHAnsi" w:cstheme="minorHAnsi"/>
          <w:color w:val="383838"/>
        </w:rPr>
        <w:t xml:space="preserve"> younger adults in Africa </w:t>
      </w:r>
      <w:r w:rsidR="00D1036B"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&lt;EndNote&gt;&lt;Cite&gt;&lt;Author&gt;Adeloye&lt;/Author&gt;&lt;Year&gt;2014&lt;/Year&gt;&lt;RecNum&gt;499&lt;/RecNum&gt;&lt;DisplayText&gt;(Adeloye &amp;amp; Basquill, 2014; Ataklte et al., 2015)&lt;/DisplayText&gt;&lt;record&gt;&lt;rec-number&gt;499&lt;/rec-number&gt;&lt;foreign-keys&gt;&lt;key app="EN" db-id="9tzf2rda8re2a9es5tuxart3swzx2zws2s02" timestamp="1495680952"&gt;499&lt;/key&gt;&lt;/foreign-keys&gt;&lt;ref-type name="Journal Article"&gt;17&lt;/ref-type&gt;&lt;contributors&gt;&lt;authors&gt;&lt;author&gt;Adeloye, Davies&lt;/author&gt;&lt;author&gt;Basquill, Catriona&lt;/author&gt;&lt;/authors&gt;&lt;/contributors&gt;&lt;titles&gt;&lt;title&gt;Estimating the prevalence and awareness rates of hypertension in Africa: a systematic analysis&lt;/title&gt;&lt;secondary-title&gt;PLoS One&lt;/secondary-title&gt;&lt;/titles&gt;&lt;periodical&gt;&lt;full-title&gt;PLoS One&lt;/full-title&gt;&lt;/periodical&gt;&lt;pages&gt;e104300&lt;/pages&gt;&lt;volume&gt;9&lt;/volume&gt;&lt;number&gt;8&lt;/number&gt;&lt;dates&gt;&lt;year&gt;2014&lt;/year&gt;&lt;/dates&gt;&lt;isbn&gt;1932-6203&lt;/isbn&gt;&lt;urls&gt;&lt;/urls&gt;&lt;/record&gt;&lt;/Cite&gt;&lt;Cite&gt;&lt;Author&gt;Ataklte&lt;/Author&gt;&lt;Year&gt;2015&lt;/Year&gt;&lt;RecNum&gt;11&lt;/RecNum&gt;&lt;record&gt;&lt;rec-number&gt;11&lt;/rec-number&gt;&lt;foreign-keys&gt;&lt;key app="EN" db-id="9tzf2rda8re2a9es5tuxart3swzx2zws2s02" timestamp="1463394002"&gt;11&lt;/key&gt;&lt;/foreign-keys&gt;&lt;ref-type name="Journal Article"&gt;17&lt;/ref-type&gt;&lt;contributors&gt;&lt;authors&gt;&lt;author&gt;Ataklte, Feven&lt;/author&gt;&lt;author&gt;Erqou, Sebhat&lt;/author&gt;&lt;author&gt;Kaptoge, Stephen&lt;/author&gt;&lt;author&gt;Taye, Betiglu&lt;/author&gt;&lt;author&gt;Echouffo-Tcheugui, Justin B&lt;/author&gt;&lt;author&gt;Kengne, Andre P&lt;/author&gt;&lt;/authors&gt;&lt;/contributors&gt;&lt;titles&gt;&lt;title&gt;Burden of undiagnosed hypertension in Sub-Saharan Africa A systematic review and meta-analysis&lt;/title&gt;&lt;secondary-title&gt;Hypertension&lt;/secondary-title&gt;&lt;/titles&gt;&lt;periodical&gt;&lt;full-title&gt;Hypertension&lt;/full-title&gt;&lt;abbr-1&gt;Hypertension&lt;/abbr-1&gt;&lt;/periodical&gt;&lt;pages&gt;291-298&lt;/pages&gt;&lt;volume&gt;65&lt;/volume&gt;&lt;number&gt;2&lt;/number&gt;&lt;dates&gt;&lt;year&gt;2015&lt;/year&gt;&lt;/dates&gt;&lt;isbn&gt;0194-911X&lt;/isbn&gt;&lt;urls&gt;&lt;/urls&gt;&lt;/record&gt;&lt;/Cite&gt;&lt;/EndNote&gt;</w:instrText>
      </w:r>
      <w:r w:rsidR="00D1036B" w:rsidRPr="00000849">
        <w:rPr>
          <w:rFonts w:asciiTheme="minorHAnsi" w:hAnsiTheme="minorHAnsi" w:cstheme="minorHAnsi"/>
          <w:color w:val="383838"/>
        </w:rPr>
        <w:fldChar w:fldCharType="separate"/>
      </w:r>
      <w:r w:rsidR="00D1036B" w:rsidRPr="00000849">
        <w:rPr>
          <w:rFonts w:asciiTheme="minorHAnsi" w:hAnsiTheme="minorHAnsi" w:cstheme="minorHAnsi"/>
          <w:noProof/>
          <w:color w:val="383838"/>
        </w:rPr>
        <w:t>(Adeloye &amp; Basquill, 2014; Ataklte et al., 2015)</w:t>
      </w:r>
      <w:r w:rsidR="00D1036B" w:rsidRPr="00000849">
        <w:rPr>
          <w:rFonts w:asciiTheme="minorHAnsi" w:hAnsiTheme="minorHAnsi" w:cstheme="minorHAnsi"/>
          <w:color w:val="383838"/>
        </w:rPr>
        <w:fldChar w:fldCharType="end"/>
      </w:r>
      <w:r w:rsidR="00D1036B" w:rsidRPr="00000849">
        <w:rPr>
          <w:rFonts w:asciiTheme="minorHAnsi" w:hAnsiTheme="minorHAnsi" w:cstheme="minorHAnsi"/>
          <w:color w:val="383838"/>
        </w:rPr>
        <w:t>.</w:t>
      </w:r>
      <w:r w:rsidR="004D454D" w:rsidRPr="00000849">
        <w:rPr>
          <w:rFonts w:asciiTheme="minorHAnsi" w:hAnsiTheme="minorHAnsi" w:cstheme="minorHAnsi"/>
          <w:color w:val="383838"/>
        </w:rPr>
        <w:t xml:space="preserve">  </w:t>
      </w:r>
      <w:r w:rsidR="00433ED8" w:rsidRPr="00000849">
        <w:rPr>
          <w:rFonts w:asciiTheme="minorHAnsi" w:hAnsiTheme="minorHAnsi" w:cstheme="minorHAnsi"/>
          <w:color w:val="383838"/>
        </w:rPr>
        <w:t xml:space="preserve">In the </w:t>
      </w:r>
      <w:r w:rsidR="00210C7B" w:rsidRPr="00000849">
        <w:rPr>
          <w:rFonts w:asciiTheme="minorHAnsi" w:hAnsiTheme="minorHAnsi" w:cstheme="minorHAnsi"/>
          <w:color w:val="383838"/>
        </w:rPr>
        <w:t>longitudinal data analyses</w:t>
      </w:r>
      <w:r w:rsidR="00433ED8" w:rsidRPr="00000849">
        <w:rPr>
          <w:rFonts w:asciiTheme="minorHAnsi" w:hAnsiTheme="minorHAnsi" w:cstheme="minorHAnsi"/>
          <w:color w:val="383838"/>
        </w:rPr>
        <w:t xml:space="preserve">, participants in W2 </w:t>
      </w:r>
      <w:r w:rsidR="00F85918" w:rsidRPr="00000849">
        <w:rPr>
          <w:rFonts w:asciiTheme="minorHAnsi" w:hAnsiTheme="minorHAnsi" w:cstheme="minorHAnsi"/>
          <w:color w:val="383838"/>
        </w:rPr>
        <w:t xml:space="preserve">had </w:t>
      </w:r>
      <w:r w:rsidR="00433ED8" w:rsidRPr="00000849">
        <w:rPr>
          <w:rFonts w:asciiTheme="minorHAnsi" w:hAnsiTheme="minorHAnsi" w:cstheme="minorHAnsi"/>
          <w:color w:val="383838"/>
        </w:rPr>
        <w:t>72% lower odds of having hypertension than those in W1, after adjusting for various confounders.</w:t>
      </w:r>
    </w:p>
    <w:p w14:paraId="7DD81D5E" w14:textId="396C8D2D" w:rsidR="00262B5F" w:rsidRPr="00000849" w:rsidRDefault="00A26BD8" w:rsidP="0027040A">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w:t>
      </w:r>
      <w:r w:rsidR="00F85918" w:rsidRPr="00000849">
        <w:rPr>
          <w:rFonts w:asciiTheme="minorHAnsi" w:hAnsiTheme="minorHAnsi" w:cstheme="minorHAnsi"/>
          <w:color w:val="383838"/>
        </w:rPr>
        <w:t xml:space="preserve">remarkable </w:t>
      </w:r>
      <w:r w:rsidRPr="00000849">
        <w:rPr>
          <w:rFonts w:asciiTheme="minorHAnsi" w:hAnsiTheme="minorHAnsi" w:cstheme="minorHAnsi"/>
          <w:color w:val="383838"/>
        </w:rPr>
        <w:t xml:space="preserve">decline in the prevalence of hypertension </w:t>
      </w:r>
      <w:r w:rsidR="00262B5F" w:rsidRPr="00000849">
        <w:rPr>
          <w:rFonts w:asciiTheme="minorHAnsi" w:hAnsiTheme="minorHAnsi" w:cstheme="minorHAnsi"/>
          <w:color w:val="383838"/>
        </w:rPr>
        <w:t xml:space="preserve">may be due, in part, to the successful implementation of cardiovascular programmes in Ghana such as the preparation of a national NCD policy and strategic plan </w:t>
      </w:r>
      <w:r w:rsidR="00DC6CE8" w:rsidRPr="00000849">
        <w:rPr>
          <w:rFonts w:asciiTheme="minorHAnsi" w:hAnsiTheme="minorHAnsi" w:cstheme="minorHAnsi"/>
          <w:color w:val="383838"/>
        </w:rPr>
        <w:fldChar w:fldCharType="begin"/>
      </w:r>
      <w:r w:rsidR="00E4120F" w:rsidRPr="00000849">
        <w:rPr>
          <w:rFonts w:asciiTheme="minorHAnsi" w:hAnsiTheme="minorHAnsi" w:cstheme="minorHAnsi"/>
          <w:color w:val="383838"/>
        </w:rPr>
        <w:instrText xml:space="preserve"> ADDIN EN.CITE &lt;EndNote&gt;&lt;Cite&gt;&lt;Author&gt;MOH Ghana&lt;/Author&gt;&lt;Year&gt;2012&lt;/Year&gt;&lt;RecNum&gt;1100&lt;/RecNum&gt;&lt;DisplayText&gt;(MOH Ghana, 2012)&lt;/DisplayText&gt;&lt;record&gt;&lt;rec-number&gt;1100&lt;/rec-number&gt;&lt;foreign-keys&gt;&lt;key app="EN" db-id="9tzf2rda8re2a9es5tuxart3swzx2zws2s02" timestamp="1579237298"&gt;1100&lt;/key&gt;&lt;/foreign-keys&gt;&lt;ref-type name="Report"&gt;27&lt;/ref-type&gt;&lt;contributors&gt;&lt;authors&gt;&lt;author&gt;MOH Ghana,&lt;/author&gt;&lt;/authors&gt;&lt;/contributors&gt;&lt;titles&gt;&lt;title&gt;National policy for the prevention and control of chronic non-communicable diseases in Ghana&lt;/title&gt;&lt;/titles&gt;&lt;dates&gt;&lt;year&gt;2012&lt;/year&gt;&lt;/dates&gt;&lt;pub-location&gt;Accra&lt;/pub-location&gt;&lt;publisher&gt;MoH&lt;/publisher&gt;&lt;urls&gt;&lt;related-urls&gt;&lt;url&gt;https://www.iccp-portal.org/sites/default/files/plans/national_policy_for_the_prevention_and_control_of_chronic_non-communicable_diseases_in_ghana%281%29.pdf&lt;/url&gt;&lt;/related-urls&gt;&lt;/urls&gt;&lt;/record&gt;&lt;/Cite&gt;&lt;/EndNote&gt;</w:instrText>
      </w:r>
      <w:r w:rsidR="00DC6CE8" w:rsidRPr="00000849">
        <w:rPr>
          <w:rFonts w:asciiTheme="minorHAnsi" w:hAnsiTheme="minorHAnsi" w:cstheme="minorHAnsi"/>
          <w:color w:val="383838"/>
        </w:rPr>
        <w:fldChar w:fldCharType="separate"/>
      </w:r>
      <w:r w:rsidR="00E4120F" w:rsidRPr="00000849">
        <w:rPr>
          <w:rFonts w:asciiTheme="minorHAnsi" w:hAnsiTheme="minorHAnsi" w:cstheme="minorHAnsi"/>
          <w:noProof/>
          <w:color w:val="383838"/>
        </w:rPr>
        <w:t>(MOH Ghana, 2012)</w:t>
      </w:r>
      <w:r w:rsidR="00DC6CE8" w:rsidRPr="00000849">
        <w:rPr>
          <w:rFonts w:asciiTheme="minorHAnsi" w:hAnsiTheme="minorHAnsi" w:cstheme="minorHAnsi"/>
          <w:color w:val="383838"/>
        </w:rPr>
        <w:fldChar w:fldCharType="end"/>
      </w:r>
      <w:r w:rsidR="00262B5F" w:rsidRPr="00000849">
        <w:rPr>
          <w:rFonts w:asciiTheme="minorHAnsi" w:hAnsiTheme="minorHAnsi" w:cstheme="minorHAnsi"/>
          <w:color w:val="383838"/>
        </w:rPr>
        <w:t>, incorporation of the prevalence of hypertension in annual health sector performance monitoring</w:t>
      </w:r>
      <w:r w:rsidR="00087603" w:rsidRPr="00000849">
        <w:rPr>
          <w:rFonts w:asciiTheme="minorHAnsi" w:hAnsiTheme="minorHAnsi" w:cstheme="minorHAnsi"/>
          <w:color w:val="383838"/>
        </w:rPr>
        <w:t xml:space="preserve"> </w:t>
      </w:r>
      <w:r w:rsidR="00DC6CE8" w:rsidRPr="00000849">
        <w:rPr>
          <w:rFonts w:asciiTheme="minorHAnsi" w:hAnsiTheme="minorHAnsi" w:cstheme="minorHAnsi"/>
          <w:color w:val="383838"/>
        </w:rPr>
        <w:fldChar w:fldCharType="begin"/>
      </w:r>
      <w:r w:rsidR="00E4120F" w:rsidRPr="00000849">
        <w:rPr>
          <w:rFonts w:asciiTheme="minorHAnsi" w:hAnsiTheme="minorHAnsi" w:cstheme="minorHAnsi"/>
          <w:color w:val="383838"/>
        </w:rPr>
        <w:instrText xml:space="preserve"> ADDIN EN.CITE &lt;EndNote&gt;&lt;Cite&gt;&lt;Author&gt;MOH Ghana&lt;/Author&gt;&lt;Year&gt;2014&lt;/Year&gt;&lt;RecNum&gt;579&lt;/RecNum&gt;&lt;DisplayText&gt;(MOH Ghana, 2014b)&lt;/DisplayText&gt;&lt;record&gt;&lt;rec-number&gt;579&lt;/rec-number&gt;&lt;foreign-keys&gt;&lt;key app="EN" db-id="9tzf2rda8re2a9es5tuxart3swzx2zws2s02" timestamp="1496500683"&gt;579&lt;/key&gt;&lt;/foreign-keys&gt;&lt;ref-type name="Report"&gt;27&lt;/ref-type&gt;&lt;contributors&gt;&lt;authors&gt;&lt;author&gt;MOH Ghana,&lt;/author&gt;&lt;/authors&gt;&lt;/contributors&gt;&lt;titles&gt;&lt;title&gt;Holistic Assessment of the Health Sector Programme of Work 2013 &lt;/title&gt;&lt;/titles&gt;&lt;dates&gt;&lt;year&gt;2014&lt;/year&gt;&lt;/dates&gt;&lt;pub-location&gt;Accra&lt;/pub-location&gt;&lt;publisher&gt;MOH&lt;/publisher&gt;&lt;urls&gt;&lt;related-urls&gt;&lt;url&gt;http://www.moh.gov.gh/wp-content/uploads/2016/02/Holistic-Assessment-Report-June-2014140811072318.pdf&lt;/url&gt;&lt;/related-urls&gt;&lt;/urls&gt;&lt;/record&gt;&lt;/Cite&gt;&lt;/EndNote&gt;</w:instrText>
      </w:r>
      <w:r w:rsidR="00DC6CE8" w:rsidRPr="00000849">
        <w:rPr>
          <w:rFonts w:asciiTheme="minorHAnsi" w:hAnsiTheme="minorHAnsi" w:cstheme="minorHAnsi"/>
          <w:color w:val="383838"/>
        </w:rPr>
        <w:fldChar w:fldCharType="separate"/>
      </w:r>
      <w:r w:rsidR="00E4120F" w:rsidRPr="00000849">
        <w:rPr>
          <w:rFonts w:asciiTheme="minorHAnsi" w:hAnsiTheme="minorHAnsi" w:cstheme="minorHAnsi"/>
          <w:noProof/>
          <w:color w:val="383838"/>
        </w:rPr>
        <w:t>(MOH Ghana, 2014b)</w:t>
      </w:r>
      <w:r w:rsidR="00DC6CE8" w:rsidRPr="00000849">
        <w:rPr>
          <w:rFonts w:asciiTheme="minorHAnsi" w:hAnsiTheme="minorHAnsi" w:cstheme="minorHAnsi"/>
          <w:color w:val="383838"/>
        </w:rPr>
        <w:fldChar w:fldCharType="end"/>
      </w:r>
      <w:r w:rsidR="00262B5F" w:rsidRPr="00000849">
        <w:rPr>
          <w:rFonts w:asciiTheme="minorHAnsi" w:hAnsiTheme="minorHAnsi" w:cstheme="minorHAnsi"/>
          <w:color w:val="383838"/>
        </w:rPr>
        <w:t xml:space="preserve">, </w:t>
      </w:r>
      <w:r w:rsidR="0085458A" w:rsidRPr="00000849">
        <w:rPr>
          <w:rFonts w:asciiTheme="minorHAnsi" w:hAnsiTheme="minorHAnsi" w:cstheme="minorHAnsi"/>
          <w:color w:val="383838"/>
        </w:rPr>
        <w:t xml:space="preserve">task shifting approaches </w:t>
      </w:r>
      <w:r w:rsidR="0085458A" w:rsidRPr="00000849">
        <w:rPr>
          <w:rFonts w:asciiTheme="minorHAnsi" w:hAnsiTheme="minorHAnsi" w:cstheme="minorHAnsi"/>
          <w:color w:val="383838"/>
        </w:rPr>
        <w:fldChar w:fldCharType="begin"/>
      </w:r>
      <w:r w:rsidR="0085458A" w:rsidRPr="00000849">
        <w:rPr>
          <w:rFonts w:asciiTheme="minorHAnsi" w:hAnsiTheme="minorHAnsi" w:cstheme="minorHAnsi"/>
          <w:color w:val="383838"/>
        </w:rPr>
        <w:instrText xml:space="preserve"> ADDIN EN.CITE &lt;EndNote&gt;&lt;Cite&gt;&lt;Author&gt;Adler&lt;/Author&gt;&lt;Year&gt;2019&lt;/Year&gt;&lt;RecNum&gt;1682&lt;/RecNum&gt;&lt;DisplayText&gt;(Adler et al., 2019)&lt;/DisplayText&gt;&lt;record&gt;&lt;rec-number&gt;1682&lt;/rec-number&gt;&lt;foreign-keys&gt;&lt;key app="EN" db-id="9tzf2rda8re2a9es5tuxart3swzx2zws2s02" timestamp="1598684284"&gt;1682&lt;/key&gt;&lt;/foreign-keys&gt;&lt;ref-type name="Journal Article"&gt;17&lt;/ref-type&gt;&lt;contributors&gt;&lt;authors&gt;&lt;author&gt;Adler, Alma J&lt;/author&gt;&lt;author&gt;Laar, Amos&lt;/author&gt;&lt;author&gt;Prieto-Merino, David&lt;/author&gt;&lt;author&gt;Der, Reina M M&lt;/author&gt;&lt;author&gt;Mangortey, Debbie&lt;/author&gt;&lt;author&gt;Dirks, Rebecca&lt;/author&gt;&lt;author&gt;Lamptey, Peter&lt;/author&gt;&lt;author&gt;Perel, Pablo&lt;/author&gt;&lt;/authors&gt;&lt;/contributors&gt;&lt;titles&gt;&lt;title&gt;Can a nurse-led community-based model of hypertension care improve hypertension control in Ghana? Results from the ComHIP cohort study&lt;/title&gt;&lt;secondary-title&gt;BMJ Open&lt;/secondary-title&gt;&lt;/titles&gt;&lt;periodical&gt;&lt;full-title&gt;BMJ Open&lt;/full-title&gt;&lt;abbr-1&gt;BMJ Open&lt;/abbr-1&gt;&lt;/periodical&gt;&lt;pages&gt;e026799&lt;/pages&gt;&lt;volume&gt;9&lt;/volume&gt;&lt;number&gt;4&lt;/number&gt;&lt;dates&gt;&lt;year&gt;2019&lt;/year&gt;&lt;/dates&gt;&lt;urls&gt;&lt;related-urls&gt;&lt;url&gt;https://bmjopen.bmj.com/content/bmjopen/9/4/e026799.full.pdf&lt;/url&gt;&lt;/related-urls&gt;&lt;/urls&gt;&lt;electronic-resource-num&gt;10.1136/bmjopen-2018-026799&lt;/electronic-resource-num&gt;&lt;/record&gt;&lt;/Cite&gt;&lt;/EndNote&gt;</w:instrText>
      </w:r>
      <w:r w:rsidR="0085458A" w:rsidRPr="00000849">
        <w:rPr>
          <w:rFonts w:asciiTheme="minorHAnsi" w:hAnsiTheme="minorHAnsi" w:cstheme="minorHAnsi"/>
          <w:color w:val="383838"/>
        </w:rPr>
        <w:fldChar w:fldCharType="separate"/>
      </w:r>
      <w:r w:rsidR="0085458A" w:rsidRPr="00000849">
        <w:rPr>
          <w:rFonts w:asciiTheme="minorHAnsi" w:hAnsiTheme="minorHAnsi" w:cstheme="minorHAnsi"/>
          <w:noProof/>
          <w:color w:val="383838"/>
        </w:rPr>
        <w:t>(Adler et al., 2019)</w:t>
      </w:r>
      <w:r w:rsidR="0085458A" w:rsidRPr="00000849">
        <w:rPr>
          <w:rFonts w:asciiTheme="minorHAnsi" w:hAnsiTheme="minorHAnsi" w:cstheme="minorHAnsi"/>
          <w:color w:val="383838"/>
        </w:rPr>
        <w:fldChar w:fldCharType="end"/>
      </w:r>
      <w:r w:rsidR="0085458A" w:rsidRPr="00000849">
        <w:rPr>
          <w:rFonts w:asciiTheme="minorHAnsi" w:hAnsiTheme="minorHAnsi" w:cstheme="minorHAnsi"/>
          <w:color w:val="383838"/>
        </w:rPr>
        <w:t xml:space="preserve">, health insurance </w:t>
      </w:r>
      <w:r w:rsidR="0085458A" w:rsidRPr="00000849">
        <w:rPr>
          <w:rFonts w:asciiTheme="minorHAnsi" w:hAnsiTheme="minorHAnsi" w:cstheme="minorHAnsi"/>
          <w:color w:val="383838"/>
        </w:rPr>
        <w:fldChar w:fldCharType="begin">
          <w:fldData xml:space="preserve">PEVuZE5vdGU+PENpdGU+PEF1dGhvcj5PZ2VkZWdiZTwvQXV0aG9yPjxZZWFyPjIwMTg8L1llYXI+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</w:fldData>
        </w:fldChar>
      </w:r>
      <w:r w:rsidR="0085458A" w:rsidRPr="00000849">
        <w:rPr>
          <w:rFonts w:asciiTheme="minorHAnsi" w:hAnsiTheme="minorHAnsi" w:cstheme="minorHAnsi"/>
          <w:color w:val="383838"/>
        </w:rPr>
        <w:instrText xml:space="preserve"> ADDIN EN.CITE </w:instrText>
      </w:r>
      <w:r w:rsidR="0085458A" w:rsidRPr="00000849">
        <w:rPr>
          <w:rFonts w:asciiTheme="minorHAnsi" w:hAnsiTheme="minorHAnsi" w:cstheme="minorHAnsi"/>
          <w:color w:val="383838"/>
        </w:rPr>
        <w:fldChar w:fldCharType="begin">
          <w:fldData xml:space="preserve">PEVuZE5vdGU+PENpdGU+PEF1dGhvcj5PZ2VkZWdiZTwvQXV0aG9yPjxZZWFyPjIwMTg8L1llYXI+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</w:fldData>
        </w:fldChar>
      </w:r>
      <w:r w:rsidR="0085458A" w:rsidRPr="00000849">
        <w:rPr>
          <w:rFonts w:asciiTheme="minorHAnsi" w:hAnsiTheme="minorHAnsi" w:cstheme="minorHAnsi"/>
          <w:color w:val="383838"/>
        </w:rPr>
        <w:instrText xml:space="preserve"> ADDIN EN.CITE.DATA </w:instrText>
      </w:r>
      <w:r w:rsidR="0085458A" w:rsidRPr="00000849">
        <w:rPr>
          <w:rFonts w:asciiTheme="minorHAnsi" w:hAnsiTheme="minorHAnsi" w:cstheme="minorHAnsi"/>
          <w:color w:val="383838"/>
        </w:rPr>
      </w:r>
      <w:r w:rsidR="0085458A" w:rsidRPr="00000849">
        <w:rPr>
          <w:rFonts w:asciiTheme="minorHAnsi" w:hAnsiTheme="minorHAnsi" w:cstheme="minorHAnsi"/>
          <w:color w:val="383838"/>
        </w:rPr>
        <w:fldChar w:fldCharType="end"/>
      </w:r>
      <w:r w:rsidR="0085458A" w:rsidRPr="00000849">
        <w:rPr>
          <w:rFonts w:asciiTheme="minorHAnsi" w:hAnsiTheme="minorHAnsi" w:cstheme="minorHAnsi"/>
          <w:color w:val="383838"/>
        </w:rPr>
      </w:r>
      <w:r w:rsidR="0085458A" w:rsidRPr="00000849">
        <w:rPr>
          <w:rFonts w:asciiTheme="minorHAnsi" w:hAnsiTheme="minorHAnsi" w:cstheme="minorHAnsi"/>
          <w:color w:val="383838"/>
        </w:rPr>
        <w:fldChar w:fldCharType="separate"/>
      </w:r>
      <w:r w:rsidR="0085458A" w:rsidRPr="00000849">
        <w:rPr>
          <w:rFonts w:asciiTheme="minorHAnsi" w:hAnsiTheme="minorHAnsi" w:cstheme="minorHAnsi"/>
          <w:noProof/>
          <w:color w:val="383838"/>
        </w:rPr>
        <w:t>(Ogedegbe et al., 2018)</w:t>
      </w:r>
      <w:r w:rsidR="0085458A" w:rsidRPr="00000849">
        <w:rPr>
          <w:rFonts w:asciiTheme="minorHAnsi" w:hAnsiTheme="minorHAnsi" w:cstheme="minorHAnsi"/>
          <w:color w:val="383838"/>
        </w:rPr>
        <w:fldChar w:fldCharType="end"/>
      </w:r>
      <w:r w:rsidR="0085458A" w:rsidRPr="00000849">
        <w:rPr>
          <w:rFonts w:asciiTheme="minorHAnsi" w:hAnsiTheme="minorHAnsi" w:cstheme="minorHAnsi"/>
          <w:color w:val="383838"/>
        </w:rPr>
        <w:t xml:space="preserve">, </w:t>
      </w:r>
      <w:r w:rsidR="00262B5F" w:rsidRPr="00000849">
        <w:rPr>
          <w:rFonts w:asciiTheme="minorHAnsi" w:hAnsiTheme="minorHAnsi" w:cstheme="minorHAnsi"/>
          <w:color w:val="383838"/>
        </w:rPr>
        <w:t>health</w:t>
      </w:r>
      <w:r w:rsidR="001D7987" w:rsidRPr="00000849">
        <w:rPr>
          <w:rFonts w:asciiTheme="minorHAnsi" w:hAnsiTheme="minorHAnsi" w:cstheme="minorHAnsi"/>
          <w:color w:val="383838"/>
        </w:rPr>
        <w:t>y lifestyle</w:t>
      </w:r>
      <w:r w:rsidR="00262B5F" w:rsidRPr="00000849">
        <w:rPr>
          <w:rFonts w:asciiTheme="minorHAnsi" w:hAnsiTheme="minorHAnsi" w:cstheme="minorHAnsi"/>
          <w:color w:val="383838"/>
        </w:rPr>
        <w:t xml:space="preserve"> promotion campaigns and the role of non-state actors, particularly those involved in the health of older adults in Ghana</w:t>
      </w:r>
      <w:r w:rsidR="00087603" w:rsidRPr="00000849">
        <w:rPr>
          <w:rFonts w:asciiTheme="minorHAnsi" w:hAnsiTheme="minorHAnsi" w:cstheme="minorHAnsi"/>
          <w:color w:val="383838"/>
        </w:rPr>
        <w:t xml:space="preserve"> </w:t>
      </w:r>
      <w:r w:rsidR="00DC6CE8" w:rsidRPr="00000849">
        <w:rPr>
          <w:rFonts w:asciiTheme="minorHAnsi" w:hAnsiTheme="minorHAnsi" w:cstheme="minorHAnsi"/>
          <w:color w:val="383838"/>
        </w:rPr>
        <w:fldChar w:fldCharType="begin"/>
      </w:r>
      <w:r w:rsidR="001D7987" w:rsidRPr="00000849">
        <w:rPr>
          <w:rFonts w:asciiTheme="minorHAnsi" w:hAnsiTheme="minorHAnsi" w:cstheme="minorHAnsi"/>
          <w:color w:val="383838"/>
        </w:rPr>
        <w:instrText xml:space="preserve"> ADDIN EN.CITE &lt;EndNote&gt;&lt;Cite&gt;&lt;Author&gt;Peace FM&lt;/Author&gt;&lt;Year&gt;2020&lt;/Year&gt;&lt;RecNum&gt;1681&lt;/RecNum&gt;&lt;DisplayText&gt;(Agbényiga &amp;amp; Huang, 2012; Peace FM, 2020)&lt;/DisplayText&gt;&lt;record&gt;&lt;rec-number&gt;1681&lt;/rec-number&gt;&lt;foreign-keys&gt;&lt;key app="EN" db-id="9tzf2rda8re2a9es5tuxart3swzx2zws2s02" timestamp="1598664828"&gt;1681&lt;/key&gt;&lt;/foreign-keys&gt;&lt;ref-type name="Web Page"&gt;12&lt;/ref-type&gt;&lt;contributors&gt;&lt;authors&gt;&lt;author&gt;Peace FM,&lt;/author&gt;&lt;/authors&gt;&lt;/contributors&gt;&lt;titles&gt;&lt;title&gt;Healthy Heart Africa Programme Celebrates One Year Of Strong Gains Against Hypertension&lt;/title&gt;&lt;/titles&gt;&lt;volume&gt;2020&lt;/volume&gt;&lt;number&gt;29 August&lt;/number&gt;&lt;dates&gt;&lt;year&gt;2020&lt;/year&gt;&lt;/dates&gt;&lt;pub-location&gt;Accra&lt;/pub-location&gt;&lt;publisher&gt;Despite Media&lt;/publisher&gt;&lt;urls&gt;&lt;related-urls&gt;&lt;url&gt;https://www.peacefmonline.com/pages/local/health/202007/420626.php&lt;/url&gt;&lt;/related-urls&gt;&lt;/urls&gt;&lt;/record&gt;&lt;/Cite&gt;&lt;Cite&gt;&lt;Author&gt;Agbényiga&lt;/Author&gt;&lt;Year&gt;2012&lt;/Year&gt;&lt;RecNum&gt;1684&lt;/RecNum&gt;&lt;record&gt;&lt;rec-number&gt;1684&lt;/rec-number&gt;&lt;foreign-keys&gt;&lt;key app="EN" db-id="9tzf2rda8re2a9es5tuxart3swzx2zws2s02" timestamp="1598686666"&gt;1684&lt;/key&gt;&lt;/foreign-keys&gt;&lt;ref-type name="Journal Article"&gt;17&lt;/ref-type&gt;&lt;contributors&gt;&lt;authors&gt;&lt;author&gt;Agbényiga, DeBrenna LaFa&lt;/author&gt;&lt;author&gt;Huang, Lihua&lt;/author&gt;&lt;/authors&gt;&lt;/contributors&gt;&lt;titles&gt;&lt;title&gt;Impact of the Organizational Networks on the Roles of NGOs in Eldercare: Perspectives from HelpAge Ghana Day Centres&lt;/title&gt;&lt;secondary-title&gt;Ageing International&lt;/secondary-title&gt;&lt;/titles&gt;&lt;periodical&gt;&lt;full-title&gt;Ageing International&lt;/full-title&gt;&lt;/periodical&gt;&lt;pages&gt;338-355&lt;/pages&gt;&lt;volume&gt;37&lt;/volume&gt;&lt;number&gt;3&lt;/number&gt;&lt;dates&gt;&lt;year&gt;2012&lt;/year&gt;&lt;pub-dates&gt;&lt;date&gt;2012/09/01&lt;/date&gt;&lt;/pub-dates&gt;&lt;/dates&gt;&lt;isbn&gt;1936-606X&lt;/isbn&gt;&lt;urls&gt;&lt;related-urls&gt;&lt;url&gt;https://doi.org/10.1007/s12126-011-9117-0&lt;/url&gt;&lt;/related-urls&gt;&lt;/urls&gt;&lt;electronic-resource-num&gt;10.1007/s12126-011-9117-0&lt;/electronic-resource-num&gt;&lt;/record&gt;&lt;/Cite&gt;&lt;/EndNote&gt;</w:instrText>
      </w:r>
      <w:r w:rsidR="00DC6CE8" w:rsidRPr="00000849">
        <w:rPr>
          <w:rFonts w:asciiTheme="minorHAnsi" w:hAnsiTheme="minorHAnsi" w:cstheme="minorHAnsi"/>
          <w:color w:val="383838"/>
        </w:rPr>
        <w:fldChar w:fldCharType="separate"/>
      </w:r>
      <w:r w:rsidR="001D7987" w:rsidRPr="00000849">
        <w:rPr>
          <w:rFonts w:asciiTheme="minorHAnsi" w:hAnsiTheme="minorHAnsi" w:cstheme="minorHAnsi"/>
          <w:noProof/>
          <w:color w:val="383838"/>
        </w:rPr>
        <w:t>(Agbényiga &amp; Huang, 2012; Peace FM, 2020)</w:t>
      </w:r>
      <w:r w:rsidR="00DC6CE8" w:rsidRPr="00000849">
        <w:rPr>
          <w:rFonts w:asciiTheme="minorHAnsi" w:hAnsiTheme="minorHAnsi" w:cstheme="minorHAnsi"/>
          <w:color w:val="383838"/>
        </w:rPr>
        <w:fldChar w:fldCharType="end"/>
      </w:r>
      <w:r w:rsidR="00262B5F" w:rsidRPr="00000849">
        <w:rPr>
          <w:rFonts w:asciiTheme="minorHAnsi" w:hAnsiTheme="minorHAnsi" w:cstheme="minorHAnsi"/>
          <w:color w:val="383838"/>
        </w:rPr>
        <w:t xml:space="preserve">. </w:t>
      </w:r>
    </w:p>
    <w:p w14:paraId="7EFC3301" w14:textId="3A758D40" w:rsidR="00A26BD8" w:rsidRPr="00000849" w:rsidRDefault="00DC6CE8" w:rsidP="0027040A">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On the other hand,</w:t>
      </w:r>
      <w:r w:rsidR="00DF720F" w:rsidRPr="00000849">
        <w:rPr>
          <w:rFonts w:asciiTheme="minorHAnsi" w:hAnsiTheme="minorHAnsi" w:cstheme="minorHAnsi"/>
          <w:color w:val="383838"/>
        </w:rPr>
        <w:t xml:space="preserve"> t</w:t>
      </w:r>
      <w:r w:rsidR="00A26BD8" w:rsidRPr="00000849">
        <w:rPr>
          <w:rFonts w:asciiTheme="minorHAnsi" w:hAnsiTheme="minorHAnsi" w:cstheme="minorHAnsi"/>
          <w:color w:val="383838"/>
        </w:rPr>
        <w:t>he</w:t>
      </w:r>
      <w:r w:rsidRPr="00000849">
        <w:rPr>
          <w:rFonts w:asciiTheme="minorHAnsi" w:hAnsiTheme="minorHAnsi" w:cstheme="minorHAnsi"/>
          <w:color w:val="383838"/>
        </w:rPr>
        <w:t xml:space="preserve">re is some indication of </w:t>
      </w:r>
      <w:r w:rsidR="004B532D" w:rsidRPr="00000849">
        <w:rPr>
          <w:rFonts w:asciiTheme="minorHAnsi" w:hAnsiTheme="minorHAnsi" w:cstheme="minorHAnsi"/>
          <w:color w:val="383838"/>
        </w:rPr>
        <w:t xml:space="preserve">an </w:t>
      </w:r>
      <w:r w:rsidR="00DF720F" w:rsidRPr="00000849">
        <w:rPr>
          <w:rFonts w:asciiTheme="minorHAnsi" w:hAnsiTheme="minorHAnsi" w:cstheme="minorHAnsi"/>
          <w:color w:val="383838"/>
        </w:rPr>
        <w:t xml:space="preserve">apparent </w:t>
      </w:r>
      <w:r w:rsidR="004B532D" w:rsidRPr="00000849">
        <w:rPr>
          <w:rFonts w:asciiTheme="minorHAnsi" w:hAnsiTheme="minorHAnsi" w:cstheme="minorHAnsi"/>
          <w:color w:val="383838"/>
        </w:rPr>
        <w:t xml:space="preserve">increasing trend in the prevalence </w:t>
      </w:r>
      <w:r w:rsidRPr="00000849">
        <w:rPr>
          <w:rFonts w:asciiTheme="minorHAnsi" w:hAnsiTheme="minorHAnsi" w:cstheme="minorHAnsi"/>
          <w:color w:val="383838"/>
        </w:rPr>
        <w:t xml:space="preserve">of hypertension </w:t>
      </w:r>
      <w:r w:rsidR="004B532D" w:rsidRPr="00000849">
        <w:rPr>
          <w:rFonts w:asciiTheme="minorHAnsi" w:hAnsiTheme="minorHAnsi" w:cstheme="minorHAnsi"/>
          <w:color w:val="383838"/>
        </w:rPr>
        <w:t xml:space="preserve">in Ghana and in Africa </w:t>
      </w:r>
      <w:r w:rsidR="00A26BD8" w:rsidRPr="00000849">
        <w:rPr>
          <w:rFonts w:asciiTheme="minorHAnsi" w:hAnsiTheme="minorHAnsi" w:cstheme="minorHAnsi"/>
          <w:color w:val="383838"/>
        </w:rPr>
        <w:t xml:space="preserve">over time </w:t>
      </w:r>
      <w:r w:rsidR="00A26BD8" w:rsidRPr="00000849">
        <w:rPr>
          <w:rFonts w:asciiTheme="minorHAnsi" w:hAnsiTheme="minorHAnsi" w:cstheme="minorHAnsi"/>
          <w:color w:val="383838"/>
        </w:rPr>
        <w:fldChar w:fldCharType="begin">
          <w:fldData xml:space="preserve">PEVuZE5vdGU+PENpdGU+PEF1dGhvcj5Cb3N1PC9BdXRob3I+PFllYXI+MjAxOTwvWWVhcj48UmVj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PEVuZE5vdGU+PENpdGU+PEF1dGhvcj5Cb3N1PC9BdXRob3I+PFllYXI+MjAxOTwvWWVhcj48UmVj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A26BD8" w:rsidRPr="00000849">
        <w:rPr>
          <w:rFonts w:asciiTheme="minorHAnsi" w:hAnsiTheme="minorHAnsi" w:cstheme="minorHAnsi"/>
          <w:color w:val="383838"/>
        </w:rPr>
      </w:r>
      <w:r w:rsidR="00A26BD8"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(Bosu et al., 2019b; Hamid et al., 2019)</w:t>
      </w:r>
      <w:r w:rsidR="00A26BD8" w:rsidRPr="00000849">
        <w:rPr>
          <w:rFonts w:asciiTheme="minorHAnsi" w:hAnsiTheme="minorHAnsi" w:cstheme="minorHAnsi"/>
          <w:color w:val="383838"/>
        </w:rPr>
        <w:fldChar w:fldCharType="end"/>
      </w:r>
      <w:r w:rsidR="00A26BD8" w:rsidRPr="00000849">
        <w:rPr>
          <w:rFonts w:asciiTheme="minorHAnsi" w:hAnsiTheme="minorHAnsi" w:cstheme="minorHAnsi"/>
          <w:color w:val="383838"/>
        </w:rPr>
        <w:t xml:space="preserve">.  </w:t>
      </w:r>
      <w:r w:rsidR="00106C9E" w:rsidRPr="00000849">
        <w:rPr>
          <w:rFonts w:asciiTheme="minorHAnsi" w:hAnsiTheme="minorHAnsi" w:cstheme="minorHAnsi"/>
          <w:color w:val="383838"/>
        </w:rPr>
        <w:t xml:space="preserve">In one rural district in Ghana, </w:t>
      </w:r>
      <w:r w:rsidR="001D7987" w:rsidRPr="00000849">
        <w:rPr>
          <w:rFonts w:asciiTheme="minorHAnsi" w:hAnsiTheme="minorHAnsi" w:cstheme="minorHAnsi"/>
          <w:color w:val="383838"/>
        </w:rPr>
        <w:t xml:space="preserve">a </w:t>
      </w:r>
      <w:r w:rsidR="00106C9E" w:rsidRPr="00000849">
        <w:rPr>
          <w:rFonts w:asciiTheme="minorHAnsi" w:hAnsiTheme="minorHAnsi" w:cstheme="minorHAnsi"/>
          <w:color w:val="383838"/>
        </w:rPr>
        <w:t>repeated cross-sectional stud</w:t>
      </w:r>
      <w:r w:rsidR="001D7987" w:rsidRPr="00000849">
        <w:rPr>
          <w:rFonts w:asciiTheme="minorHAnsi" w:hAnsiTheme="minorHAnsi" w:cstheme="minorHAnsi"/>
          <w:color w:val="383838"/>
        </w:rPr>
        <w:t>y</w:t>
      </w:r>
      <w:r w:rsidR="00106C9E" w:rsidRPr="00000849">
        <w:rPr>
          <w:rFonts w:asciiTheme="minorHAnsi" w:hAnsiTheme="minorHAnsi" w:cstheme="minorHAnsi"/>
          <w:color w:val="383838"/>
        </w:rPr>
        <w:t xml:space="preserve"> </w:t>
      </w:r>
      <w:r w:rsidR="00A26BD8" w:rsidRPr="00000849">
        <w:rPr>
          <w:rFonts w:asciiTheme="minorHAnsi" w:hAnsiTheme="minorHAnsi" w:cstheme="minorHAnsi"/>
          <w:color w:val="383838"/>
        </w:rPr>
        <w:t xml:space="preserve">showed an eight-fold increase in prevalence of hypertension from 2-5% in the 1970s to 25% thirty years later </w:t>
      </w:r>
      <w:r w:rsidR="00A26BD8"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&lt;EndNote&gt;&lt;Cite&gt;&lt;Author&gt;Addo&lt;/Author&gt;&lt;Year&gt;2006&lt;/Year&gt;&lt;RecNum&gt;710&lt;/RecNum&gt;&lt;DisplayText&gt;(Addo et al., 2006)&lt;/DisplayText&gt;&lt;record&gt;&lt;rec-number&gt;710&lt;/rec-number&gt;&lt;foreign-keys&gt;&lt;key app="EN" db-id="9tzf2rda8re2a9es5tuxart3swzx2zws2s02" timestamp="1499325466"&gt;710&lt;/key&gt;&lt;/foreign-keys&gt;&lt;ref-type name="Journal Article"&gt;17&lt;/ref-type&gt;&lt;contributors&gt;&lt;authors&gt;&lt;author&gt;Addo, J. &lt;/author&gt;&lt;author&gt;Amoah, A.G.B. &lt;/author&gt;&lt;author&gt;Koram, K.A.&lt;/author&gt;&lt;/authors&gt;&lt;/contributors&gt;&lt;titles&gt;&lt;title&gt;The changing patterns of hypertension in Ghana: a study of four rural communities in the Ga district&lt;/title&gt;&lt;secondary-title&gt;Ethnicity &amp;amp; Disease&lt;/secondary-title&gt;&lt;/titles&gt;&lt;periodical&gt;&lt;full-title&gt;Ethnicity &amp;amp; Disease&lt;/full-title&gt;&lt;/periodical&gt;&lt;pages&gt;894–99&lt;/pages&gt;&lt;volume&gt;16&lt;/volume&gt;&lt;dates&gt;&lt;year&gt;2006&lt;/year&gt;&lt;/dates&gt;&lt;urls&gt;&lt;/urls&gt;&lt;/record&gt;&lt;/Cite&gt;&lt;/EndNote&gt;</w:instrText>
      </w:r>
      <w:r w:rsidR="00A26BD8"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(Addo et al., 2006)</w:t>
      </w:r>
      <w:r w:rsidR="00A26BD8" w:rsidRPr="00000849">
        <w:rPr>
          <w:rFonts w:asciiTheme="minorHAnsi" w:hAnsiTheme="minorHAnsi" w:cstheme="minorHAnsi"/>
          <w:color w:val="383838"/>
        </w:rPr>
        <w:fldChar w:fldCharType="end"/>
      </w:r>
      <w:r w:rsidR="00A26BD8" w:rsidRPr="00000849">
        <w:rPr>
          <w:rFonts w:asciiTheme="minorHAnsi" w:hAnsiTheme="minorHAnsi" w:cstheme="minorHAnsi"/>
          <w:color w:val="383838"/>
        </w:rPr>
        <w:t xml:space="preserve">.  </w:t>
      </w:r>
      <w:r w:rsidRPr="00000849">
        <w:rPr>
          <w:rFonts w:asciiTheme="minorHAnsi" w:hAnsiTheme="minorHAnsi" w:cstheme="minorHAnsi"/>
          <w:color w:val="383838"/>
        </w:rPr>
        <w:t>Moreover, t</w:t>
      </w:r>
      <w:r w:rsidR="004310D0" w:rsidRPr="00000849">
        <w:rPr>
          <w:rFonts w:asciiTheme="minorHAnsi" w:hAnsiTheme="minorHAnsi" w:cstheme="minorHAnsi"/>
          <w:color w:val="383838"/>
        </w:rPr>
        <w:t xml:space="preserve">he prevalence of overweight/obesity, a major predictor of hypertension, at 40.5% among urban women aged 15-49 years in Ghana is among the highest in Africa </w:t>
      </w:r>
      <w:r w:rsidR="004310D0" w:rsidRPr="00000849">
        <w:rPr>
          <w:rFonts w:asciiTheme="minorHAnsi" w:hAnsiTheme="minorHAnsi" w:cstheme="minorHAnsi"/>
          <w:color w:val="383838"/>
        </w:rPr>
        <w:fldChar w:fldCharType="begin">
          <w:fldData xml:space="preserve">PEVuZE5vdGU+PENpdGU+PEF1dGhvcj5ZYXlhPC9BdXRob3I+PFllYXI+MjAxODwvWWVhcj48UmVj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</w:fldData>
        </w:fldChar>
      </w:r>
      <w:r w:rsidR="00431DA0" w:rsidRPr="00000849">
        <w:rPr>
          <w:rFonts w:asciiTheme="minorHAnsi" w:hAnsiTheme="minorHAnsi" w:cstheme="minorHAnsi"/>
          <w:color w:val="383838"/>
        </w:rPr>
        <w:instrText xml:space="preserve"> ADDIN EN.CITE </w:instrText>
      </w:r>
      <w:r w:rsidR="00431DA0" w:rsidRPr="00000849">
        <w:rPr>
          <w:rFonts w:asciiTheme="minorHAnsi" w:hAnsiTheme="minorHAnsi" w:cstheme="minorHAnsi"/>
          <w:color w:val="383838"/>
        </w:rPr>
        <w:fldChar w:fldCharType="begin">
          <w:fldData xml:space="preserve">PEVuZE5vdGU+PENpdGU+PEF1dGhvcj5ZYXlhPC9BdXRob3I+PFllYXI+MjAxODwvWWVhcj48UmVj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4310D0" w:rsidRPr="00000849">
        <w:rPr>
          <w:rFonts w:asciiTheme="minorHAnsi" w:hAnsiTheme="minorHAnsi" w:cstheme="minorHAnsi"/>
          <w:color w:val="383838"/>
        </w:rPr>
      </w:r>
      <w:r w:rsidR="004310D0"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(Yaya et al., 2018)</w:t>
      </w:r>
      <w:r w:rsidR="004310D0" w:rsidRPr="00000849">
        <w:rPr>
          <w:rFonts w:asciiTheme="minorHAnsi" w:hAnsiTheme="minorHAnsi" w:cstheme="minorHAnsi"/>
          <w:color w:val="383838"/>
        </w:rPr>
        <w:fldChar w:fldCharType="end"/>
      </w:r>
      <w:r w:rsidR="001B3829" w:rsidRPr="00000849">
        <w:rPr>
          <w:rFonts w:asciiTheme="minorHAnsi" w:hAnsiTheme="minorHAnsi" w:cstheme="minorHAnsi"/>
          <w:color w:val="383838"/>
        </w:rPr>
        <w:t xml:space="preserve">.  Its </w:t>
      </w:r>
      <w:r w:rsidR="001B3829" w:rsidRPr="00000849">
        <w:rPr>
          <w:rFonts w:asciiTheme="minorHAnsi" w:hAnsiTheme="minorHAnsi" w:cstheme="minorHAnsi"/>
          <w:color w:val="383838"/>
        </w:rPr>
        <w:lastRenderedPageBreak/>
        <w:t xml:space="preserve">increase over the period 1993-2014 </w:t>
      </w:r>
      <w:r w:rsidR="003C0192" w:rsidRPr="00000849">
        <w:rPr>
          <w:rFonts w:asciiTheme="minorHAnsi" w:hAnsiTheme="minorHAnsi" w:cstheme="minorHAnsi"/>
          <w:color w:val="383838"/>
        </w:rPr>
        <w:t xml:space="preserve">has </w:t>
      </w:r>
      <w:r w:rsidR="001B3829" w:rsidRPr="00000849">
        <w:rPr>
          <w:rFonts w:asciiTheme="minorHAnsi" w:hAnsiTheme="minorHAnsi" w:cstheme="minorHAnsi"/>
          <w:color w:val="383838"/>
        </w:rPr>
        <w:t>been</w:t>
      </w:r>
      <w:r w:rsidR="003C0192" w:rsidRPr="00000849">
        <w:rPr>
          <w:rFonts w:asciiTheme="minorHAnsi" w:hAnsiTheme="minorHAnsi" w:cstheme="minorHAnsi"/>
          <w:color w:val="383838"/>
        </w:rPr>
        <w:t xml:space="preserve"> statistically significant </w:t>
      </w:r>
      <w:r w:rsidR="00A26BD8" w:rsidRPr="00000849">
        <w:rPr>
          <w:rFonts w:asciiTheme="minorHAnsi" w:hAnsiTheme="minorHAnsi" w:cstheme="minorHAnsi"/>
          <w:color w:val="383838"/>
        </w:rPr>
        <w:fldChar w:fldCharType="begin">
          <w:fldData xml:space="preserve">PEVuZE5vdGU+PENpdGU+PEF1dGhvcj5BbXVnc2k8L0F1dGhvcj48WWVhcj4yMDE3PC9ZZWFyPjxS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</w:fldData>
        </w:fldChar>
      </w:r>
      <w:r w:rsidR="00431DA0" w:rsidRPr="00000849">
        <w:rPr>
          <w:rFonts w:asciiTheme="minorHAnsi" w:hAnsiTheme="minorHAnsi" w:cstheme="minorHAnsi"/>
          <w:color w:val="383838"/>
        </w:rPr>
        <w:instrText xml:space="preserve"> ADDIN EN.CITE </w:instrText>
      </w:r>
      <w:r w:rsidR="00431DA0" w:rsidRPr="00000849">
        <w:rPr>
          <w:rFonts w:asciiTheme="minorHAnsi" w:hAnsiTheme="minorHAnsi" w:cstheme="minorHAnsi"/>
          <w:color w:val="383838"/>
        </w:rPr>
        <w:fldChar w:fldCharType="begin">
          <w:fldData xml:space="preserve">PEVuZE5vdGU+PENpdGU+PEF1dGhvcj5BbXVnc2k8L0F1dGhvcj48WWVhcj4yMDE3PC9ZZWFyPjxS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A26BD8" w:rsidRPr="00000849">
        <w:rPr>
          <w:rFonts w:asciiTheme="minorHAnsi" w:hAnsiTheme="minorHAnsi" w:cstheme="minorHAnsi"/>
          <w:color w:val="383838"/>
        </w:rPr>
      </w:r>
      <w:r w:rsidR="00A26BD8"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(Amugsi et al., 2017)</w:t>
      </w:r>
      <w:r w:rsidR="00A26BD8" w:rsidRPr="00000849">
        <w:rPr>
          <w:rFonts w:asciiTheme="minorHAnsi" w:hAnsiTheme="minorHAnsi" w:cstheme="minorHAnsi"/>
          <w:color w:val="383838"/>
        </w:rPr>
        <w:fldChar w:fldCharType="end"/>
      </w:r>
      <w:r w:rsidR="00A26BD8" w:rsidRPr="00000849">
        <w:rPr>
          <w:rFonts w:asciiTheme="minorHAnsi" w:hAnsiTheme="minorHAnsi" w:cstheme="minorHAnsi"/>
          <w:color w:val="383838"/>
        </w:rPr>
        <w:t>.</w:t>
      </w:r>
      <w:r w:rsidR="00AF2731" w:rsidRPr="00000849">
        <w:rPr>
          <w:rFonts w:asciiTheme="minorHAnsi" w:hAnsiTheme="minorHAnsi" w:cstheme="minorHAnsi"/>
          <w:color w:val="383838"/>
        </w:rPr>
        <w:t xml:space="preserve">  </w:t>
      </w:r>
    </w:p>
    <w:p w14:paraId="11EDBB99" w14:textId="6E40D055" w:rsidR="00633DE8" w:rsidRPr="00000849" w:rsidRDefault="00AF2731" w:rsidP="00AF2731">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What </w:t>
      </w:r>
      <w:r w:rsidR="00193B3D" w:rsidRPr="00000849">
        <w:rPr>
          <w:rFonts w:asciiTheme="minorHAnsi" w:hAnsiTheme="minorHAnsi" w:cstheme="minorHAnsi"/>
          <w:color w:val="383838"/>
        </w:rPr>
        <w:t xml:space="preserve">else </w:t>
      </w:r>
      <w:r w:rsidRPr="00000849">
        <w:rPr>
          <w:rFonts w:asciiTheme="minorHAnsi" w:hAnsiTheme="minorHAnsi" w:cstheme="minorHAnsi"/>
          <w:color w:val="383838"/>
        </w:rPr>
        <w:t>could possibl</w:t>
      </w:r>
      <w:r w:rsidR="00D2380E" w:rsidRPr="00000849">
        <w:rPr>
          <w:rFonts w:asciiTheme="minorHAnsi" w:hAnsiTheme="minorHAnsi" w:cstheme="minorHAnsi"/>
          <w:color w:val="383838"/>
        </w:rPr>
        <w:t>y</w:t>
      </w:r>
      <w:r w:rsidRPr="00000849">
        <w:rPr>
          <w:rFonts w:asciiTheme="minorHAnsi" w:hAnsiTheme="minorHAnsi" w:cstheme="minorHAnsi"/>
          <w:color w:val="383838"/>
        </w:rPr>
        <w:t xml:space="preserve"> expla</w:t>
      </w:r>
      <w:r w:rsidR="00D2380E" w:rsidRPr="00000849">
        <w:rPr>
          <w:rFonts w:asciiTheme="minorHAnsi" w:hAnsiTheme="minorHAnsi" w:cstheme="minorHAnsi"/>
          <w:color w:val="383838"/>
        </w:rPr>
        <w:t>i</w:t>
      </w:r>
      <w:r w:rsidRPr="00000849">
        <w:rPr>
          <w:rFonts w:asciiTheme="minorHAnsi" w:hAnsiTheme="minorHAnsi" w:cstheme="minorHAnsi"/>
          <w:color w:val="383838"/>
        </w:rPr>
        <w:t xml:space="preserve">n for the observed decline in the prevalence between the two waves?  First, the two samples were not </w:t>
      </w:r>
      <w:r w:rsidR="00DF720F" w:rsidRPr="00000849">
        <w:rPr>
          <w:rFonts w:asciiTheme="minorHAnsi" w:hAnsiTheme="minorHAnsi" w:cstheme="minorHAnsi"/>
          <w:color w:val="383838"/>
        </w:rPr>
        <w:t xml:space="preserve">exactly </w:t>
      </w:r>
      <w:r w:rsidR="00136129" w:rsidRPr="00000849">
        <w:rPr>
          <w:rFonts w:asciiTheme="minorHAnsi" w:hAnsiTheme="minorHAnsi" w:cstheme="minorHAnsi"/>
          <w:color w:val="383838"/>
        </w:rPr>
        <w:t>the same</w:t>
      </w:r>
      <w:r w:rsidRPr="00000849">
        <w:rPr>
          <w:rFonts w:asciiTheme="minorHAnsi" w:hAnsiTheme="minorHAnsi" w:cstheme="minorHAnsi"/>
          <w:color w:val="383838"/>
        </w:rPr>
        <w:t xml:space="preserve"> cohort being studie</w:t>
      </w:r>
      <w:r w:rsidR="00136129" w:rsidRPr="00000849">
        <w:rPr>
          <w:rFonts w:asciiTheme="minorHAnsi" w:hAnsiTheme="minorHAnsi" w:cstheme="minorHAnsi"/>
          <w:color w:val="383838"/>
        </w:rPr>
        <w:t>d</w:t>
      </w:r>
      <w:r w:rsidRPr="00000849">
        <w:rPr>
          <w:rFonts w:asciiTheme="minorHAnsi" w:hAnsiTheme="minorHAnsi" w:cstheme="minorHAnsi"/>
          <w:color w:val="383838"/>
        </w:rPr>
        <w:t xml:space="preserve"> nine years apart.  </w:t>
      </w:r>
      <w:r w:rsidR="004433F5" w:rsidRPr="00000849">
        <w:rPr>
          <w:rFonts w:asciiTheme="minorHAnsi" w:hAnsiTheme="minorHAnsi" w:cstheme="minorHAnsi"/>
          <w:color w:val="383838"/>
        </w:rPr>
        <w:t xml:space="preserve">About </w:t>
      </w:r>
      <w:r w:rsidR="00C54A20" w:rsidRPr="00000849">
        <w:rPr>
          <w:rFonts w:asciiTheme="minorHAnsi" w:hAnsiTheme="minorHAnsi" w:cstheme="minorHAnsi"/>
          <w:color w:val="383838"/>
        </w:rPr>
        <w:t>43</w:t>
      </w:r>
      <w:r w:rsidR="002C7F8A" w:rsidRPr="00000849">
        <w:rPr>
          <w:rFonts w:asciiTheme="minorHAnsi" w:hAnsiTheme="minorHAnsi" w:cstheme="minorHAnsi"/>
          <w:color w:val="383838"/>
        </w:rPr>
        <w:t>.0</w:t>
      </w:r>
      <w:r w:rsidR="00C54A20" w:rsidRPr="00000849">
        <w:rPr>
          <w:rFonts w:asciiTheme="minorHAnsi" w:hAnsiTheme="minorHAnsi" w:cstheme="minorHAnsi"/>
          <w:color w:val="383838"/>
        </w:rPr>
        <w:t>%</w:t>
      </w:r>
      <w:r w:rsidR="00AA7250" w:rsidRPr="00000849">
        <w:rPr>
          <w:rFonts w:asciiTheme="minorHAnsi" w:hAnsiTheme="minorHAnsi" w:cstheme="minorHAnsi"/>
          <w:color w:val="383838"/>
        </w:rPr>
        <w:t xml:space="preserve"> of the W1 cohort </w:t>
      </w:r>
      <w:r w:rsidR="00C54A20" w:rsidRPr="00000849">
        <w:rPr>
          <w:rFonts w:asciiTheme="minorHAnsi" w:hAnsiTheme="minorHAnsi" w:cstheme="minorHAnsi"/>
          <w:color w:val="383838"/>
        </w:rPr>
        <w:t xml:space="preserve">with data on hypertension participated in the study W2.  Owing to </w:t>
      </w:r>
      <w:r w:rsidR="003C0192" w:rsidRPr="00000849">
        <w:rPr>
          <w:rFonts w:asciiTheme="minorHAnsi" w:hAnsiTheme="minorHAnsi" w:cstheme="minorHAnsi"/>
          <w:color w:val="383838"/>
        </w:rPr>
        <w:t>replacements</w:t>
      </w:r>
      <w:r w:rsidR="00C54A20" w:rsidRPr="00000849">
        <w:rPr>
          <w:rFonts w:asciiTheme="minorHAnsi" w:hAnsiTheme="minorHAnsi" w:cstheme="minorHAnsi"/>
          <w:color w:val="383838"/>
        </w:rPr>
        <w:t>, the mean age of W2 participants was 1.6 years less than the W1 cohort.</w:t>
      </w:r>
      <w:r w:rsidR="00006782" w:rsidRPr="00000849">
        <w:rPr>
          <w:rFonts w:asciiTheme="minorHAnsi" w:hAnsiTheme="minorHAnsi" w:cstheme="minorHAnsi"/>
          <w:color w:val="383838"/>
        </w:rPr>
        <w:t xml:space="preserve">  </w:t>
      </w:r>
      <w:r w:rsidR="001A5E16" w:rsidRPr="00000849">
        <w:rPr>
          <w:rFonts w:asciiTheme="minorHAnsi" w:hAnsiTheme="minorHAnsi" w:cstheme="minorHAnsi"/>
          <w:color w:val="383838"/>
        </w:rPr>
        <w:t xml:space="preserve">Secondly, </w:t>
      </w:r>
      <w:r w:rsidR="00193B3D" w:rsidRPr="00000849">
        <w:rPr>
          <w:rFonts w:asciiTheme="minorHAnsi" w:hAnsiTheme="minorHAnsi" w:cstheme="minorHAnsi"/>
          <w:color w:val="383838"/>
        </w:rPr>
        <w:t xml:space="preserve">although </w:t>
      </w:r>
      <w:r w:rsidR="001A5E16" w:rsidRPr="00000849">
        <w:rPr>
          <w:rFonts w:asciiTheme="minorHAnsi" w:hAnsiTheme="minorHAnsi" w:cstheme="minorHAnsi"/>
          <w:color w:val="383838"/>
        </w:rPr>
        <w:t>t</w:t>
      </w:r>
      <w:r w:rsidR="00006782" w:rsidRPr="00000849">
        <w:rPr>
          <w:rFonts w:asciiTheme="minorHAnsi" w:hAnsiTheme="minorHAnsi" w:cstheme="minorHAnsi"/>
          <w:color w:val="383838"/>
        </w:rPr>
        <w:t xml:space="preserve">he SAGE </w:t>
      </w:r>
      <w:r w:rsidR="001A5E16" w:rsidRPr="00000849">
        <w:rPr>
          <w:rFonts w:asciiTheme="minorHAnsi" w:hAnsiTheme="minorHAnsi" w:cstheme="minorHAnsi"/>
          <w:color w:val="383838"/>
        </w:rPr>
        <w:t xml:space="preserve">Ghana </w:t>
      </w:r>
      <w:r w:rsidR="00006782" w:rsidRPr="00000849">
        <w:rPr>
          <w:rFonts w:asciiTheme="minorHAnsi" w:hAnsiTheme="minorHAnsi" w:cstheme="minorHAnsi"/>
          <w:color w:val="383838"/>
        </w:rPr>
        <w:t xml:space="preserve">Team </w:t>
      </w:r>
      <w:r w:rsidR="001A5E16" w:rsidRPr="00000849">
        <w:rPr>
          <w:rFonts w:asciiTheme="minorHAnsi" w:hAnsiTheme="minorHAnsi" w:cstheme="minorHAnsi"/>
          <w:color w:val="383838"/>
        </w:rPr>
        <w:t>tried to maintain the same re</w:t>
      </w:r>
      <w:r w:rsidR="00063CB9" w:rsidRPr="00000849">
        <w:rPr>
          <w:rFonts w:asciiTheme="minorHAnsi" w:hAnsiTheme="minorHAnsi" w:cstheme="minorHAnsi"/>
          <w:color w:val="383838"/>
        </w:rPr>
        <w:t xml:space="preserve">search assistants and supervisors </w:t>
      </w:r>
      <w:r w:rsidR="001A5E16" w:rsidRPr="00000849">
        <w:rPr>
          <w:rFonts w:asciiTheme="minorHAnsi" w:hAnsiTheme="minorHAnsi" w:cstheme="minorHAnsi"/>
          <w:color w:val="383838"/>
        </w:rPr>
        <w:t>for both study waves</w:t>
      </w:r>
      <w:r w:rsidR="00193B3D" w:rsidRPr="00000849">
        <w:rPr>
          <w:rFonts w:asciiTheme="minorHAnsi" w:hAnsiTheme="minorHAnsi" w:cstheme="minorHAnsi"/>
          <w:color w:val="383838"/>
        </w:rPr>
        <w:t>, it is</w:t>
      </w:r>
      <w:r w:rsidR="00063CB9" w:rsidRPr="00000849">
        <w:rPr>
          <w:rFonts w:asciiTheme="minorHAnsi" w:hAnsiTheme="minorHAnsi" w:cstheme="minorHAnsi"/>
          <w:color w:val="383838"/>
        </w:rPr>
        <w:t xml:space="preserve"> not clear to what extent the differences in the composition of research assistan</w:t>
      </w:r>
      <w:r w:rsidR="001A5E16" w:rsidRPr="00000849">
        <w:rPr>
          <w:rFonts w:asciiTheme="minorHAnsi" w:hAnsiTheme="minorHAnsi" w:cstheme="minorHAnsi"/>
          <w:color w:val="383838"/>
        </w:rPr>
        <w:t>ts</w:t>
      </w:r>
      <w:r w:rsidR="00063CB9" w:rsidRPr="00000849">
        <w:rPr>
          <w:rFonts w:asciiTheme="minorHAnsi" w:hAnsiTheme="minorHAnsi" w:cstheme="minorHAnsi"/>
          <w:color w:val="383838"/>
        </w:rPr>
        <w:t xml:space="preserve"> could have influenced the </w:t>
      </w:r>
      <w:r w:rsidR="00193B3D" w:rsidRPr="00000849">
        <w:rPr>
          <w:rFonts w:asciiTheme="minorHAnsi" w:hAnsiTheme="minorHAnsi" w:cstheme="minorHAnsi"/>
          <w:color w:val="383838"/>
        </w:rPr>
        <w:t>study outcomes</w:t>
      </w:r>
      <w:r w:rsidR="00063CB9" w:rsidRPr="00000849">
        <w:rPr>
          <w:rFonts w:asciiTheme="minorHAnsi" w:hAnsiTheme="minorHAnsi" w:cstheme="minorHAnsi"/>
          <w:color w:val="383838"/>
        </w:rPr>
        <w:t xml:space="preserve">.  </w:t>
      </w:r>
      <w:r w:rsidR="001A5E16" w:rsidRPr="00000849">
        <w:rPr>
          <w:rFonts w:asciiTheme="minorHAnsi" w:hAnsiTheme="minorHAnsi" w:cstheme="minorHAnsi"/>
          <w:color w:val="383838"/>
        </w:rPr>
        <w:t>The research assistants were trained and closely supervised in the conducted the computer-assisted interviews.</w:t>
      </w:r>
    </w:p>
    <w:p w14:paraId="4879342C" w14:textId="5F124ED3" w:rsidR="00193B3D" w:rsidRPr="00000849" w:rsidRDefault="00063CB9" w:rsidP="009E6129">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A</w:t>
      </w:r>
      <w:r w:rsidR="001A5E16" w:rsidRPr="00000849">
        <w:rPr>
          <w:rFonts w:asciiTheme="minorHAnsi" w:hAnsiTheme="minorHAnsi" w:cstheme="minorHAnsi"/>
          <w:color w:val="383838"/>
        </w:rPr>
        <w:t xml:space="preserve"> third </w:t>
      </w:r>
      <w:r w:rsidRPr="00000849">
        <w:rPr>
          <w:rFonts w:asciiTheme="minorHAnsi" w:hAnsiTheme="minorHAnsi" w:cstheme="minorHAnsi"/>
          <w:color w:val="383838"/>
        </w:rPr>
        <w:t xml:space="preserve">possible reason may relate to the differences in the study population between the two waves.  </w:t>
      </w:r>
      <w:r w:rsidR="001A5E16" w:rsidRPr="00000849">
        <w:rPr>
          <w:rFonts w:asciiTheme="minorHAnsi" w:hAnsiTheme="minorHAnsi" w:cstheme="minorHAnsi"/>
          <w:color w:val="383838"/>
        </w:rPr>
        <w:t xml:space="preserve">The prevalence of two variables that were consistent positive predictors of hypertension in the current analysis – residence in the Greater Accra Region (W1=13.2%, W2=14.5%) and having previously or never having married (W1=39.4%, W2=37.4%) - was similar among participants in the two study waves and so probably does not explain the decline in the prevalence.  </w:t>
      </w:r>
      <w:r w:rsidR="00193B3D" w:rsidRPr="00000849">
        <w:rPr>
          <w:rFonts w:asciiTheme="minorHAnsi" w:hAnsiTheme="minorHAnsi" w:cstheme="minorHAnsi"/>
          <w:color w:val="383838"/>
        </w:rPr>
        <w:t xml:space="preserve">In the current analysis, the prevalence of overweight/obesity was significantly higher in the W2 </w:t>
      </w:r>
      <w:r w:rsidR="00F852F2" w:rsidRPr="00000849">
        <w:rPr>
          <w:rFonts w:asciiTheme="minorHAnsi" w:hAnsiTheme="minorHAnsi" w:cstheme="minorHAnsi"/>
          <w:color w:val="383838"/>
        </w:rPr>
        <w:t>participants</w:t>
      </w:r>
      <w:r w:rsidR="00193B3D" w:rsidRPr="00000849">
        <w:rPr>
          <w:rFonts w:asciiTheme="minorHAnsi" w:hAnsiTheme="minorHAnsi" w:cstheme="minorHAnsi"/>
          <w:color w:val="383838"/>
        </w:rPr>
        <w:t xml:space="preserve"> (36.1%, 95% CI: 33.3%-39.1%) than in the W1 participants (29.9%, 95% CI: 27.7%-32.3%).  Central adiposity was also higher in the W2 than in the W1 </w:t>
      </w:r>
      <w:r w:rsidR="00193B3D" w:rsidRPr="00000849">
        <w:rPr>
          <w:rFonts w:asciiTheme="minorHAnsi" w:hAnsiTheme="minorHAnsi" w:cstheme="minorHAnsi"/>
          <w:color w:val="383838"/>
        </w:rPr>
        <w:fldChar w:fldCharType="begin"/>
      </w:r>
      <w:r w:rsidR="00193B3D" w:rsidRPr="00000849">
        <w:rPr>
          <w:rFonts w:asciiTheme="minorHAnsi" w:hAnsiTheme="minorHAnsi" w:cstheme="minorHAnsi"/>
          <w:color w:val="383838"/>
        </w:rPr>
        <w:instrText xml:space="preserve"> ADDIN EN.CITE &lt;EndNote&gt;&lt;Cite&gt;&lt;Author&gt;Lartey&lt;/Author&gt;&lt;Year&gt;2019&lt;/Year&gt;&lt;RecNum&gt;983&lt;/RecNum&gt;&lt;DisplayText&gt;(Lartey et al., 2019b)&lt;/DisplayText&gt;&lt;record&gt;&lt;rec-number&gt;983&lt;/rec-number&gt;&lt;foreign-keys&gt;&lt;key app="EN" db-id="9tzf2rda8re2a9es5tuxart3swzx2zws2s02" timestamp="1575530197"&gt;983&lt;/key&gt;&lt;/foreign-keys&gt;&lt;ref-type name="Journal Article"&gt;17&lt;/ref-type&gt;&lt;contributors&gt;&lt;authors&gt;&lt;author&gt;Lartey, Stella T&lt;/author&gt;&lt;author&gt;Magnussen, Costan G&lt;/author&gt;&lt;author&gt;Si, Lei&lt;/author&gt;&lt;author&gt;Boateng, Godfred O&lt;/author&gt;&lt;author&gt;De Graaff, Barbara&lt;/author&gt;&lt;author&gt;Biritwum, Richard Berko&lt;/author&gt;&lt;author&gt;Minicuci, Nadia&lt;/author&gt;&lt;author&gt;Kowal, Paul&lt;/author&gt;&lt;author&gt;Blizzard, Leigh&lt;/author&gt;&lt;author&gt;Palmer, Andrew J&lt;/author&gt;&lt;/authors&gt;&lt;/contributors&gt;&lt;titles&gt;&lt;title&gt;Rapidly increasing prevalence of overweight and obesity in older Ghanaian adults from 2007-2015: evidence from WHO-SAGE Waves 1 &amp;amp; 2&lt;/title&gt;&lt;secondary-title&gt;PloS One&lt;/secondary-title&gt;&lt;/titles&gt;&lt;periodical&gt;&lt;full-title&gt;PLoS One&lt;/full-title&gt;&lt;/periodical&gt;&lt;pages&gt;e021504&lt;/pages&gt;&lt;volume&gt;14&lt;/volume&gt;&lt;number&gt;8&lt;/number&gt;&lt;dates&gt;&lt;year&gt;2019&lt;/year&gt;&lt;/dates&gt;&lt;urls&gt;&lt;related-urls&gt;&lt;url&gt;https://doi.org/10.1371/journal.pone.0215045&lt;/url&gt;&lt;/related-urls&gt;&lt;/urls&gt;&lt;/record&gt;&lt;/Cite&gt;&lt;/EndNote&gt;</w:instrText>
      </w:r>
      <w:r w:rsidR="00193B3D" w:rsidRPr="00000849">
        <w:rPr>
          <w:rFonts w:asciiTheme="minorHAnsi" w:hAnsiTheme="minorHAnsi" w:cstheme="minorHAnsi"/>
          <w:color w:val="383838"/>
        </w:rPr>
        <w:fldChar w:fldCharType="separate"/>
      </w:r>
      <w:r w:rsidR="00193B3D" w:rsidRPr="00000849">
        <w:rPr>
          <w:rFonts w:asciiTheme="minorHAnsi" w:hAnsiTheme="minorHAnsi" w:cstheme="minorHAnsi"/>
          <w:noProof/>
          <w:color w:val="383838"/>
        </w:rPr>
        <w:t>(Lartey et al., 2019b)</w:t>
      </w:r>
      <w:r w:rsidR="00193B3D" w:rsidRPr="00000849">
        <w:rPr>
          <w:rFonts w:asciiTheme="minorHAnsi" w:hAnsiTheme="minorHAnsi" w:cstheme="minorHAnsi"/>
          <w:color w:val="383838"/>
        </w:rPr>
        <w:fldChar w:fldCharType="end"/>
      </w:r>
      <w:r w:rsidR="00193B3D" w:rsidRPr="00000849">
        <w:rPr>
          <w:rFonts w:asciiTheme="minorHAnsi" w:hAnsiTheme="minorHAnsi" w:cstheme="minorHAnsi"/>
          <w:color w:val="383838"/>
        </w:rPr>
        <w:t xml:space="preserve">.  However, W2 participants were </w:t>
      </w:r>
      <w:r w:rsidR="00F852F2" w:rsidRPr="00000849">
        <w:rPr>
          <w:rFonts w:asciiTheme="minorHAnsi" w:hAnsiTheme="minorHAnsi" w:cstheme="minorHAnsi"/>
          <w:color w:val="383838"/>
        </w:rPr>
        <w:t xml:space="preserve">also </w:t>
      </w:r>
      <w:r w:rsidR="00193B3D" w:rsidRPr="00000849">
        <w:rPr>
          <w:rFonts w:asciiTheme="minorHAnsi" w:hAnsiTheme="minorHAnsi" w:cstheme="minorHAnsi"/>
          <w:color w:val="383838"/>
        </w:rPr>
        <w:t xml:space="preserve">younger and better educated.  In any </w:t>
      </w:r>
      <w:r w:rsidR="00193B3D" w:rsidRPr="00000849">
        <w:rPr>
          <w:rFonts w:asciiTheme="minorHAnsi" w:hAnsiTheme="minorHAnsi" w:cstheme="minorHAnsi"/>
          <w:color w:val="383838"/>
        </w:rPr>
        <w:lastRenderedPageBreak/>
        <w:t>case, these and other explanatory variables were controlled for in the regression models.</w:t>
      </w:r>
    </w:p>
    <w:p w14:paraId="5BCA2D0B" w14:textId="28E0A49D" w:rsidR="00A26BD8" w:rsidRPr="00000849" w:rsidRDefault="001A5E16" w:rsidP="009E6129">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Nevertheless, </w:t>
      </w:r>
      <w:r w:rsidR="00260C0E" w:rsidRPr="00000849">
        <w:rPr>
          <w:rFonts w:asciiTheme="minorHAnsi" w:hAnsiTheme="minorHAnsi" w:cstheme="minorHAnsi"/>
          <w:color w:val="383838"/>
        </w:rPr>
        <w:t xml:space="preserve">as explained in section 6.7, </w:t>
      </w:r>
      <w:r w:rsidR="00063CB9" w:rsidRPr="00000849">
        <w:rPr>
          <w:rFonts w:asciiTheme="minorHAnsi" w:hAnsiTheme="minorHAnsi" w:cstheme="minorHAnsi"/>
          <w:color w:val="383838"/>
        </w:rPr>
        <w:t xml:space="preserve">there </w:t>
      </w:r>
      <w:r w:rsidR="00716187" w:rsidRPr="00000849">
        <w:rPr>
          <w:rFonts w:asciiTheme="minorHAnsi" w:hAnsiTheme="minorHAnsi" w:cstheme="minorHAnsi"/>
          <w:color w:val="383838"/>
        </w:rPr>
        <w:t>may be as yet observed and unobserved factors such as salt consumption</w:t>
      </w:r>
      <w:r w:rsidR="009E6129" w:rsidRPr="00000849">
        <w:rPr>
          <w:rFonts w:asciiTheme="minorHAnsi" w:hAnsiTheme="minorHAnsi" w:cstheme="minorHAnsi"/>
          <w:color w:val="383838"/>
        </w:rPr>
        <w:t>, psychosocial factors</w:t>
      </w:r>
      <w:r w:rsidR="00716187" w:rsidRPr="00000849">
        <w:rPr>
          <w:rFonts w:asciiTheme="minorHAnsi" w:hAnsiTheme="minorHAnsi" w:cstheme="minorHAnsi"/>
          <w:color w:val="383838"/>
        </w:rPr>
        <w:t xml:space="preserve"> and co-morbidities that differed between the participants in the two waves.  </w:t>
      </w:r>
      <w:r w:rsidRPr="00000849">
        <w:rPr>
          <w:rFonts w:asciiTheme="minorHAnsi" w:hAnsiTheme="minorHAnsi" w:cstheme="minorHAnsi"/>
          <w:color w:val="383838"/>
        </w:rPr>
        <w:t>For instance, s</w:t>
      </w:r>
      <w:r w:rsidR="00633DE8" w:rsidRPr="00000849">
        <w:rPr>
          <w:rFonts w:asciiTheme="minorHAnsi" w:hAnsiTheme="minorHAnsi" w:cstheme="minorHAnsi"/>
          <w:color w:val="383838"/>
        </w:rPr>
        <w:t xml:space="preserve">everal studies in Ghana on hypertension have found </w:t>
      </w:r>
      <w:r w:rsidRPr="00000849">
        <w:rPr>
          <w:rFonts w:asciiTheme="minorHAnsi" w:hAnsiTheme="minorHAnsi" w:cstheme="minorHAnsi"/>
          <w:color w:val="383838"/>
        </w:rPr>
        <w:t xml:space="preserve">wide variations as well as a high </w:t>
      </w:r>
      <w:r w:rsidR="00633DE8" w:rsidRPr="00000849">
        <w:rPr>
          <w:rFonts w:asciiTheme="minorHAnsi" w:hAnsiTheme="minorHAnsi" w:cstheme="minorHAnsi"/>
          <w:color w:val="383838"/>
        </w:rPr>
        <w:t xml:space="preserve">prevalence of type 2 diabetes of </w:t>
      </w:r>
      <w:r w:rsidRPr="00000849">
        <w:rPr>
          <w:rFonts w:asciiTheme="minorHAnsi" w:hAnsiTheme="minorHAnsi" w:cstheme="minorHAnsi"/>
          <w:color w:val="383838"/>
        </w:rPr>
        <w:t>up to 1</w:t>
      </w:r>
      <w:r w:rsidR="00633DE8" w:rsidRPr="00000849">
        <w:rPr>
          <w:rFonts w:asciiTheme="minorHAnsi" w:hAnsiTheme="minorHAnsi" w:cstheme="minorHAnsi"/>
          <w:color w:val="383838"/>
        </w:rPr>
        <w:t>9% among apparently health</w:t>
      </w:r>
      <w:r w:rsidRPr="00000849">
        <w:rPr>
          <w:rFonts w:asciiTheme="minorHAnsi" w:hAnsiTheme="minorHAnsi" w:cstheme="minorHAnsi"/>
          <w:color w:val="383838"/>
        </w:rPr>
        <w:t>y</w:t>
      </w:r>
      <w:r w:rsidR="00633DE8" w:rsidRPr="00000849">
        <w:rPr>
          <w:rFonts w:asciiTheme="minorHAnsi" w:hAnsiTheme="minorHAnsi" w:cstheme="minorHAnsi"/>
          <w:color w:val="383838"/>
        </w:rPr>
        <w:t xml:space="preserve"> subjects </w:t>
      </w:r>
      <w:r w:rsidR="00633DE8" w:rsidRPr="00000849">
        <w:rPr>
          <w:rFonts w:asciiTheme="minorHAnsi" w:hAnsiTheme="minorHAnsi" w:cstheme="minorHAnsi"/>
          <w:color w:val="383838"/>
        </w:rPr>
        <w:fldChar w:fldCharType="begin">
          <w:fldData xml:space="preserve">PEVuZE5vdGU+PENpdGU+PEF1dGhvcj5Eb3NvbzwvQXV0aG9yPjxZZWFyPjIwMTk8L1llYXI+PFJl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</w:fldData>
        </w:fldChar>
      </w:r>
      <w:r w:rsidR="00633DE8" w:rsidRPr="00000849">
        <w:rPr>
          <w:rFonts w:asciiTheme="minorHAnsi" w:hAnsiTheme="minorHAnsi" w:cstheme="minorHAnsi"/>
          <w:color w:val="383838"/>
        </w:rPr>
        <w:instrText xml:space="preserve"> ADDIN EN.CITE </w:instrText>
      </w:r>
      <w:r w:rsidR="00633DE8" w:rsidRPr="00000849">
        <w:rPr>
          <w:rFonts w:asciiTheme="minorHAnsi" w:hAnsiTheme="minorHAnsi" w:cstheme="minorHAnsi"/>
          <w:color w:val="383838"/>
        </w:rPr>
        <w:fldChar w:fldCharType="begin">
          <w:fldData xml:space="preserve">PEVuZE5vdGU+PENpdGU+PEF1dGhvcj5Eb3NvbzwvQXV0aG9yPjxZZWFyPjIwMTk8L1llYXI+PFJl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</w:fldData>
        </w:fldChar>
      </w:r>
      <w:r w:rsidR="00633DE8" w:rsidRPr="00000849">
        <w:rPr>
          <w:rFonts w:asciiTheme="minorHAnsi" w:hAnsiTheme="minorHAnsi" w:cstheme="minorHAnsi"/>
          <w:color w:val="383838"/>
        </w:rPr>
        <w:instrText xml:space="preserve"> ADDIN EN.CITE.DATA </w:instrText>
      </w:r>
      <w:r w:rsidR="00633DE8" w:rsidRPr="00000849">
        <w:rPr>
          <w:rFonts w:asciiTheme="minorHAnsi" w:hAnsiTheme="minorHAnsi" w:cstheme="minorHAnsi"/>
          <w:color w:val="383838"/>
        </w:rPr>
      </w:r>
      <w:r w:rsidR="00633DE8" w:rsidRPr="00000849">
        <w:rPr>
          <w:rFonts w:asciiTheme="minorHAnsi" w:hAnsiTheme="minorHAnsi" w:cstheme="minorHAnsi"/>
          <w:color w:val="383838"/>
        </w:rPr>
        <w:fldChar w:fldCharType="end"/>
      </w:r>
      <w:r w:rsidR="00633DE8" w:rsidRPr="00000849">
        <w:rPr>
          <w:rFonts w:asciiTheme="minorHAnsi" w:hAnsiTheme="minorHAnsi" w:cstheme="minorHAnsi"/>
          <w:color w:val="383838"/>
        </w:rPr>
      </w:r>
      <w:r w:rsidR="00633DE8" w:rsidRPr="00000849">
        <w:rPr>
          <w:rFonts w:asciiTheme="minorHAnsi" w:hAnsiTheme="minorHAnsi" w:cstheme="minorHAnsi"/>
          <w:color w:val="383838"/>
        </w:rPr>
        <w:fldChar w:fldCharType="separate"/>
      </w:r>
      <w:r w:rsidR="00633DE8" w:rsidRPr="00000849">
        <w:rPr>
          <w:rFonts w:asciiTheme="minorHAnsi" w:hAnsiTheme="minorHAnsi" w:cstheme="minorHAnsi"/>
          <w:noProof/>
          <w:color w:val="383838"/>
        </w:rPr>
        <w:t>(Dosoo et al., 2019; Nunoo, 2018; Owiredu et al., 2008)</w:t>
      </w:r>
      <w:r w:rsidR="00633DE8" w:rsidRPr="00000849">
        <w:rPr>
          <w:rFonts w:asciiTheme="minorHAnsi" w:hAnsiTheme="minorHAnsi" w:cstheme="minorHAnsi"/>
          <w:color w:val="383838"/>
        </w:rPr>
        <w:fldChar w:fldCharType="end"/>
      </w:r>
      <w:r w:rsidR="00633DE8" w:rsidRPr="00000849">
        <w:rPr>
          <w:rFonts w:asciiTheme="minorHAnsi" w:hAnsiTheme="minorHAnsi" w:cstheme="minorHAnsi"/>
          <w:color w:val="383838"/>
        </w:rPr>
        <w:t xml:space="preserve">.  </w:t>
      </w:r>
      <w:r w:rsidR="00F852F2" w:rsidRPr="00000849">
        <w:rPr>
          <w:rFonts w:asciiTheme="minorHAnsi" w:hAnsiTheme="minorHAnsi" w:cstheme="minorHAnsi"/>
          <w:color w:val="383838"/>
        </w:rPr>
        <w:t xml:space="preserve">A previous history of stroke was found to be strongly associated with hypertension in older adults in SAGE W1 in Ghana </w:t>
      </w:r>
      <w:r w:rsidR="00F852F2" w:rsidRPr="00000849">
        <w:rPr>
          <w:rFonts w:asciiTheme="minorHAnsi" w:hAnsiTheme="minorHAnsi" w:cstheme="minorHAnsi"/>
          <w:color w:val="383838"/>
        </w:rPr>
        <w:fldChar w:fldCharType="begin"/>
      </w:r>
      <w:r w:rsidR="00AC2BE6">
        <w:rPr>
          <w:rFonts w:asciiTheme="minorHAnsi" w:hAnsiTheme="minorHAnsi" w:cstheme="minorHAnsi"/>
          <w:color w:val="383838"/>
        </w:rPr>
        <w:instrText xml:space="preserve"> ADDIN EN.CITE &lt;EndNote&gt;&lt;Cite&gt;&lt;Author&gt;Tyrovolas&lt;/Author&gt;&lt;Year&gt;2015&lt;/Year&gt;&lt;RecNum&gt;814&lt;/RecNum&gt;&lt;DisplayText&gt;(Tyrovolas et al., 2015)&lt;/DisplayText&gt;&lt;record&gt;&lt;rec-number&gt;814&lt;/rec-number&gt;&lt;foreign-keys&gt;&lt;key app="EN" db-id="29t2ptva8t9xtgex0z2vepsadpwpfxd9a2zv" timestamp="1613841980"&gt;814&lt;/key&gt;&lt;/foreign-keys&gt;&lt;ref-type name="Journal Article"&gt;17&lt;/ref-type&gt;&lt;contributors&gt;&lt;authors&gt;&lt;author&gt;Tyrovolas, Stefanos&lt;/author&gt;&lt;author&gt;Koyanagi, Ai&lt;/author&gt;&lt;author&gt;Garin, Noe&lt;/author&gt;&lt;author&gt;Olaya, Beatriz&lt;/author&gt;&lt;author&gt;Ayuso-Mateos, Jose Luis&lt;/author&gt;&lt;author&gt;Miret, Marta&lt;/author&gt;&lt;author&gt;Chatterji, Somnath&lt;/author&gt;&lt;author&gt;Tobiasz-Adamczyk, Beata&lt;/author&gt;&lt;author&gt;Koskinen, Seppo&lt;/author&gt;&lt;author&gt;Leonardi, Matilde&lt;/author&gt;&lt;author&gt;Haro, Josep Maria&lt;/author&gt;&lt;/authors&gt;&lt;/contributors&gt;&lt;titles&gt;&lt;title&gt;Determinants of the components of arterial pressure among older adults – The role of anthropometric and clinical factors: A multi-continent study&lt;/title&gt;&lt;secondary-title&gt;Atherosclerosis&lt;/secondary-title&gt;&lt;/titles&gt;&lt;periodical&gt;&lt;full-title&gt;Atherosclerosis&lt;/full-title&gt;&lt;/periodical&gt;&lt;pages&gt;240-249&lt;/pages&gt;&lt;volume&gt;238&lt;/volume&gt;&lt;number&gt;2&lt;/number&gt;&lt;keywords&gt;&lt;keyword&gt;Hypertension&lt;/keyword&gt;&lt;keyword&gt;Mean Arterial Pressure&lt;/keyword&gt;&lt;keyword&gt;Pulse Pressure&lt;/keyword&gt;&lt;keyword&gt;Obesity&lt;/keyword&gt;&lt;keyword&gt;Developing Countries&lt;/keyword&gt;&lt;/keywords&gt;&lt;dates&gt;&lt;year&gt;2015&lt;/year&gt;&lt;/dates&gt;&lt;isbn&gt;0021-9150&lt;/isbn&gt;&lt;urls&gt;&lt;/urls&gt;&lt;electronic-resource-num&gt;10.1016/j.atherosclerosis.2014.11.029&lt;/electronic-resource-num&gt;&lt;/record&gt;&lt;/Cite&gt;&lt;/EndNote&gt;</w:instrText>
      </w:r>
      <w:r w:rsidR="00F852F2" w:rsidRPr="00000849">
        <w:rPr>
          <w:rFonts w:asciiTheme="minorHAnsi" w:hAnsiTheme="minorHAnsi" w:cstheme="minorHAnsi"/>
          <w:color w:val="383838"/>
        </w:rPr>
        <w:fldChar w:fldCharType="separate"/>
      </w:r>
      <w:r w:rsidR="00F852F2" w:rsidRPr="00000849">
        <w:rPr>
          <w:rFonts w:asciiTheme="minorHAnsi" w:hAnsiTheme="minorHAnsi" w:cstheme="minorHAnsi"/>
          <w:noProof/>
          <w:color w:val="383838"/>
        </w:rPr>
        <w:t>(Tyrovolas et al., 2015)</w:t>
      </w:r>
      <w:r w:rsidR="00F852F2" w:rsidRPr="00000849">
        <w:rPr>
          <w:rFonts w:asciiTheme="minorHAnsi" w:hAnsiTheme="minorHAnsi" w:cstheme="minorHAnsi"/>
          <w:color w:val="383838"/>
        </w:rPr>
        <w:fldChar w:fldCharType="end"/>
      </w:r>
      <w:r w:rsidR="00F852F2" w:rsidRPr="00000849">
        <w:rPr>
          <w:rFonts w:asciiTheme="minorHAnsi" w:hAnsiTheme="minorHAnsi" w:cstheme="minorHAnsi"/>
          <w:color w:val="383838"/>
        </w:rPr>
        <w:t>.</w:t>
      </w:r>
    </w:p>
    <w:p w14:paraId="5127A667" w14:textId="45B5B43E" w:rsidR="00B1238B" w:rsidRPr="00000849" w:rsidRDefault="00CE2F40" w:rsidP="00BC44E0">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The pattern of hypertension among </w:t>
      </w:r>
      <w:r w:rsidR="003C0192" w:rsidRPr="00000849">
        <w:rPr>
          <w:rFonts w:asciiTheme="minorHAnsi" w:hAnsiTheme="minorHAnsi" w:cstheme="minorHAnsi"/>
          <w:color w:val="383838"/>
        </w:rPr>
        <w:t>subjects who participated</w:t>
      </w:r>
      <w:r w:rsidRPr="00000849">
        <w:rPr>
          <w:rFonts w:asciiTheme="minorHAnsi" w:hAnsiTheme="minorHAnsi" w:cstheme="minorHAnsi"/>
          <w:color w:val="383838"/>
        </w:rPr>
        <w:t xml:space="preserve"> in both waves provide</w:t>
      </w:r>
      <w:r w:rsidR="003C0192" w:rsidRPr="00000849">
        <w:rPr>
          <w:rFonts w:asciiTheme="minorHAnsi" w:hAnsiTheme="minorHAnsi" w:cstheme="minorHAnsi"/>
          <w:color w:val="383838"/>
        </w:rPr>
        <w:t>s</w:t>
      </w:r>
      <w:r w:rsidR="00E94442" w:rsidRPr="00000849">
        <w:rPr>
          <w:rFonts w:asciiTheme="minorHAnsi" w:hAnsiTheme="minorHAnsi" w:cstheme="minorHAnsi"/>
          <w:color w:val="383838"/>
        </w:rPr>
        <w:t>, perhaps,</w:t>
      </w:r>
      <w:r w:rsidRPr="00000849">
        <w:rPr>
          <w:rFonts w:asciiTheme="minorHAnsi" w:hAnsiTheme="minorHAnsi" w:cstheme="minorHAnsi"/>
          <w:color w:val="383838"/>
        </w:rPr>
        <w:t xml:space="preserve"> </w:t>
      </w:r>
      <w:r w:rsidR="00E94442" w:rsidRPr="00000849">
        <w:rPr>
          <w:rFonts w:asciiTheme="minorHAnsi" w:hAnsiTheme="minorHAnsi" w:cstheme="minorHAnsi"/>
          <w:color w:val="383838"/>
        </w:rPr>
        <w:t xml:space="preserve">the most plausible </w:t>
      </w:r>
      <w:r w:rsidRPr="00000849">
        <w:rPr>
          <w:rFonts w:asciiTheme="minorHAnsi" w:hAnsiTheme="minorHAnsi" w:cstheme="minorHAnsi"/>
          <w:color w:val="383838"/>
        </w:rPr>
        <w:t>clue to the decline in the prevalence.  Once diagnosed as having hypertension</w:t>
      </w:r>
      <w:r w:rsidR="00B1238B" w:rsidRPr="00000849">
        <w:rPr>
          <w:rFonts w:asciiTheme="minorHAnsi" w:hAnsiTheme="minorHAnsi" w:cstheme="minorHAnsi"/>
          <w:color w:val="383838"/>
        </w:rPr>
        <w:t xml:space="preserve"> in W1</w:t>
      </w:r>
      <w:r w:rsidRPr="00000849">
        <w:rPr>
          <w:rFonts w:asciiTheme="minorHAnsi" w:hAnsiTheme="minorHAnsi" w:cstheme="minorHAnsi"/>
          <w:color w:val="383838"/>
        </w:rPr>
        <w:t xml:space="preserve">, a participant </w:t>
      </w:r>
      <w:r w:rsidR="00FC53BF" w:rsidRPr="00000849">
        <w:rPr>
          <w:rFonts w:asciiTheme="minorHAnsi" w:hAnsiTheme="minorHAnsi" w:cstheme="minorHAnsi"/>
          <w:color w:val="383838"/>
        </w:rPr>
        <w:t>can</w:t>
      </w:r>
      <w:r w:rsidRPr="00000849">
        <w:rPr>
          <w:rFonts w:asciiTheme="minorHAnsi" w:hAnsiTheme="minorHAnsi" w:cstheme="minorHAnsi"/>
          <w:color w:val="383838"/>
        </w:rPr>
        <w:t xml:space="preserve">not subsequently </w:t>
      </w:r>
      <w:r w:rsidR="00B1238B" w:rsidRPr="00000849">
        <w:rPr>
          <w:rFonts w:asciiTheme="minorHAnsi" w:hAnsiTheme="minorHAnsi" w:cstheme="minorHAnsi"/>
          <w:color w:val="383838"/>
        </w:rPr>
        <w:t xml:space="preserve">be </w:t>
      </w:r>
      <w:r w:rsidRPr="00000849">
        <w:rPr>
          <w:rFonts w:asciiTheme="minorHAnsi" w:hAnsiTheme="minorHAnsi" w:cstheme="minorHAnsi"/>
          <w:color w:val="383838"/>
        </w:rPr>
        <w:t>classified as non-hypertensive</w:t>
      </w:r>
      <w:r w:rsidR="00B1238B" w:rsidRPr="00000849">
        <w:rPr>
          <w:rFonts w:asciiTheme="minorHAnsi" w:hAnsiTheme="minorHAnsi" w:cstheme="minorHAnsi"/>
          <w:color w:val="383838"/>
        </w:rPr>
        <w:t xml:space="preserve"> in W2</w:t>
      </w:r>
      <w:r w:rsidRPr="00000849">
        <w:rPr>
          <w:rFonts w:asciiTheme="minorHAnsi" w:hAnsiTheme="minorHAnsi" w:cstheme="minorHAnsi"/>
          <w:color w:val="383838"/>
        </w:rPr>
        <w:t xml:space="preserve">.  </w:t>
      </w:r>
      <w:r w:rsidR="00DF720F" w:rsidRPr="00000849">
        <w:rPr>
          <w:rFonts w:asciiTheme="minorHAnsi" w:hAnsiTheme="minorHAnsi" w:cstheme="minorHAnsi"/>
          <w:color w:val="383838"/>
        </w:rPr>
        <w:t>If</w:t>
      </w:r>
      <w:r w:rsidR="00B1238B" w:rsidRPr="00000849">
        <w:rPr>
          <w:rFonts w:asciiTheme="minorHAnsi" w:hAnsiTheme="minorHAnsi" w:cstheme="minorHAnsi"/>
          <w:color w:val="383838"/>
        </w:rPr>
        <w:t xml:space="preserve"> a</w:t>
      </w:r>
      <w:r w:rsidRPr="00000849">
        <w:rPr>
          <w:rFonts w:asciiTheme="minorHAnsi" w:hAnsiTheme="minorHAnsi" w:cstheme="minorHAnsi"/>
          <w:color w:val="383838"/>
        </w:rPr>
        <w:t xml:space="preserve"> </w:t>
      </w:r>
      <w:r w:rsidR="00B1238B" w:rsidRPr="00000849">
        <w:rPr>
          <w:rFonts w:asciiTheme="minorHAnsi" w:hAnsiTheme="minorHAnsi" w:cstheme="minorHAnsi"/>
          <w:color w:val="383838"/>
        </w:rPr>
        <w:t xml:space="preserve">W1 </w:t>
      </w:r>
      <w:r w:rsidR="00943C72" w:rsidRPr="00000849">
        <w:rPr>
          <w:rFonts w:asciiTheme="minorHAnsi" w:hAnsiTheme="minorHAnsi" w:cstheme="minorHAnsi"/>
          <w:color w:val="383838"/>
        </w:rPr>
        <w:t xml:space="preserve">subject with hypertension </w:t>
      </w:r>
      <w:r w:rsidR="00DF720F" w:rsidRPr="00000849">
        <w:rPr>
          <w:rFonts w:asciiTheme="minorHAnsi" w:hAnsiTheme="minorHAnsi" w:cstheme="minorHAnsi"/>
          <w:color w:val="383838"/>
        </w:rPr>
        <w:t xml:space="preserve">has his/her </w:t>
      </w:r>
      <w:r w:rsidRPr="00000849">
        <w:rPr>
          <w:rFonts w:asciiTheme="minorHAnsi" w:hAnsiTheme="minorHAnsi" w:cstheme="minorHAnsi"/>
          <w:color w:val="383838"/>
        </w:rPr>
        <w:t xml:space="preserve">BP controlled </w:t>
      </w:r>
      <w:r w:rsidR="00B1238B" w:rsidRPr="00000849">
        <w:rPr>
          <w:rFonts w:asciiTheme="minorHAnsi" w:hAnsiTheme="minorHAnsi" w:cstheme="minorHAnsi"/>
          <w:color w:val="383838"/>
        </w:rPr>
        <w:t>in W2</w:t>
      </w:r>
      <w:r w:rsidR="00DF720F" w:rsidRPr="00000849">
        <w:rPr>
          <w:rFonts w:asciiTheme="minorHAnsi" w:hAnsiTheme="minorHAnsi" w:cstheme="minorHAnsi"/>
          <w:color w:val="383838"/>
        </w:rPr>
        <w:t>, he/she</w:t>
      </w:r>
      <w:r w:rsidR="00B1238B"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is classified as </w:t>
      </w:r>
      <w:r w:rsidR="00B1238B" w:rsidRPr="00000849">
        <w:rPr>
          <w:rFonts w:asciiTheme="minorHAnsi" w:hAnsiTheme="minorHAnsi" w:cstheme="minorHAnsi"/>
          <w:color w:val="383838"/>
        </w:rPr>
        <w:t>such</w:t>
      </w:r>
      <w:r w:rsidR="00DF720F" w:rsidRPr="00000849">
        <w:rPr>
          <w:rFonts w:asciiTheme="minorHAnsi" w:hAnsiTheme="minorHAnsi" w:cstheme="minorHAnsi"/>
          <w:color w:val="383838"/>
        </w:rPr>
        <w:t xml:space="preserve"> – that is, a subject whose </w:t>
      </w:r>
      <w:r w:rsidRPr="00000849">
        <w:rPr>
          <w:rFonts w:asciiTheme="minorHAnsi" w:hAnsiTheme="minorHAnsi" w:cstheme="minorHAnsi"/>
          <w:color w:val="383838"/>
        </w:rPr>
        <w:t>hypertensi</w:t>
      </w:r>
      <w:r w:rsidR="00DF720F" w:rsidRPr="00000849">
        <w:rPr>
          <w:rFonts w:asciiTheme="minorHAnsi" w:hAnsiTheme="minorHAnsi" w:cstheme="minorHAnsi"/>
          <w:color w:val="383838"/>
        </w:rPr>
        <w:t>on is</w:t>
      </w:r>
      <w:r w:rsidRPr="00000849">
        <w:rPr>
          <w:rFonts w:asciiTheme="minorHAnsi" w:hAnsiTheme="minorHAnsi" w:cstheme="minorHAnsi"/>
          <w:color w:val="383838"/>
        </w:rPr>
        <w:t xml:space="preserve"> controlled.  However, in the current analyses, 336 (33.5%) of 1004</w:t>
      </w:r>
      <w:r w:rsidR="00BC44E0" w:rsidRPr="00000849">
        <w:rPr>
          <w:rFonts w:asciiTheme="minorHAnsi" w:hAnsiTheme="minorHAnsi" w:cstheme="minorHAnsi"/>
          <w:color w:val="383838"/>
        </w:rPr>
        <w:t xml:space="preserve"> participants from W1 were subsequently found not </w:t>
      </w:r>
      <w:r w:rsidR="003C0192" w:rsidRPr="00000849">
        <w:rPr>
          <w:rFonts w:asciiTheme="minorHAnsi" w:hAnsiTheme="minorHAnsi" w:cstheme="minorHAnsi"/>
          <w:color w:val="383838"/>
        </w:rPr>
        <w:t xml:space="preserve">to </w:t>
      </w:r>
      <w:r w:rsidR="00BC44E0" w:rsidRPr="00000849">
        <w:rPr>
          <w:rFonts w:asciiTheme="minorHAnsi" w:hAnsiTheme="minorHAnsi" w:cstheme="minorHAnsi"/>
          <w:color w:val="383838"/>
        </w:rPr>
        <w:t>have hypertension</w:t>
      </w:r>
      <w:r w:rsidR="003C0192" w:rsidRPr="00000849">
        <w:rPr>
          <w:rFonts w:asciiTheme="minorHAnsi" w:hAnsiTheme="minorHAnsi" w:cstheme="minorHAnsi"/>
          <w:color w:val="383838"/>
        </w:rPr>
        <w:t xml:space="preserve"> in W2</w:t>
      </w:r>
      <w:r w:rsidR="00BC44E0" w:rsidRPr="00000849">
        <w:rPr>
          <w:rFonts w:asciiTheme="minorHAnsi" w:hAnsiTheme="minorHAnsi" w:cstheme="minorHAnsi"/>
          <w:color w:val="383838"/>
        </w:rPr>
        <w:t xml:space="preserve">.  It is plausible that </w:t>
      </w:r>
      <w:r w:rsidR="00136129" w:rsidRPr="00000849">
        <w:rPr>
          <w:rFonts w:asciiTheme="minorHAnsi" w:hAnsiTheme="minorHAnsi" w:cstheme="minorHAnsi"/>
          <w:color w:val="383838"/>
        </w:rPr>
        <w:t xml:space="preserve">the single-visit assessment may have overestimated the true prevalence of hypertension </w:t>
      </w:r>
      <w:r w:rsidR="00136129"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&lt;EndNote&gt;&lt;Cite&gt;&lt;Author&gt;O&amp;apos;Brien&lt;/Author&gt;&lt;Year&gt;2003&lt;/Year&gt;&lt;RecNum&gt;72&lt;/RecNum&gt;&lt;DisplayText&gt;(Figueiredo et al., 2008; O&amp;apos;Brien et al., 2003)&lt;/DisplayText&gt;&lt;record&gt;&lt;rec-number&gt;72&lt;/rec-number&gt;&lt;foreign-keys&gt;&lt;key app="EN" db-id="9tzf2rda8re2a9es5tuxart3swzx2zws2s02" timestamp="1465212507"&gt;72&lt;/key&gt;&lt;/foreign-keys&gt;&lt;ref-type name="Journal Article"&gt;17&lt;/ref-type&gt;&lt;contributors&gt;&lt;authors&gt;&lt;author&gt;O&amp;apos;Brien, Eoin&lt;/author&gt;&lt;author&gt;Asmar, Roland&lt;/author&gt;&lt;author&gt;Beilin, Lawrie&lt;/author&gt;&lt;author&gt;Imai, Yutaka&lt;/author&gt;&lt;author&gt;Mallion, Jean-Michel&lt;/author&gt;&lt;author&gt;Mancia, Giuseppe&lt;/author&gt;&lt;author&gt;Mengden, Thomas&lt;/author&gt;&lt;author&gt;Myers, Martin&lt;/author&gt;&lt;author&gt;Padfield, Paul&lt;/author&gt;&lt;author&gt;Palatini, Paolo&lt;/author&gt;&lt;/authors&gt;&lt;/contributors&gt;&lt;titles&gt;&lt;title&gt;European Society of Hypertension recommendations for conventional, ambulatory and home blood pressure measurement&lt;/title&gt;&lt;secondary-title&gt;Journal of Hypertension&lt;/secondary-title&gt;&lt;/titles&gt;&lt;pages&gt;821-848&lt;/pages&gt;&lt;volume&gt;21&lt;/volume&gt;&lt;number&gt;5&lt;/number&gt;&lt;dates&gt;&lt;year&gt;2003&lt;/year&gt;&lt;/dates&gt;&lt;isbn&gt;0263-6352&lt;/isbn&gt;&lt;urls&gt;&lt;/urls&gt;&lt;/record&gt;&lt;/Cite&gt;&lt;Cite&gt;&lt;Author&gt;Figueiredo&lt;/Author&gt;&lt;Year&gt;2008&lt;/Year&gt;&lt;RecNum&gt;71&lt;/RecNum&gt;&lt;record&gt;&lt;rec-number&gt;71&lt;/rec-number&gt;&lt;foreign-keys&gt;&lt;key app="EN" db-id="9tzf2rda8re2a9es5tuxart3swzx2zws2s02" timestamp="1465211514"&gt;71&lt;/key&gt;&lt;/foreign-keys&gt;&lt;ref-type name="Journal Article"&gt;17&lt;/ref-type&gt;&lt;contributors&gt;&lt;authors&gt;&lt;author&gt;Figueiredo, Daniela&lt;/author&gt;&lt;author&gt;Azevedo, Ana&lt;/author&gt;&lt;author&gt;Pereira, Marta&lt;/author&gt;&lt;author&gt;de Barros, Henrique&lt;/author&gt;&lt;/authors&gt;&lt;/contributors&gt;&lt;titles&gt;&lt;title&gt;Definition of hypertension: the impact of number of visits for blood pressure measurement&lt;/title&gt;&lt;secondary-title&gt;Revista Portuguesa de Cardiologia&lt;/secondary-title&gt;&lt;/titles&gt;&lt;periodical&gt;&lt;full-title&gt;Revista Portuguesa de Cardiologia&lt;/full-title&gt;&lt;/periodical&gt;&lt;pages&gt;775-783&lt;/pages&gt;&lt;volume&gt;28&lt;/volume&gt;&lt;number&gt;7-8&lt;/number&gt;&lt;dates&gt;&lt;year&gt;2008&lt;/year&gt;&lt;/dates&gt;&lt;isbn&gt;0870-2551&lt;/isbn&gt;&lt;urls&gt;&lt;/urls&gt;&lt;/record&gt;&lt;/Cite&gt;&lt;/EndNote&gt;</w:instrText>
      </w:r>
      <w:r w:rsidR="00136129"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(Figueiredo et al., 2008; O'Brien et al., 2003)</w:t>
      </w:r>
      <w:r w:rsidR="00136129" w:rsidRPr="00000849">
        <w:rPr>
          <w:rFonts w:asciiTheme="minorHAnsi" w:hAnsiTheme="minorHAnsi" w:cstheme="minorHAnsi"/>
          <w:color w:val="383838"/>
        </w:rPr>
        <w:fldChar w:fldCharType="end"/>
      </w:r>
      <w:r w:rsidR="00136129" w:rsidRPr="00000849">
        <w:rPr>
          <w:rFonts w:asciiTheme="minorHAnsi" w:hAnsiTheme="minorHAnsi" w:cstheme="minorHAnsi"/>
          <w:color w:val="383838"/>
        </w:rPr>
        <w:t xml:space="preserve">.  </w:t>
      </w:r>
      <w:r w:rsidR="00BC44E0" w:rsidRPr="00000849">
        <w:rPr>
          <w:rFonts w:asciiTheme="minorHAnsi" w:hAnsiTheme="minorHAnsi" w:cstheme="minorHAnsi"/>
          <w:color w:val="383838"/>
        </w:rPr>
        <w:t xml:space="preserve">In other words, </w:t>
      </w:r>
      <w:r w:rsidR="00F35237" w:rsidRPr="00000849">
        <w:rPr>
          <w:rFonts w:asciiTheme="minorHAnsi" w:hAnsiTheme="minorHAnsi" w:cstheme="minorHAnsi"/>
          <w:color w:val="383838"/>
        </w:rPr>
        <w:t xml:space="preserve">there may have been participants diagnosed </w:t>
      </w:r>
      <w:r w:rsidR="00457B22" w:rsidRPr="00000849">
        <w:rPr>
          <w:rFonts w:asciiTheme="minorHAnsi" w:hAnsiTheme="minorHAnsi" w:cstheme="minorHAnsi"/>
          <w:color w:val="383838"/>
        </w:rPr>
        <w:t xml:space="preserve">as having hypertension at W1, who would </w:t>
      </w:r>
      <w:r w:rsidR="00F73D6E" w:rsidRPr="00000849">
        <w:rPr>
          <w:rFonts w:asciiTheme="minorHAnsi" w:hAnsiTheme="minorHAnsi" w:cstheme="minorHAnsi"/>
          <w:color w:val="383838"/>
        </w:rPr>
        <w:t xml:space="preserve">not </w:t>
      </w:r>
      <w:r w:rsidR="00457B22" w:rsidRPr="00000849">
        <w:rPr>
          <w:rFonts w:asciiTheme="minorHAnsi" w:hAnsiTheme="minorHAnsi" w:cstheme="minorHAnsi"/>
          <w:color w:val="383838"/>
        </w:rPr>
        <w:t>have been considered</w:t>
      </w:r>
      <w:r w:rsidR="00F73D6E" w:rsidRPr="00000849">
        <w:rPr>
          <w:rFonts w:asciiTheme="minorHAnsi" w:hAnsiTheme="minorHAnsi" w:cstheme="minorHAnsi"/>
          <w:color w:val="383838"/>
        </w:rPr>
        <w:t xml:space="preserve"> </w:t>
      </w:r>
      <w:r w:rsidR="001B3829" w:rsidRPr="00000849">
        <w:rPr>
          <w:rFonts w:asciiTheme="minorHAnsi" w:hAnsiTheme="minorHAnsi" w:cstheme="minorHAnsi"/>
          <w:color w:val="383838"/>
        </w:rPr>
        <w:t xml:space="preserve">as </w:t>
      </w:r>
      <w:r w:rsidR="00F73D6E" w:rsidRPr="00000849">
        <w:rPr>
          <w:rFonts w:asciiTheme="minorHAnsi" w:hAnsiTheme="minorHAnsi" w:cstheme="minorHAnsi"/>
          <w:color w:val="383838"/>
        </w:rPr>
        <w:t>hav</w:t>
      </w:r>
      <w:r w:rsidR="001B3829" w:rsidRPr="00000849">
        <w:rPr>
          <w:rFonts w:asciiTheme="minorHAnsi" w:hAnsiTheme="minorHAnsi" w:cstheme="minorHAnsi"/>
          <w:color w:val="383838"/>
        </w:rPr>
        <w:t>ing</w:t>
      </w:r>
      <w:r w:rsidR="00F73D6E" w:rsidRPr="00000849">
        <w:rPr>
          <w:rFonts w:asciiTheme="minorHAnsi" w:hAnsiTheme="minorHAnsi" w:cstheme="minorHAnsi"/>
          <w:color w:val="383838"/>
        </w:rPr>
        <w:t xml:space="preserve"> </w:t>
      </w:r>
      <w:r w:rsidR="001B3829" w:rsidRPr="00000849">
        <w:rPr>
          <w:rFonts w:asciiTheme="minorHAnsi" w:hAnsiTheme="minorHAnsi" w:cstheme="minorHAnsi"/>
          <w:color w:val="383838"/>
        </w:rPr>
        <w:t xml:space="preserve">it </w:t>
      </w:r>
      <w:r w:rsidR="003C0192" w:rsidRPr="00000849">
        <w:rPr>
          <w:rFonts w:asciiTheme="minorHAnsi" w:hAnsiTheme="minorHAnsi" w:cstheme="minorHAnsi"/>
          <w:color w:val="383838"/>
        </w:rPr>
        <w:t>on subsequent evaluation</w:t>
      </w:r>
      <w:r w:rsidR="00034DE3" w:rsidRPr="00000849">
        <w:rPr>
          <w:rFonts w:asciiTheme="minorHAnsi" w:hAnsiTheme="minorHAnsi" w:cstheme="minorHAnsi"/>
          <w:color w:val="383838"/>
        </w:rPr>
        <w:t xml:space="preserve">.  </w:t>
      </w:r>
      <w:r w:rsidR="008C4CCE" w:rsidRPr="00000849">
        <w:rPr>
          <w:rFonts w:asciiTheme="minorHAnsi" w:hAnsiTheme="minorHAnsi" w:cstheme="minorHAnsi"/>
          <w:color w:val="383838"/>
        </w:rPr>
        <w:t xml:space="preserve">Current practice guidelines recommend that a diagnosis of hypertension be confirmed after two or three clinic </w:t>
      </w:r>
      <w:r w:rsidR="008C4CCE" w:rsidRPr="00000849">
        <w:rPr>
          <w:rFonts w:asciiTheme="minorHAnsi" w:hAnsiTheme="minorHAnsi" w:cstheme="minorHAnsi"/>
          <w:color w:val="383838"/>
        </w:rPr>
        <w:lastRenderedPageBreak/>
        <w:t xml:space="preserve">visits at one-to-four week intervals except when the BP ≥ 180/110 mmHg and there is evidence of CVD </w:t>
      </w:r>
      <w:r w:rsidR="00F970F5"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&lt;EndNote&gt;&lt;Cite&gt;&lt;Author&gt;Unger&lt;/Author&gt;&lt;Year&gt;2020&lt;/Year&gt;&lt;RecNum&gt;1646&lt;/RecNum&gt;&lt;DisplayText&gt;(Unger et al., 2020)&lt;/DisplayText&gt;&lt;record&gt;&lt;rec-number&gt;1646&lt;/rec-number&gt;&lt;foreign-keys&gt;&lt;key app="EN" db-id="9tzf2rda8re2a9es5tuxart3swzx2zws2s02" timestamp="1592039293"&gt;1646&lt;/key&gt;&lt;/foreign-keys&gt;&lt;ref-type name="Journal Article"&gt;17&lt;/ref-type&gt;&lt;contributors&gt;&lt;authors&gt;&lt;author&gt;Thomas Unger&lt;/author&gt;&lt;author&gt;Claudio Borghi&lt;/author&gt;&lt;author&gt;Fadi Charchar&lt;/author&gt;&lt;author&gt;Nadia A. Khan&lt;/author&gt;&lt;author&gt;Neil R. Poulter&lt;/author&gt;&lt;author&gt;Dorairaj Prabhakaran&lt;/author&gt;&lt;author&gt;Agustin Ramirez&lt;/author&gt;&lt;author&gt;Markus Schlaich&lt;/author&gt;&lt;author&gt;George S. Stergiou&lt;/author&gt;&lt;author&gt;Maciej Tomaszewski&lt;/author&gt;&lt;author&gt;Richard D. Wainford&lt;/author&gt;&lt;author&gt;Bryan Williams&lt;/author&gt;&lt;author&gt;Aletta E. Schutte&lt;/author&gt;&lt;/authors&gt;&lt;/contributors&gt;&lt;titles&gt;&lt;title&gt;2020 International Society of Hypertension Global Hypertension Practice Guidelines&lt;/title&gt;&lt;secondary-title&gt;Hypertension&lt;/secondary-title&gt;&lt;/titles&gt;&lt;periodical&gt;&lt;full-title&gt;Hypertension&lt;/full-title&gt;&lt;abbr-1&gt;Hypertension&lt;/abbr-1&gt;&lt;/periodical&gt;&lt;pages&gt;1334-1357&lt;/pages&gt;&lt;volume&gt;75&lt;/volume&gt;&lt;number&gt;6&lt;/number&gt;&lt;dates&gt;&lt;year&gt;2020&lt;/year&gt;&lt;/dates&gt;&lt;urls&gt;&lt;related-urls&gt;&lt;url&gt;https://www.ahajournals.org/doi/abs/10.1161/HYPERTENSIONAHA.120.15026&lt;/url&gt;&lt;/related-urls&gt;&lt;/urls&gt;&lt;electronic-resource-num&gt;doi:10.1161/HYPERTENSIONAHA.120.15026&lt;/electronic-resource-num&gt;&lt;/record&gt;&lt;/Cite&gt;&lt;/EndNote&gt;</w:instrText>
      </w:r>
      <w:r w:rsidR="00F970F5" w:rsidRPr="00000849">
        <w:rPr>
          <w:rFonts w:asciiTheme="minorHAnsi" w:hAnsiTheme="minorHAnsi" w:cstheme="minorHAnsi"/>
          <w:color w:val="383838"/>
        </w:rPr>
        <w:fldChar w:fldCharType="separate"/>
      </w:r>
      <w:r w:rsidR="00F970F5" w:rsidRPr="00000849">
        <w:rPr>
          <w:rFonts w:asciiTheme="minorHAnsi" w:hAnsiTheme="minorHAnsi" w:cstheme="minorHAnsi"/>
          <w:noProof/>
          <w:color w:val="383838"/>
        </w:rPr>
        <w:t>(Unger et al., 2020)</w:t>
      </w:r>
      <w:r w:rsidR="00F970F5" w:rsidRPr="00000849">
        <w:rPr>
          <w:rFonts w:asciiTheme="minorHAnsi" w:hAnsiTheme="minorHAnsi" w:cstheme="minorHAnsi"/>
          <w:color w:val="383838"/>
        </w:rPr>
        <w:fldChar w:fldCharType="end"/>
      </w:r>
      <w:r w:rsidR="008C4CCE" w:rsidRPr="00000849">
        <w:rPr>
          <w:rFonts w:asciiTheme="minorHAnsi" w:hAnsiTheme="minorHAnsi" w:cstheme="minorHAnsi"/>
          <w:color w:val="383838"/>
        </w:rPr>
        <w:t xml:space="preserve">. </w:t>
      </w:r>
    </w:p>
    <w:p w14:paraId="4CF8A63C" w14:textId="26EF4F3B" w:rsidR="00136129" w:rsidRPr="00000849" w:rsidRDefault="00136129" w:rsidP="00BC44E0">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In Tanzania, </w:t>
      </w:r>
      <w:r w:rsidR="005E6DAC" w:rsidRPr="00000849">
        <w:rPr>
          <w:rFonts w:asciiTheme="minorHAnsi" w:hAnsiTheme="minorHAnsi" w:cstheme="minorHAnsi"/>
          <w:color w:val="383838"/>
        </w:rPr>
        <w:t xml:space="preserve">a </w:t>
      </w:r>
      <w:r w:rsidRPr="00000849">
        <w:rPr>
          <w:rFonts w:asciiTheme="minorHAnsi" w:hAnsiTheme="minorHAnsi" w:cstheme="minorHAnsi"/>
          <w:color w:val="383838"/>
        </w:rPr>
        <w:t>single</w:t>
      </w:r>
      <w:r w:rsidR="005E6DAC" w:rsidRPr="00000849">
        <w:rPr>
          <w:rFonts w:asciiTheme="minorHAnsi" w:hAnsiTheme="minorHAnsi" w:cstheme="minorHAnsi"/>
          <w:color w:val="383838"/>
        </w:rPr>
        <w:t>-</w:t>
      </w:r>
      <w:r w:rsidRPr="00000849">
        <w:rPr>
          <w:rFonts w:asciiTheme="minorHAnsi" w:hAnsiTheme="minorHAnsi" w:cstheme="minorHAnsi"/>
          <w:color w:val="383838"/>
        </w:rPr>
        <w:t xml:space="preserve">visit examination in older adults aged ≥70 years overestimated hypertension by 40.9% compared with ambulatory blood pressure measurement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&lt;EndNote&gt;&lt;Cite&gt;&lt;Author&gt;Ivy&lt;/Author&gt;&lt;Year&gt;2015&lt;/Year&gt;&lt;RecNum&gt;68&lt;/RecNum&gt;&lt;DisplayText&gt;(Ivy et al., 2015)&lt;/DisplayText&gt;&lt;record&gt;&lt;rec-number&gt;68&lt;/rec-number&gt;&lt;foreign-keys&gt;&lt;key app="EN" db-id="pzfw02x58peadyevdp8vswt40etp25t5ddp0" timestamp="1534131392"&gt;68&lt;/key&gt;&lt;/foreign-keys&gt;&lt;ref-type name="Journal Article"&gt;17&lt;/ref-type&gt;&lt;contributors&gt;&lt;authors&gt;&lt;author&gt;Ivy, Ashleigh&lt;/author&gt;&lt;author&gt;Tam, Jonathan&lt;/author&gt;&lt;author&gt;Dewhurst, Matthew J.&lt;/author&gt;&lt;author&gt;Gray, William K.&lt;/author&gt;&lt;author&gt;Chaote, Paul&lt;/author&gt;&lt;author&gt;Rogathi, Jane&lt;/author&gt;&lt;author&gt;Dewhurst, Felicity&lt;/author&gt;&lt;author&gt;Walker, Richard W.&lt;/author&gt;&lt;/authors&gt;&lt;/contributors&gt;&lt;titles&gt;&lt;title&gt;Ambulatory Blood Pressure Monitoring to Assess the White-Coat Effect in an Elderly East African Population&lt;/title&gt;&lt;secondary-title&gt;Journal of Clinical Hypertension&lt;/secondary-title&gt;&lt;/titles&gt;&lt;periodical&gt;&lt;full-title&gt;Journal of Clinical Hypertension&lt;/full-title&gt;&lt;abbr-1&gt;J Clin Hypertens (Greenwich)&lt;/abbr-1&gt;&lt;/periodical&gt;&lt;pages&gt;389-394&lt;/pages&gt;&lt;volume&gt;17&lt;/volume&gt;&lt;number&gt;5&lt;/number&gt;&lt;dates&gt;&lt;year&gt;2015&lt;/year&gt;&lt;/dates&gt;&lt;isbn&gt;15246175&lt;/isbn&gt;&lt;accession-num&gt;102170633&lt;/accession-num&gt;&lt;work-type&gt;Article&lt;/work-type&gt;&lt;urls&gt;&lt;related-urls&gt;&lt;url&gt;http://search.ebscohost.com/login.aspx?direct=true&amp;amp;db=asn&amp;amp;AN=102170633&amp;amp;site=ehost-live&amp;amp;authtype=ip,shib&amp;amp;user=s1523151&lt;/url&gt;&lt;/related-urls&gt;&lt;/urls&gt;&lt;electronic-resource-num&gt;10.1111/jch.12501&lt;/electronic-resource-num&gt;&lt;remote-database-name&gt;asn&lt;/remote-database-name&gt;&lt;remote-database-provider&gt;EBSCOhost&lt;/remote-database-provider&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color w:val="383838"/>
        </w:rPr>
        <w:t>(Ivy et al., 2015)</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2577EE" w:rsidRPr="00000849">
        <w:rPr>
          <w:rFonts w:asciiTheme="minorHAnsi" w:hAnsiTheme="minorHAnsi" w:cstheme="minorHAnsi"/>
          <w:color w:val="383838"/>
        </w:rPr>
        <w:t xml:space="preserve">In Yemen, the single visit assessment overestimated hypertension by 35% when compared to two visits </w:t>
      </w:r>
      <w:r w:rsidR="002577EE" w:rsidRPr="00000849">
        <w:rPr>
          <w:rFonts w:asciiTheme="minorHAnsi" w:hAnsiTheme="minorHAnsi" w:cstheme="minorHAnsi"/>
          <w:color w:val="383838"/>
        </w:rPr>
        <w:fldChar w:fldCharType="begin"/>
      </w:r>
      <w:r w:rsidR="002577EE" w:rsidRPr="00000849">
        <w:rPr>
          <w:rFonts w:asciiTheme="minorHAnsi" w:hAnsiTheme="minorHAnsi" w:cstheme="minorHAnsi"/>
          <w:color w:val="383838"/>
        </w:rPr>
        <w:instrText xml:space="preserve"> ADDIN EN.CITE &lt;EndNote&gt;&lt;Cite&gt;&lt;Author&gt;Modesti&lt;/Author&gt;&lt;Year&gt;2012&lt;/Year&gt;&lt;RecNum&gt;979&lt;/RecNum&gt;&lt;DisplayText&gt;(Modesti et al., 2012)&lt;/DisplayText&gt;&lt;record&gt;&lt;rec-number&gt;979&lt;/rec-number&gt;&lt;foreign-keys&gt;&lt;key app="EN" db-id="9tzf2rda8re2a9es5tuxart3swzx2zws2s02" timestamp="1575525370"&gt;979&lt;/key&gt;&lt;/foreign-keys&gt;&lt;ref-type name="Journal Article"&gt;17&lt;/ref-type&gt;&lt;contributors&gt;&lt;authors&gt;&lt;author&gt;Modesti, P. A.&lt;/author&gt;&lt;author&gt;Rapi, S.&lt;/author&gt;&lt;author&gt;Bamoshmoosh, M.&lt;/author&gt;&lt;author&gt;Baldereschi, M.&lt;/author&gt;&lt;author&gt;Massetti, L.&lt;/author&gt;&lt;author&gt;Padeletti, L.&lt;/author&gt;&lt;author&gt;Gensini, G. F.&lt;/author&gt;&lt;author&gt;Zhao, D.&lt;/author&gt;&lt;author&gt;Al-Hidabi, D.&lt;/author&gt;&lt;author&gt;Al Goshae, H.&lt;/author&gt;&lt;/authors&gt;&lt;/contributors&gt;&lt;auth-address&gt;Department of Medical and Surgical Critical Care, University of Florence, Florence, Italy.&lt;/auth-address&gt;&lt;titles&gt;&lt;title&gt;Impact of one or two visits strategy on hypertension burden estimation in HYDY, a population-based cross-sectional study: implications for healthcare resource allocation decision making&lt;/title&gt;&lt;secondary-title&gt;BMJ Open&lt;/secondary-title&gt;&lt;/titles&gt;&lt;periodical&gt;&lt;full-title&gt;BMJ Open&lt;/full-title&gt;&lt;abbr-1&gt;BMJ Open&lt;/abbr-1&gt;&lt;/periodical&gt;&lt;volume&gt;2&lt;/volume&gt;&lt;number&gt;4&lt;/number&gt;&lt;edition&gt;2012/08/10&lt;/edition&gt;&lt;dates&gt;&lt;year&gt;2012&lt;/year&gt;&lt;/dates&gt;&lt;isbn&gt;2044-6055&lt;/isbn&gt;&lt;accession-num&gt;22874627&lt;/accession-num&gt;&lt;urls&gt;&lt;/urls&gt;&lt;custom2&gt;PMC3425947&lt;/custom2&gt;&lt;electronic-resource-num&gt;10.1136/bmjopen-2012-001062&lt;/electronic-resource-num&gt;&lt;remote-database-provider&gt;NLM&lt;/remote-database-provider&gt;&lt;language&gt;eng&lt;/language&gt;&lt;/record&gt;&lt;/Cite&gt;&lt;/EndNote&gt;</w:instrText>
      </w:r>
      <w:r w:rsidR="002577EE" w:rsidRPr="00000849">
        <w:rPr>
          <w:rFonts w:asciiTheme="minorHAnsi" w:hAnsiTheme="minorHAnsi" w:cstheme="minorHAnsi"/>
          <w:color w:val="383838"/>
        </w:rPr>
        <w:fldChar w:fldCharType="separate"/>
      </w:r>
      <w:r w:rsidR="002577EE" w:rsidRPr="00000849">
        <w:rPr>
          <w:rFonts w:asciiTheme="minorHAnsi" w:hAnsiTheme="minorHAnsi" w:cstheme="minorHAnsi"/>
          <w:noProof/>
          <w:color w:val="383838"/>
        </w:rPr>
        <w:t>(Modesti et al., 2012)</w:t>
      </w:r>
      <w:r w:rsidR="002577EE" w:rsidRPr="00000849">
        <w:rPr>
          <w:rFonts w:asciiTheme="minorHAnsi" w:hAnsiTheme="minorHAnsi" w:cstheme="minorHAnsi"/>
          <w:color w:val="383838"/>
        </w:rPr>
        <w:fldChar w:fldCharType="end"/>
      </w:r>
      <w:r w:rsidR="002577EE" w:rsidRPr="00000849">
        <w:rPr>
          <w:rFonts w:asciiTheme="minorHAnsi" w:hAnsiTheme="minorHAnsi" w:cstheme="minorHAnsi"/>
          <w:color w:val="383838"/>
        </w:rPr>
        <w:t>.</w:t>
      </w:r>
      <w:r w:rsidR="00B1238B" w:rsidRPr="00000849">
        <w:rPr>
          <w:rFonts w:asciiTheme="minorHAnsi" w:hAnsiTheme="minorHAnsi" w:cstheme="minorHAnsi"/>
          <w:color w:val="383838"/>
        </w:rPr>
        <w:t xml:space="preserve">  In Ghana, a single visit examination overestimated the prevalence of hypertension by 19% among civil servants in Accra </w:t>
      </w:r>
      <w:r w:rsidR="00B1238B" w:rsidRPr="00000849">
        <w:rPr>
          <w:rFonts w:asciiTheme="minorHAnsi" w:hAnsiTheme="minorHAnsi" w:cstheme="minorHAnsi"/>
          <w:color w:val="383838"/>
        </w:rPr>
        <w:fldChar w:fldCharType="begin"/>
      </w:r>
      <w:r w:rsidR="0060706B" w:rsidRPr="00000849">
        <w:rPr>
          <w:rFonts w:asciiTheme="minorHAnsi" w:hAnsiTheme="minorHAnsi" w:cstheme="minorHAnsi"/>
          <w:color w:val="383838"/>
        </w:rPr>
        <w:instrText xml:space="preserve"> ADDIN EN.CITE &lt;EndNote&gt;&lt;Cite&gt;&lt;Author&gt;Addo&lt;/Author&gt;&lt;Year&gt;2008&lt;/Year&gt;&lt;RecNum&gt;711&lt;/RecNum&gt;&lt;DisplayText&gt;(Addo et al., 2008)&lt;/DisplayText&gt;&lt;record&gt;&lt;rec-number&gt;711&lt;/rec-number&gt;&lt;foreign-keys&gt;&lt;key app="EN" db-id="9tzf2rda8re2a9es5tuxart3swzx2zws2s02" timestamp="1499325516"&gt;711&lt;/key&gt;&lt;/foreign-keys&gt;&lt;ref-type name="Journal Article"&gt;17&lt;/ref-type&gt;&lt;contributors&gt;&lt;authors&gt;&lt;author&gt;Addo, Juliet &lt;/author&gt;&lt;author&gt;Smeeth, Liam&lt;/author&gt;&lt;author&gt;Leon, David A&lt;/author&gt;&lt;/authors&gt;&lt;/contributors&gt;&lt;titles&gt;&lt;title&gt;Prevalence, detection, management, and control of hypertension in Ghanaian civil servants.&lt;/title&gt;&lt;secondary-title&gt;Ethnicity &amp;amp; Disease&lt;/secondary-title&gt;&lt;/titles&gt;&lt;periodical&gt;&lt;full-title&gt;Ethnicity &amp;amp; Disease&lt;/full-title&gt;&lt;/periodical&gt;&lt;pages&gt;505-11&lt;/pages&gt;&lt;volume&gt;18&lt;/volume&gt;&lt;dates&gt;&lt;year&gt;2008&lt;/year&gt;&lt;/dates&gt;&lt;urls&gt;&lt;/urls&gt;&lt;/record&gt;&lt;/Cite&gt;&lt;/EndNote&gt;</w:instrText>
      </w:r>
      <w:r w:rsidR="00B1238B"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(Addo et al., 2008)</w:t>
      </w:r>
      <w:r w:rsidR="00B1238B" w:rsidRPr="00000849">
        <w:rPr>
          <w:rFonts w:asciiTheme="minorHAnsi" w:hAnsiTheme="minorHAnsi" w:cstheme="minorHAnsi"/>
          <w:color w:val="383838"/>
        </w:rPr>
        <w:fldChar w:fldCharType="end"/>
      </w:r>
      <w:r w:rsidR="00B1238B" w:rsidRPr="00000849">
        <w:rPr>
          <w:rFonts w:asciiTheme="minorHAnsi" w:hAnsiTheme="minorHAnsi" w:cstheme="minorHAnsi"/>
          <w:color w:val="383838"/>
        </w:rPr>
        <w:t>.</w:t>
      </w:r>
    </w:p>
    <w:p w14:paraId="0C67A8A6" w14:textId="4180DB0C" w:rsidR="00136129" w:rsidRPr="00000849" w:rsidRDefault="00136129" w:rsidP="00D412B4">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Sub-national surveys in Ghana and other </w:t>
      </w:r>
      <w:r w:rsidR="002577EE" w:rsidRPr="00000849">
        <w:rPr>
          <w:rFonts w:asciiTheme="minorHAnsi" w:hAnsiTheme="minorHAnsi" w:cstheme="minorHAnsi"/>
          <w:color w:val="383838"/>
        </w:rPr>
        <w:t>W</w:t>
      </w:r>
      <w:r w:rsidRPr="00000849">
        <w:rPr>
          <w:rFonts w:asciiTheme="minorHAnsi" w:hAnsiTheme="minorHAnsi" w:cstheme="minorHAnsi"/>
          <w:color w:val="383838"/>
        </w:rPr>
        <w:t xml:space="preserve">est Africans </w:t>
      </w:r>
      <w:r w:rsidR="002577EE" w:rsidRPr="00000849">
        <w:rPr>
          <w:rFonts w:asciiTheme="minorHAnsi" w:hAnsiTheme="minorHAnsi" w:cstheme="minorHAnsi"/>
          <w:color w:val="383838"/>
        </w:rPr>
        <w:t xml:space="preserve">countries </w:t>
      </w:r>
      <w:r w:rsidRPr="00000849">
        <w:rPr>
          <w:rFonts w:asciiTheme="minorHAnsi" w:hAnsiTheme="minorHAnsi" w:cstheme="minorHAnsi"/>
          <w:color w:val="383838"/>
        </w:rPr>
        <w:t xml:space="preserve">have demonstrated the feasibility of measuring blood pressure at multiple visits for a sub-set of participants (who had raised BP at </w:t>
      </w:r>
      <w:r w:rsidR="00C764E5" w:rsidRPr="00000849">
        <w:rPr>
          <w:rFonts w:asciiTheme="minorHAnsi" w:hAnsiTheme="minorHAnsi" w:cstheme="minorHAnsi"/>
          <w:color w:val="383838"/>
        </w:rPr>
        <w:t xml:space="preserve">the </w:t>
      </w:r>
      <w:r w:rsidRPr="00000849">
        <w:rPr>
          <w:rFonts w:asciiTheme="minorHAnsi" w:hAnsiTheme="minorHAnsi" w:cstheme="minorHAnsi"/>
          <w:color w:val="383838"/>
        </w:rPr>
        <w:t>first visit) or</w:t>
      </w:r>
      <w:r w:rsidR="00C764E5" w:rsidRPr="00000849">
        <w:rPr>
          <w:rFonts w:asciiTheme="minorHAnsi" w:hAnsiTheme="minorHAnsi" w:cstheme="minorHAnsi"/>
          <w:color w:val="383838"/>
        </w:rPr>
        <w:t xml:space="preserve"> even</w:t>
      </w:r>
      <w:r w:rsidRPr="00000849">
        <w:rPr>
          <w:rFonts w:asciiTheme="minorHAnsi" w:hAnsiTheme="minorHAnsi" w:cstheme="minorHAnsi"/>
          <w:color w:val="383838"/>
        </w:rPr>
        <w:t xml:space="preserve"> for all</w:t>
      </w:r>
      <w:r w:rsidR="00C764E5" w:rsidRPr="00000849">
        <w:rPr>
          <w:rFonts w:asciiTheme="minorHAnsi" w:hAnsiTheme="minorHAnsi" w:cstheme="minorHAnsi"/>
          <w:color w:val="383838"/>
        </w:rPr>
        <w:t xml:space="preserve"> participants </w:t>
      </w:r>
      <w:r w:rsidR="00C764E5" w:rsidRPr="00000849">
        <w:rPr>
          <w:rFonts w:asciiTheme="minorHAnsi" w:hAnsiTheme="minorHAnsi" w:cstheme="minorHAnsi"/>
          <w:color w:val="383838"/>
        </w:rPr>
        <w:fldChar w:fldCharType="begin">
          <w:fldData xml:space="preserve">PEVuZE5vdGU+PENpdGU+PEF1dGhvcj5BZGRvPC9BdXRob3I+PFllYXI+MjAwODwvWWVhcj48UmVj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</w:fldData>
        </w:fldChar>
      </w:r>
      <w:r w:rsidR="00431DA0" w:rsidRPr="00000849">
        <w:rPr>
          <w:rFonts w:asciiTheme="minorHAnsi" w:hAnsiTheme="minorHAnsi" w:cstheme="minorHAnsi"/>
          <w:color w:val="383838"/>
        </w:rPr>
        <w:instrText xml:space="preserve"> ADDIN EN.CITE </w:instrText>
      </w:r>
      <w:r w:rsidR="00431DA0" w:rsidRPr="00000849">
        <w:rPr>
          <w:rFonts w:asciiTheme="minorHAnsi" w:hAnsiTheme="minorHAnsi" w:cstheme="minorHAnsi"/>
          <w:color w:val="383838"/>
        </w:rPr>
        <w:fldChar w:fldCharType="begin">
          <w:fldData xml:space="preserve">PEVuZE5vdGU+PENpdGU+PEF1dGhvcj5BZGRvPC9BdXRob3I+PFllYXI+MjAwODwvWWVhcj48UmVj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C764E5" w:rsidRPr="00000849">
        <w:rPr>
          <w:rFonts w:asciiTheme="minorHAnsi" w:hAnsiTheme="minorHAnsi" w:cstheme="minorHAnsi"/>
          <w:color w:val="383838"/>
        </w:rPr>
      </w:r>
      <w:r w:rsidR="00C764E5"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(Addo et al., 2008; Bunker et al., 1996; Huston et al., 1999; Konin et al., 2012)</w:t>
      </w:r>
      <w:r w:rsidR="00C764E5" w:rsidRPr="00000849">
        <w:rPr>
          <w:rFonts w:asciiTheme="minorHAnsi" w:hAnsiTheme="minorHAnsi" w:cstheme="minorHAnsi"/>
          <w:color w:val="383838"/>
        </w:rPr>
        <w:fldChar w:fldCharType="end"/>
      </w:r>
      <w:r w:rsidRPr="00000849">
        <w:rPr>
          <w:rFonts w:asciiTheme="minorHAnsi" w:hAnsiTheme="minorHAnsi" w:cstheme="minorHAnsi"/>
          <w:color w:val="383838"/>
        </w:rPr>
        <w:t>.</w:t>
      </w:r>
      <w:r w:rsidR="0041650C" w:rsidRPr="00000849">
        <w:rPr>
          <w:rFonts w:asciiTheme="minorHAnsi" w:hAnsiTheme="minorHAnsi" w:cstheme="minorHAnsi"/>
          <w:color w:val="383838"/>
        </w:rPr>
        <w:t xml:space="preserve">  Undoubtedly, implementing a protocol which requires multiple visits on a national scale in multiple countries is costly</w:t>
      </w:r>
      <w:r w:rsidR="0019659C" w:rsidRPr="00000849">
        <w:rPr>
          <w:rFonts w:asciiTheme="minorHAnsi" w:hAnsiTheme="minorHAnsi" w:cstheme="minorHAnsi"/>
          <w:color w:val="383838"/>
        </w:rPr>
        <w:t>, logistically-challenging</w:t>
      </w:r>
      <w:r w:rsidR="0041650C" w:rsidRPr="00000849">
        <w:rPr>
          <w:rFonts w:asciiTheme="minorHAnsi" w:hAnsiTheme="minorHAnsi" w:cstheme="minorHAnsi"/>
          <w:color w:val="383838"/>
        </w:rPr>
        <w:t xml:space="preserve"> and inconvenient.</w:t>
      </w:r>
    </w:p>
    <w:p w14:paraId="22C0D822" w14:textId="7C141018" w:rsidR="00C635D1" w:rsidRPr="00000849" w:rsidRDefault="00E94442" w:rsidP="00BA24EF">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The decline in the prevalence in the hypertension observed in the current analysis may not be that unusual after all as s</w:t>
      </w:r>
      <w:r w:rsidR="00DF6B83" w:rsidRPr="00000849">
        <w:rPr>
          <w:rFonts w:asciiTheme="minorHAnsi" w:hAnsiTheme="minorHAnsi" w:cstheme="minorHAnsi"/>
          <w:color w:val="383838"/>
        </w:rPr>
        <w:t xml:space="preserve">everal longitudinal studies in Ghana and elsewhere have </w:t>
      </w:r>
      <w:r w:rsidRPr="00000849">
        <w:rPr>
          <w:rFonts w:asciiTheme="minorHAnsi" w:hAnsiTheme="minorHAnsi" w:cstheme="minorHAnsi"/>
          <w:color w:val="383838"/>
        </w:rPr>
        <w:t xml:space="preserve">also </w:t>
      </w:r>
      <w:r w:rsidR="00DF6B83" w:rsidRPr="00000849">
        <w:rPr>
          <w:rFonts w:asciiTheme="minorHAnsi" w:hAnsiTheme="minorHAnsi" w:cstheme="minorHAnsi"/>
          <w:color w:val="383838"/>
        </w:rPr>
        <w:t>observed a decline over time.  T</w:t>
      </w:r>
      <w:r w:rsidR="0041650C" w:rsidRPr="00000849">
        <w:rPr>
          <w:rFonts w:asciiTheme="minorHAnsi" w:hAnsiTheme="minorHAnsi" w:cstheme="minorHAnsi"/>
          <w:color w:val="383838"/>
        </w:rPr>
        <w:t xml:space="preserve">he </w:t>
      </w:r>
      <w:r w:rsidR="00136129" w:rsidRPr="00000849">
        <w:rPr>
          <w:rFonts w:asciiTheme="minorHAnsi" w:hAnsiTheme="minorHAnsi" w:cstheme="minorHAnsi"/>
          <w:color w:val="383838"/>
        </w:rPr>
        <w:t>only other recent longitudinal survey in Ghana</w:t>
      </w:r>
      <w:r w:rsidR="0041650C" w:rsidRPr="00000849">
        <w:rPr>
          <w:rFonts w:asciiTheme="minorHAnsi" w:hAnsiTheme="minorHAnsi" w:cstheme="minorHAnsi"/>
          <w:color w:val="383838"/>
        </w:rPr>
        <w:t xml:space="preserve"> observed a decline (albeit smaller) in the prevalence of hypertension over two waves, </w:t>
      </w:r>
      <w:r w:rsidR="00136129" w:rsidRPr="00000849">
        <w:rPr>
          <w:rFonts w:asciiTheme="minorHAnsi" w:hAnsiTheme="minorHAnsi" w:cstheme="minorHAnsi"/>
          <w:color w:val="383838"/>
        </w:rPr>
        <w:t>after a five-to-six-year follow-up.  The prevalence in the first wave</w:t>
      </w:r>
      <w:r w:rsidR="00754DB8" w:rsidRPr="00000849">
        <w:rPr>
          <w:rFonts w:asciiTheme="minorHAnsi" w:hAnsiTheme="minorHAnsi" w:cstheme="minorHAnsi"/>
          <w:color w:val="383838"/>
        </w:rPr>
        <w:t xml:space="preserve"> of the</w:t>
      </w:r>
      <w:r w:rsidR="00136129" w:rsidRPr="00000849">
        <w:rPr>
          <w:rFonts w:asciiTheme="minorHAnsi" w:hAnsiTheme="minorHAnsi" w:cstheme="minorHAnsi"/>
          <w:color w:val="383838"/>
        </w:rPr>
        <w:t xml:space="preserve"> </w:t>
      </w:r>
      <w:r w:rsidR="0041650C" w:rsidRPr="00000849">
        <w:rPr>
          <w:rFonts w:asciiTheme="minorHAnsi" w:hAnsiTheme="minorHAnsi" w:cstheme="minorHAnsi"/>
          <w:color w:val="383838"/>
        </w:rPr>
        <w:t>Women’s Health Study of Accra</w:t>
      </w:r>
      <w:r w:rsidR="00754DB8" w:rsidRPr="00000849">
        <w:rPr>
          <w:rFonts w:asciiTheme="minorHAnsi" w:hAnsiTheme="minorHAnsi" w:cstheme="minorHAnsi"/>
          <w:color w:val="383838"/>
        </w:rPr>
        <w:t xml:space="preserve"> (WHSA-I)</w:t>
      </w:r>
      <w:r w:rsidR="0041650C" w:rsidRPr="00000849">
        <w:rPr>
          <w:rFonts w:asciiTheme="minorHAnsi" w:hAnsiTheme="minorHAnsi" w:cstheme="minorHAnsi"/>
          <w:color w:val="383838"/>
        </w:rPr>
        <w:t xml:space="preserve"> in 2003 </w:t>
      </w:r>
      <w:r w:rsidR="00136129" w:rsidRPr="00000849">
        <w:rPr>
          <w:rFonts w:asciiTheme="minorHAnsi" w:hAnsiTheme="minorHAnsi" w:cstheme="minorHAnsi"/>
          <w:color w:val="383838"/>
        </w:rPr>
        <w:t>was 48.0% (638 out of 1328 women</w:t>
      </w:r>
      <w:r w:rsidR="00754DB8" w:rsidRPr="00000849">
        <w:rPr>
          <w:rFonts w:asciiTheme="minorHAnsi" w:hAnsiTheme="minorHAnsi" w:cstheme="minorHAnsi"/>
          <w:color w:val="383838"/>
        </w:rPr>
        <w:t xml:space="preserve"> aged ≥18 years</w:t>
      </w:r>
      <w:r w:rsidR="00136129" w:rsidRPr="00000849">
        <w:rPr>
          <w:rFonts w:asciiTheme="minorHAnsi" w:hAnsiTheme="minorHAnsi" w:cstheme="minorHAnsi"/>
          <w:color w:val="383838"/>
        </w:rPr>
        <w:t>)</w:t>
      </w:r>
      <w:r w:rsidR="00754DB8" w:rsidRPr="00000849">
        <w:rPr>
          <w:rFonts w:asciiTheme="minorHAnsi" w:hAnsiTheme="minorHAnsi" w:cstheme="minorHAnsi"/>
          <w:color w:val="383838"/>
        </w:rPr>
        <w:t xml:space="preserve"> </w:t>
      </w:r>
      <w:r w:rsidR="00754DB8" w:rsidRPr="00000849">
        <w:rPr>
          <w:rFonts w:asciiTheme="minorHAnsi" w:hAnsiTheme="minorHAnsi" w:cstheme="minorHAnsi"/>
          <w:color w:val="383838"/>
        </w:rPr>
        <w:fldChar w:fldCharType="begin"/>
      </w:r>
      <w:r w:rsidR="00754DB8" w:rsidRPr="00000849">
        <w:rPr>
          <w:rFonts w:asciiTheme="minorHAnsi" w:hAnsiTheme="minorHAnsi" w:cstheme="minorHAnsi"/>
          <w:color w:val="383838"/>
        </w:rPr>
        <w:instrText xml:space="preserve"> ADDIN EN.CITE &lt;EndNote&gt;&lt;Cite&gt;&lt;Author&gt;Hill&lt;/Author&gt;&lt;Year&gt;2007&lt;/Year&gt;&lt;RecNum&gt;981&lt;/RecNum&gt;&lt;DisplayText&gt;(Hill et al., 2007)&lt;/DisplayText&gt;&lt;record&gt;&lt;rec-number&gt;981&lt;/rec-number&gt;&lt;foreign-keys&gt;&lt;key app="EN" db-id="9tzf2rda8re2a9es5tuxart3swzx2zws2s02" timestamp="1575528916"&gt;981&lt;/key&gt;&lt;/foreign-keys&gt;&lt;ref-type name="Journal Article"&gt;17&lt;/ref-type&gt;&lt;contributors&gt;&lt;authors&gt;&lt;author&gt;Hill, AG&lt;/author&gt;&lt;author&gt;Darko, R&lt;/author&gt;&lt;author&gt;Seffah, J&lt;/author&gt;&lt;author&gt;Adanu, RMK &lt;/author&gt;&lt;author&gt;Anarfi, JK&lt;/author&gt;&lt;author&gt;Duda, RB&lt;/author&gt;&lt;/authors&gt;&lt;/contributors&gt;&lt;titles&gt;&lt;title&gt;Health of urban Ghanaian women as identified by the Women’s Health Study of Accra&lt;/title&gt;&lt;secondary-title&gt;Int J Gyn Obstet&lt;/secondary-title&gt;&lt;/titles&gt;&lt;periodical&gt;&lt;full-title&gt;Int J Gyn Obstet&lt;/full-title&gt;&lt;/periodical&gt;&lt;pages&gt;150-156&lt;/pages&gt;&lt;volume&gt;99&lt;/volume&gt;&lt;dates&gt;&lt;year&gt;2007&lt;/year&gt;&lt;/dates&gt;&lt;urls&gt;&lt;/urls&gt;&lt;/record&gt;&lt;/Cite&gt;&lt;/EndNote&gt;</w:instrText>
      </w:r>
      <w:r w:rsidR="00754DB8" w:rsidRPr="00000849">
        <w:rPr>
          <w:rFonts w:asciiTheme="minorHAnsi" w:hAnsiTheme="minorHAnsi" w:cstheme="minorHAnsi"/>
          <w:color w:val="383838"/>
        </w:rPr>
        <w:fldChar w:fldCharType="separate"/>
      </w:r>
      <w:r w:rsidR="00754DB8" w:rsidRPr="00000849">
        <w:rPr>
          <w:rFonts w:asciiTheme="minorHAnsi" w:hAnsiTheme="minorHAnsi" w:cstheme="minorHAnsi"/>
          <w:noProof/>
          <w:color w:val="383838"/>
        </w:rPr>
        <w:t>(Hill et al., 2007)</w:t>
      </w:r>
      <w:r w:rsidR="00754DB8" w:rsidRPr="00000849">
        <w:rPr>
          <w:rFonts w:asciiTheme="minorHAnsi" w:hAnsiTheme="minorHAnsi" w:cstheme="minorHAnsi"/>
          <w:color w:val="383838"/>
        </w:rPr>
        <w:fldChar w:fldCharType="end"/>
      </w:r>
      <w:r w:rsidR="00754DB8" w:rsidRPr="00000849">
        <w:rPr>
          <w:rFonts w:asciiTheme="minorHAnsi" w:hAnsiTheme="minorHAnsi" w:cstheme="minorHAnsi"/>
          <w:color w:val="383838"/>
        </w:rPr>
        <w:t>.  In the second wave</w:t>
      </w:r>
      <w:r w:rsidR="00136129" w:rsidRPr="00000849">
        <w:rPr>
          <w:rFonts w:asciiTheme="minorHAnsi" w:hAnsiTheme="minorHAnsi" w:cstheme="minorHAnsi"/>
          <w:color w:val="383838"/>
        </w:rPr>
        <w:t xml:space="preserve"> </w:t>
      </w:r>
      <w:r w:rsidR="00754DB8" w:rsidRPr="00000849">
        <w:rPr>
          <w:rFonts w:asciiTheme="minorHAnsi" w:hAnsiTheme="minorHAnsi" w:cstheme="minorHAnsi"/>
          <w:color w:val="383838"/>
        </w:rPr>
        <w:t>(WHSA-II) in 2008-2009, it dropped slightly to</w:t>
      </w:r>
      <w:r w:rsidR="00136129" w:rsidRPr="00000849">
        <w:rPr>
          <w:rFonts w:asciiTheme="minorHAnsi" w:hAnsiTheme="minorHAnsi" w:cstheme="minorHAnsi"/>
          <w:color w:val="383838"/>
        </w:rPr>
        <w:t xml:space="preserve"> 45.1% (1,268 of the 2,812) </w:t>
      </w:r>
      <w:r w:rsidR="00136129" w:rsidRPr="00000849">
        <w:rPr>
          <w:rFonts w:asciiTheme="minorHAnsi" w:hAnsiTheme="minorHAnsi" w:cstheme="minorHAnsi"/>
          <w:color w:val="383838"/>
        </w:rPr>
        <w:fldChar w:fldCharType="begin"/>
      </w:r>
      <w:r w:rsidR="00136129" w:rsidRPr="00000849">
        <w:rPr>
          <w:rFonts w:asciiTheme="minorHAnsi" w:hAnsiTheme="minorHAnsi" w:cstheme="minorHAnsi"/>
          <w:color w:val="383838"/>
        </w:rPr>
        <w:instrText xml:space="preserve"> ADDIN EN.CITE &lt;EndNote&gt;&lt;Cite&gt;&lt;Author&gt;Taflin&lt;/Author&gt;&lt;Year&gt;2016&lt;/Year&gt;&lt;RecNum&gt;589&lt;/RecNum&gt;&lt;DisplayText&gt;(Taflin, 2016)&lt;/DisplayText&gt;&lt;record&gt;&lt;rec-number&gt;589&lt;/rec-number&gt;&lt;foreign-keys&gt;&lt;key app="EN" db-id="5paetsfsntds24ev0rkprap12ppft2pvs2ds" timestamp="1555756554"&gt;589&lt;/key&gt;&lt;/foreign-keys&gt;&lt;ref-type name="Thesis"&gt;32&lt;/ref-type&gt;&lt;contributors&gt;&lt;authors&gt;&lt;author&gt;Taflin, Helena Janet&lt;/author&gt;&lt;/authors&gt;&lt;/contributors&gt;&lt;titles&gt;&lt;title&gt;Neighborhood food retail environment and health outcomes among urban Ghanaian women&lt;/title&gt;&lt;secondary-title&gt;Department of Geography&lt;/secondary-title&gt;&lt;/titles&gt;&lt;dates&gt;&lt;year&gt;2016&lt;/year&gt;&lt;/dates&gt;&lt;pub-location&gt;San Diego, CA&lt;/pub-location&gt;&lt;publisher&gt;San Diego University&lt;/publisher&gt;&lt;work-type&gt;Master of Science&lt;/work-type&gt;&lt;urls&gt;&lt;related-urls&gt;&lt;url&gt;https://sdsu-dspace.calstate.edu/bitstream/handle/10211.3/186616/Taflin_sdsu_0220N_11594.pdf?sequence=1&lt;/url&gt;&lt;/related-urls&gt;&lt;/urls&gt;&lt;/record&gt;&lt;/Cite&gt;&lt;/EndNote&gt;</w:instrText>
      </w:r>
      <w:r w:rsidR="00136129" w:rsidRPr="00000849">
        <w:rPr>
          <w:rFonts w:asciiTheme="minorHAnsi" w:hAnsiTheme="minorHAnsi" w:cstheme="minorHAnsi"/>
          <w:color w:val="383838"/>
        </w:rPr>
        <w:fldChar w:fldCharType="separate"/>
      </w:r>
      <w:r w:rsidR="00136129" w:rsidRPr="00000849">
        <w:rPr>
          <w:rFonts w:asciiTheme="minorHAnsi" w:hAnsiTheme="minorHAnsi" w:cstheme="minorHAnsi"/>
          <w:color w:val="383838"/>
        </w:rPr>
        <w:t>(Taflin, 2016)</w:t>
      </w:r>
      <w:r w:rsidR="00136129" w:rsidRPr="00000849">
        <w:rPr>
          <w:rFonts w:asciiTheme="minorHAnsi" w:hAnsiTheme="minorHAnsi" w:cstheme="minorHAnsi"/>
          <w:color w:val="383838"/>
        </w:rPr>
        <w:fldChar w:fldCharType="end"/>
      </w:r>
      <w:r w:rsidR="00136129" w:rsidRPr="00000849">
        <w:rPr>
          <w:rFonts w:asciiTheme="minorHAnsi" w:hAnsiTheme="minorHAnsi" w:cstheme="minorHAnsi"/>
          <w:color w:val="383838"/>
        </w:rPr>
        <w:t xml:space="preserve">.  </w:t>
      </w:r>
      <w:r w:rsidR="00754DB8" w:rsidRPr="00000849">
        <w:rPr>
          <w:rFonts w:asciiTheme="minorHAnsi" w:hAnsiTheme="minorHAnsi" w:cstheme="minorHAnsi"/>
          <w:color w:val="383838"/>
        </w:rPr>
        <w:t xml:space="preserve">The proportion of women with SBP&gt;140 mmHg was 78.6% in those aged &gt;50 years in WHSA-I and </w:t>
      </w:r>
      <w:r w:rsidR="00D2380E" w:rsidRPr="00000849">
        <w:rPr>
          <w:rFonts w:asciiTheme="minorHAnsi" w:hAnsiTheme="minorHAnsi" w:cstheme="minorHAnsi"/>
          <w:color w:val="383838"/>
        </w:rPr>
        <w:t xml:space="preserve">48.5% </w:t>
      </w:r>
      <w:r w:rsidR="00D2380E" w:rsidRPr="00000849">
        <w:rPr>
          <w:rFonts w:asciiTheme="minorHAnsi" w:hAnsiTheme="minorHAnsi" w:cstheme="minorHAnsi"/>
          <w:color w:val="383838"/>
        </w:rPr>
        <w:lastRenderedPageBreak/>
        <w:t xml:space="preserve">in those aged ≥45 years or 53.3% in those aged ≥55 years in WHSA-II </w:t>
      </w:r>
      <w:r w:rsidR="00136129"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&lt;EndNote&gt;&lt;Cite&gt;&lt;Author&gt;Duda&lt;/Author&gt;&lt;Year&gt;2011&lt;/Year&gt;&lt;RecNum&gt;23&lt;/RecNum&gt;&lt;DisplayText&gt;(Darko et al., 2012; Duda et al., 2011)&lt;/DisplayText&gt;&lt;record&gt;&lt;rec-number&gt;23&lt;/rec-number&gt;&lt;foreign-keys&gt;&lt;key app="EN" db-id="9tzf2rda8re2a9es5tuxart3swzx2zws2s02" timestamp="1463899552"&gt;23&lt;/key&gt;&lt;/foreign-keys&gt;&lt;ref-type name="Journal Article"&gt;17&lt;/ref-type&gt;&lt;contributors&gt;&lt;authors&gt;&lt;author&gt;Duda, Rosemary B&lt;/author&gt;&lt;author&gt;Anarfi, John K&lt;/author&gt;&lt;author&gt;Adanu, Richard MK&lt;/author&gt;&lt;author&gt;Seffah, Joseph&lt;/author&gt;&lt;author&gt;Darko, Rudolph&lt;/author&gt;&lt;author&gt;Hill, Allan G&lt;/author&gt;&lt;/authors&gt;&lt;/contributors&gt;&lt;titles&gt;&lt;title&gt;The health of the “older women” in Accra, Ghana: results of the Women’s Health Study of Accra&lt;/title&gt;&lt;secondary-title&gt;Journal of Cross-Cultural Gerontology&lt;/secondary-title&gt;&lt;/titles&gt;&lt;periodical&gt;&lt;full-title&gt;Journal of Cross-cultural Gerontology&lt;/full-title&gt;&lt;abbr-1&gt;J Cross Cult Gerontol&lt;/abbr-1&gt;&lt;/periodical&gt;&lt;pages&gt;299-314&lt;/pages&gt;&lt;volume&gt;26&lt;/volume&gt;&lt;number&gt;3&lt;/number&gt;&lt;dates&gt;&lt;year&gt;2011&lt;/year&gt;&lt;/dates&gt;&lt;isbn&gt;0169-3816&lt;/isbn&gt;&lt;urls&gt;&lt;/urls&gt;&lt;/record&gt;&lt;/Cite&gt;&lt;Cite&gt;&lt;Author&gt;Darko&lt;/Author&gt;&lt;Year&gt;2012&lt;/Year&gt;&lt;RecNum&gt;982&lt;/RecNum&gt;&lt;record&gt;&lt;rec-number&gt;982&lt;/rec-number&gt;&lt;foreign-keys&gt;&lt;key app="EN" db-id="9tzf2rda8re2a9es5tuxart3swzx2zws2s02" timestamp="1575529264"&gt;982&lt;/key&gt;&lt;/foreign-keys&gt;&lt;ref-type name="Journal Article"&gt;17&lt;/ref-type&gt;&lt;contributors&gt;&lt;authors&gt;&lt;author&gt;Darko, R&lt;/author&gt;&lt;author&gt;Adanu, RM&lt;/author&gt;&lt;author&gt;Duda, RB&lt;/author&gt;&lt;author&gt;Douptcheva, N &lt;/author&gt;&lt;author&gt;Hill, AG&lt;/author&gt;&lt;/authors&gt;&lt;/contributors&gt;&lt;titles&gt;&lt;title&gt;The health of adult women in Accra, Ghana: Self-reporting and objective assessments 2008-2009.&lt;/title&gt;&lt;secondary-title&gt;Ghana Med J. &lt;/secondary-title&gt;&lt;/titles&gt;&lt;pages&gt;50-7&lt;/pages&gt;&lt;volume&gt;46&lt;/volume&gt;&lt;number&gt;2&lt;/number&gt;&lt;dates&gt;&lt;year&gt;2012&lt;/year&gt;&lt;/dates&gt;&lt;urls&gt;&lt;/urls&gt;&lt;/record&gt;&lt;/Cite&gt;&lt;/EndNote&gt;</w:instrText>
      </w:r>
      <w:r w:rsidR="00136129"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(Darko et al., 2012; Duda et al., 2011)</w:t>
      </w:r>
      <w:r w:rsidR="00136129" w:rsidRPr="00000849">
        <w:rPr>
          <w:rFonts w:asciiTheme="minorHAnsi" w:hAnsiTheme="minorHAnsi" w:cstheme="minorHAnsi"/>
          <w:color w:val="383838"/>
        </w:rPr>
        <w:fldChar w:fldCharType="end"/>
      </w:r>
      <w:r w:rsidR="00136129" w:rsidRPr="00000849">
        <w:rPr>
          <w:rFonts w:asciiTheme="minorHAnsi" w:hAnsiTheme="minorHAnsi" w:cstheme="minorHAnsi"/>
          <w:color w:val="383838"/>
        </w:rPr>
        <w:t xml:space="preserve">.  </w:t>
      </w:r>
      <w:r w:rsidR="0019659C" w:rsidRPr="00000849">
        <w:rPr>
          <w:rFonts w:asciiTheme="minorHAnsi" w:hAnsiTheme="minorHAnsi" w:cstheme="minorHAnsi"/>
          <w:color w:val="383838"/>
        </w:rPr>
        <w:t xml:space="preserve">Model estimates show that </w:t>
      </w:r>
      <w:r w:rsidR="00C635D1" w:rsidRPr="00000849">
        <w:rPr>
          <w:rFonts w:asciiTheme="minorHAnsi" w:hAnsiTheme="minorHAnsi" w:cstheme="minorHAnsi"/>
          <w:color w:val="383838"/>
        </w:rPr>
        <w:t xml:space="preserve">the age-standardized prevalence of hypertension </w:t>
      </w:r>
      <w:r w:rsidR="00BA24EF" w:rsidRPr="00000849">
        <w:rPr>
          <w:rFonts w:asciiTheme="minorHAnsi" w:hAnsiTheme="minorHAnsi" w:cstheme="minorHAnsi"/>
          <w:color w:val="383838"/>
        </w:rPr>
        <w:t xml:space="preserve">in Ghana </w:t>
      </w:r>
      <w:r w:rsidR="0019659C" w:rsidRPr="00000849">
        <w:rPr>
          <w:rFonts w:asciiTheme="minorHAnsi" w:hAnsiTheme="minorHAnsi" w:cstheme="minorHAnsi"/>
          <w:color w:val="383838"/>
        </w:rPr>
        <w:t xml:space="preserve">also </w:t>
      </w:r>
      <w:r w:rsidR="00C635D1" w:rsidRPr="00000849">
        <w:rPr>
          <w:rFonts w:asciiTheme="minorHAnsi" w:hAnsiTheme="minorHAnsi" w:cstheme="minorHAnsi"/>
          <w:color w:val="383838"/>
        </w:rPr>
        <w:t xml:space="preserve">declined steadily from 29.7% to 24.6% </w:t>
      </w:r>
      <w:r w:rsidR="00BA24EF" w:rsidRPr="00000849">
        <w:rPr>
          <w:rFonts w:asciiTheme="minorHAnsi" w:hAnsiTheme="minorHAnsi" w:cstheme="minorHAnsi"/>
          <w:color w:val="383838"/>
        </w:rPr>
        <w:t xml:space="preserve">in men </w:t>
      </w:r>
      <w:r w:rsidR="00C635D1" w:rsidRPr="00000849">
        <w:rPr>
          <w:rFonts w:asciiTheme="minorHAnsi" w:hAnsiTheme="minorHAnsi" w:cstheme="minorHAnsi"/>
          <w:color w:val="383838"/>
        </w:rPr>
        <w:t xml:space="preserve">and from 25.5% to 22.8% in women between 1975 and 2015 </w:t>
      </w:r>
      <w:r w:rsidR="00C635D1" w:rsidRPr="00000849">
        <w:rPr>
          <w:rFonts w:asciiTheme="minorHAnsi" w:hAnsiTheme="minorHAnsi" w:cstheme="minorHAnsi"/>
          <w:color w:val="383838"/>
        </w:rPr>
        <w:fldChar w:fldCharType="begin"/>
      </w:r>
      <w:r w:rsidR="00C635D1" w:rsidRPr="00000849">
        <w:rPr>
          <w:rFonts w:asciiTheme="minorHAnsi" w:hAnsiTheme="minorHAnsi" w:cstheme="minorHAnsi"/>
          <w:color w:val="383838"/>
        </w:rPr>
        <w:instrText xml:space="preserve"> ADDIN EN.CITE &lt;EndNote&gt;&lt;Cite&gt;&lt;Author&gt;NCD Risk Factor Collaboration&lt;/Author&gt;&lt;Year&gt;2017&lt;/Year&gt;&lt;RecNum&gt;1109&lt;/RecNum&gt;&lt;DisplayText&gt;(NCD Risk Factor Collaboration, 2017)&lt;/DisplayText&gt;&lt;record&gt;&lt;rec-number&gt;1109&lt;/rec-number&gt;&lt;foreign-keys&gt;&lt;key app="EN" db-id="9tzf2rda8re2a9es5tuxart3swzx2zws2s02" timestamp="1561964166"&gt;1109&lt;/key&gt;&lt;/foreign-keys&gt;&lt;ref-type name="Electronic Article"&gt;43&lt;/ref-type&gt;&lt;contributors&gt;&lt;authors&gt;&lt;author&gt;NCD Risk Factor Collaboration,&lt;/author&gt;&lt;/authors&gt;&lt;/contributors&gt;&lt;titles&gt;&lt;title&gt;Ghana country profile&lt;/title&gt;&lt;/titles&gt;&lt;volume&gt;2019&lt;/volume&gt;&lt;number&gt;1 July&lt;/number&gt;&lt;dates&gt;&lt;year&gt;2017&lt;/year&gt;&lt;pub-dates&gt;&lt;date&gt;1 July 2019&lt;/date&gt;&lt;/pub-dates&gt;&lt;/dates&gt;&lt;pub-location&gt;London&lt;/pub-location&gt;&lt;publisher&gt;Imperial College&lt;/publisher&gt;&lt;urls&gt;&lt;related-urls&gt;&lt;url&gt;http://ncdrisc.org/downloads/bp/individual-countries/Ghana.csv&lt;/url&gt;&lt;/related-urls&gt;&lt;/urls&gt;&lt;custom1&gt;2019&lt;/custom1&gt;&lt;custom2&gt;1 July&lt;/custom2&gt;&lt;/record&gt;&lt;/Cite&gt;&lt;/EndNote&gt;</w:instrText>
      </w:r>
      <w:r w:rsidR="00C635D1" w:rsidRPr="00000849">
        <w:rPr>
          <w:rFonts w:asciiTheme="minorHAnsi" w:hAnsiTheme="minorHAnsi" w:cstheme="minorHAnsi"/>
          <w:color w:val="383838"/>
        </w:rPr>
        <w:fldChar w:fldCharType="separate"/>
      </w:r>
      <w:r w:rsidR="00C635D1" w:rsidRPr="00000849">
        <w:rPr>
          <w:rFonts w:asciiTheme="minorHAnsi" w:hAnsiTheme="minorHAnsi" w:cstheme="minorHAnsi"/>
          <w:color w:val="383838"/>
        </w:rPr>
        <w:t>(NCD Risk Factor Collaboration, 2017)</w:t>
      </w:r>
      <w:r w:rsidR="00C635D1" w:rsidRPr="00000849">
        <w:rPr>
          <w:rFonts w:asciiTheme="minorHAnsi" w:hAnsiTheme="minorHAnsi" w:cstheme="minorHAnsi"/>
          <w:color w:val="383838"/>
        </w:rPr>
        <w:fldChar w:fldCharType="end"/>
      </w:r>
      <w:r w:rsidR="00C635D1" w:rsidRPr="00000849">
        <w:rPr>
          <w:rFonts w:asciiTheme="minorHAnsi" w:hAnsiTheme="minorHAnsi" w:cstheme="minorHAnsi"/>
          <w:color w:val="383838"/>
        </w:rPr>
        <w:t>.</w:t>
      </w:r>
    </w:p>
    <w:p w14:paraId="5D56A5E6" w14:textId="3AB74D20" w:rsidR="00DF6B83" w:rsidRPr="00000849" w:rsidRDefault="00E94442" w:rsidP="000E32CF">
      <w:pPr>
        <w:spacing w:after="0" w:line="480" w:lineRule="auto"/>
        <w:ind w:firstLine="567"/>
        <w:jc w:val="both"/>
        <w:rPr>
          <w:rFonts w:cstheme="minorHAnsi"/>
          <w:color w:val="383838"/>
          <w:sz w:val="24"/>
          <w:szCs w:val="24"/>
        </w:rPr>
      </w:pPr>
      <w:r w:rsidRPr="00000849">
        <w:rPr>
          <w:rFonts w:cstheme="minorHAnsi"/>
          <w:color w:val="383838"/>
          <w:sz w:val="24"/>
          <w:szCs w:val="24"/>
        </w:rPr>
        <w:t>Elsewhere, a</w:t>
      </w:r>
      <w:r w:rsidR="00DF6B83" w:rsidRPr="00000849">
        <w:rPr>
          <w:rFonts w:cstheme="minorHAnsi"/>
          <w:color w:val="383838"/>
          <w:sz w:val="24"/>
          <w:szCs w:val="24"/>
        </w:rPr>
        <w:t xml:space="preserve"> </w:t>
      </w:r>
      <w:r w:rsidR="00620A27" w:rsidRPr="00000849">
        <w:rPr>
          <w:rFonts w:cstheme="minorHAnsi"/>
          <w:color w:val="383838"/>
          <w:sz w:val="24"/>
          <w:szCs w:val="24"/>
        </w:rPr>
        <w:t>significant</w:t>
      </w:r>
      <w:r w:rsidR="00DF6B83" w:rsidRPr="00000849">
        <w:rPr>
          <w:rFonts w:cstheme="minorHAnsi"/>
          <w:color w:val="383838"/>
          <w:sz w:val="24"/>
          <w:szCs w:val="24"/>
        </w:rPr>
        <w:t xml:space="preserve"> decline in the prevalence of hypertension in</w:t>
      </w:r>
      <w:r w:rsidR="00FA052B" w:rsidRPr="00000849">
        <w:rPr>
          <w:rFonts w:cstheme="minorHAnsi"/>
          <w:color w:val="383838"/>
          <w:sz w:val="24"/>
          <w:szCs w:val="24"/>
        </w:rPr>
        <w:t xml:space="preserve"> older adults aged ≥50 years </w:t>
      </w:r>
      <w:r w:rsidR="00620A27" w:rsidRPr="00000849">
        <w:rPr>
          <w:rFonts w:cstheme="minorHAnsi"/>
          <w:color w:val="383838"/>
          <w:sz w:val="24"/>
          <w:szCs w:val="24"/>
        </w:rPr>
        <w:t xml:space="preserve">was observed </w:t>
      </w:r>
      <w:r w:rsidR="00FA052B" w:rsidRPr="00000849">
        <w:rPr>
          <w:rFonts w:cstheme="minorHAnsi"/>
          <w:color w:val="383838"/>
          <w:sz w:val="24"/>
          <w:szCs w:val="24"/>
        </w:rPr>
        <w:t xml:space="preserve">in </w:t>
      </w:r>
      <w:r w:rsidR="00DF6B83" w:rsidRPr="00000849">
        <w:rPr>
          <w:rFonts w:cstheme="minorHAnsi"/>
          <w:color w:val="383838"/>
          <w:sz w:val="24"/>
          <w:szCs w:val="24"/>
        </w:rPr>
        <w:t>SAGE South Africa from 77.</w:t>
      </w:r>
      <w:r w:rsidR="00FA052B" w:rsidRPr="00000849">
        <w:rPr>
          <w:rFonts w:cstheme="minorHAnsi"/>
          <w:color w:val="383838"/>
          <w:sz w:val="24"/>
          <w:szCs w:val="24"/>
        </w:rPr>
        <w:t>4</w:t>
      </w:r>
      <w:r w:rsidR="00DF6B83" w:rsidRPr="00000849">
        <w:rPr>
          <w:rFonts w:cstheme="minorHAnsi"/>
          <w:color w:val="383838"/>
          <w:sz w:val="24"/>
          <w:szCs w:val="24"/>
        </w:rPr>
        <w:t xml:space="preserve">% in Wave 1 </w:t>
      </w:r>
      <w:r w:rsidR="00FA052B" w:rsidRPr="00000849">
        <w:rPr>
          <w:rFonts w:cstheme="minorHAnsi"/>
          <w:color w:val="383838"/>
          <w:sz w:val="24"/>
          <w:szCs w:val="24"/>
        </w:rPr>
        <w:t xml:space="preserve">in 2007 </w:t>
      </w:r>
      <w:r w:rsidR="00FA052B" w:rsidRPr="00000849">
        <w:rPr>
          <w:rFonts w:cstheme="minorHAnsi"/>
          <w:color w:val="383838"/>
          <w:sz w:val="24"/>
          <w:szCs w:val="24"/>
        </w:rPr>
        <w:fldChar w:fldCharType="begin"/>
      </w:r>
      <w:r w:rsidR="00D363A0">
        <w:rPr>
          <w:rFonts w:cstheme="minorHAnsi"/>
          <w:color w:val="383838"/>
          <w:sz w:val="24"/>
          <w:szCs w:val="24"/>
        </w:rPr>
        <w:instrText xml:space="preserve"> ADDIN EN.CITE &lt;EndNote&gt;&lt;Cite&gt;&lt;Author&gt;Peltzer&lt;/Author&gt;&lt;Year&gt;2013&lt;/Year&gt;&lt;RecNum&gt;95&lt;/RecNum&gt;&lt;DisplayText&gt;(Peltzer &amp;amp; Phaswana-Mafuya, 2013b)&lt;/DisplayText&gt;&lt;record&gt;&lt;rec-number&gt;95&lt;/rec-number&gt;&lt;foreign-keys&gt;&lt;key app="EN" db-id="9tzf2rda8re2a9es5tuxart3swzx2zws2s02" timestamp="1466651679"&gt;95&lt;/key&gt;&lt;/foreign-keys&gt;&lt;ref-type name="Journal Article"&gt;17&lt;/ref-type&gt;&lt;contributors&gt;&lt;authors&gt;&lt;author&gt;Peltzer, Karl&lt;/author&gt;&lt;author&gt;Phaswana-Mafuya, Nancy&lt;/author&gt;&lt;/authors&gt;&lt;/contributors&gt;&lt;titles&gt;&lt;title&gt;Hypertension and associated factors in older adults in South Africa&lt;/title&gt;&lt;secondary-title&gt;Cardiovascular Journal of Africa&lt;/secondary-title&gt;&lt;/titles&gt;&lt;periodical&gt;&lt;full-title&gt;Cardiovascular Journal of Africa&lt;/full-title&gt;&lt;abbr-1&gt;Cardiovasc J Afr&lt;/abbr-1&gt;&lt;/periodical&gt;&lt;pages&gt;67-72&lt;/pages&gt;&lt;volume&gt;24&lt;/volume&gt;&lt;number&gt;3&lt;/number&gt;&lt;dates&gt;&lt;year&gt;2013&lt;/year&gt;&lt;/dates&gt;&lt;urls&gt;&lt;/urls&gt;&lt;electronic-resource-num&gt;10.5830/cvja-2013-002&lt;/electronic-resource-num&gt;&lt;/record&gt;&lt;/Cite&gt;&lt;/EndNote&gt;</w:instrText>
      </w:r>
      <w:r w:rsidR="00FA052B" w:rsidRPr="00000849">
        <w:rPr>
          <w:rFonts w:cstheme="minorHAnsi"/>
          <w:color w:val="383838"/>
          <w:sz w:val="24"/>
          <w:szCs w:val="24"/>
        </w:rPr>
        <w:fldChar w:fldCharType="separate"/>
      </w:r>
      <w:r w:rsidR="00D363A0">
        <w:rPr>
          <w:rFonts w:cstheme="minorHAnsi"/>
          <w:noProof/>
          <w:color w:val="383838"/>
          <w:sz w:val="24"/>
          <w:szCs w:val="24"/>
        </w:rPr>
        <w:t>(Peltzer &amp; Phaswana-Mafuya, 2013b)</w:t>
      </w:r>
      <w:r w:rsidR="00FA052B" w:rsidRPr="00000849">
        <w:rPr>
          <w:rFonts w:cstheme="minorHAnsi"/>
          <w:color w:val="383838"/>
          <w:sz w:val="24"/>
          <w:szCs w:val="24"/>
        </w:rPr>
        <w:fldChar w:fldCharType="end"/>
      </w:r>
      <w:r w:rsidR="00FA052B" w:rsidRPr="00000849">
        <w:rPr>
          <w:rFonts w:cstheme="minorHAnsi"/>
          <w:color w:val="383838"/>
          <w:sz w:val="24"/>
          <w:szCs w:val="24"/>
        </w:rPr>
        <w:t xml:space="preserve"> to 55.0% in Wave 2 in 2015 </w:t>
      </w:r>
      <w:r w:rsidR="00FA052B" w:rsidRPr="00000849">
        <w:rPr>
          <w:rFonts w:cstheme="minorHAnsi"/>
          <w:color w:val="383838"/>
          <w:sz w:val="24"/>
          <w:szCs w:val="24"/>
        </w:rPr>
        <w:fldChar w:fldCharType="begin">
          <w:fldData xml:space="preserve">PEVuZE5vdGU+PENpdGU+PEF1dGhvcj5XYXJlPC9BdXRob3I+PFllYXI+MjAxNzwvWWVhcj48UmVj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</w:fldData>
        </w:fldChar>
      </w:r>
      <w:r w:rsidR="00FA052B" w:rsidRPr="00000849">
        <w:rPr>
          <w:rFonts w:cstheme="minorHAnsi"/>
          <w:color w:val="383838"/>
          <w:sz w:val="24"/>
          <w:szCs w:val="24"/>
        </w:rPr>
        <w:instrText xml:space="preserve"> ADDIN EN.CITE </w:instrText>
      </w:r>
      <w:r w:rsidR="00FA052B" w:rsidRPr="00000849">
        <w:rPr>
          <w:rFonts w:cstheme="minorHAnsi"/>
          <w:color w:val="383838"/>
          <w:sz w:val="24"/>
          <w:szCs w:val="24"/>
        </w:rPr>
        <w:fldChar w:fldCharType="begin">
          <w:fldData xml:space="preserve">PEVuZE5vdGU+PENpdGU+PEF1dGhvcj5XYXJlPC9BdXRob3I+PFllYXI+MjAxNzwvWWVhcj48UmVj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</w:fldData>
        </w:fldChar>
      </w:r>
      <w:r w:rsidR="00FA052B" w:rsidRPr="00000849">
        <w:rPr>
          <w:rFonts w:cstheme="minorHAnsi"/>
          <w:color w:val="383838"/>
          <w:sz w:val="24"/>
          <w:szCs w:val="24"/>
        </w:rPr>
        <w:instrText xml:space="preserve"> ADDIN EN.CITE.DATA </w:instrText>
      </w:r>
      <w:r w:rsidR="00FA052B" w:rsidRPr="00000849">
        <w:rPr>
          <w:rFonts w:cstheme="minorHAnsi"/>
          <w:color w:val="383838"/>
          <w:sz w:val="24"/>
          <w:szCs w:val="24"/>
        </w:rPr>
      </w:r>
      <w:r w:rsidR="00FA052B" w:rsidRPr="00000849">
        <w:rPr>
          <w:rFonts w:cstheme="minorHAnsi"/>
          <w:color w:val="383838"/>
          <w:sz w:val="24"/>
          <w:szCs w:val="24"/>
        </w:rPr>
        <w:fldChar w:fldCharType="end"/>
      </w:r>
      <w:r w:rsidR="00FA052B" w:rsidRPr="00000849">
        <w:rPr>
          <w:rFonts w:cstheme="minorHAnsi"/>
          <w:color w:val="383838"/>
          <w:sz w:val="24"/>
          <w:szCs w:val="24"/>
        </w:rPr>
      </w:r>
      <w:r w:rsidR="00FA052B" w:rsidRPr="00000849">
        <w:rPr>
          <w:rFonts w:cstheme="minorHAnsi"/>
          <w:color w:val="383838"/>
          <w:sz w:val="24"/>
          <w:szCs w:val="24"/>
        </w:rPr>
        <w:fldChar w:fldCharType="separate"/>
      </w:r>
      <w:r w:rsidR="00FA052B" w:rsidRPr="00000849">
        <w:rPr>
          <w:rFonts w:cstheme="minorHAnsi"/>
          <w:noProof/>
          <w:color w:val="383838"/>
          <w:sz w:val="24"/>
          <w:szCs w:val="24"/>
        </w:rPr>
        <w:t>(Ware et al., 2017)</w:t>
      </w:r>
      <w:r w:rsidR="00FA052B" w:rsidRPr="00000849">
        <w:rPr>
          <w:rFonts w:cstheme="minorHAnsi"/>
          <w:color w:val="383838"/>
          <w:sz w:val="24"/>
          <w:szCs w:val="24"/>
        </w:rPr>
        <w:fldChar w:fldCharType="end"/>
      </w:r>
      <w:r w:rsidR="00FA052B" w:rsidRPr="00000849">
        <w:rPr>
          <w:rFonts w:cstheme="minorHAnsi"/>
          <w:color w:val="383838"/>
          <w:sz w:val="24"/>
          <w:szCs w:val="24"/>
        </w:rPr>
        <w:t xml:space="preserve">.  </w:t>
      </w:r>
      <w:r w:rsidR="00DF6B83" w:rsidRPr="00000849">
        <w:rPr>
          <w:rFonts w:cstheme="minorHAnsi"/>
          <w:color w:val="383838"/>
          <w:sz w:val="24"/>
          <w:szCs w:val="24"/>
        </w:rPr>
        <w:t xml:space="preserve">Similarly, in a dementia research cohort study in Nigeria, the prevalence of hypertension reduced from 62.1% at baseline to 60.9% among subjects without a diagnosis of-dementia aged ≥65 years from a baseline wave in 2001 who were re-evaluated during the 2004 and 2007 waves for dementia </w:t>
      </w:r>
      <w:r w:rsidR="00DF6B83" w:rsidRPr="00000849">
        <w:rPr>
          <w:rFonts w:cstheme="minorHAnsi"/>
          <w:color w:val="383838"/>
          <w:sz w:val="24"/>
          <w:szCs w:val="24"/>
        </w:rPr>
        <w:fldChar w:fldCharType="begin">
          <w:fldData xml:space="preserve">PEVuZE5vdGU+PENpdGU+PEF1dGhvcj5PZ3Vubml5aTwvQXV0aG9yPjxZZWFyPjIwMTE8L1llYXI+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</w:fldData>
        </w:fldChar>
      </w:r>
      <w:r w:rsidR="00DF6B83" w:rsidRPr="00000849">
        <w:rPr>
          <w:rFonts w:cstheme="minorHAnsi"/>
          <w:color w:val="383838"/>
          <w:sz w:val="24"/>
          <w:szCs w:val="24"/>
        </w:rPr>
        <w:instrText xml:space="preserve"> ADDIN EN.CITE </w:instrText>
      </w:r>
      <w:r w:rsidR="00DF6B83" w:rsidRPr="00000849">
        <w:rPr>
          <w:rFonts w:cstheme="minorHAnsi"/>
          <w:color w:val="383838"/>
          <w:sz w:val="24"/>
          <w:szCs w:val="24"/>
        </w:rPr>
        <w:fldChar w:fldCharType="begin">
          <w:fldData xml:space="preserve">PEVuZE5vdGU+PENpdGU+PEF1dGhvcj5PZ3Vubml5aTwvQXV0aG9yPjxZZWFyPjIwMTE8L1llYXI+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</w:fldData>
        </w:fldChar>
      </w:r>
      <w:r w:rsidR="00DF6B83" w:rsidRPr="00000849">
        <w:rPr>
          <w:rFonts w:cstheme="minorHAnsi"/>
          <w:color w:val="383838"/>
          <w:sz w:val="24"/>
          <w:szCs w:val="24"/>
        </w:rPr>
        <w:instrText xml:space="preserve"> ADDIN EN.CITE.DATA </w:instrText>
      </w:r>
      <w:r w:rsidR="00DF6B83" w:rsidRPr="00000849">
        <w:rPr>
          <w:rFonts w:cstheme="minorHAnsi"/>
          <w:color w:val="383838"/>
          <w:sz w:val="24"/>
          <w:szCs w:val="24"/>
        </w:rPr>
      </w:r>
      <w:r w:rsidR="00DF6B83" w:rsidRPr="00000849">
        <w:rPr>
          <w:rFonts w:cstheme="minorHAnsi"/>
          <w:color w:val="383838"/>
          <w:sz w:val="24"/>
          <w:szCs w:val="24"/>
        </w:rPr>
        <w:fldChar w:fldCharType="end"/>
      </w:r>
      <w:r w:rsidR="00DF6B83" w:rsidRPr="00000849">
        <w:rPr>
          <w:rFonts w:cstheme="minorHAnsi"/>
          <w:color w:val="383838"/>
          <w:sz w:val="24"/>
          <w:szCs w:val="24"/>
        </w:rPr>
      </w:r>
      <w:r w:rsidR="00DF6B83" w:rsidRPr="00000849">
        <w:rPr>
          <w:rFonts w:cstheme="minorHAnsi"/>
          <w:color w:val="383838"/>
          <w:sz w:val="24"/>
          <w:szCs w:val="24"/>
        </w:rPr>
        <w:fldChar w:fldCharType="separate"/>
      </w:r>
      <w:r w:rsidR="00DF6B83" w:rsidRPr="00000849">
        <w:rPr>
          <w:rFonts w:cstheme="minorHAnsi"/>
          <w:color w:val="383838"/>
          <w:sz w:val="24"/>
          <w:szCs w:val="24"/>
        </w:rPr>
        <w:t>(Ogunniyi et al., 2011)</w:t>
      </w:r>
      <w:r w:rsidR="00DF6B83" w:rsidRPr="00000849">
        <w:rPr>
          <w:rFonts w:cstheme="minorHAnsi"/>
          <w:color w:val="383838"/>
          <w:sz w:val="24"/>
          <w:szCs w:val="24"/>
        </w:rPr>
        <w:fldChar w:fldCharType="end"/>
      </w:r>
      <w:r w:rsidR="00DF6B83" w:rsidRPr="00000849">
        <w:rPr>
          <w:rFonts w:cstheme="minorHAnsi"/>
          <w:color w:val="383838"/>
          <w:sz w:val="24"/>
          <w:szCs w:val="24"/>
        </w:rPr>
        <w:t xml:space="preserve">.  </w:t>
      </w:r>
    </w:p>
    <w:p w14:paraId="35AA219B" w14:textId="2EEBFCAD" w:rsidR="00660EAC" w:rsidRPr="00000849" w:rsidRDefault="00641735" w:rsidP="000E32CF">
      <w:pPr>
        <w:spacing w:after="0" w:line="480" w:lineRule="auto"/>
        <w:ind w:firstLine="567"/>
        <w:jc w:val="both"/>
        <w:rPr>
          <w:sz w:val="24"/>
          <w:szCs w:val="24"/>
        </w:rPr>
      </w:pPr>
      <w:r w:rsidRPr="00000849">
        <w:rPr>
          <w:sz w:val="24"/>
          <w:szCs w:val="24"/>
        </w:rPr>
        <w:t xml:space="preserve">Could </w:t>
      </w:r>
      <w:r w:rsidR="00360D9D" w:rsidRPr="00000849">
        <w:rPr>
          <w:sz w:val="24"/>
          <w:szCs w:val="24"/>
        </w:rPr>
        <w:t xml:space="preserve">the decline in the prevalence of hypertension between the two SAGE waves </w:t>
      </w:r>
      <w:r w:rsidR="003B4AD5" w:rsidRPr="00000849">
        <w:rPr>
          <w:sz w:val="24"/>
          <w:szCs w:val="24"/>
        </w:rPr>
        <w:t xml:space="preserve">be </w:t>
      </w:r>
      <w:r w:rsidR="004278DC" w:rsidRPr="00000849">
        <w:rPr>
          <w:sz w:val="24"/>
          <w:szCs w:val="24"/>
        </w:rPr>
        <w:t xml:space="preserve">possibly due to </w:t>
      </w:r>
      <w:r w:rsidR="003B4AD5" w:rsidRPr="00000849">
        <w:rPr>
          <w:sz w:val="24"/>
          <w:szCs w:val="24"/>
        </w:rPr>
        <w:t>a</w:t>
      </w:r>
      <w:r w:rsidR="00360D9D" w:rsidRPr="00000849">
        <w:rPr>
          <w:sz w:val="24"/>
          <w:szCs w:val="24"/>
        </w:rPr>
        <w:t xml:space="preserve"> differential under-reporting of hypertension by participants in </w:t>
      </w:r>
      <w:r w:rsidR="006837F5" w:rsidRPr="00000849">
        <w:rPr>
          <w:sz w:val="24"/>
          <w:szCs w:val="24"/>
        </w:rPr>
        <w:t xml:space="preserve">the mixed </w:t>
      </w:r>
      <w:r w:rsidR="00360D9D" w:rsidRPr="00000849">
        <w:rPr>
          <w:sz w:val="24"/>
          <w:szCs w:val="24"/>
        </w:rPr>
        <w:t xml:space="preserve">W2 </w:t>
      </w:r>
      <w:r w:rsidRPr="00000849">
        <w:rPr>
          <w:sz w:val="24"/>
          <w:szCs w:val="24"/>
        </w:rPr>
        <w:t xml:space="preserve">compared with W1?  </w:t>
      </w:r>
      <w:r w:rsidR="00006782" w:rsidRPr="00000849">
        <w:rPr>
          <w:sz w:val="24"/>
          <w:szCs w:val="24"/>
        </w:rPr>
        <w:t>First, i</w:t>
      </w:r>
      <w:r w:rsidRPr="00000849">
        <w:rPr>
          <w:sz w:val="24"/>
          <w:szCs w:val="24"/>
        </w:rPr>
        <w:t xml:space="preserve">t is not clear what would motivate </w:t>
      </w:r>
      <w:r w:rsidR="003B4AD5" w:rsidRPr="00000849">
        <w:rPr>
          <w:sz w:val="24"/>
          <w:szCs w:val="24"/>
        </w:rPr>
        <w:t>such a</w:t>
      </w:r>
      <w:r w:rsidRPr="00000849">
        <w:rPr>
          <w:sz w:val="24"/>
          <w:szCs w:val="24"/>
        </w:rPr>
        <w:t xml:space="preserve"> systematic under-reporting by W2 participants</w:t>
      </w:r>
      <w:r w:rsidR="00006782" w:rsidRPr="00000849">
        <w:rPr>
          <w:sz w:val="24"/>
          <w:szCs w:val="24"/>
        </w:rPr>
        <w:t>, if this was the case</w:t>
      </w:r>
      <w:r w:rsidRPr="00000849">
        <w:rPr>
          <w:sz w:val="24"/>
          <w:szCs w:val="24"/>
        </w:rPr>
        <w:t>.</w:t>
      </w:r>
      <w:r w:rsidR="003B4AD5" w:rsidRPr="00000849">
        <w:rPr>
          <w:sz w:val="24"/>
          <w:szCs w:val="24"/>
        </w:rPr>
        <w:t xml:space="preserve">  </w:t>
      </w:r>
      <w:r w:rsidR="00006782" w:rsidRPr="00000849">
        <w:rPr>
          <w:sz w:val="24"/>
          <w:szCs w:val="24"/>
        </w:rPr>
        <w:t>Secondly, t</w:t>
      </w:r>
      <w:r w:rsidR="006837F5" w:rsidRPr="00000849">
        <w:rPr>
          <w:sz w:val="24"/>
          <w:szCs w:val="24"/>
        </w:rPr>
        <w:t xml:space="preserve">he prevalence of self-reported hypertension in W1 (13.9%) and in W2 (14.1%) was similar.  </w:t>
      </w:r>
      <w:r w:rsidR="003B4AD5" w:rsidRPr="00000849">
        <w:rPr>
          <w:sz w:val="24"/>
          <w:szCs w:val="24"/>
        </w:rPr>
        <w:t xml:space="preserve">The </w:t>
      </w:r>
      <w:r w:rsidR="004278DC" w:rsidRPr="00000849">
        <w:rPr>
          <w:sz w:val="24"/>
          <w:szCs w:val="24"/>
        </w:rPr>
        <w:t xml:space="preserve">additional cases of </w:t>
      </w:r>
      <w:r w:rsidR="003B4AD5" w:rsidRPr="00000849">
        <w:rPr>
          <w:sz w:val="24"/>
          <w:szCs w:val="24"/>
        </w:rPr>
        <w:t xml:space="preserve">hypertension based on their treatment history </w:t>
      </w:r>
      <w:r w:rsidR="004278DC" w:rsidRPr="00000849">
        <w:rPr>
          <w:sz w:val="24"/>
          <w:szCs w:val="24"/>
        </w:rPr>
        <w:t xml:space="preserve">(besides </w:t>
      </w:r>
      <w:r w:rsidR="006837F5" w:rsidRPr="00000849">
        <w:rPr>
          <w:sz w:val="24"/>
          <w:szCs w:val="24"/>
        </w:rPr>
        <w:t>BP measurement</w:t>
      </w:r>
      <w:r w:rsidR="004278DC" w:rsidRPr="00000849">
        <w:rPr>
          <w:sz w:val="24"/>
          <w:szCs w:val="24"/>
        </w:rPr>
        <w:t>)</w:t>
      </w:r>
      <w:r w:rsidR="006837F5" w:rsidRPr="00000849">
        <w:rPr>
          <w:sz w:val="24"/>
          <w:szCs w:val="24"/>
        </w:rPr>
        <w:t xml:space="preserve"> </w:t>
      </w:r>
      <w:r w:rsidR="003B4AD5" w:rsidRPr="00000849">
        <w:rPr>
          <w:sz w:val="24"/>
          <w:szCs w:val="24"/>
        </w:rPr>
        <w:t xml:space="preserve">was </w:t>
      </w:r>
      <w:r w:rsidR="006837F5" w:rsidRPr="00000849">
        <w:rPr>
          <w:sz w:val="24"/>
          <w:szCs w:val="24"/>
        </w:rPr>
        <w:t>4.5% and 2.7</w:t>
      </w:r>
      <w:r w:rsidR="004278DC" w:rsidRPr="00000849">
        <w:rPr>
          <w:sz w:val="24"/>
          <w:szCs w:val="24"/>
        </w:rPr>
        <w:t>% in W1 and W2 respectively.</w:t>
      </w:r>
      <w:r w:rsidR="000E32CF" w:rsidRPr="00000849">
        <w:rPr>
          <w:sz w:val="24"/>
          <w:szCs w:val="24"/>
        </w:rPr>
        <w:t xml:space="preserve">  </w:t>
      </w:r>
      <w:r w:rsidR="00006782" w:rsidRPr="00000849">
        <w:rPr>
          <w:sz w:val="24"/>
          <w:szCs w:val="24"/>
        </w:rPr>
        <w:t xml:space="preserve">Thirdly, </w:t>
      </w:r>
      <w:r w:rsidR="00660EAC" w:rsidRPr="00000849">
        <w:rPr>
          <w:sz w:val="24"/>
          <w:szCs w:val="24"/>
        </w:rPr>
        <w:t>W2</w:t>
      </w:r>
      <w:r w:rsidR="0019659C" w:rsidRPr="00000849">
        <w:rPr>
          <w:sz w:val="24"/>
          <w:szCs w:val="24"/>
        </w:rPr>
        <w:t>, actually,</w:t>
      </w:r>
      <w:r w:rsidR="00660EAC" w:rsidRPr="00000849">
        <w:rPr>
          <w:sz w:val="24"/>
          <w:szCs w:val="24"/>
        </w:rPr>
        <w:t xml:space="preserve"> had more non</w:t>
      </w:r>
      <w:r w:rsidR="0018020F" w:rsidRPr="00000849">
        <w:rPr>
          <w:sz w:val="24"/>
          <w:szCs w:val="24"/>
        </w:rPr>
        <w:t>-</w:t>
      </w:r>
      <w:r w:rsidR="00660EAC" w:rsidRPr="00000849">
        <w:rPr>
          <w:sz w:val="24"/>
          <w:szCs w:val="24"/>
        </w:rPr>
        <w:t>missing data on hypertension than W1 (98.5% v</w:t>
      </w:r>
      <w:r w:rsidR="004278DC" w:rsidRPr="00000849">
        <w:rPr>
          <w:sz w:val="24"/>
          <w:szCs w:val="24"/>
        </w:rPr>
        <w:t>ersus</w:t>
      </w:r>
      <w:r w:rsidR="00660EAC" w:rsidRPr="00000849">
        <w:rPr>
          <w:sz w:val="24"/>
          <w:szCs w:val="24"/>
        </w:rPr>
        <w:t xml:space="preserve"> 90.1%).</w:t>
      </w:r>
    </w:p>
    <w:p w14:paraId="3F71AF37" w14:textId="14CD081C" w:rsidR="00FF7439" w:rsidRPr="00000849" w:rsidRDefault="00A05CA5" w:rsidP="00DD2198">
      <w:pPr>
        <w:widowControl w:val="0"/>
        <w:spacing w:line="480" w:lineRule="auto"/>
        <w:ind w:firstLine="567"/>
        <w:jc w:val="both"/>
        <w:rPr>
          <w:rFonts w:cstheme="minorHAnsi"/>
          <w:sz w:val="24"/>
          <w:szCs w:val="24"/>
        </w:rPr>
      </w:pPr>
      <w:r w:rsidRPr="00000849">
        <w:rPr>
          <w:rFonts w:cstheme="minorHAnsi"/>
          <w:sz w:val="24"/>
          <w:szCs w:val="24"/>
        </w:rPr>
        <w:t xml:space="preserve">In relation </w:t>
      </w:r>
      <w:r w:rsidR="00097151" w:rsidRPr="00000849">
        <w:rPr>
          <w:rFonts w:cstheme="minorHAnsi"/>
          <w:sz w:val="24"/>
          <w:szCs w:val="24"/>
        </w:rPr>
        <w:t xml:space="preserve">to the </w:t>
      </w:r>
      <w:r w:rsidR="009E6129" w:rsidRPr="00000849">
        <w:rPr>
          <w:rFonts w:cstheme="minorHAnsi"/>
          <w:sz w:val="24"/>
          <w:szCs w:val="24"/>
        </w:rPr>
        <w:t xml:space="preserve">theoretical framework, despite the decline in the prevalence, the still high levels of hypertension in the older adults in Ghana do not make for successful ageing.  As may be recalled, Rowe and Khan’s model of successful ageing </w:t>
      </w:r>
      <w:r w:rsidR="009E6129" w:rsidRPr="00000849">
        <w:rPr>
          <w:rFonts w:cstheme="minorHAnsi"/>
          <w:sz w:val="24"/>
          <w:szCs w:val="24"/>
        </w:rPr>
        <w:lastRenderedPageBreak/>
        <w:t xml:space="preserve">had elements of low probability of disease and disability as well as high cognitive and physical function </w:t>
      </w:r>
      <w:r w:rsidR="009E6129" w:rsidRPr="00000849">
        <w:rPr>
          <w:rFonts w:cstheme="minorHAnsi"/>
          <w:sz w:val="24"/>
          <w:szCs w:val="24"/>
        </w:rPr>
        <w:fldChar w:fldCharType="begin"/>
      </w:r>
      <w:r w:rsidR="009E6129" w:rsidRPr="00000849">
        <w:rPr>
          <w:rFonts w:cstheme="minorHAnsi"/>
          <w:sz w:val="24"/>
          <w:szCs w:val="24"/>
        </w:rPr>
        <w:instrText xml:space="preserve"> ADDIN EN.CITE &lt;EndNote&gt;&lt;Cite&gt;&lt;Author&gt;Rowe&lt;/Author&gt;&lt;Year&gt;1997&lt;/Year&gt;&lt;RecNum&gt;24&lt;/RecNum&gt;&lt;DisplayText&gt;(Rowe &amp;amp; Kahn, 1997)&lt;/DisplayText&gt;&lt;record&gt;&lt;rec-number&gt;24&lt;/rec-number&gt;&lt;foreign-keys&gt;&lt;key app="EN" db-id="9tzf2rda8re2a9es5tuxart3swzx2zws2s02" timestamp="1463942467"&gt;24&lt;/key&gt;&lt;/foreign-keys&gt;&lt;ref-type name="Journal Article"&gt;17&lt;/ref-type&gt;&lt;contributors&gt;&lt;authors&gt;&lt;author&gt;Rowe, John W&lt;/author&gt;&lt;author&gt;Kahn, Robert L&lt;/author&gt;&lt;/authors&gt;&lt;/contributors&gt;&lt;titles&gt;&lt;title&gt;Successful aging&lt;/title&gt;&lt;secondary-title&gt;The Gerontologist&lt;/secondary-title&gt;&lt;/titles&gt;&lt;periodical&gt;&lt;full-title&gt;The Gerontologist&lt;/full-title&gt;&lt;abbr-1&gt;Gerontologist&lt;/abbr-1&gt;&lt;/periodical&gt;&lt;pages&gt;433-440&lt;/pages&gt;&lt;volume&gt;37&lt;/volume&gt;&lt;number&gt;4&lt;/number&gt;&lt;dates&gt;&lt;year&gt;1997&lt;/year&gt;&lt;/dates&gt;&lt;isbn&gt;0016-9013&lt;/isbn&gt;&lt;urls&gt;&lt;/urls&gt;&lt;/record&gt;&lt;/Cite&gt;&lt;/EndNote&gt;</w:instrText>
      </w:r>
      <w:r w:rsidR="009E6129" w:rsidRPr="00000849">
        <w:rPr>
          <w:rFonts w:cstheme="minorHAnsi"/>
          <w:sz w:val="24"/>
          <w:szCs w:val="24"/>
        </w:rPr>
        <w:fldChar w:fldCharType="separate"/>
      </w:r>
      <w:r w:rsidR="009E6129" w:rsidRPr="00000849">
        <w:rPr>
          <w:rFonts w:cstheme="minorHAnsi"/>
          <w:noProof/>
          <w:sz w:val="24"/>
          <w:szCs w:val="24"/>
        </w:rPr>
        <w:t>(Rowe &amp; Kahn, 1997)</w:t>
      </w:r>
      <w:r w:rsidR="009E6129" w:rsidRPr="00000849">
        <w:rPr>
          <w:rFonts w:cstheme="minorHAnsi"/>
          <w:sz w:val="24"/>
          <w:szCs w:val="24"/>
        </w:rPr>
        <w:fldChar w:fldCharType="end"/>
      </w:r>
      <w:r w:rsidR="009E6129" w:rsidRPr="00000849">
        <w:rPr>
          <w:rFonts w:cstheme="minorHAnsi"/>
          <w:sz w:val="24"/>
          <w:szCs w:val="24"/>
        </w:rPr>
        <w:t xml:space="preserve">. </w:t>
      </w:r>
      <w:r w:rsidR="00097151" w:rsidRPr="00000849">
        <w:rPr>
          <w:rFonts w:cstheme="minorHAnsi"/>
          <w:sz w:val="24"/>
          <w:szCs w:val="24"/>
        </w:rPr>
        <w:t xml:space="preserve"> </w:t>
      </w:r>
      <w:r w:rsidR="009E6129" w:rsidRPr="00000849">
        <w:rPr>
          <w:rFonts w:cstheme="minorHAnsi"/>
          <w:sz w:val="24"/>
          <w:szCs w:val="24"/>
        </w:rPr>
        <w:t>As discussed in section 6.6, not only did the older in Ghana have a high prevalence of hypertension, but most of them had other risk factors for chronic NCDs</w:t>
      </w:r>
      <w:r w:rsidR="00950177" w:rsidRPr="00000849">
        <w:rPr>
          <w:rFonts w:cstheme="minorHAnsi"/>
          <w:sz w:val="24"/>
          <w:szCs w:val="24"/>
        </w:rPr>
        <w:t xml:space="preserve"> including overweight and obesity</w:t>
      </w:r>
      <w:r w:rsidR="00D5486D" w:rsidRPr="00000849">
        <w:rPr>
          <w:rFonts w:cstheme="minorHAnsi"/>
          <w:sz w:val="24"/>
          <w:szCs w:val="24"/>
        </w:rPr>
        <w:t xml:space="preserve"> (section 6.6)</w:t>
      </w:r>
      <w:r w:rsidR="009E6129" w:rsidRPr="00000849">
        <w:rPr>
          <w:rFonts w:cstheme="minorHAnsi"/>
          <w:sz w:val="24"/>
          <w:szCs w:val="24"/>
        </w:rPr>
        <w:t xml:space="preserve">.  Moreover, in the African setting, most older adults are not covered by social security and pension and so have little social protection.   </w:t>
      </w:r>
      <w:r w:rsidR="006D315D" w:rsidRPr="00000849">
        <w:rPr>
          <w:rFonts w:cstheme="minorHAnsi"/>
          <w:sz w:val="24"/>
          <w:szCs w:val="24"/>
        </w:rPr>
        <w:t xml:space="preserve">Overweight and obesity among SAGE Ghana W2 participants </w:t>
      </w:r>
      <w:r w:rsidR="00950177" w:rsidRPr="00000849">
        <w:rPr>
          <w:rFonts w:cstheme="minorHAnsi"/>
          <w:sz w:val="24"/>
          <w:szCs w:val="24"/>
        </w:rPr>
        <w:t>were</w:t>
      </w:r>
      <w:r w:rsidR="006D315D" w:rsidRPr="00000849">
        <w:rPr>
          <w:rFonts w:cstheme="minorHAnsi"/>
          <w:sz w:val="24"/>
          <w:szCs w:val="24"/>
        </w:rPr>
        <w:t xml:space="preserve"> associated with </w:t>
      </w:r>
      <w:r w:rsidR="00950177" w:rsidRPr="00000849">
        <w:rPr>
          <w:rFonts w:cstheme="minorHAnsi"/>
          <w:sz w:val="24"/>
          <w:szCs w:val="24"/>
        </w:rPr>
        <w:t xml:space="preserve">3.8 times the </w:t>
      </w:r>
      <w:r w:rsidR="006D315D" w:rsidRPr="00000849">
        <w:rPr>
          <w:rFonts w:cstheme="minorHAnsi"/>
          <w:sz w:val="24"/>
          <w:szCs w:val="24"/>
        </w:rPr>
        <w:t xml:space="preserve">health care costs </w:t>
      </w:r>
      <w:r w:rsidR="00950177" w:rsidRPr="00000849">
        <w:rPr>
          <w:rFonts w:cstheme="minorHAnsi"/>
          <w:sz w:val="24"/>
          <w:szCs w:val="24"/>
        </w:rPr>
        <w:t xml:space="preserve">of </w:t>
      </w:r>
      <w:r w:rsidR="006D315D" w:rsidRPr="00000849">
        <w:rPr>
          <w:rFonts w:cstheme="minorHAnsi"/>
          <w:sz w:val="24"/>
          <w:szCs w:val="24"/>
        </w:rPr>
        <w:t xml:space="preserve">those with normal BMI </w:t>
      </w:r>
      <w:r w:rsidR="006D315D" w:rsidRPr="00000849">
        <w:rPr>
          <w:rFonts w:cstheme="minorHAnsi"/>
          <w:sz w:val="24"/>
          <w:szCs w:val="24"/>
        </w:rPr>
        <w:fldChar w:fldCharType="begin"/>
      </w:r>
      <w:r w:rsidR="003E660C" w:rsidRPr="00000849">
        <w:rPr>
          <w:rFonts w:cstheme="minorHAnsi"/>
          <w:sz w:val="24"/>
          <w:szCs w:val="24"/>
        </w:rPr>
        <w:instrText xml:space="preserve"> ADDIN EN.CITE &lt;EndNote&gt;&lt;Cite&gt;&lt;Author&gt;Lartey&lt;/Author&gt;&lt;Year&gt;2019&lt;/Year&gt;&lt;RecNum&gt;1022&lt;/RecNum&gt;&lt;DisplayText&gt;(Lartey et al., 2019a)&lt;/DisplayText&gt;&lt;record&gt;&lt;rec-number&gt;1022&lt;/rec-number&gt;&lt;foreign-keys&gt;&lt;key app="EN" db-id="9tzf2rda8re2a9es5tuxart3swzx2zws2s02" timestamp="1576589266"&gt;1022&lt;/key&gt;&lt;/foreign-keys&gt;&lt;ref-type name="Journal Article"&gt;17&lt;/ref-type&gt;&lt;contributors&gt;&lt;authors&gt;&lt;author&gt;Lartey, Stella T&lt;/author&gt;&lt;author&gt;de Graaff, Barbara&lt;/author&gt;&lt;author&gt;Magnussen, Costan G&lt;/author&gt;&lt;author&gt;Boateng, Godfred O&lt;/author&gt;&lt;author&gt;Aikins, Moses&lt;/author&gt;&lt;author&gt;Minicuci, Nadia&lt;/author&gt;&lt;author&gt;Kowal, Paul&lt;/author&gt;&lt;author&gt;Si, Lei&lt;/author&gt;&lt;author&gt;Palmer, Andrew J&lt;/author&gt;&lt;/authors&gt;&lt;/contributors&gt;&lt;titles&gt;&lt;title&gt;Health service utilization and direct healthcare costs associated with obesity in older adult population in Ghana&lt;/title&gt;&lt;secondary-title&gt;Health Policy and Planning&lt;/secondary-title&gt;&lt;/titles&gt;&lt;periodical&gt;&lt;full-title&gt;Health Policy Plan&lt;/full-title&gt;&lt;abbr-1&gt;Health policy and planning&lt;/abbr-1&gt;&lt;/periodical&gt;&lt;dates&gt;&lt;year&gt;2019&lt;/year&gt;&lt;/dates&gt;&lt;isbn&gt;0268-1080&lt;/isbn&gt;&lt;urls&gt;&lt;related-urls&gt;&lt;url&gt;https://doi.org/10.1093/heapol/czz147&lt;/url&gt;&lt;/related-urls&gt;&lt;/urls&gt;&lt;custom1&gt;czz147&lt;/custom1&gt;&lt;electronic-resource-num&gt;10.1093/heapol/czz147&lt;/electronic-resource-num&gt;&lt;access-date&gt;12/17/2019&lt;/access-date&gt;&lt;/record&gt;&lt;/Cite&gt;&lt;/EndNote&gt;</w:instrText>
      </w:r>
      <w:r w:rsidR="006D315D" w:rsidRPr="00000849">
        <w:rPr>
          <w:rFonts w:cstheme="minorHAnsi"/>
          <w:sz w:val="24"/>
          <w:szCs w:val="24"/>
        </w:rPr>
        <w:fldChar w:fldCharType="separate"/>
      </w:r>
      <w:r w:rsidR="006D315D" w:rsidRPr="00000849">
        <w:rPr>
          <w:rFonts w:cstheme="minorHAnsi"/>
          <w:noProof/>
          <w:sz w:val="24"/>
          <w:szCs w:val="24"/>
        </w:rPr>
        <w:t>(Lartey et al., 2019a)</w:t>
      </w:r>
      <w:r w:rsidR="006D315D" w:rsidRPr="00000849">
        <w:rPr>
          <w:rFonts w:cstheme="minorHAnsi"/>
          <w:sz w:val="24"/>
          <w:szCs w:val="24"/>
        </w:rPr>
        <w:fldChar w:fldCharType="end"/>
      </w:r>
      <w:r w:rsidR="006D315D" w:rsidRPr="00000849">
        <w:rPr>
          <w:rFonts w:cstheme="minorHAnsi"/>
          <w:sz w:val="24"/>
          <w:szCs w:val="24"/>
        </w:rPr>
        <w:t xml:space="preserve">. </w:t>
      </w:r>
      <w:r w:rsidR="00FF7439" w:rsidRPr="00000849">
        <w:rPr>
          <w:rFonts w:cstheme="minorHAnsi"/>
          <w:sz w:val="24"/>
          <w:szCs w:val="24"/>
        </w:rPr>
        <w:t>Hypertension and its complications exact a significant financial toll on households and individuals in Africa</w:t>
      </w:r>
      <w:bookmarkStart w:id="116" w:name="_Hlk71158376"/>
      <w:r w:rsidR="00FF7439" w:rsidRPr="00000849">
        <w:rPr>
          <w:rFonts w:cstheme="minorHAnsi"/>
          <w:sz w:val="24"/>
          <w:szCs w:val="24"/>
        </w:rPr>
        <w:t>.  Having a household member with a chronic illness</w:t>
      </w:r>
      <w:r w:rsidR="00D363A0">
        <w:rPr>
          <w:rFonts w:cstheme="minorHAnsi"/>
          <w:sz w:val="24"/>
          <w:szCs w:val="24"/>
        </w:rPr>
        <w:t xml:space="preserve"> in rural Africa</w:t>
      </w:r>
      <w:r w:rsidR="00FF7439" w:rsidRPr="00000849">
        <w:rPr>
          <w:rFonts w:cstheme="minorHAnsi"/>
          <w:sz w:val="24"/>
          <w:szCs w:val="24"/>
        </w:rPr>
        <w:t xml:space="preserve"> increases the probability of catastrophic payments to 3.3-7.8 times that of households with no chronic illness, with payments representing up to 60% of non-food household expenditure </w:t>
      </w:r>
      <w:r w:rsidR="00FF7439" w:rsidRPr="00000849">
        <w:rPr>
          <w:rFonts w:cstheme="minorHAnsi"/>
          <w:sz w:val="24"/>
          <w:szCs w:val="24"/>
        </w:rPr>
        <w:fldChar w:fldCharType="begin">
          <w:fldData xml:space="preserve">PEVuZE5vdGU+PENpdGU+PEF1dGhvcj5TdTwvQXV0aG9yPjxZZWFyPjIwMDY8L1llYXI+PFJlY051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</w:fldData>
        </w:fldChar>
      </w:r>
      <w:r w:rsidR="00431DA0" w:rsidRPr="00000849">
        <w:rPr>
          <w:rFonts w:cstheme="minorHAnsi"/>
          <w:sz w:val="24"/>
          <w:szCs w:val="24"/>
        </w:rPr>
        <w:instrText xml:space="preserve"> ADDIN EN.CITE </w:instrText>
      </w:r>
      <w:r w:rsidR="00431DA0" w:rsidRPr="00000849">
        <w:rPr>
          <w:rFonts w:cstheme="minorHAnsi"/>
          <w:sz w:val="24"/>
          <w:szCs w:val="24"/>
        </w:rPr>
        <w:fldChar w:fldCharType="begin">
          <w:fldData xml:space="preserve">PEVuZE5vdGU+PENpdGU+PEF1dGhvcj5TdTwvQXV0aG9yPjxZZWFyPjIwMDY8L1llYXI+PFJlY051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</w:fldData>
        </w:fldChar>
      </w:r>
      <w:r w:rsidR="00431DA0" w:rsidRPr="00000849">
        <w:rPr>
          <w:rFonts w:cstheme="minorHAnsi"/>
          <w:sz w:val="24"/>
          <w:szCs w:val="24"/>
        </w:rPr>
        <w:instrText xml:space="preserve"> ADDIN EN.CITE.DATA </w:instrText>
      </w:r>
      <w:r w:rsidR="00431DA0" w:rsidRPr="00000849">
        <w:rPr>
          <w:rFonts w:cstheme="minorHAnsi"/>
          <w:sz w:val="24"/>
          <w:szCs w:val="24"/>
        </w:rPr>
      </w:r>
      <w:r w:rsidR="00431DA0" w:rsidRPr="00000849">
        <w:rPr>
          <w:rFonts w:cstheme="minorHAnsi"/>
          <w:sz w:val="24"/>
          <w:szCs w:val="24"/>
        </w:rPr>
        <w:fldChar w:fldCharType="end"/>
      </w:r>
      <w:r w:rsidR="00FF7439" w:rsidRPr="00000849">
        <w:rPr>
          <w:rFonts w:cstheme="minorHAnsi"/>
          <w:sz w:val="24"/>
          <w:szCs w:val="24"/>
        </w:rPr>
      </w:r>
      <w:r w:rsidR="00FF7439" w:rsidRPr="00000849">
        <w:rPr>
          <w:rFonts w:cstheme="minorHAnsi"/>
          <w:sz w:val="24"/>
          <w:szCs w:val="24"/>
        </w:rPr>
        <w:fldChar w:fldCharType="separate"/>
      </w:r>
      <w:r w:rsidR="00431DA0" w:rsidRPr="00000849">
        <w:rPr>
          <w:rFonts w:cstheme="minorHAnsi"/>
          <w:noProof/>
          <w:sz w:val="24"/>
          <w:szCs w:val="24"/>
        </w:rPr>
        <w:t>(Su et al., 2006; Wang et al., 2016)</w:t>
      </w:r>
      <w:r w:rsidR="00FF7439" w:rsidRPr="00000849">
        <w:rPr>
          <w:rFonts w:cstheme="minorHAnsi"/>
          <w:sz w:val="24"/>
          <w:szCs w:val="24"/>
        </w:rPr>
        <w:fldChar w:fldCharType="end"/>
      </w:r>
      <w:r w:rsidR="00FF7439" w:rsidRPr="00000849">
        <w:rPr>
          <w:rFonts w:cstheme="minorHAnsi"/>
          <w:sz w:val="24"/>
          <w:szCs w:val="24"/>
        </w:rPr>
        <w:t xml:space="preserve">. </w:t>
      </w:r>
      <w:bookmarkEnd w:id="116"/>
      <w:r w:rsidR="00FF7439" w:rsidRPr="00000849">
        <w:rPr>
          <w:rFonts w:cstheme="minorHAnsi"/>
          <w:sz w:val="24"/>
          <w:szCs w:val="24"/>
        </w:rPr>
        <w:t xml:space="preserve"> </w:t>
      </w:r>
    </w:p>
    <w:p w14:paraId="7684779E" w14:textId="77777777" w:rsidR="00FF7439" w:rsidRPr="00000849" w:rsidRDefault="00FF7439"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1BC43C1D" w14:textId="38E9792A" w:rsidR="00BA21ED" w:rsidRPr="00000849" w:rsidRDefault="002006AA" w:rsidP="00A61BAB">
      <w:pPr>
        <w:pStyle w:val="Heading2"/>
      </w:pPr>
      <w:bookmarkStart w:id="117" w:name="_Toc51472148"/>
      <w:r w:rsidRPr="00000849">
        <w:t>6.</w:t>
      </w:r>
      <w:r w:rsidR="003E120D" w:rsidRPr="00000849">
        <w:t>3</w:t>
      </w:r>
      <w:r w:rsidR="003E120D" w:rsidRPr="00000849">
        <w:tab/>
      </w:r>
      <w:r w:rsidR="000E32CF" w:rsidRPr="00000849">
        <w:t>Severity of</w:t>
      </w:r>
      <w:r w:rsidR="00BA21ED" w:rsidRPr="00000849">
        <w:t xml:space="preserve"> hypertension</w:t>
      </w:r>
      <w:bookmarkEnd w:id="117"/>
      <w:r w:rsidR="00BA21ED" w:rsidRPr="00000849">
        <w:t xml:space="preserve"> </w:t>
      </w:r>
    </w:p>
    <w:p w14:paraId="5242D876" w14:textId="57CAB3C7" w:rsidR="002C6410" w:rsidRPr="00000849" w:rsidRDefault="002C6410" w:rsidP="00734C57">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3E658410" w14:textId="1716F577" w:rsidR="00B45210" w:rsidRPr="00000849" w:rsidRDefault="00B768CF" w:rsidP="00734C57">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About one-quarter of W1 and one-eight</w:t>
      </w:r>
      <w:r w:rsidR="00BA24EF" w:rsidRPr="00000849">
        <w:rPr>
          <w:rFonts w:asciiTheme="minorHAnsi" w:hAnsiTheme="minorHAnsi" w:cstheme="minorHAnsi"/>
          <w:color w:val="383838"/>
        </w:rPr>
        <w:t>h</w:t>
      </w:r>
      <w:r w:rsidRPr="00000849">
        <w:rPr>
          <w:rFonts w:asciiTheme="minorHAnsi" w:hAnsiTheme="minorHAnsi" w:cstheme="minorHAnsi"/>
          <w:color w:val="383838"/>
        </w:rPr>
        <w:t xml:space="preserve"> of W2 participants ha</w:t>
      </w:r>
      <w:r w:rsidR="00FC21EC" w:rsidRPr="00000849">
        <w:rPr>
          <w:rFonts w:asciiTheme="minorHAnsi" w:hAnsiTheme="minorHAnsi" w:cstheme="minorHAnsi"/>
          <w:color w:val="383838"/>
        </w:rPr>
        <w:t>d</w:t>
      </w:r>
      <w:r w:rsidRPr="00000849">
        <w:rPr>
          <w:rFonts w:asciiTheme="minorHAnsi" w:hAnsiTheme="minorHAnsi" w:cstheme="minorHAnsi"/>
          <w:color w:val="383838"/>
        </w:rPr>
        <w:t xml:space="preserve"> BP≥180 mm Hg and/or DBP was ≥110 mmHg</w:t>
      </w:r>
      <w:r w:rsidR="00734C57" w:rsidRPr="00000849">
        <w:rPr>
          <w:rFonts w:asciiTheme="minorHAnsi" w:hAnsiTheme="minorHAnsi" w:cstheme="minorHAnsi"/>
          <w:color w:val="383838"/>
        </w:rPr>
        <w:t xml:space="preserve">.  This compares with a 19.2% prevalence among civil servants working in Accra </w:t>
      </w:r>
      <w:r w:rsidR="00734C57" w:rsidRPr="00000849">
        <w:rPr>
          <w:rFonts w:asciiTheme="minorHAnsi" w:hAnsiTheme="minorHAnsi" w:cstheme="minorHAnsi"/>
          <w:color w:val="383838"/>
        </w:rPr>
        <w:fldChar w:fldCharType="begin"/>
      </w:r>
      <w:r w:rsidR="0060706B" w:rsidRPr="00000849">
        <w:rPr>
          <w:rFonts w:asciiTheme="minorHAnsi" w:hAnsiTheme="minorHAnsi" w:cstheme="minorHAnsi"/>
          <w:color w:val="383838"/>
        </w:rPr>
        <w:instrText xml:space="preserve"> ADDIN EN.CITE &lt;EndNote&gt;&lt;Cite&gt;&lt;Author&gt;Addo&lt;/Author&gt;&lt;Year&gt;2008&lt;/Year&gt;&lt;RecNum&gt;711&lt;/RecNum&gt;&lt;DisplayText&gt;(Addo et al., 2008)&lt;/DisplayText&gt;&lt;record&gt;&lt;rec-number&gt;711&lt;/rec-number&gt;&lt;foreign-keys&gt;&lt;key app="EN" db-id="9tzf2rda8re2a9es5tuxart3swzx2zws2s02" timestamp="1499325516"&gt;711&lt;/key&gt;&lt;/foreign-keys&gt;&lt;ref-type name="Journal Article"&gt;17&lt;/ref-type&gt;&lt;contributors&gt;&lt;authors&gt;&lt;author&gt;Addo, Juliet &lt;/author&gt;&lt;author&gt;Smeeth, Liam&lt;/author&gt;&lt;author&gt;Leon, David A&lt;/author&gt;&lt;/authors&gt;&lt;/contributors&gt;&lt;titles&gt;&lt;title&gt;Prevalence, detection, management, and control of hypertension in Ghanaian civil servants.&lt;/title&gt;&lt;secondary-title&gt;Ethnicity &amp;amp; Disease&lt;/secondary-title&gt;&lt;/titles&gt;&lt;periodical&gt;&lt;full-title&gt;Ethnicity &amp;amp; Disease&lt;/full-title&gt;&lt;/periodical&gt;&lt;pages&gt;505-11&lt;/pages&gt;&lt;volume&gt;18&lt;/volume&gt;&lt;dates&gt;&lt;year&gt;2008&lt;/year&gt;&lt;/dates&gt;&lt;urls&gt;&lt;/urls&gt;&lt;/record&gt;&lt;/Cite&gt;&lt;/EndNote&gt;</w:instrText>
      </w:r>
      <w:r w:rsidR="00734C57"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(Addo et al., 2008)</w:t>
      </w:r>
      <w:r w:rsidR="00734C57" w:rsidRPr="00000849">
        <w:rPr>
          <w:rFonts w:asciiTheme="minorHAnsi" w:hAnsiTheme="minorHAnsi" w:cstheme="minorHAnsi"/>
          <w:color w:val="383838"/>
        </w:rPr>
        <w:fldChar w:fldCharType="end"/>
      </w:r>
      <w:r w:rsidR="00734C57" w:rsidRPr="00000849">
        <w:rPr>
          <w:rFonts w:asciiTheme="minorHAnsi" w:hAnsiTheme="minorHAnsi" w:cstheme="minorHAnsi"/>
          <w:color w:val="383838"/>
        </w:rPr>
        <w:t xml:space="preserve">.  About 71% of these civil servants were subsequently examined for </w:t>
      </w:r>
      <w:r w:rsidR="007F7F10" w:rsidRPr="00000849">
        <w:rPr>
          <w:rFonts w:asciiTheme="minorHAnsi" w:hAnsiTheme="minorHAnsi" w:cstheme="minorHAnsi"/>
          <w:color w:val="383838"/>
        </w:rPr>
        <w:t xml:space="preserve">complications </w:t>
      </w:r>
      <w:r w:rsidR="007F7F10" w:rsidRPr="00000849">
        <w:rPr>
          <w:rFonts w:asciiTheme="minorHAnsi" w:hAnsiTheme="minorHAnsi" w:cstheme="minorHAnsi"/>
          <w:color w:val="383838"/>
        </w:rPr>
        <w:fldChar w:fldCharType="begin"/>
      </w:r>
      <w:r w:rsidR="0060706B" w:rsidRPr="00000849">
        <w:rPr>
          <w:rFonts w:asciiTheme="minorHAnsi" w:hAnsiTheme="minorHAnsi" w:cstheme="minorHAnsi"/>
          <w:color w:val="383838"/>
        </w:rPr>
        <w:instrText xml:space="preserve"> ADDIN EN.CITE &lt;EndNote&gt;&lt;Cite&gt;&lt;Author&gt;Addo&lt;/Author&gt;&lt;Year&gt;2009&lt;/Year&gt;&lt;RecNum&gt;56&lt;/RecNum&gt;&lt;DisplayText&gt;(Addo et al., 2009a)&lt;/DisplayText&gt;&lt;record&gt;&lt;rec-number&gt;56&lt;/rec-number&gt;&lt;foreign-keys&gt;&lt;key app="EN" db-id="9tzf2rda8re2a9es5tuxart3swzx2zws2s02" timestamp="1465070676"&gt;56&lt;/key&gt;&lt;/foreign-keys&gt;&lt;ref-type name="Journal Article"&gt;17&lt;/ref-type&gt;&lt;contributors&gt;&lt;authors&gt;&lt;author&gt;Addo, Juliet &lt;/author&gt;&lt;author&gt;Smeeth, Liam &lt;/author&gt;&lt;author&gt;Leon, David A.&lt;/author&gt;&lt;/authors&gt;&lt;/contributors&gt;&lt;titles&gt;&lt;title&gt;Hypertensive target organ damage in Ghanaian civil servants with hypertension&lt;/title&gt;&lt;secondary-title&gt;PLoS One&lt;/secondary-title&gt;&lt;/titles&gt;&lt;periodical&gt;&lt;full-title&gt;PLoS One&lt;/full-title&gt;&lt;/periodical&gt;&lt;pages&gt;e6672&lt;/pages&gt;&lt;volume&gt;4&lt;/volume&gt;&lt;number&gt;8&lt;/number&gt;&lt;dates&gt;&lt;year&gt;2009&lt;/year&gt;&lt;/dates&gt;&lt;urls&gt;&lt;/urls&gt;&lt;electronic-resource-num&gt;10.1371/journal.pone.0006672.&lt;/electronic-resource-num&gt;&lt;/record&gt;&lt;/Cite&gt;&lt;/EndNote&gt;</w:instrText>
      </w:r>
      <w:r w:rsidR="007F7F10"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(Addo et al., 2009a)</w:t>
      </w:r>
      <w:r w:rsidR="007F7F10" w:rsidRPr="00000849">
        <w:rPr>
          <w:rFonts w:asciiTheme="minorHAnsi" w:hAnsiTheme="minorHAnsi" w:cstheme="minorHAnsi"/>
          <w:color w:val="383838"/>
        </w:rPr>
        <w:fldChar w:fldCharType="end"/>
      </w:r>
      <w:r w:rsidR="00734C57" w:rsidRPr="00000849">
        <w:rPr>
          <w:rFonts w:asciiTheme="minorHAnsi" w:hAnsiTheme="minorHAnsi" w:cstheme="minorHAnsi"/>
          <w:color w:val="383838"/>
        </w:rPr>
        <w:t xml:space="preserve">.  The baseline </w:t>
      </w:r>
      <w:r w:rsidR="00D31652" w:rsidRPr="00000849">
        <w:rPr>
          <w:rFonts w:asciiTheme="minorHAnsi" w:hAnsiTheme="minorHAnsi" w:cstheme="minorHAnsi"/>
          <w:color w:val="383838"/>
        </w:rPr>
        <w:t>S</w:t>
      </w:r>
      <w:r w:rsidR="00734C57" w:rsidRPr="00000849">
        <w:rPr>
          <w:rFonts w:asciiTheme="minorHAnsi" w:hAnsiTheme="minorHAnsi" w:cstheme="minorHAnsi"/>
          <w:color w:val="383838"/>
        </w:rPr>
        <w:t>BP</w:t>
      </w:r>
      <w:r w:rsidR="00D31652" w:rsidRPr="00000849">
        <w:rPr>
          <w:rFonts w:asciiTheme="minorHAnsi" w:hAnsiTheme="minorHAnsi" w:cstheme="minorHAnsi"/>
          <w:color w:val="383838"/>
        </w:rPr>
        <w:t xml:space="preserve"> and DBP</w:t>
      </w:r>
      <w:r w:rsidR="00734C57" w:rsidRPr="00000849">
        <w:rPr>
          <w:rFonts w:asciiTheme="minorHAnsi" w:hAnsiTheme="minorHAnsi" w:cstheme="minorHAnsi"/>
          <w:color w:val="383838"/>
        </w:rPr>
        <w:t xml:space="preserve"> of </w:t>
      </w:r>
      <w:r w:rsidR="00D31652" w:rsidRPr="00000849">
        <w:rPr>
          <w:rFonts w:asciiTheme="minorHAnsi" w:hAnsiTheme="minorHAnsi" w:cstheme="minorHAnsi"/>
          <w:color w:val="383838"/>
        </w:rPr>
        <w:t xml:space="preserve">those who were further </w:t>
      </w:r>
      <w:r w:rsidR="007F7F10" w:rsidRPr="00000849">
        <w:rPr>
          <w:rFonts w:asciiTheme="minorHAnsi" w:hAnsiTheme="minorHAnsi" w:cstheme="minorHAnsi"/>
          <w:color w:val="383838"/>
        </w:rPr>
        <w:t>examined,</w:t>
      </w:r>
      <w:r w:rsidR="00D31652" w:rsidRPr="00000849">
        <w:rPr>
          <w:rFonts w:asciiTheme="minorHAnsi" w:hAnsiTheme="minorHAnsi" w:cstheme="minorHAnsi"/>
          <w:color w:val="383838"/>
        </w:rPr>
        <w:t xml:space="preserve"> and non-participants were similar.  The civil servants had been living with hypertension for about 5.7 years (95% CI: 4.8–6.7).  The investigators found that 47.5% </w:t>
      </w:r>
      <w:r w:rsidR="00DD2198" w:rsidRPr="00000849">
        <w:rPr>
          <w:rFonts w:asciiTheme="minorHAnsi" w:hAnsiTheme="minorHAnsi" w:cstheme="minorHAnsi"/>
          <w:color w:val="383838"/>
        </w:rPr>
        <w:t xml:space="preserve">of those with hypertension </w:t>
      </w:r>
      <w:r w:rsidR="00D31652" w:rsidRPr="00000849">
        <w:rPr>
          <w:rFonts w:asciiTheme="minorHAnsi" w:hAnsiTheme="minorHAnsi" w:cstheme="minorHAnsi"/>
          <w:color w:val="383838"/>
        </w:rPr>
        <w:t xml:space="preserve">had evidence of target </w:t>
      </w:r>
      <w:r w:rsidR="00D31652" w:rsidRPr="00000849">
        <w:rPr>
          <w:rFonts w:asciiTheme="minorHAnsi" w:hAnsiTheme="minorHAnsi" w:cstheme="minorHAnsi"/>
          <w:color w:val="383838"/>
        </w:rPr>
        <w:lastRenderedPageBreak/>
        <w:t xml:space="preserve">organ damage (TOD) involving the heart, kidney or eyes or a history of stroke.  Those with severe hypertension had odds of 6.14 </w:t>
      </w:r>
      <w:r w:rsidR="000A081B" w:rsidRPr="00000849">
        <w:rPr>
          <w:rFonts w:asciiTheme="minorHAnsi" w:hAnsiTheme="minorHAnsi" w:cstheme="minorHAnsi"/>
          <w:color w:val="383838"/>
        </w:rPr>
        <w:t xml:space="preserve">of having TOD as those with </w:t>
      </w:r>
      <w:r w:rsidR="00734C57" w:rsidRPr="00000849">
        <w:rPr>
          <w:rFonts w:asciiTheme="minorHAnsi" w:hAnsiTheme="minorHAnsi" w:cstheme="minorHAnsi"/>
          <w:color w:val="383838"/>
        </w:rPr>
        <w:t>BP</w:t>
      </w:r>
      <w:r w:rsidR="007F7F10" w:rsidRPr="00000849">
        <w:rPr>
          <w:rFonts w:asciiTheme="minorHAnsi" w:hAnsiTheme="minorHAnsi" w:cstheme="minorHAnsi"/>
          <w:color w:val="383838"/>
        </w:rPr>
        <w:t>&lt;</w:t>
      </w:r>
      <w:r w:rsidR="00734C57" w:rsidRPr="00000849">
        <w:rPr>
          <w:rFonts w:asciiTheme="minorHAnsi" w:hAnsiTheme="minorHAnsi" w:cstheme="minorHAnsi"/>
          <w:color w:val="383838"/>
        </w:rPr>
        <w:t>140/90 mmHg</w:t>
      </w:r>
      <w:r w:rsidR="007F7F10" w:rsidRPr="00000849">
        <w:rPr>
          <w:rFonts w:asciiTheme="minorHAnsi" w:hAnsiTheme="minorHAnsi" w:cstheme="minorHAnsi"/>
          <w:color w:val="383838"/>
        </w:rPr>
        <w:t>.</w:t>
      </w:r>
      <w:r w:rsidR="008729E0" w:rsidRPr="00000849">
        <w:rPr>
          <w:rFonts w:asciiTheme="minorHAnsi" w:hAnsiTheme="minorHAnsi" w:cstheme="minorHAnsi"/>
          <w:color w:val="383838"/>
        </w:rPr>
        <w:t xml:space="preserve">  </w:t>
      </w:r>
    </w:p>
    <w:p w14:paraId="70FFE8D4" w14:textId="31FB2FB6" w:rsidR="00734C57" w:rsidRPr="00000849" w:rsidRDefault="008729E0" w:rsidP="00B45210">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It seems reasonable to suspect that the </w:t>
      </w:r>
      <w:r w:rsidR="00B45210" w:rsidRPr="00000849">
        <w:rPr>
          <w:rFonts w:asciiTheme="minorHAnsi" w:hAnsiTheme="minorHAnsi" w:cstheme="minorHAnsi"/>
          <w:color w:val="383838"/>
        </w:rPr>
        <w:t>subjects</w:t>
      </w:r>
      <w:r w:rsidRPr="00000849">
        <w:rPr>
          <w:rFonts w:asciiTheme="minorHAnsi" w:hAnsiTheme="minorHAnsi" w:cstheme="minorHAnsi"/>
          <w:color w:val="383838"/>
        </w:rPr>
        <w:t xml:space="preserve"> in the SAGE Ghana study, </w:t>
      </w:r>
      <w:r w:rsidR="00B45210" w:rsidRPr="00000849">
        <w:rPr>
          <w:rFonts w:asciiTheme="minorHAnsi" w:hAnsiTheme="minorHAnsi" w:cstheme="minorHAnsi"/>
          <w:color w:val="383838"/>
        </w:rPr>
        <w:t xml:space="preserve">being older, </w:t>
      </w:r>
      <w:r w:rsidRPr="00000849">
        <w:rPr>
          <w:rFonts w:asciiTheme="minorHAnsi" w:hAnsiTheme="minorHAnsi" w:cstheme="minorHAnsi"/>
          <w:color w:val="383838"/>
        </w:rPr>
        <w:t>with severe hypertension being more common, and having had their conditions for longer, would have a higher prevalence of TOD than observed in the civil servants</w:t>
      </w:r>
      <w:r w:rsidR="00B45210" w:rsidRPr="00000849">
        <w:rPr>
          <w:rFonts w:asciiTheme="minorHAnsi" w:hAnsiTheme="minorHAnsi" w:cstheme="minorHAnsi"/>
          <w:color w:val="383838"/>
        </w:rPr>
        <w:t xml:space="preserve"> </w:t>
      </w:r>
      <w:r w:rsidR="00B45210" w:rsidRPr="00000849">
        <w:rPr>
          <w:rFonts w:asciiTheme="minorHAnsi" w:hAnsiTheme="minorHAnsi" w:cstheme="minorHAnsi"/>
          <w:color w:val="383838"/>
        </w:rPr>
        <w:fldChar w:fldCharType="begin">
          <w:fldData xml:space="preserve">PEVuZE5vdGU+PENpdGU+PEF1dGhvcj5XaWxsaWFtczwvQXV0aG9yPjxZZWFyPjIwMTY8L1llYXI+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PEVuZE5vdGU+PENpdGU+PEF1dGhvcj5XaWxsaWFtczwvQXV0aG9yPjxZZWFyPjIwMTY8L1llYXI+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B45210" w:rsidRPr="00000849">
        <w:rPr>
          <w:rFonts w:asciiTheme="minorHAnsi" w:hAnsiTheme="minorHAnsi" w:cstheme="minorHAnsi"/>
          <w:color w:val="383838"/>
        </w:rPr>
      </w:r>
      <w:r w:rsidR="00B45210"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(Williams, 2016a)</w:t>
      </w:r>
      <w:r w:rsidR="00B45210" w:rsidRPr="00000849">
        <w:rPr>
          <w:rFonts w:asciiTheme="minorHAnsi" w:hAnsiTheme="minorHAnsi" w:cstheme="minorHAnsi"/>
          <w:color w:val="383838"/>
        </w:rPr>
        <w:fldChar w:fldCharType="end"/>
      </w:r>
      <w:r w:rsidRPr="00000849">
        <w:rPr>
          <w:rFonts w:asciiTheme="minorHAnsi" w:hAnsiTheme="minorHAnsi" w:cstheme="minorHAnsi"/>
          <w:color w:val="383838"/>
        </w:rPr>
        <w:t>.</w:t>
      </w:r>
      <w:r w:rsidR="00B45210" w:rsidRPr="00000849">
        <w:rPr>
          <w:rFonts w:asciiTheme="minorHAnsi" w:hAnsiTheme="minorHAnsi" w:cstheme="minorHAnsi"/>
          <w:color w:val="383838"/>
        </w:rPr>
        <w:t xml:space="preserve">  </w:t>
      </w:r>
      <w:r w:rsidR="00A05CA5" w:rsidRPr="00000849">
        <w:rPr>
          <w:rFonts w:asciiTheme="minorHAnsi" w:hAnsiTheme="minorHAnsi" w:cstheme="minorHAnsi"/>
          <w:color w:val="383838"/>
        </w:rPr>
        <w:t>In a separate analysis, it was found that t</w:t>
      </w:r>
      <w:r w:rsidR="00B45210" w:rsidRPr="00000849">
        <w:rPr>
          <w:rFonts w:asciiTheme="minorHAnsi" w:hAnsiTheme="minorHAnsi" w:cstheme="minorHAnsi"/>
          <w:color w:val="383838"/>
        </w:rPr>
        <w:t xml:space="preserve">he proportion of older adults with hypertension with self-reported history of stroke in W1 increased with increasing grade of hypertension: mild – 2.8%, moderate – 3.8% and severe – 5.3%.  Given the low awareness and poor control of hypertension as well as the higher risk of multimorbidity in this population, it is imperative that </w:t>
      </w:r>
      <w:r w:rsidR="00DD2198" w:rsidRPr="00000849">
        <w:rPr>
          <w:rFonts w:asciiTheme="minorHAnsi" w:hAnsiTheme="minorHAnsi" w:cstheme="minorHAnsi"/>
          <w:color w:val="383838"/>
        </w:rPr>
        <w:t>older adults are</w:t>
      </w:r>
      <w:r w:rsidR="00B45210" w:rsidRPr="00000849">
        <w:rPr>
          <w:rFonts w:asciiTheme="minorHAnsi" w:hAnsiTheme="minorHAnsi" w:cstheme="minorHAnsi"/>
          <w:color w:val="383838"/>
        </w:rPr>
        <w:t xml:space="preserve"> screen</w:t>
      </w:r>
      <w:r w:rsidR="00DD2198" w:rsidRPr="00000849">
        <w:rPr>
          <w:rFonts w:asciiTheme="minorHAnsi" w:hAnsiTheme="minorHAnsi" w:cstheme="minorHAnsi"/>
          <w:color w:val="383838"/>
        </w:rPr>
        <w:t xml:space="preserve">ed regularly </w:t>
      </w:r>
      <w:r w:rsidR="00B45210" w:rsidRPr="00000849">
        <w:rPr>
          <w:rFonts w:asciiTheme="minorHAnsi" w:hAnsiTheme="minorHAnsi" w:cstheme="minorHAnsi"/>
          <w:color w:val="383838"/>
        </w:rPr>
        <w:t>to detect the disease and its complications early.</w:t>
      </w:r>
    </w:p>
    <w:p w14:paraId="3193D9DF" w14:textId="49E20016" w:rsidR="00045033" w:rsidRPr="00000849" w:rsidRDefault="00045033" w:rsidP="00045033">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In rural Tanzania, 13.9% of older adults aged ≥70 years had left ventricular hypertrophy while 26.4% had peripheral artery disease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&lt;EndNote&gt;&lt;Cite&gt;&lt;Author&gt;Putnam&lt;/Author&gt;&lt;Year&gt;2018&lt;/Year&gt;&lt;RecNum&gt;44&lt;/RecNum&gt;&lt;DisplayText&gt;(Putnam et al., 2018)&lt;/DisplayText&gt;&lt;record&gt;&lt;rec-number&gt;44&lt;/rec-number&gt;&lt;foreign-keys&gt;&lt;key app="EN" db-id="pzfw02x58peadyevdp8vswt40etp25t5ddp0" timestamp="1533782220"&gt;44&lt;/key&gt;&lt;/foreign-keys&gt;&lt;ref-type name="Journal Article"&gt;17&lt;/ref-type&gt;&lt;contributors&gt;&lt;authors&gt;&lt;author&gt;Putnam, Harry W. I.&lt;/author&gt;&lt;author&gt;Jones, Rebecca&lt;/author&gt;&lt;author&gt;Rogathi, Jane&lt;/author&gt;&lt;author&gt;Gray, William K.&lt;/author&gt;&lt;author&gt;Swai, Bernadetha&lt;/author&gt;&lt;author&gt;Dewhurst, Matthew&lt;/author&gt;&lt;author&gt;Dewhurst, Felicity&lt;/author&gt;&lt;author&gt;Walker, Richard W.&lt;/author&gt;&lt;/authors&gt;&lt;/contributors&gt;&lt;titles&gt;&lt;title&gt;Hypertension in a resource-limited setting: Is it associated with end organ damage in older adults in rural Tanzania?&lt;/title&gt;&lt;secondary-title&gt;Journal of Clinical Hypertension&lt;/secondary-title&gt;&lt;/titles&gt;&lt;periodical&gt;&lt;full-title&gt;Journal of Clinical Hypertension&lt;/full-title&gt;&lt;abbr-1&gt;J Clin Hypertens (Greenwich)&lt;/abbr-1&gt;&lt;/periodical&gt;&lt;pages&gt;217-224&lt;/pages&gt;&lt;volume&gt;20&lt;/volume&gt;&lt;number&gt;2&lt;/number&gt;&lt;keywords&gt;&lt;keyword&gt;end organ damage&lt;/keyword&gt;&lt;keyword&gt;hypertension&lt;/keyword&gt;&lt;keyword&gt;low‐ and middle‐income countries&lt;/keyword&gt;&lt;keyword&gt;sub‐Saharan Africa&lt;/keyword&gt;&lt;keyword&gt;Tanzania&lt;/keyword&gt;&lt;/keywords&gt;&lt;dates&gt;&lt;year&gt;2018&lt;/year&gt;&lt;/dates&gt;&lt;isbn&gt;15246175&lt;/isbn&gt;&lt;accession-num&gt;128138159&lt;/accession-num&gt;&lt;work-type&gt;journal article&lt;/work-type&gt;&lt;urls&gt;&lt;related-urls&gt;&lt;url&gt;http://search.ebscohost.com/login.aspx?direct=true&amp;amp;db=asn&amp;amp;AN=128138159&amp;amp;site=ehost-live&amp;amp;authtype=ip,shib&amp;amp;user=s1523151&lt;/url&gt;&lt;/related-urls&gt;&lt;/urls&gt;&lt;electronic-resource-num&gt;10.1111/jch.13187&lt;/electronic-resource-num&gt;&lt;remote-database-name&gt;asn&lt;/remote-database-name&gt;&lt;remote-database-provider&gt;EBSCOhost&lt;/remote-database-provider&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(Putnam et al., 2018)</w:t>
      </w:r>
      <w:r w:rsidRPr="00000849">
        <w:rPr>
          <w:rFonts w:asciiTheme="minorHAnsi" w:hAnsiTheme="minorHAnsi" w:cstheme="minorHAnsi"/>
          <w:color w:val="383838"/>
        </w:rPr>
        <w:fldChar w:fldCharType="end"/>
      </w:r>
      <w:r w:rsidRPr="00000849">
        <w:rPr>
          <w:rFonts w:asciiTheme="minorHAnsi" w:hAnsiTheme="minorHAnsi" w:cstheme="minorHAnsi"/>
          <w:color w:val="383838"/>
        </w:rPr>
        <w:t>.  Sustained hypertension</w:t>
      </w:r>
      <w:r w:rsidR="00D363A0">
        <w:rPr>
          <w:rFonts w:asciiTheme="minorHAnsi" w:hAnsiTheme="minorHAnsi" w:cstheme="minorHAnsi"/>
          <w:color w:val="383838"/>
        </w:rPr>
        <w:t>,</w:t>
      </w:r>
      <w:r w:rsidRPr="00000849">
        <w:rPr>
          <w:rFonts w:asciiTheme="minorHAnsi" w:hAnsiTheme="minorHAnsi" w:cstheme="minorHAnsi"/>
          <w:color w:val="383838"/>
        </w:rPr>
        <w:t xml:space="preserve"> as determined by </w:t>
      </w:r>
      <w:r w:rsidR="00397C82" w:rsidRPr="00000849">
        <w:rPr>
          <w:rFonts w:asciiTheme="minorHAnsi" w:hAnsiTheme="minorHAnsi" w:cstheme="minorHAnsi"/>
          <w:color w:val="383838"/>
        </w:rPr>
        <w:t xml:space="preserve">raised BP at </w:t>
      </w:r>
      <w:r w:rsidRPr="00000849">
        <w:rPr>
          <w:rFonts w:asciiTheme="minorHAnsi" w:hAnsiTheme="minorHAnsi" w:cstheme="minorHAnsi"/>
          <w:color w:val="383838"/>
        </w:rPr>
        <w:t>three examinations over the period 2010-2016</w:t>
      </w:r>
      <w:r w:rsidR="00D363A0">
        <w:rPr>
          <w:rFonts w:asciiTheme="minorHAnsi" w:hAnsiTheme="minorHAnsi" w:cstheme="minorHAnsi"/>
          <w:color w:val="383838"/>
        </w:rPr>
        <w:t>,</w:t>
      </w:r>
      <w:r w:rsidRPr="00000849">
        <w:rPr>
          <w:rFonts w:asciiTheme="minorHAnsi" w:hAnsiTheme="minorHAnsi" w:cstheme="minorHAnsi"/>
          <w:color w:val="383838"/>
        </w:rPr>
        <w:t xml:space="preserve"> was associated with TOD.</w:t>
      </w:r>
    </w:p>
    <w:p w14:paraId="60C7A762" w14:textId="07A919AF" w:rsidR="00CD1200" w:rsidRPr="00000849" w:rsidRDefault="00CD1200" w:rsidP="00CD1200">
      <w:pPr>
        <w:pStyle w:val="NormalWeb"/>
        <w:shd w:val="clear" w:color="auto" w:fill="FFFFFF"/>
        <w:spacing w:before="0" w:beforeAutospacing="0" w:after="165" w:afterAutospacing="0" w:line="480" w:lineRule="auto"/>
        <w:ind w:firstLine="567"/>
        <w:jc w:val="both"/>
        <w:rPr>
          <w:rFonts w:asciiTheme="minorHAnsi" w:hAnsiTheme="minorHAnsi" w:cstheme="minorHAnsi"/>
          <w:color w:val="383838"/>
        </w:rPr>
      </w:pPr>
      <w:r w:rsidRPr="00000849">
        <w:rPr>
          <w:rFonts w:asciiTheme="minorHAnsi" w:hAnsiTheme="minorHAnsi" w:cstheme="minorHAnsi"/>
          <w:color w:val="383838"/>
        </w:rPr>
        <w:t xml:space="preserve">In a multicentre case control study in Ghana and Nigeria, the adjusted odds for incident stroke associated with hypertension was 19.4 (95% CI: 12.1-30.9) and </w:t>
      </w:r>
      <w:r w:rsidR="008729E0" w:rsidRPr="00000849">
        <w:rPr>
          <w:rFonts w:asciiTheme="minorHAnsi" w:hAnsiTheme="minorHAnsi" w:cstheme="minorHAnsi"/>
          <w:color w:val="383838"/>
        </w:rPr>
        <w:t xml:space="preserve">was 4.5 (95 CI: 1.9-11.0) </w:t>
      </w:r>
      <w:r w:rsidR="00F26F7A" w:rsidRPr="00000849">
        <w:rPr>
          <w:rFonts w:asciiTheme="minorHAnsi" w:hAnsiTheme="minorHAnsi" w:cstheme="minorHAnsi"/>
          <w:color w:val="383838"/>
        </w:rPr>
        <w:t xml:space="preserve">for </w:t>
      </w:r>
      <w:r w:rsidRPr="00000849">
        <w:rPr>
          <w:rFonts w:asciiTheme="minorHAnsi" w:hAnsiTheme="minorHAnsi" w:cstheme="minorHAnsi"/>
          <w:color w:val="383838"/>
        </w:rPr>
        <w:t xml:space="preserve">older age ≥50 years </w:t>
      </w:r>
      <w:r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&lt;EndNote&gt;&lt;Cite&gt;&lt;Author&gt;Owolabi&lt;/Author&gt;&lt;Year&gt;2018&lt;/Year&gt;&lt;RecNum&gt;1636&lt;/RecNum&gt;&lt;DisplayText&gt;(Owolabi et al., 2018)&lt;/DisplayText&gt;&lt;record&gt;&lt;rec-number&gt;1636&lt;/rec-number&gt;&lt;foreign-keys&gt;&lt;key app="EN" db-id="9tzf2rda8re2a9es5tuxart3swzx2zws2s02" timestamp="1591576036"&gt;1636&lt;/key&gt;&lt;/foreign-keys&gt;&lt;ref-type name="Journal Article"&gt;17&lt;/ref-type&gt;&lt;contributors&gt;&lt;authors&gt;&lt;author&gt;Owolabi, Mayowa O&lt;/author&gt;&lt;author&gt;Sarfo, Fred&lt;/author&gt;&lt;author&gt;Akinyemi, Rufus&lt;/author&gt;&lt;author&gt;Gebregziabher, Mulugeta&lt;/author&gt;&lt;author&gt;Akpa, Onoja&lt;/author&gt;&lt;author&gt;Akpalu, Albert&lt;/author&gt;&lt;author&gt;Wahab, Kolawole&lt;/author&gt;&lt;author&gt;Obiako, Reginald&lt;/author&gt;&lt;author&gt;Owolabi, Lukman&lt;/author&gt;&lt;author&gt;Ovbiagele, Bruce&lt;/author&gt;&lt;/authors&gt;&lt;/contributors&gt;&lt;titles&gt;&lt;title&gt;Dominant modifiable risk factors for stroke in Ghana and Nigeria (SIREN): a case-control study&lt;/title&gt;&lt;secondary-title&gt;The Lancet Global Health&lt;/secondary-title&gt;&lt;/titles&gt;&lt;periodical&gt;&lt;full-title&gt;The Lancet Global Health&lt;/full-title&gt;&lt;/periodical&gt;&lt;pages&gt;e436-e446&lt;/pages&gt;&lt;volume&gt;6&lt;/volume&gt;&lt;number&gt;4&lt;/number&gt;&lt;dates&gt;&lt;year&gt;2018&lt;/year&gt;&lt;/dates&gt;&lt;isbn&gt;2214-109X&lt;/isbn&gt;&lt;urls&gt;&lt;/urls&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(Owolabi et al., 2018)</w:t>
      </w:r>
      <w:r w:rsidRPr="00000849">
        <w:rPr>
          <w:rFonts w:asciiTheme="minorHAnsi" w:hAnsiTheme="minorHAnsi" w:cstheme="minorHAnsi"/>
          <w:color w:val="383838"/>
        </w:rPr>
        <w:fldChar w:fldCharType="end"/>
      </w:r>
      <w:r w:rsidRPr="00000849">
        <w:rPr>
          <w:rFonts w:asciiTheme="minorHAnsi" w:hAnsiTheme="minorHAnsi" w:cstheme="minorHAnsi"/>
          <w:color w:val="383838"/>
        </w:rPr>
        <w:t>.  These factors respectively accounted for 90.8% and 58.8% of the population attributable risk associated with stroke.</w:t>
      </w:r>
      <w:r w:rsidR="008729E0" w:rsidRPr="00000849">
        <w:rPr>
          <w:rFonts w:asciiTheme="minorHAnsi" w:hAnsiTheme="minorHAnsi" w:cstheme="minorHAnsi"/>
          <w:color w:val="383838"/>
        </w:rPr>
        <w:t xml:space="preserve">  </w:t>
      </w:r>
      <w:r w:rsidR="00B45210" w:rsidRPr="00000849">
        <w:rPr>
          <w:rFonts w:asciiTheme="minorHAnsi" w:hAnsiTheme="minorHAnsi" w:cstheme="minorHAnsi"/>
          <w:color w:val="383838"/>
        </w:rPr>
        <w:t xml:space="preserve">Preventing hypertension at an early age could, therefore, potentially save a </w:t>
      </w:r>
      <w:r w:rsidR="00F26F7A" w:rsidRPr="00000849">
        <w:rPr>
          <w:rFonts w:asciiTheme="minorHAnsi" w:hAnsiTheme="minorHAnsi" w:cstheme="minorHAnsi"/>
          <w:color w:val="383838"/>
        </w:rPr>
        <w:t>significant proportion</w:t>
      </w:r>
      <w:r w:rsidR="00B45210" w:rsidRPr="00000849">
        <w:rPr>
          <w:rFonts w:asciiTheme="minorHAnsi" w:hAnsiTheme="minorHAnsi" w:cstheme="minorHAnsi"/>
          <w:color w:val="383838"/>
        </w:rPr>
        <w:t xml:space="preserve"> of the incident stroke that occurs in Ghana and Nigeria. </w:t>
      </w:r>
    </w:p>
    <w:p w14:paraId="453EC15C" w14:textId="77777777" w:rsidR="00734C57" w:rsidRPr="00000849" w:rsidRDefault="00734C57" w:rsidP="00734C57">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14ADD994" w14:textId="3570A4C7" w:rsidR="00BA21ED" w:rsidRPr="00000849" w:rsidRDefault="002006AA" w:rsidP="00A61BAB">
      <w:pPr>
        <w:pStyle w:val="Heading2"/>
      </w:pPr>
      <w:bookmarkStart w:id="118" w:name="_Toc51472149"/>
      <w:r w:rsidRPr="00000849">
        <w:t>6.</w:t>
      </w:r>
      <w:r w:rsidR="003E120D" w:rsidRPr="00000849">
        <w:t>4</w:t>
      </w:r>
      <w:r w:rsidR="003E120D" w:rsidRPr="00000849">
        <w:tab/>
      </w:r>
      <w:r w:rsidR="00BA21ED" w:rsidRPr="00000849">
        <w:t xml:space="preserve">Determinants of </w:t>
      </w:r>
      <w:r w:rsidR="00101F48" w:rsidRPr="00000849">
        <w:t>h</w:t>
      </w:r>
      <w:r w:rsidR="00BA21ED" w:rsidRPr="00000849">
        <w:t>ypertension</w:t>
      </w:r>
      <w:bookmarkEnd w:id="118"/>
    </w:p>
    <w:p w14:paraId="6C80ACDF" w14:textId="5B5B91E0" w:rsidR="002C6410" w:rsidRPr="00000849" w:rsidRDefault="002C6410"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62F822DA" w14:textId="69B8CC45" w:rsidR="000A7F51" w:rsidRPr="00000849" w:rsidRDefault="00045033" w:rsidP="005A2786">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In line with the theoretical framework, t</w:t>
      </w:r>
      <w:r w:rsidR="000A7F51" w:rsidRPr="00000849">
        <w:rPr>
          <w:rFonts w:asciiTheme="minorHAnsi" w:hAnsiTheme="minorHAnsi" w:cstheme="minorHAnsi"/>
          <w:color w:val="383838"/>
        </w:rPr>
        <w:t>he</w:t>
      </w:r>
      <w:r w:rsidRPr="00000849">
        <w:rPr>
          <w:rFonts w:asciiTheme="minorHAnsi" w:hAnsiTheme="minorHAnsi" w:cstheme="minorHAnsi"/>
          <w:color w:val="383838"/>
        </w:rPr>
        <w:t xml:space="preserve"> current</w:t>
      </w:r>
      <w:r w:rsidR="000A7F51" w:rsidRPr="00000849">
        <w:rPr>
          <w:rFonts w:asciiTheme="minorHAnsi" w:hAnsiTheme="minorHAnsi" w:cstheme="minorHAnsi"/>
          <w:color w:val="383838"/>
        </w:rPr>
        <w:t xml:space="preserve"> study explored the relationship between 18 demographic, socioeconomic and lifestyle factors with hypertension</w:t>
      </w:r>
      <w:r w:rsidR="00830753" w:rsidRPr="00000849">
        <w:rPr>
          <w:rFonts w:asciiTheme="minorHAnsi" w:hAnsiTheme="minorHAnsi" w:cstheme="minorHAnsi"/>
          <w:color w:val="383838"/>
        </w:rPr>
        <w:t xml:space="preserve"> as well as </w:t>
      </w:r>
      <w:r w:rsidR="000A7F51" w:rsidRPr="00000849">
        <w:rPr>
          <w:rFonts w:asciiTheme="minorHAnsi" w:hAnsiTheme="minorHAnsi" w:cstheme="minorHAnsi"/>
          <w:color w:val="383838"/>
        </w:rPr>
        <w:t xml:space="preserve">its </w:t>
      </w:r>
      <w:r w:rsidR="005A2786" w:rsidRPr="00000849">
        <w:rPr>
          <w:rFonts w:asciiTheme="minorHAnsi" w:hAnsiTheme="minorHAnsi" w:cstheme="minorHAnsi"/>
          <w:color w:val="383838"/>
        </w:rPr>
        <w:t xml:space="preserve">grades </w:t>
      </w:r>
      <w:r w:rsidR="000A7F51" w:rsidRPr="00000849">
        <w:rPr>
          <w:rFonts w:asciiTheme="minorHAnsi" w:hAnsiTheme="minorHAnsi" w:cstheme="minorHAnsi"/>
          <w:color w:val="383838"/>
        </w:rPr>
        <w:t>through a series of single and multilevel regression analyses.  Level 1 was the study participants, level 2 their households and level 3, the enumeration area in which they resided.</w:t>
      </w:r>
      <w:r w:rsidR="005A2786" w:rsidRPr="00000849">
        <w:rPr>
          <w:rFonts w:asciiTheme="minorHAnsi" w:hAnsiTheme="minorHAnsi" w:cstheme="minorHAnsi"/>
          <w:color w:val="383838"/>
        </w:rPr>
        <w:t xml:space="preserve">  The determinants were assessed separately for each study wave as well as </w:t>
      </w:r>
      <w:r w:rsidR="00BF1BCE" w:rsidRPr="00000849">
        <w:rPr>
          <w:rFonts w:asciiTheme="minorHAnsi" w:hAnsiTheme="minorHAnsi" w:cstheme="minorHAnsi"/>
          <w:color w:val="383838"/>
        </w:rPr>
        <w:t xml:space="preserve">in the </w:t>
      </w:r>
      <w:r w:rsidR="00210C7B" w:rsidRPr="00000849">
        <w:rPr>
          <w:rFonts w:asciiTheme="minorHAnsi" w:hAnsiTheme="minorHAnsi" w:cstheme="minorHAnsi"/>
          <w:color w:val="383838"/>
        </w:rPr>
        <w:t>longitudinal data analysis</w:t>
      </w:r>
      <w:r w:rsidR="00BF1BCE" w:rsidRPr="00000849">
        <w:rPr>
          <w:rFonts w:asciiTheme="minorHAnsi" w:hAnsiTheme="minorHAnsi" w:cstheme="minorHAnsi"/>
          <w:color w:val="383838"/>
        </w:rPr>
        <w:t xml:space="preserve"> of merged dataset of</w:t>
      </w:r>
      <w:r w:rsidR="005A2786" w:rsidRPr="00000849">
        <w:rPr>
          <w:rFonts w:asciiTheme="minorHAnsi" w:hAnsiTheme="minorHAnsi" w:cstheme="minorHAnsi"/>
          <w:color w:val="383838"/>
        </w:rPr>
        <w:t xml:space="preserve"> </w:t>
      </w:r>
      <w:r w:rsidR="00BF1BCE" w:rsidRPr="00000849">
        <w:rPr>
          <w:rFonts w:asciiTheme="minorHAnsi" w:hAnsiTheme="minorHAnsi" w:cstheme="minorHAnsi"/>
          <w:color w:val="383838"/>
        </w:rPr>
        <w:t>both</w:t>
      </w:r>
      <w:r w:rsidR="005A2786" w:rsidRPr="00000849">
        <w:rPr>
          <w:rFonts w:asciiTheme="minorHAnsi" w:hAnsiTheme="minorHAnsi" w:cstheme="minorHAnsi"/>
          <w:color w:val="383838"/>
        </w:rPr>
        <w:t xml:space="preserve"> study waves.</w:t>
      </w:r>
    </w:p>
    <w:p w14:paraId="34C53A26" w14:textId="77777777" w:rsidR="00950177" w:rsidRPr="00000849" w:rsidRDefault="00950177" w:rsidP="0063152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00BAE56E" w14:textId="4CB65204" w:rsidR="00950177" w:rsidRPr="00000849" w:rsidRDefault="00950177" w:rsidP="004E2350">
      <w:pPr>
        <w:pStyle w:val="Heading3"/>
      </w:pPr>
      <w:bookmarkStart w:id="119" w:name="_Toc51472150"/>
      <w:r w:rsidRPr="00000849">
        <w:t>6.4.1</w:t>
      </w:r>
      <w:r w:rsidRPr="00000849">
        <w:tab/>
        <w:t>Demographic determinants</w:t>
      </w:r>
      <w:bookmarkEnd w:id="119"/>
    </w:p>
    <w:p w14:paraId="408D87C3" w14:textId="77777777" w:rsidR="00950177" w:rsidRPr="00000849" w:rsidRDefault="00950177" w:rsidP="0063152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3DD098E4" w14:textId="71816016" w:rsidR="00631525" w:rsidRPr="00000849" w:rsidRDefault="00FE5081" w:rsidP="00950177">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Residence in the GAR and </w:t>
      </w:r>
      <w:r w:rsidR="00B33C2C" w:rsidRPr="00000849">
        <w:rPr>
          <w:rFonts w:asciiTheme="minorHAnsi" w:hAnsiTheme="minorHAnsi" w:cstheme="minorHAnsi"/>
          <w:color w:val="383838"/>
        </w:rPr>
        <w:t xml:space="preserve">being previously married or never having married were consistently associated with greater odds of having hypertension or severe hypertension in the multilevel multivariable analyses.  </w:t>
      </w:r>
      <w:r w:rsidR="00631525" w:rsidRPr="00000849">
        <w:rPr>
          <w:rFonts w:asciiTheme="minorHAnsi" w:hAnsiTheme="minorHAnsi" w:cstheme="minorHAnsi"/>
          <w:color w:val="383838"/>
        </w:rPr>
        <w:t xml:space="preserve">They were also positive predictors of hypertension in the </w:t>
      </w:r>
      <w:r w:rsidR="00210C7B" w:rsidRPr="00000849">
        <w:rPr>
          <w:rFonts w:asciiTheme="minorHAnsi" w:hAnsiTheme="minorHAnsi" w:cstheme="minorHAnsi"/>
          <w:color w:val="383838"/>
        </w:rPr>
        <w:t>longitudinal data analyses</w:t>
      </w:r>
      <w:r w:rsidR="00631525" w:rsidRPr="00000849">
        <w:rPr>
          <w:rFonts w:asciiTheme="minorHAnsi" w:hAnsiTheme="minorHAnsi" w:cstheme="minorHAnsi"/>
          <w:color w:val="383838"/>
        </w:rPr>
        <w:t>.</w:t>
      </w:r>
    </w:p>
    <w:p w14:paraId="69BBEAA6" w14:textId="66D08A3C" w:rsidR="00F2052F" w:rsidRPr="00000849" w:rsidRDefault="00B33C2C" w:rsidP="001C213C">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Residence in the GAR was associated with </w:t>
      </w:r>
      <w:r w:rsidR="00631525" w:rsidRPr="00000849">
        <w:rPr>
          <w:rFonts w:asciiTheme="minorHAnsi" w:hAnsiTheme="minorHAnsi" w:cstheme="minorHAnsi"/>
          <w:color w:val="383838"/>
        </w:rPr>
        <w:t>the highest</w:t>
      </w:r>
      <w:r w:rsidRPr="00000849">
        <w:rPr>
          <w:rFonts w:asciiTheme="minorHAnsi" w:hAnsiTheme="minorHAnsi" w:cstheme="minorHAnsi"/>
          <w:color w:val="383838"/>
        </w:rPr>
        <w:t xml:space="preserve"> </w:t>
      </w:r>
      <w:r w:rsidR="00631525" w:rsidRPr="00000849">
        <w:rPr>
          <w:rFonts w:asciiTheme="minorHAnsi" w:hAnsiTheme="minorHAnsi" w:cstheme="minorHAnsi"/>
          <w:color w:val="383838"/>
        </w:rPr>
        <w:t xml:space="preserve">adjusted </w:t>
      </w:r>
      <w:r w:rsidRPr="00000849">
        <w:rPr>
          <w:rFonts w:asciiTheme="minorHAnsi" w:hAnsiTheme="minorHAnsi" w:cstheme="minorHAnsi"/>
          <w:color w:val="383838"/>
        </w:rPr>
        <w:t xml:space="preserve">odds </w:t>
      </w:r>
      <w:r w:rsidR="00397C82" w:rsidRPr="00000849">
        <w:rPr>
          <w:rFonts w:asciiTheme="minorHAnsi" w:hAnsiTheme="minorHAnsi" w:cstheme="minorHAnsi"/>
          <w:color w:val="383838"/>
        </w:rPr>
        <w:t>for hypertension that were</w:t>
      </w:r>
      <w:r w:rsidRPr="00000849">
        <w:rPr>
          <w:rFonts w:asciiTheme="minorHAnsi" w:hAnsiTheme="minorHAnsi" w:cstheme="minorHAnsi"/>
          <w:color w:val="383838"/>
        </w:rPr>
        <w:t xml:space="preserve"> </w:t>
      </w:r>
      <w:r w:rsidR="00631525" w:rsidRPr="00000849">
        <w:rPr>
          <w:rFonts w:asciiTheme="minorHAnsi" w:hAnsiTheme="minorHAnsi" w:cstheme="minorHAnsi"/>
          <w:color w:val="383838"/>
        </w:rPr>
        <w:t>two-to-</w:t>
      </w:r>
      <w:r w:rsidR="00F26F7A" w:rsidRPr="00000849">
        <w:rPr>
          <w:rFonts w:asciiTheme="minorHAnsi" w:hAnsiTheme="minorHAnsi" w:cstheme="minorHAnsi"/>
          <w:color w:val="383838"/>
        </w:rPr>
        <w:t>three</w:t>
      </w:r>
      <w:r w:rsidR="00631525" w:rsidRPr="00000849">
        <w:rPr>
          <w:rFonts w:asciiTheme="minorHAnsi" w:hAnsiTheme="minorHAnsi" w:cstheme="minorHAnsi"/>
          <w:color w:val="383838"/>
        </w:rPr>
        <w:t xml:space="preserve"> times th</w:t>
      </w:r>
      <w:r w:rsidR="00397C82" w:rsidRPr="00000849">
        <w:rPr>
          <w:rFonts w:asciiTheme="minorHAnsi" w:hAnsiTheme="minorHAnsi" w:cstheme="minorHAnsi"/>
          <w:color w:val="383838"/>
        </w:rPr>
        <w:t>ose</w:t>
      </w:r>
      <w:r w:rsidR="00631525" w:rsidRPr="00000849">
        <w:rPr>
          <w:rFonts w:asciiTheme="minorHAnsi" w:hAnsiTheme="minorHAnsi" w:cstheme="minorHAnsi"/>
          <w:color w:val="383838"/>
        </w:rPr>
        <w:t xml:space="preserve"> of </w:t>
      </w:r>
      <w:r w:rsidR="00397C82" w:rsidRPr="00000849">
        <w:rPr>
          <w:rFonts w:asciiTheme="minorHAnsi" w:hAnsiTheme="minorHAnsi" w:cstheme="minorHAnsi"/>
          <w:color w:val="383838"/>
        </w:rPr>
        <w:t xml:space="preserve">residence </w:t>
      </w:r>
      <w:r w:rsidR="00631525" w:rsidRPr="00000849">
        <w:rPr>
          <w:rFonts w:asciiTheme="minorHAnsi" w:hAnsiTheme="minorHAnsi" w:cstheme="minorHAnsi"/>
          <w:color w:val="383838"/>
        </w:rPr>
        <w:t xml:space="preserve">in the </w:t>
      </w:r>
      <w:r w:rsidR="00397C82" w:rsidRPr="00000849">
        <w:rPr>
          <w:rFonts w:asciiTheme="minorHAnsi" w:hAnsiTheme="minorHAnsi" w:cstheme="minorHAnsi"/>
          <w:color w:val="383838"/>
        </w:rPr>
        <w:t xml:space="preserve">northern </w:t>
      </w:r>
      <w:r w:rsidR="00631525" w:rsidRPr="00000849">
        <w:rPr>
          <w:rFonts w:asciiTheme="minorHAnsi" w:hAnsiTheme="minorHAnsi" w:cstheme="minorHAnsi"/>
          <w:color w:val="383838"/>
        </w:rPr>
        <w:t>regions</w:t>
      </w:r>
      <w:r w:rsidRPr="00000849">
        <w:rPr>
          <w:rFonts w:asciiTheme="minorHAnsi" w:hAnsiTheme="minorHAnsi" w:cstheme="minorHAnsi"/>
          <w:color w:val="383838"/>
        </w:rPr>
        <w:t>.</w:t>
      </w:r>
      <w:r w:rsidR="00631525" w:rsidRPr="00000849">
        <w:rPr>
          <w:rFonts w:asciiTheme="minorHAnsi" w:hAnsiTheme="minorHAnsi" w:cstheme="minorHAnsi"/>
          <w:color w:val="383838"/>
        </w:rPr>
        <w:t xml:space="preserve">  </w:t>
      </w:r>
      <w:r w:rsidR="001C213C" w:rsidRPr="00000849">
        <w:rPr>
          <w:rFonts w:asciiTheme="minorHAnsi" w:hAnsiTheme="minorHAnsi" w:cstheme="minorHAnsi"/>
          <w:color w:val="383838"/>
        </w:rPr>
        <w:t xml:space="preserve">The independent association of residence in GAR and hypertension in older adults has previously been reported by </w:t>
      </w:r>
      <w:r w:rsidR="001C213C" w:rsidRPr="00000849">
        <w:rPr>
          <w:rFonts w:asciiTheme="minorHAnsi" w:hAnsiTheme="minorHAnsi" w:cstheme="minorHAnsi"/>
          <w:color w:val="383838"/>
        </w:rPr>
        <w:fldChar w:fldCharType="begin"/>
      </w:r>
      <w:r w:rsidR="00ED7F82" w:rsidRPr="00000849">
        <w:rPr>
          <w:rFonts w:asciiTheme="minorHAnsi" w:hAnsiTheme="minorHAnsi" w:cstheme="minorHAnsi"/>
          <w:color w:val="383838"/>
        </w:rPr>
        <w:instrText xml:space="preserve"> ADDIN EN.CITE &lt;EndNote&gt;&lt;Cite AuthorYear="1"&gt;&lt;Author&gt;Minicuci&lt;/Author&gt;&lt;Year&gt;2014&lt;/Year&gt;&lt;RecNum&gt;14&lt;/RecNum&gt;&lt;DisplayText&gt;Minicuci et al. (2014)&lt;/DisplayText&gt;&lt;record&gt;&lt;rec-number&gt;14&lt;/rec-number&gt;&lt;foreign-keys&gt;&lt;key app="EN" db-id="9tzf2rda8re2a9es5tuxart3swzx2zws2s02" timestamp="1463396583"&gt;14&lt;/key&gt;&lt;/foreign-keys&gt;&lt;ref-type name="Journal Article"&gt;17&lt;/ref-type&gt;&lt;contributors&gt;&lt;authors&gt;&lt;author&gt;Minicuci, Nadia&lt;/author&gt;&lt;author&gt;Biritwum, Richard B&lt;/author&gt;&lt;author&gt;Mensah, George&lt;/author&gt;&lt;author&gt;Yawson, Alfred E&lt;/author&gt;&lt;author&gt;Naidoo, Nirmala&lt;/author&gt;&lt;author&gt;Chatterji, Somnath&lt;/author&gt;&lt;author&gt;Kowal, Paul&lt;/author&gt;&lt;/authors&gt;&lt;/contributors&gt;&lt;titles&gt;&lt;title&gt;Sociodemographic and socioeconomic patterns of chronic non-communicable disease among the older adult population in Ghana&lt;/title&gt;&lt;secondary-title&gt;Global Health Action&lt;/secondary-title&gt;&lt;/titles&gt;&lt;periodical&gt;&lt;full-title&gt;Global Health Action&lt;/full-title&gt;&lt;abbr-1&gt;Glob Health Action&lt;/abbr-1&gt;&lt;/periodical&gt;&lt;pages&gt;21292&lt;/pages&gt;&lt;volume&gt;7&lt;/volume&gt;&lt;dates&gt;&lt;year&gt;2014&lt;/year&gt;&lt;/dates&gt;&lt;isbn&gt;1654-9880&lt;/isbn&gt;&lt;urls&gt;&lt;/urls&gt;&lt;electronic-resource-num&gt;http://dx.doi.org/10.3402/gha.v7.21292&lt;/electronic-resource-num&gt;&lt;/record&gt;&lt;/Cite&gt;&lt;/EndNote&gt;</w:instrText>
      </w:r>
      <w:r w:rsidR="001C213C" w:rsidRPr="00000849">
        <w:rPr>
          <w:rFonts w:asciiTheme="minorHAnsi" w:hAnsiTheme="minorHAnsi" w:cstheme="minorHAnsi"/>
          <w:color w:val="383838"/>
        </w:rPr>
        <w:fldChar w:fldCharType="separate"/>
      </w:r>
      <w:r w:rsidR="00ED7F82" w:rsidRPr="00000849">
        <w:rPr>
          <w:rFonts w:asciiTheme="minorHAnsi" w:hAnsiTheme="minorHAnsi" w:cstheme="minorHAnsi"/>
          <w:noProof/>
          <w:color w:val="383838"/>
        </w:rPr>
        <w:t>Minicuci et al. (2014)</w:t>
      </w:r>
      <w:r w:rsidR="001C213C" w:rsidRPr="00000849">
        <w:rPr>
          <w:rFonts w:asciiTheme="minorHAnsi" w:hAnsiTheme="minorHAnsi" w:cstheme="minorHAnsi"/>
          <w:color w:val="383838"/>
        </w:rPr>
        <w:fldChar w:fldCharType="end"/>
      </w:r>
      <w:r w:rsidR="001C213C" w:rsidRPr="00000849">
        <w:rPr>
          <w:rFonts w:asciiTheme="minorHAnsi" w:hAnsiTheme="minorHAnsi" w:cstheme="minorHAnsi"/>
          <w:color w:val="383838"/>
        </w:rPr>
        <w:t xml:space="preserve">.  </w:t>
      </w:r>
      <w:r w:rsidR="00631525" w:rsidRPr="00000849">
        <w:rPr>
          <w:rFonts w:asciiTheme="minorHAnsi" w:hAnsiTheme="minorHAnsi" w:cstheme="minorHAnsi"/>
          <w:color w:val="383838"/>
        </w:rPr>
        <w:t xml:space="preserve">The striking disparity in socio-economic development is reflected in the risk for hypertension.  </w:t>
      </w:r>
      <w:r w:rsidR="00D26AD9" w:rsidRPr="00000849">
        <w:rPr>
          <w:rFonts w:asciiTheme="minorHAnsi" w:hAnsiTheme="minorHAnsi" w:cstheme="minorHAnsi"/>
          <w:color w:val="383838"/>
        </w:rPr>
        <w:t xml:space="preserve">The GAR is the most </w:t>
      </w:r>
      <w:r w:rsidR="00D26AD9" w:rsidRPr="00000849">
        <w:rPr>
          <w:rFonts w:asciiTheme="minorHAnsi" w:hAnsiTheme="minorHAnsi" w:cstheme="minorHAnsi"/>
          <w:color w:val="383838"/>
        </w:rPr>
        <w:lastRenderedPageBreak/>
        <w:t>urbanized administrative region in Ghana</w:t>
      </w:r>
      <w:r w:rsidR="003C4F05" w:rsidRPr="00000849">
        <w:rPr>
          <w:rFonts w:asciiTheme="minorHAnsi" w:hAnsiTheme="minorHAnsi" w:cstheme="minorHAnsi"/>
          <w:color w:val="383838"/>
        </w:rPr>
        <w:t xml:space="preserve"> with 90.5% of the population living in urban centres</w:t>
      </w:r>
      <w:r w:rsidR="001852CF" w:rsidRPr="00000849">
        <w:rPr>
          <w:rFonts w:asciiTheme="minorHAnsi" w:hAnsiTheme="minorHAnsi" w:cstheme="minorHAnsi"/>
          <w:color w:val="383838"/>
        </w:rPr>
        <w:t xml:space="preserve"> compared with 16.3%-30.3%</w:t>
      </w:r>
      <w:r w:rsidR="003C4F05" w:rsidRPr="00000849">
        <w:rPr>
          <w:rFonts w:asciiTheme="minorHAnsi" w:hAnsiTheme="minorHAnsi" w:cstheme="minorHAnsi"/>
          <w:color w:val="383838"/>
        </w:rPr>
        <w:t xml:space="preserve"> </w:t>
      </w:r>
      <w:r w:rsidR="001852CF" w:rsidRPr="00000849">
        <w:rPr>
          <w:rFonts w:asciiTheme="minorHAnsi" w:hAnsiTheme="minorHAnsi" w:cstheme="minorHAnsi"/>
          <w:color w:val="383838"/>
        </w:rPr>
        <w:t xml:space="preserve">in the northern regions </w:t>
      </w:r>
      <w:r w:rsidR="003C4F05" w:rsidRPr="00000849">
        <w:rPr>
          <w:rFonts w:asciiTheme="minorHAnsi" w:hAnsiTheme="minorHAnsi" w:cstheme="minorHAnsi"/>
          <w:color w:val="383838"/>
        </w:rPr>
        <w:fldChar w:fldCharType="begin"/>
      </w:r>
      <w:r w:rsidR="00343EFD" w:rsidRPr="00000849">
        <w:rPr>
          <w:rFonts w:asciiTheme="minorHAnsi" w:hAnsiTheme="minorHAnsi" w:cstheme="minorHAnsi"/>
          <w:color w:val="383838"/>
        </w:rPr>
        <w:instrText xml:space="preserve"> ADDIN EN.CITE &lt;EndNote&gt;&lt;Cite&gt;&lt;Author&gt;GSS&lt;/Author&gt;&lt;Year&gt;2014&lt;/Year&gt;&lt;RecNum&gt;988&lt;/RecNum&gt;&lt;DisplayText&gt;(GSS, 2014a)&lt;/DisplayText&gt;&lt;record&gt;&lt;rec-number&gt;988&lt;/rec-number&gt;&lt;foreign-keys&gt;&lt;key app="EN" db-id="9tzf2rda8re2a9es5tuxart3swzx2zws2s02" timestamp="1575711318"&gt;988&lt;/key&gt;&lt;/foreign-keys&gt;&lt;ref-type name="Book"&gt;6&lt;/ref-type&gt;&lt;contributors&gt;&lt;authors&gt;&lt;author&gt;GSS,&lt;/author&gt;&lt;/authors&gt;&lt;/contributors&gt;&lt;titles&gt;&lt;title&gt;2010 Population and housing Census Report: urbanisation&lt;/title&gt;&lt;/titles&gt;&lt;dates&gt;&lt;year&gt;2014&lt;/year&gt;&lt;/dates&gt;&lt;pub-location&gt;Accra&lt;/pub-location&gt;&lt;publisher&gt;Ghana Statistical Service (GSS)&lt;/publisher&gt;&lt;urls&gt;&lt;/urls&gt;&lt;/record&gt;&lt;/Cite&gt;&lt;/EndNote&gt;</w:instrText>
      </w:r>
      <w:r w:rsidR="003C4F05" w:rsidRPr="00000849">
        <w:rPr>
          <w:rFonts w:asciiTheme="minorHAnsi" w:hAnsiTheme="minorHAnsi" w:cstheme="minorHAnsi"/>
          <w:color w:val="383838"/>
        </w:rPr>
        <w:fldChar w:fldCharType="separate"/>
      </w:r>
      <w:r w:rsidR="00343EFD" w:rsidRPr="00000849">
        <w:rPr>
          <w:rFonts w:asciiTheme="minorHAnsi" w:hAnsiTheme="minorHAnsi" w:cstheme="minorHAnsi"/>
          <w:noProof/>
          <w:color w:val="383838"/>
        </w:rPr>
        <w:t>(GSS, 2014a)</w:t>
      </w:r>
      <w:r w:rsidR="003C4F05" w:rsidRPr="00000849">
        <w:rPr>
          <w:rFonts w:asciiTheme="minorHAnsi" w:hAnsiTheme="minorHAnsi" w:cstheme="minorHAnsi"/>
          <w:color w:val="383838"/>
        </w:rPr>
        <w:fldChar w:fldCharType="end"/>
      </w:r>
      <w:r w:rsidR="003C4F05" w:rsidRPr="00000849">
        <w:rPr>
          <w:rFonts w:asciiTheme="minorHAnsi" w:hAnsiTheme="minorHAnsi" w:cstheme="minorHAnsi"/>
          <w:color w:val="383838"/>
        </w:rPr>
        <w:t xml:space="preserve">.  GAR also has </w:t>
      </w:r>
      <w:r w:rsidR="00D26AD9" w:rsidRPr="00000849">
        <w:rPr>
          <w:rFonts w:asciiTheme="minorHAnsi" w:hAnsiTheme="minorHAnsi" w:cstheme="minorHAnsi"/>
          <w:color w:val="383838"/>
        </w:rPr>
        <w:t xml:space="preserve">the lowest incidence of poverty.  </w:t>
      </w:r>
      <w:r w:rsidR="00BE26F6" w:rsidRPr="00000849">
        <w:rPr>
          <w:rFonts w:asciiTheme="minorHAnsi" w:hAnsiTheme="minorHAnsi" w:cstheme="minorHAnsi"/>
          <w:color w:val="383838"/>
        </w:rPr>
        <w:t xml:space="preserve">Its </w:t>
      </w:r>
      <w:r w:rsidR="00F33D09" w:rsidRPr="00000849">
        <w:rPr>
          <w:rFonts w:asciiTheme="minorHAnsi" w:hAnsiTheme="minorHAnsi" w:cstheme="minorHAnsi"/>
          <w:color w:val="383838"/>
        </w:rPr>
        <w:t xml:space="preserve">2.5% </w:t>
      </w:r>
      <w:r w:rsidR="008A35EE" w:rsidRPr="00000849">
        <w:rPr>
          <w:rFonts w:asciiTheme="minorHAnsi" w:hAnsiTheme="minorHAnsi" w:cstheme="minorHAnsi"/>
          <w:color w:val="383838"/>
        </w:rPr>
        <w:t xml:space="preserve">incidence of poverty </w:t>
      </w:r>
      <w:r w:rsidR="00F33D09" w:rsidRPr="00000849">
        <w:rPr>
          <w:rFonts w:asciiTheme="minorHAnsi" w:hAnsiTheme="minorHAnsi" w:cstheme="minorHAnsi"/>
          <w:color w:val="383838"/>
        </w:rPr>
        <w:t xml:space="preserve">in 2016/2017 contrasts sharply with that (54.8%-70.9%) in the northern regions </w:t>
      </w:r>
      <w:r w:rsidR="00F33D09" w:rsidRPr="00000849">
        <w:rPr>
          <w:rFonts w:asciiTheme="minorHAnsi" w:hAnsiTheme="minorHAnsi" w:cstheme="minorHAnsi"/>
          <w:color w:val="383838"/>
        </w:rPr>
        <w:fldChar w:fldCharType="begin"/>
      </w:r>
      <w:r w:rsidR="00F17737" w:rsidRPr="00000849">
        <w:rPr>
          <w:rFonts w:asciiTheme="minorHAnsi" w:hAnsiTheme="minorHAnsi" w:cstheme="minorHAnsi"/>
          <w:color w:val="383838"/>
        </w:rPr>
        <w:instrText xml:space="preserve"> ADDIN EN.CITE &lt;EndNote&gt;&lt;Cite&gt;&lt;Author&gt;GSS&lt;/Author&gt;&lt;Year&gt;2018&lt;/Year&gt;&lt;RecNum&gt;987&lt;/RecNum&gt;&lt;DisplayText&gt;(GSS, 2018b)&lt;/DisplayText&gt;&lt;record&gt;&lt;rec-number&gt;987&lt;/rec-number&gt;&lt;foreign-keys&gt;&lt;key app="EN" db-id="9tzf2rda8re2a9es5tuxart3swzx2zws2s02" timestamp="1575710758"&gt;987&lt;/key&gt;&lt;/foreign-keys&gt;&lt;ref-type name="Book"&gt;6&lt;/ref-type&gt;&lt;contributors&gt;&lt;authors&gt;&lt;author&gt;GSS,&lt;/author&gt;&lt;/authors&gt;&lt;/contributors&gt;&lt;titles&gt;&lt;title&gt;Poverty profile in Ghana 2005-2017&lt;/title&gt;&lt;secondary-title&gt;Ghana Living Standards Survey (GLSS 7)&lt;/secondary-title&gt;&lt;/titles&gt;&lt;dates&gt;&lt;year&gt;2018&lt;/year&gt;&lt;/dates&gt;&lt;pub-location&gt;Accra&lt;/pub-location&gt;&lt;publisher&gt;Ghana Statistical Service&lt;/publisher&gt;&lt;urls&gt;&lt;/urls&gt;&lt;/record&gt;&lt;/Cite&gt;&lt;/EndNote&gt;</w:instrText>
      </w:r>
      <w:r w:rsidR="00F33D09" w:rsidRPr="00000849">
        <w:rPr>
          <w:rFonts w:asciiTheme="minorHAnsi" w:hAnsiTheme="minorHAnsi" w:cstheme="minorHAnsi"/>
          <w:color w:val="383838"/>
        </w:rPr>
        <w:fldChar w:fldCharType="separate"/>
      </w:r>
      <w:r w:rsidR="00F17737" w:rsidRPr="00000849">
        <w:rPr>
          <w:rFonts w:asciiTheme="minorHAnsi" w:hAnsiTheme="minorHAnsi" w:cstheme="minorHAnsi"/>
          <w:noProof/>
          <w:color w:val="383838"/>
        </w:rPr>
        <w:t>(GSS, 2018b)</w:t>
      </w:r>
      <w:r w:rsidR="00F33D09" w:rsidRPr="00000849">
        <w:rPr>
          <w:rFonts w:asciiTheme="minorHAnsi" w:hAnsiTheme="minorHAnsi" w:cstheme="minorHAnsi"/>
          <w:color w:val="383838"/>
        </w:rPr>
        <w:fldChar w:fldCharType="end"/>
      </w:r>
      <w:r w:rsidR="00F33D09" w:rsidRPr="00000849">
        <w:rPr>
          <w:rFonts w:asciiTheme="minorHAnsi" w:hAnsiTheme="minorHAnsi" w:cstheme="minorHAnsi"/>
          <w:color w:val="383838"/>
        </w:rPr>
        <w:t xml:space="preserve">.  </w:t>
      </w:r>
      <w:r w:rsidR="002F3422" w:rsidRPr="00000849">
        <w:rPr>
          <w:rFonts w:asciiTheme="minorHAnsi" w:hAnsiTheme="minorHAnsi" w:cstheme="minorHAnsi"/>
          <w:color w:val="383838"/>
        </w:rPr>
        <w:t>The level of ‘obesogenic’ environment</w:t>
      </w:r>
      <w:r w:rsidR="00631525" w:rsidRPr="00000849">
        <w:rPr>
          <w:rFonts w:asciiTheme="minorHAnsi" w:hAnsiTheme="minorHAnsi" w:cstheme="minorHAnsi"/>
          <w:color w:val="383838"/>
        </w:rPr>
        <w:t xml:space="preserve"> </w:t>
      </w:r>
      <w:r w:rsidR="002F3422" w:rsidRPr="00000849">
        <w:rPr>
          <w:rFonts w:asciiTheme="minorHAnsi" w:hAnsiTheme="minorHAnsi" w:cstheme="minorHAnsi"/>
          <w:color w:val="383838"/>
        </w:rPr>
        <w:t xml:space="preserve">in GAR with the high concentration of multilateral and local </w:t>
      </w:r>
      <w:r w:rsidR="001B3829" w:rsidRPr="00000849">
        <w:rPr>
          <w:rFonts w:asciiTheme="minorHAnsi" w:hAnsiTheme="minorHAnsi" w:cstheme="minorHAnsi"/>
          <w:color w:val="383838"/>
        </w:rPr>
        <w:t>fast-food</w:t>
      </w:r>
      <w:r w:rsidR="002F3422" w:rsidRPr="00000849">
        <w:rPr>
          <w:rFonts w:asciiTheme="minorHAnsi" w:hAnsiTheme="minorHAnsi" w:cstheme="minorHAnsi"/>
          <w:color w:val="383838"/>
        </w:rPr>
        <w:t xml:space="preserve"> joints as well as motorized transport </w:t>
      </w:r>
      <w:r w:rsidR="000775E6" w:rsidRPr="00000849">
        <w:rPr>
          <w:rFonts w:asciiTheme="minorHAnsi" w:hAnsiTheme="minorHAnsi" w:cstheme="minorHAnsi"/>
          <w:color w:val="383838"/>
        </w:rPr>
        <w:t xml:space="preserve">likely </w:t>
      </w:r>
      <w:r w:rsidR="008305B5" w:rsidRPr="00000849">
        <w:rPr>
          <w:rFonts w:asciiTheme="minorHAnsi" w:hAnsiTheme="minorHAnsi" w:cstheme="minorHAnsi"/>
          <w:color w:val="383838"/>
        </w:rPr>
        <w:t>contribute to the development of cardiovascular diseases in general</w:t>
      </w:r>
      <w:r w:rsidR="002F3422" w:rsidRPr="00000849">
        <w:rPr>
          <w:rFonts w:asciiTheme="minorHAnsi" w:hAnsiTheme="minorHAnsi" w:cstheme="minorHAnsi"/>
          <w:color w:val="383838"/>
        </w:rPr>
        <w:t>.</w:t>
      </w:r>
      <w:r w:rsidR="008305B5" w:rsidRPr="00000849">
        <w:rPr>
          <w:rFonts w:asciiTheme="minorHAnsi" w:hAnsiTheme="minorHAnsi" w:cstheme="minorHAnsi"/>
          <w:color w:val="383838"/>
        </w:rPr>
        <w:t xml:space="preserve">  </w:t>
      </w:r>
    </w:p>
    <w:p w14:paraId="763D03EF" w14:textId="397A965F" w:rsidR="00A35D09" w:rsidRPr="00000849" w:rsidRDefault="00A6028C" w:rsidP="00BC37B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w:t>
      </w:r>
      <w:r w:rsidR="00F2052F" w:rsidRPr="00000849">
        <w:rPr>
          <w:rFonts w:asciiTheme="minorHAnsi" w:hAnsiTheme="minorHAnsi" w:cstheme="minorHAnsi"/>
          <w:color w:val="383838"/>
        </w:rPr>
        <w:t>he current findings</w:t>
      </w:r>
      <w:r w:rsidRPr="00000849">
        <w:rPr>
          <w:rFonts w:asciiTheme="minorHAnsi" w:hAnsiTheme="minorHAnsi" w:cstheme="minorHAnsi"/>
          <w:color w:val="383838"/>
        </w:rPr>
        <w:t xml:space="preserve"> are consistent with those of previous studies</w:t>
      </w:r>
      <w:r w:rsidR="00F2052F" w:rsidRPr="00000849">
        <w:rPr>
          <w:rFonts w:asciiTheme="minorHAnsi" w:hAnsiTheme="minorHAnsi" w:cstheme="minorHAnsi"/>
          <w:color w:val="383838"/>
        </w:rPr>
        <w:t xml:space="preserve">.  </w:t>
      </w:r>
      <w:r w:rsidR="008305B5" w:rsidRPr="00000849">
        <w:rPr>
          <w:rFonts w:asciiTheme="minorHAnsi" w:hAnsiTheme="minorHAnsi" w:cstheme="minorHAnsi"/>
          <w:color w:val="383838"/>
        </w:rPr>
        <w:t>In a systematic review</w:t>
      </w:r>
      <w:r w:rsidR="00A35D09" w:rsidRPr="00000849">
        <w:rPr>
          <w:rFonts w:asciiTheme="minorHAnsi" w:hAnsiTheme="minorHAnsi" w:cstheme="minorHAnsi"/>
          <w:color w:val="383838"/>
        </w:rPr>
        <w:t xml:space="preserve"> involving 17 studies and 26,649 participants</w:t>
      </w:r>
      <w:r w:rsidR="00F2052F" w:rsidRPr="00000849">
        <w:rPr>
          <w:rFonts w:asciiTheme="minorHAnsi" w:hAnsiTheme="minorHAnsi" w:cstheme="minorHAnsi"/>
          <w:color w:val="383838"/>
        </w:rPr>
        <w:t xml:space="preserve"> in Ghana</w:t>
      </w:r>
      <w:r w:rsidR="00A35D09" w:rsidRPr="00000849">
        <w:rPr>
          <w:rFonts w:asciiTheme="minorHAnsi" w:hAnsiTheme="minorHAnsi" w:cstheme="minorHAnsi"/>
          <w:color w:val="383838"/>
        </w:rPr>
        <w:t xml:space="preserve">, </w:t>
      </w:r>
      <w:r w:rsidR="00F2052F" w:rsidRPr="00000849">
        <w:rPr>
          <w:rFonts w:asciiTheme="minorHAnsi" w:hAnsiTheme="minorHAnsi" w:cstheme="minorHAnsi"/>
          <w:color w:val="383838"/>
        </w:rPr>
        <w:t xml:space="preserve">the prevalence of hypertension ranged from 19% to 48% with the extreme values occurring in the northern regions and GAR respectively </w:t>
      </w:r>
      <w:r w:rsidR="00F2052F"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&lt;EndNote&gt;&lt;Cite&gt;&lt;Author&gt;Bosu&lt;/Author&gt;&lt;Year&gt;2010&lt;/Year&gt;&lt;RecNum&gt;48&lt;/RecNum&gt;&lt;DisplayText&gt;(Bosu, 2010)&lt;/DisplayText&gt;&lt;record&gt;&lt;rec-number&gt;48&lt;/rec-number&gt;&lt;foreign-keys&gt;&lt;key app="EN" db-id="9tzf2rda8re2a9es5tuxart3swzx2zws2s02" timestamp="1464944378"&gt;48&lt;/key&gt;&lt;/foreign-keys&gt;&lt;ref-type name="Journal Article"&gt;17&lt;/ref-type&gt;&lt;contributors&gt;&lt;authors&gt;&lt;author&gt;Bosu, William K.&lt;/author&gt;&lt;/authors&gt;&lt;/contributors&gt;&lt;titles&gt;&lt;title&gt;Epidemic of hypertension in Ghana: a systematic review.&lt;/title&gt;&lt;secondary-title&gt;BMC Public Health.&lt;/secondary-title&gt;&lt;/titles&gt;&lt;pages&gt;418&lt;/pages&gt;&lt;volume&gt;10&lt;/volume&gt;&lt;dates&gt;&lt;year&gt;2010&lt;/year&gt;&lt;/dates&gt;&lt;urls&gt;&lt;/urls&gt;&lt;electronic-resource-num&gt;10.1186/1471-2458-10-418&lt;/electronic-resource-num&gt;&lt;/record&gt;&lt;/Cite&gt;&lt;/EndNote&gt;</w:instrText>
      </w:r>
      <w:r w:rsidR="00F2052F"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(Bosu, 2010)</w:t>
      </w:r>
      <w:r w:rsidR="00F2052F" w:rsidRPr="00000849">
        <w:rPr>
          <w:rFonts w:asciiTheme="minorHAnsi" w:hAnsiTheme="minorHAnsi" w:cstheme="minorHAnsi"/>
          <w:color w:val="383838"/>
        </w:rPr>
        <w:fldChar w:fldCharType="end"/>
      </w:r>
      <w:r w:rsidR="00F2052F" w:rsidRPr="00000849">
        <w:rPr>
          <w:rFonts w:asciiTheme="minorHAnsi" w:hAnsiTheme="minorHAnsi" w:cstheme="minorHAnsi"/>
          <w:color w:val="383838"/>
        </w:rPr>
        <w:t>.</w:t>
      </w:r>
      <w:r w:rsidR="00F66D36" w:rsidRPr="00000849">
        <w:rPr>
          <w:rFonts w:asciiTheme="minorHAnsi" w:hAnsiTheme="minorHAnsi" w:cstheme="minorHAnsi"/>
          <w:color w:val="383838"/>
        </w:rPr>
        <w:t xml:space="preserve">  In the </w:t>
      </w:r>
      <w:r w:rsidR="00437DC3" w:rsidRPr="00000849">
        <w:rPr>
          <w:rFonts w:asciiTheme="minorHAnsi" w:hAnsiTheme="minorHAnsi" w:cstheme="minorHAnsi"/>
          <w:color w:val="383838"/>
        </w:rPr>
        <w:t>Ghana Demographic and Health Survey (</w:t>
      </w:r>
      <w:r w:rsidR="00F66D36" w:rsidRPr="00000849">
        <w:rPr>
          <w:rFonts w:asciiTheme="minorHAnsi" w:hAnsiTheme="minorHAnsi" w:cstheme="minorHAnsi"/>
          <w:color w:val="383838"/>
        </w:rPr>
        <w:t>GDHS</w:t>
      </w:r>
      <w:r w:rsidR="00437DC3" w:rsidRPr="00000849">
        <w:rPr>
          <w:rFonts w:asciiTheme="minorHAnsi" w:hAnsiTheme="minorHAnsi" w:cstheme="minorHAnsi"/>
          <w:color w:val="383838"/>
        </w:rPr>
        <w:t>)</w:t>
      </w:r>
      <w:r w:rsidR="00F66D36" w:rsidRPr="00000849">
        <w:rPr>
          <w:rFonts w:asciiTheme="minorHAnsi" w:hAnsiTheme="minorHAnsi" w:cstheme="minorHAnsi"/>
          <w:color w:val="383838"/>
        </w:rPr>
        <w:t xml:space="preserve"> 2014, the prevalence of </w:t>
      </w:r>
      <w:r w:rsidR="00E051DC" w:rsidRPr="00000849">
        <w:rPr>
          <w:rFonts w:asciiTheme="minorHAnsi" w:hAnsiTheme="minorHAnsi" w:cstheme="minorHAnsi"/>
          <w:color w:val="383838"/>
        </w:rPr>
        <w:t>hypertension in adults aged 15-49 years in the GAR was 2.4-2.9 times that of the northern regions</w:t>
      </w:r>
      <w:r w:rsidR="00437DC3" w:rsidRPr="00000849">
        <w:rPr>
          <w:rFonts w:asciiTheme="minorHAnsi" w:hAnsiTheme="minorHAnsi" w:cstheme="minorHAnsi"/>
          <w:color w:val="383838"/>
        </w:rPr>
        <w:t xml:space="preserve"> </w:t>
      </w:r>
      <w:r w:rsidR="00437DC3"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&lt;EndNote&gt;&lt;Cite&gt;&lt;Author&gt;Sanuade&lt;/Author&gt;&lt;Year&gt;2018&lt;/Year&gt;&lt;RecNum&gt;1015&lt;/RecNum&gt;&lt;DisplayText&gt;(Sanuade et al., 2018)&lt;/DisplayText&gt;&lt;record&gt;&lt;rec-number&gt;1015&lt;/rec-number&gt;&lt;foreign-keys&gt;&lt;key app="EN" db-id="9tzf2rda8re2a9es5tuxart3swzx2zws2s02" timestamp="1576328331"&gt;1015&lt;/key&gt;&lt;/foreign-keys&gt;&lt;ref-type name="Journal Article"&gt;17&lt;/ref-type&gt;&lt;contributors&gt;&lt;authors&gt;&lt;author&gt;Sanuade, Olutobi Adekunle&lt;/author&gt;&lt;author&gt;Boatemaa, Sandra&lt;/author&gt;&lt;author&gt;Kushitor, Mawuli Komla&lt;/author&gt;&lt;/authors&gt;&lt;/contributors&gt;&lt;titles&gt;&lt;title&gt;Hypertension prevalence, awareness, treatment and control in Ghanaian population: Evidence from the Ghana demographic and health survey&lt;/title&gt;&lt;secondary-title&gt;PloS one&lt;/secondary-title&gt;&lt;/titles&gt;&lt;periodical&gt;&lt;full-title&gt;PLoS One&lt;/full-title&gt;&lt;/periodical&gt;&lt;pages&gt;e0205985&lt;/pages&gt;&lt;volume&gt;13&lt;/volume&gt;&lt;number&gt;11&lt;/number&gt;&lt;dates&gt;&lt;year&gt;2018&lt;/year&gt;&lt;/dates&gt;&lt;isbn&gt;1932-6203&lt;/isbn&gt;&lt;urls&gt;&lt;/urls&gt;&lt;/record&gt;&lt;/Cite&gt;&lt;/EndNote&gt;</w:instrText>
      </w:r>
      <w:r w:rsidR="00437DC3"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(Sanuade et al., 2018)</w:t>
      </w:r>
      <w:r w:rsidR="00437DC3" w:rsidRPr="00000849">
        <w:rPr>
          <w:rFonts w:asciiTheme="minorHAnsi" w:hAnsiTheme="minorHAnsi" w:cstheme="minorHAnsi"/>
          <w:color w:val="383838"/>
        </w:rPr>
        <w:fldChar w:fldCharType="end"/>
      </w:r>
      <w:r w:rsidR="00E051DC" w:rsidRPr="00000849">
        <w:rPr>
          <w:rFonts w:asciiTheme="minorHAnsi" w:hAnsiTheme="minorHAnsi" w:cstheme="minorHAnsi"/>
          <w:color w:val="383838"/>
        </w:rPr>
        <w:t xml:space="preserve">.  </w:t>
      </w:r>
      <w:r w:rsidR="00C00722" w:rsidRPr="00000849">
        <w:rPr>
          <w:rFonts w:asciiTheme="minorHAnsi" w:hAnsiTheme="minorHAnsi" w:cstheme="minorHAnsi"/>
          <w:color w:val="383838"/>
        </w:rPr>
        <w:t>Residence</w:t>
      </w:r>
      <w:r w:rsidR="00BC37B5" w:rsidRPr="00000849">
        <w:rPr>
          <w:rFonts w:asciiTheme="minorHAnsi" w:hAnsiTheme="minorHAnsi" w:cstheme="minorHAnsi"/>
          <w:color w:val="383838"/>
        </w:rPr>
        <w:t xml:space="preserve"> in </w:t>
      </w:r>
      <w:r w:rsidR="00C00722" w:rsidRPr="00000849">
        <w:rPr>
          <w:rFonts w:asciiTheme="minorHAnsi" w:hAnsiTheme="minorHAnsi" w:cstheme="minorHAnsi"/>
          <w:color w:val="383838"/>
        </w:rPr>
        <w:t xml:space="preserve">the GAR was also associated with the highest adjusted odds of self-reported hypertension among women in the GDHS 2014 </w:t>
      </w:r>
      <w:r w:rsidR="00C00722" w:rsidRPr="00000849">
        <w:rPr>
          <w:rFonts w:asciiTheme="minorHAnsi" w:hAnsiTheme="minorHAnsi" w:cstheme="minorHAnsi"/>
          <w:color w:val="383838"/>
        </w:rPr>
        <w:fldChar w:fldCharType="begin"/>
      </w:r>
      <w:r w:rsidR="00C00722" w:rsidRPr="00000849">
        <w:rPr>
          <w:rFonts w:asciiTheme="minorHAnsi" w:hAnsiTheme="minorHAnsi" w:cstheme="minorHAnsi"/>
          <w:color w:val="383838"/>
        </w:rPr>
        <w:instrText xml:space="preserve"> ADDIN EN.CITE &lt;EndNote&gt;&lt;Cite&gt;&lt;Author&gt;Nyarko&lt;/Author&gt;&lt;Year&gt;2016&lt;/Year&gt;&lt;RecNum&gt;986&lt;/RecNum&gt;&lt;DisplayText&gt;(Nyarko, 2016)&lt;/DisplayText&gt;&lt;record&gt;&lt;rec-number&gt;986&lt;/rec-number&gt;&lt;foreign-keys&gt;&lt;key app="EN" db-id="9tzf2rda8re2a9es5tuxart3swzx2zws2s02" timestamp="1575709244"&gt;986&lt;/key&gt;&lt;/foreign-keys&gt;&lt;ref-type name="Journal Article"&gt;17&lt;/ref-type&gt;&lt;contributors&gt;&lt;authors&gt;&lt;author&gt;Nyarko, Samuel H.&lt;/author&gt;&lt;/authors&gt;&lt;/contributors&gt;&lt;titles&gt;&lt;title&gt;Prevalence and Sociodemographic Determinants of Hypertension History among Women in Reproductive Age in Ghana&lt;/title&gt;&lt;secondary-title&gt;International Journal of Hypertension&lt;/secondary-title&gt;&lt;/titles&gt;&lt;periodical&gt;&lt;full-title&gt;International Journal of Hypertension&lt;/full-title&gt;&lt;/periodical&gt;&lt;pages&gt;6&lt;/pages&gt;&lt;volume&gt;2016&lt;/volume&gt;&lt;dates&gt;&lt;year&gt;2016&lt;/year&gt;&lt;/dates&gt;&lt;urls&gt;&lt;related-urls&gt;&lt;url&gt;http://dx.doi.org/10.1155/2016/3292938&lt;/url&gt;&lt;/related-urls&gt;&lt;/urls&gt;&lt;custom7&gt;3292938&lt;/custom7&gt;&lt;electronic-resource-num&gt;10.1155/2016/3292938&lt;/electronic-resource-num&gt;&lt;/record&gt;&lt;/Cite&gt;&lt;/EndNote&gt;</w:instrText>
      </w:r>
      <w:r w:rsidR="00C00722" w:rsidRPr="00000849">
        <w:rPr>
          <w:rFonts w:asciiTheme="minorHAnsi" w:hAnsiTheme="minorHAnsi" w:cstheme="minorHAnsi"/>
          <w:color w:val="383838"/>
        </w:rPr>
        <w:fldChar w:fldCharType="separate"/>
      </w:r>
      <w:r w:rsidR="00C00722" w:rsidRPr="00000849">
        <w:rPr>
          <w:rFonts w:asciiTheme="minorHAnsi" w:hAnsiTheme="minorHAnsi" w:cstheme="minorHAnsi"/>
          <w:noProof/>
          <w:color w:val="383838"/>
        </w:rPr>
        <w:t>(Nyarko, 2016)</w:t>
      </w:r>
      <w:r w:rsidR="00C00722" w:rsidRPr="00000849">
        <w:rPr>
          <w:rFonts w:asciiTheme="minorHAnsi" w:hAnsiTheme="minorHAnsi" w:cstheme="minorHAnsi"/>
          <w:color w:val="383838"/>
        </w:rPr>
        <w:fldChar w:fldCharType="end"/>
      </w:r>
      <w:r w:rsidR="00C00722" w:rsidRPr="00000849">
        <w:rPr>
          <w:rFonts w:asciiTheme="minorHAnsi" w:hAnsiTheme="minorHAnsi" w:cstheme="minorHAnsi"/>
          <w:color w:val="383838"/>
        </w:rPr>
        <w:t>.</w:t>
      </w:r>
    </w:p>
    <w:p w14:paraId="03DAC7A6" w14:textId="127BBF61" w:rsidR="00812283" w:rsidRPr="00000849" w:rsidRDefault="009E0200" w:rsidP="0063152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Urban residence was associated with higher odds of hypertension </w:t>
      </w:r>
      <w:r w:rsidR="00C705BD" w:rsidRPr="00000849">
        <w:rPr>
          <w:rFonts w:asciiTheme="minorHAnsi" w:hAnsiTheme="minorHAnsi" w:cstheme="minorHAnsi"/>
          <w:color w:val="383838"/>
        </w:rPr>
        <w:t>over time</w:t>
      </w:r>
      <w:r w:rsidRPr="00000849">
        <w:rPr>
          <w:rFonts w:asciiTheme="minorHAnsi" w:hAnsiTheme="minorHAnsi" w:cstheme="minorHAnsi"/>
          <w:color w:val="383838"/>
        </w:rPr>
        <w:t xml:space="preserve"> as</w:t>
      </w:r>
      <w:r w:rsidR="00700046" w:rsidRPr="00000849">
        <w:rPr>
          <w:rFonts w:asciiTheme="minorHAnsi" w:hAnsiTheme="minorHAnsi" w:cstheme="minorHAnsi"/>
          <w:color w:val="383838"/>
        </w:rPr>
        <w:t xml:space="preserve"> in</w:t>
      </w:r>
      <w:r w:rsidRPr="00000849">
        <w:rPr>
          <w:rFonts w:asciiTheme="minorHAnsi" w:hAnsiTheme="minorHAnsi" w:cstheme="minorHAnsi"/>
          <w:color w:val="383838"/>
        </w:rPr>
        <w:t xml:space="preserve"> the </w:t>
      </w:r>
      <w:r w:rsidR="00C705BD" w:rsidRPr="00000849">
        <w:rPr>
          <w:rFonts w:asciiTheme="minorHAnsi" w:hAnsiTheme="minorHAnsi" w:cstheme="minorHAnsi"/>
          <w:color w:val="383838"/>
        </w:rPr>
        <w:t xml:space="preserve">current </w:t>
      </w:r>
      <w:r w:rsidR="00210C7B" w:rsidRPr="00000849">
        <w:rPr>
          <w:rFonts w:asciiTheme="minorHAnsi" w:hAnsiTheme="minorHAnsi" w:cstheme="minorHAnsi"/>
          <w:color w:val="383838"/>
        </w:rPr>
        <w:t>longitudinal data analysis</w:t>
      </w:r>
      <w:r w:rsidRPr="00000849">
        <w:rPr>
          <w:rFonts w:asciiTheme="minorHAnsi" w:hAnsiTheme="minorHAnsi" w:cstheme="minorHAnsi"/>
          <w:color w:val="383838"/>
        </w:rPr>
        <w:t xml:space="preserve">.  </w:t>
      </w:r>
      <w:r w:rsidR="00A6028C" w:rsidRPr="00000849">
        <w:rPr>
          <w:rFonts w:asciiTheme="minorHAnsi" w:hAnsiTheme="minorHAnsi" w:cstheme="minorHAnsi"/>
          <w:color w:val="383838"/>
        </w:rPr>
        <w:t>A</w:t>
      </w:r>
      <w:r w:rsidR="003331E1" w:rsidRPr="00000849">
        <w:rPr>
          <w:rFonts w:asciiTheme="minorHAnsi" w:hAnsiTheme="minorHAnsi" w:cstheme="minorHAnsi"/>
          <w:color w:val="383838"/>
        </w:rPr>
        <w:t xml:space="preserve"> systematic review found that urban residence was frequently associated with hypertension in older adults in Africa </w:t>
      </w:r>
      <w:r w:rsidR="003331E1"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3331E1" w:rsidRPr="00000849">
        <w:rPr>
          <w:rFonts w:asciiTheme="minorHAnsi" w:hAnsiTheme="minorHAnsi" w:cstheme="minorHAnsi"/>
          <w:color w:val="383838"/>
        </w:rPr>
      </w:r>
      <w:r w:rsidR="003331E1"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(Bosu et al., 2019a)</w:t>
      </w:r>
      <w:r w:rsidR="003331E1" w:rsidRPr="00000849">
        <w:rPr>
          <w:rFonts w:asciiTheme="minorHAnsi" w:hAnsiTheme="minorHAnsi" w:cstheme="minorHAnsi"/>
          <w:color w:val="383838"/>
        </w:rPr>
        <w:fldChar w:fldCharType="end"/>
      </w:r>
      <w:r w:rsidR="003331E1" w:rsidRPr="00000849">
        <w:rPr>
          <w:rFonts w:asciiTheme="minorHAnsi" w:hAnsiTheme="minorHAnsi" w:cstheme="minorHAnsi"/>
          <w:color w:val="383838"/>
        </w:rPr>
        <w:t xml:space="preserve">.  </w:t>
      </w:r>
      <w:r w:rsidR="00812283" w:rsidRPr="00000849">
        <w:rPr>
          <w:rFonts w:asciiTheme="minorHAnsi" w:hAnsiTheme="minorHAnsi" w:cstheme="minorHAnsi"/>
          <w:color w:val="383838"/>
        </w:rPr>
        <w:t xml:space="preserve">During the period covered by the SAGE study, the urban population in Ghana grew from 47.5% in 2005 to 54.1% </w:t>
      </w:r>
      <w:r w:rsidR="00CD583E" w:rsidRPr="00000849">
        <w:rPr>
          <w:rFonts w:asciiTheme="minorHAnsi" w:hAnsiTheme="minorHAnsi" w:cstheme="minorHAnsi"/>
          <w:color w:val="383838"/>
        </w:rPr>
        <w:t xml:space="preserve">in 2015 </w:t>
      </w:r>
      <w:r w:rsidR="00812283" w:rsidRPr="00000849">
        <w:rPr>
          <w:rFonts w:asciiTheme="minorHAnsi" w:hAnsiTheme="minorHAnsi" w:cstheme="minorHAnsi"/>
          <w:color w:val="383838"/>
        </w:rPr>
        <w:fldChar w:fldCharType="begin"/>
      </w:r>
      <w:r w:rsidR="00812283" w:rsidRPr="00000849">
        <w:rPr>
          <w:rFonts w:asciiTheme="minorHAnsi" w:hAnsiTheme="minorHAnsi" w:cstheme="minorHAnsi"/>
          <w:color w:val="383838"/>
        </w:rPr>
        <w:instrText xml:space="preserve"> ADDIN EN.CITE &lt;EndNote&gt;&lt;Cite&gt;&lt;Author&gt;United Nations&lt;/Author&gt;&lt;Year&gt;2018&lt;/Year&gt;&lt;RecNum&gt;991&lt;/RecNum&gt;&lt;DisplayText&gt;(United Nations, 2018)&lt;/DisplayText&gt;&lt;record&gt;&lt;rec-number&gt;991&lt;/rec-number&gt;&lt;foreign-keys&gt;&lt;key app="EN" db-id="9tzf2rda8re2a9es5tuxart3swzx2zws2s02" timestamp="1575806936"&gt;991&lt;/key&gt;&lt;/foreign-keys&gt;&lt;ref-type name="Online Database"&gt;45&lt;/ref-type&gt;&lt;contributors&gt;&lt;authors&gt;&lt;author&gt;United Nations,&lt;/author&gt;&lt;/authors&gt;&lt;/contributors&gt;&lt;titles&gt;&lt;title&gt;World Urbanization Prospects: The 2018 Revision, Online Edition. &lt;/title&gt;&lt;/titles&gt;&lt;dates&gt;&lt;year&gt;2018&lt;/year&gt;&lt;pub-dates&gt;&lt;date&gt;8 December 2019&lt;/date&gt;&lt;/pub-dates&gt;&lt;/dates&gt;&lt;pub-location&gt;New York, USA&lt;/pub-location&gt;&lt;publisher&gt;United Nations, Department of Economic and Social Affairs, Population Division &lt;/publisher&gt;&lt;urls&gt;&lt;related-urls&gt;&lt;url&gt;https://population.un.org/wup/Download/&lt;/url&gt;&lt;/related-urls&gt;&lt;/urls&gt;&lt;/record&gt;&lt;/Cite&gt;&lt;/EndNote&gt;</w:instrText>
      </w:r>
      <w:r w:rsidR="00812283" w:rsidRPr="00000849">
        <w:rPr>
          <w:rFonts w:asciiTheme="minorHAnsi" w:hAnsiTheme="minorHAnsi" w:cstheme="minorHAnsi"/>
          <w:color w:val="383838"/>
        </w:rPr>
        <w:fldChar w:fldCharType="separate"/>
      </w:r>
      <w:r w:rsidR="00812283" w:rsidRPr="00000849">
        <w:rPr>
          <w:rFonts w:asciiTheme="minorHAnsi" w:hAnsiTheme="minorHAnsi" w:cstheme="minorHAnsi"/>
          <w:color w:val="383838"/>
        </w:rPr>
        <w:t>(United Nations, 2018)</w:t>
      </w:r>
      <w:r w:rsidR="00812283" w:rsidRPr="00000849">
        <w:rPr>
          <w:rFonts w:asciiTheme="minorHAnsi" w:hAnsiTheme="minorHAnsi" w:cstheme="minorHAnsi"/>
          <w:color w:val="383838"/>
        </w:rPr>
        <w:fldChar w:fldCharType="end"/>
      </w:r>
      <w:r w:rsidR="00812283" w:rsidRPr="00000849">
        <w:rPr>
          <w:rFonts w:asciiTheme="minorHAnsi" w:hAnsiTheme="minorHAnsi" w:cstheme="minorHAnsi"/>
          <w:color w:val="383838"/>
        </w:rPr>
        <w:t xml:space="preserve">.  </w:t>
      </w:r>
      <w:r w:rsidR="00F46AE9" w:rsidRPr="00000849">
        <w:rPr>
          <w:rFonts w:asciiTheme="minorHAnsi" w:hAnsiTheme="minorHAnsi" w:cstheme="minorHAnsi"/>
          <w:color w:val="383838"/>
        </w:rPr>
        <w:t xml:space="preserve">Urban residents in Ghana are up to three times as likely as rural residents to have </w:t>
      </w:r>
      <w:r w:rsidR="00F46AE9" w:rsidRPr="00000849">
        <w:rPr>
          <w:rFonts w:asciiTheme="minorHAnsi" w:hAnsiTheme="minorHAnsi" w:cstheme="minorHAnsi"/>
          <w:color w:val="383838"/>
        </w:rPr>
        <w:lastRenderedPageBreak/>
        <w:t xml:space="preserve">hypertension, four times as likely to have diabetes and eight times as likely to be obese </w:t>
      </w:r>
      <w:r w:rsidR="00F46AE9" w:rsidRPr="00000849">
        <w:rPr>
          <w:rFonts w:asciiTheme="minorHAnsi" w:hAnsiTheme="minorHAnsi" w:cstheme="minorHAnsi"/>
          <w:color w:val="383838"/>
        </w:rPr>
        <w:fldChar w:fldCharType="begin">
          <w:fldData xml:space="preserve">PEVuZE5vdGU+PENpdGU+PEF1dGhvcj5Lb2RhbWFuPC9BdXRob3I+PFllYXI+MjAxNjwvWWVhcj48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</w:fldData>
        </w:fldChar>
      </w:r>
      <w:r w:rsidR="00F46AE9" w:rsidRPr="00000849">
        <w:rPr>
          <w:rFonts w:asciiTheme="minorHAnsi" w:hAnsiTheme="minorHAnsi" w:cstheme="minorHAnsi"/>
          <w:color w:val="383838"/>
        </w:rPr>
        <w:instrText xml:space="preserve"> ADDIN EN.CITE </w:instrText>
      </w:r>
      <w:r w:rsidR="00F46AE9" w:rsidRPr="00000849">
        <w:rPr>
          <w:rFonts w:asciiTheme="minorHAnsi" w:hAnsiTheme="minorHAnsi" w:cstheme="minorHAnsi"/>
          <w:color w:val="383838"/>
        </w:rPr>
        <w:fldChar w:fldCharType="begin">
          <w:fldData xml:space="preserve">PEVuZE5vdGU+PENpdGU+PEF1dGhvcj5Lb2RhbWFuPC9BdXRob3I+PFllYXI+MjAxNjwvWWVhcj48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</w:fldData>
        </w:fldChar>
      </w:r>
      <w:r w:rsidR="00F46AE9" w:rsidRPr="00000849">
        <w:rPr>
          <w:rFonts w:asciiTheme="minorHAnsi" w:hAnsiTheme="minorHAnsi" w:cstheme="minorHAnsi"/>
          <w:color w:val="383838"/>
        </w:rPr>
        <w:instrText xml:space="preserve"> ADDIN EN.CITE.DATA </w:instrText>
      </w:r>
      <w:r w:rsidR="00F46AE9" w:rsidRPr="00000849">
        <w:rPr>
          <w:rFonts w:asciiTheme="minorHAnsi" w:hAnsiTheme="minorHAnsi" w:cstheme="minorHAnsi"/>
          <w:color w:val="383838"/>
        </w:rPr>
      </w:r>
      <w:r w:rsidR="00F46AE9" w:rsidRPr="00000849">
        <w:rPr>
          <w:rFonts w:asciiTheme="minorHAnsi" w:hAnsiTheme="minorHAnsi" w:cstheme="minorHAnsi"/>
          <w:color w:val="383838"/>
        </w:rPr>
        <w:fldChar w:fldCharType="end"/>
      </w:r>
      <w:r w:rsidR="00F46AE9" w:rsidRPr="00000849">
        <w:rPr>
          <w:rFonts w:asciiTheme="minorHAnsi" w:hAnsiTheme="minorHAnsi" w:cstheme="minorHAnsi"/>
          <w:color w:val="383838"/>
        </w:rPr>
      </w:r>
      <w:r w:rsidR="00F46AE9" w:rsidRPr="00000849">
        <w:rPr>
          <w:rFonts w:asciiTheme="minorHAnsi" w:hAnsiTheme="minorHAnsi" w:cstheme="minorHAnsi"/>
          <w:color w:val="383838"/>
        </w:rPr>
        <w:fldChar w:fldCharType="separate"/>
      </w:r>
      <w:r w:rsidR="00F46AE9" w:rsidRPr="00000849">
        <w:rPr>
          <w:rFonts w:asciiTheme="minorHAnsi" w:hAnsiTheme="minorHAnsi" w:cstheme="minorHAnsi"/>
          <w:noProof/>
          <w:color w:val="383838"/>
        </w:rPr>
        <w:t>(Kodaman et al., 2016)</w:t>
      </w:r>
      <w:r w:rsidR="00F46AE9" w:rsidRPr="00000849">
        <w:rPr>
          <w:rFonts w:asciiTheme="minorHAnsi" w:hAnsiTheme="minorHAnsi" w:cstheme="minorHAnsi"/>
          <w:color w:val="383838"/>
        </w:rPr>
        <w:fldChar w:fldCharType="end"/>
      </w:r>
      <w:r w:rsidR="00F46AE9" w:rsidRPr="00000849">
        <w:rPr>
          <w:rFonts w:asciiTheme="minorHAnsi" w:hAnsiTheme="minorHAnsi" w:cstheme="minorHAnsi"/>
          <w:color w:val="383838"/>
        </w:rPr>
        <w:t xml:space="preserve">.  </w:t>
      </w:r>
    </w:p>
    <w:p w14:paraId="6D42E5B9" w14:textId="0E16472E" w:rsidR="00F00972" w:rsidRPr="00000849" w:rsidRDefault="00A22112" w:rsidP="00D81A90">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w:t>
      </w:r>
      <w:r w:rsidR="00AA33D8" w:rsidRPr="00000849">
        <w:rPr>
          <w:rFonts w:asciiTheme="minorHAnsi" w:hAnsiTheme="minorHAnsi" w:cstheme="minorHAnsi"/>
          <w:color w:val="383838"/>
        </w:rPr>
        <w:t xml:space="preserve">he </w:t>
      </w:r>
      <w:r w:rsidR="00116843" w:rsidRPr="00000849">
        <w:rPr>
          <w:rFonts w:asciiTheme="minorHAnsi" w:hAnsiTheme="minorHAnsi" w:cstheme="minorHAnsi"/>
          <w:color w:val="383838"/>
        </w:rPr>
        <w:t>prevalence</w:t>
      </w:r>
      <w:r w:rsidR="00AA33D8" w:rsidRPr="00000849">
        <w:rPr>
          <w:rFonts w:asciiTheme="minorHAnsi" w:hAnsiTheme="minorHAnsi" w:cstheme="minorHAnsi"/>
          <w:color w:val="383838"/>
        </w:rPr>
        <w:t xml:space="preserve"> of hypertension</w:t>
      </w:r>
      <w:r w:rsidR="00116843" w:rsidRPr="00000849">
        <w:rPr>
          <w:rFonts w:asciiTheme="minorHAnsi" w:hAnsiTheme="minorHAnsi" w:cstheme="minorHAnsi"/>
          <w:color w:val="383838"/>
        </w:rPr>
        <w:t xml:space="preserve"> increases with increasing level of urbanization.  It was 61.8% in rural, 65.7% in semi-urban and 70.0% in urban </w:t>
      </w:r>
      <w:r w:rsidR="00F00972" w:rsidRPr="00000849">
        <w:rPr>
          <w:rFonts w:asciiTheme="minorHAnsi" w:hAnsiTheme="minorHAnsi" w:cstheme="minorHAnsi"/>
          <w:color w:val="383838"/>
        </w:rPr>
        <w:t xml:space="preserve">older adult </w:t>
      </w:r>
      <w:r w:rsidR="00116843" w:rsidRPr="00000849">
        <w:rPr>
          <w:rFonts w:asciiTheme="minorHAnsi" w:hAnsiTheme="minorHAnsi" w:cstheme="minorHAnsi"/>
          <w:color w:val="383838"/>
        </w:rPr>
        <w:t xml:space="preserve">populations in the Yoruba-speaking areas of Nigeria </w:t>
      </w:r>
      <w:r w:rsidR="00F00972" w:rsidRPr="00000849">
        <w:rPr>
          <w:rFonts w:asciiTheme="minorHAnsi" w:hAnsiTheme="minorHAnsi" w:cstheme="minorHAnsi"/>
          <w:color w:val="383838"/>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F00972" w:rsidRPr="00000849">
        <w:rPr>
          <w:rFonts w:asciiTheme="minorHAnsi" w:hAnsiTheme="minorHAnsi" w:cstheme="minorHAnsi"/>
          <w:color w:val="383838"/>
        </w:rPr>
      </w:r>
      <w:r w:rsidR="00F00972" w:rsidRPr="00000849">
        <w:rPr>
          <w:rFonts w:asciiTheme="minorHAnsi" w:hAnsiTheme="minorHAnsi" w:cstheme="minorHAnsi"/>
          <w:color w:val="383838"/>
        </w:rPr>
        <w:fldChar w:fldCharType="separate"/>
      </w:r>
      <w:r w:rsidR="00F00972" w:rsidRPr="00000849">
        <w:rPr>
          <w:rFonts w:asciiTheme="minorHAnsi" w:hAnsiTheme="minorHAnsi" w:cstheme="minorHAnsi"/>
          <w:noProof/>
          <w:color w:val="383838"/>
        </w:rPr>
        <w:t>(Raji et al., 2017)</w:t>
      </w:r>
      <w:r w:rsidR="00F00972" w:rsidRPr="00000849">
        <w:rPr>
          <w:rFonts w:asciiTheme="minorHAnsi" w:hAnsiTheme="minorHAnsi" w:cstheme="minorHAnsi"/>
          <w:color w:val="383838"/>
        </w:rPr>
        <w:fldChar w:fldCharType="end"/>
      </w:r>
      <w:r w:rsidR="00116843" w:rsidRPr="00000849">
        <w:rPr>
          <w:rFonts w:asciiTheme="minorHAnsi" w:hAnsiTheme="minorHAnsi" w:cstheme="minorHAnsi"/>
          <w:color w:val="383838"/>
        </w:rPr>
        <w:t>.</w:t>
      </w:r>
      <w:r w:rsidR="00F00972" w:rsidRPr="00000849">
        <w:rPr>
          <w:rFonts w:asciiTheme="minorHAnsi" w:hAnsiTheme="minorHAnsi" w:cstheme="minorHAnsi"/>
          <w:color w:val="383838"/>
        </w:rPr>
        <w:t xml:space="preserve">  Residence in urban and semi-urban areas was independently associated with 38% higher odds of hypertension in the same study. </w:t>
      </w:r>
      <w:r w:rsidR="003331E1" w:rsidRPr="00000849">
        <w:rPr>
          <w:rFonts w:asciiTheme="minorHAnsi" w:hAnsiTheme="minorHAnsi" w:cstheme="minorHAnsi"/>
          <w:color w:val="383838"/>
        </w:rPr>
        <w:t xml:space="preserve"> </w:t>
      </w:r>
      <w:r w:rsidR="00F00972" w:rsidRPr="00000849">
        <w:rPr>
          <w:rFonts w:asciiTheme="minorHAnsi" w:hAnsiTheme="minorHAnsi" w:cstheme="minorHAnsi"/>
          <w:color w:val="383838"/>
        </w:rPr>
        <w:t xml:space="preserve">Urbanization </w:t>
      </w:r>
      <w:r w:rsidR="00FB285B" w:rsidRPr="00000849">
        <w:rPr>
          <w:rFonts w:asciiTheme="minorHAnsi" w:hAnsiTheme="minorHAnsi" w:cstheme="minorHAnsi"/>
          <w:color w:val="383838"/>
        </w:rPr>
        <w:t xml:space="preserve">in Africa is frequently associated with </w:t>
      </w:r>
      <w:r w:rsidR="00462C2C" w:rsidRPr="00000849">
        <w:rPr>
          <w:rFonts w:asciiTheme="minorHAnsi" w:hAnsiTheme="minorHAnsi" w:cstheme="minorHAnsi"/>
          <w:color w:val="383838"/>
        </w:rPr>
        <w:t xml:space="preserve">increased incomes, </w:t>
      </w:r>
      <w:r w:rsidR="00FB285B" w:rsidRPr="00000849">
        <w:rPr>
          <w:rFonts w:asciiTheme="minorHAnsi" w:hAnsiTheme="minorHAnsi" w:cstheme="minorHAnsi"/>
          <w:color w:val="383838"/>
        </w:rPr>
        <w:t xml:space="preserve">a shift towards western diets (energy dense, low in fibre, high in salt, sugar, fat and trans-fatty acids), </w:t>
      </w:r>
      <w:r w:rsidR="004A4F8F" w:rsidRPr="00000849">
        <w:rPr>
          <w:rFonts w:asciiTheme="minorHAnsi" w:hAnsiTheme="minorHAnsi" w:cstheme="minorHAnsi"/>
          <w:color w:val="383838"/>
        </w:rPr>
        <w:t>eas</w:t>
      </w:r>
      <w:r w:rsidR="00DE1E1E" w:rsidRPr="00000849">
        <w:rPr>
          <w:rFonts w:asciiTheme="minorHAnsi" w:hAnsiTheme="minorHAnsi" w:cstheme="minorHAnsi"/>
          <w:color w:val="383838"/>
        </w:rPr>
        <w:t>ier</w:t>
      </w:r>
      <w:r w:rsidR="004A4F8F" w:rsidRPr="00000849">
        <w:rPr>
          <w:rFonts w:asciiTheme="minorHAnsi" w:hAnsiTheme="minorHAnsi" w:cstheme="minorHAnsi"/>
          <w:color w:val="383838"/>
        </w:rPr>
        <w:t xml:space="preserve"> access to fast foods</w:t>
      </w:r>
      <w:r w:rsidR="005A1890" w:rsidRPr="00000849">
        <w:rPr>
          <w:rFonts w:asciiTheme="minorHAnsi" w:hAnsiTheme="minorHAnsi" w:cstheme="minorHAnsi"/>
          <w:color w:val="383838"/>
        </w:rPr>
        <w:t>,</w:t>
      </w:r>
      <w:r w:rsidR="00DE1E1E" w:rsidRPr="00000849">
        <w:rPr>
          <w:rFonts w:asciiTheme="minorHAnsi" w:hAnsiTheme="minorHAnsi" w:cstheme="minorHAnsi"/>
          <w:color w:val="383838"/>
        </w:rPr>
        <w:t xml:space="preserve"> </w:t>
      </w:r>
      <w:r w:rsidR="00462C2C" w:rsidRPr="00000849">
        <w:rPr>
          <w:rFonts w:asciiTheme="minorHAnsi" w:hAnsiTheme="minorHAnsi" w:cstheme="minorHAnsi"/>
          <w:color w:val="383838"/>
        </w:rPr>
        <w:t xml:space="preserve">and </w:t>
      </w:r>
      <w:r w:rsidR="00DE1E1E" w:rsidRPr="00000849">
        <w:rPr>
          <w:rFonts w:asciiTheme="minorHAnsi" w:hAnsiTheme="minorHAnsi" w:cstheme="minorHAnsi"/>
          <w:color w:val="383838"/>
        </w:rPr>
        <w:t xml:space="preserve">more sedentary activities </w:t>
      </w:r>
      <w:r w:rsidR="00DE1E1E" w:rsidRPr="00000849">
        <w:rPr>
          <w:rFonts w:asciiTheme="minorHAnsi" w:hAnsiTheme="minorHAnsi" w:cstheme="minorHAnsi"/>
          <w:color w:val="383838"/>
        </w:rPr>
        <w:fldChar w:fldCharType="begin"/>
      </w:r>
      <w:r w:rsidR="00000849" w:rsidRPr="00000849">
        <w:rPr>
          <w:rFonts w:asciiTheme="minorHAnsi" w:hAnsiTheme="minorHAnsi" w:cstheme="minorHAnsi"/>
          <w:color w:val="383838"/>
        </w:rPr>
        <w:instrText xml:space="preserve"> ADDIN EN.CITE &lt;EndNote&gt;&lt;Cite&gt;&lt;Author&gt;Bosu&lt;/Author&gt;&lt;Year&gt;2015&lt;/Year&gt;&lt;RecNum&gt;129&lt;/RecNum&gt;&lt;DisplayText&gt;(Bosu, 2015; Onyango &amp;amp; Onyango, 2018)&lt;/DisplayText&gt;&lt;record&gt;&lt;rec-number&gt;129&lt;/rec-number&gt;&lt;foreign-keys&gt;&lt;key app="EN" db-id="9tzf2rda8re2a9es5tuxart3swzx2zws2s02" timestamp="1477357628"&gt;129&lt;/key&gt;&lt;/foreign-keys&gt;&lt;ref-type name="Journal Article"&gt;17&lt;/ref-type&gt;&lt;contributors&gt;&lt;authors&gt;&lt;author&gt;Bosu, William K&lt;/author&gt;&lt;/authors&gt;&lt;/contributors&gt;&lt;titles&gt;&lt;title&gt;An overview of the nutrition transition in West Africa: implications for non-communicable diseases&lt;/title&gt;&lt;secondary-title&gt;Proceedings of the Nutrition Society&lt;/secondary-title&gt;&lt;/titles&gt;&lt;periodical&gt;&lt;full-title&gt;Proceedings of the Nutrition Society&lt;/full-title&gt;&lt;/periodical&gt;&lt;pages&gt;466-477&lt;/pages&gt;&lt;volume&gt;74&lt;/volume&gt;&lt;number&gt;04&lt;/number&gt;&lt;dates&gt;&lt;year&gt;2015&lt;/year&gt;&lt;/dates&gt;&lt;isbn&gt;1475-2719&lt;/isbn&gt;&lt;urls&gt;&lt;/urls&gt;&lt;/record&gt;&lt;/Cite&gt;&lt;Cite&gt;&lt;Author&gt;Onyango&lt;/Author&gt;&lt;Year&gt;2018&lt;/Year&gt;&lt;RecNum&gt;990&lt;/RecNum&gt;&lt;record&gt;&lt;rec-number&gt;990&lt;/rec-number&gt;&lt;foreign-keys&gt;&lt;key app="EN" db-id="9tzf2rda8re2a9es5tuxart3swzx2zws2s02" timestamp="1575804849"&gt;990&lt;/key&gt;&lt;/foreign-keys&gt;&lt;ref-type name="Journal Article"&gt;17&lt;/ref-type&gt;&lt;contributors&gt;&lt;authors&gt;&lt;author&gt;Edward Michieka Onyango&lt;/author&gt;&lt;author&gt;Benjamin Moranga Onyango&lt;/author&gt;&lt;/authors&gt;&lt;/contributors&gt;&lt;titles&gt;&lt;title&gt;The Rise of Noncommunicable Diseases in Kenya: An Examination of the Time Trends and Contribution of the Changes in Diet and Physical Inactivity&lt;/title&gt;&lt;secondary-title&gt;Journal of Epidemiology and Global Health&lt;/secondary-title&gt;&lt;/titles&gt;&lt;periodical&gt;&lt;full-title&gt;Journal of Epidemiology and Global Health&lt;/full-title&gt;&lt;/periodical&gt;&lt;pages&gt;1-7&lt;/pages&gt;&lt;volume&gt;8&lt;/volume&gt;&lt;number&gt;1-2&lt;/number&gt;&lt;dates&gt;&lt;year&gt;2018&lt;/year&gt;&lt;pub-dates&gt;&lt;date&gt;2018-12-31T00:00:00.000Z&lt;/date&gt;&lt;/pub-dates&gt;&lt;/dates&gt;&lt;isbn&gt;2210-6014&lt;/isbn&gt;&lt;label&gt;Onyango2018&lt;/label&gt;&lt;urls&gt;&lt;related-urls&gt;&lt;url&gt;https://doi.org/10.2991/j.jegh.2017.11.004&lt;/url&gt;&lt;/related-urls&gt;&lt;/urls&gt;&lt;electronic-resource-num&gt;https://doi.org/10.2991/j.jegh.2017.11.004&lt;/electronic-resource-num&gt;&lt;/record&gt;&lt;/Cite&gt;&lt;/EndNote&gt;</w:instrText>
      </w:r>
      <w:r w:rsidR="00DE1E1E" w:rsidRPr="00000849">
        <w:rPr>
          <w:rFonts w:asciiTheme="minorHAnsi" w:hAnsiTheme="minorHAnsi" w:cstheme="minorHAnsi"/>
          <w:color w:val="383838"/>
        </w:rPr>
        <w:fldChar w:fldCharType="separate"/>
      </w:r>
      <w:r w:rsidR="00000849" w:rsidRPr="00000849">
        <w:rPr>
          <w:rFonts w:asciiTheme="minorHAnsi" w:hAnsiTheme="minorHAnsi" w:cstheme="minorHAnsi"/>
          <w:noProof/>
          <w:color w:val="383838"/>
        </w:rPr>
        <w:t>(Bosu, 2015; Onyango &amp; Onyango, 2018)</w:t>
      </w:r>
      <w:r w:rsidR="00DE1E1E" w:rsidRPr="00000849">
        <w:rPr>
          <w:rFonts w:asciiTheme="minorHAnsi" w:hAnsiTheme="minorHAnsi" w:cstheme="minorHAnsi"/>
          <w:color w:val="383838"/>
        </w:rPr>
        <w:fldChar w:fldCharType="end"/>
      </w:r>
      <w:r w:rsidR="00DE1E1E" w:rsidRPr="00000849">
        <w:rPr>
          <w:rFonts w:asciiTheme="minorHAnsi" w:hAnsiTheme="minorHAnsi" w:cstheme="minorHAnsi"/>
          <w:color w:val="383838"/>
        </w:rPr>
        <w:t xml:space="preserve">. </w:t>
      </w:r>
      <w:r w:rsidR="00FE056C" w:rsidRPr="00000849">
        <w:rPr>
          <w:rFonts w:asciiTheme="minorHAnsi" w:hAnsiTheme="minorHAnsi" w:cstheme="minorHAnsi"/>
          <w:color w:val="383838"/>
        </w:rPr>
        <w:t xml:space="preserve"> </w:t>
      </w:r>
      <w:r w:rsidR="00CD583E" w:rsidRPr="00000849">
        <w:rPr>
          <w:rFonts w:asciiTheme="minorHAnsi" w:hAnsiTheme="minorHAnsi" w:cstheme="minorHAnsi"/>
          <w:color w:val="383838"/>
        </w:rPr>
        <w:t xml:space="preserve">It </w:t>
      </w:r>
      <w:r w:rsidR="00FE056C" w:rsidRPr="00000849">
        <w:rPr>
          <w:rFonts w:asciiTheme="minorHAnsi" w:hAnsiTheme="minorHAnsi" w:cstheme="minorHAnsi"/>
          <w:color w:val="383838"/>
        </w:rPr>
        <w:t>has been found to be a consistent driver of BMI and total cholesterol</w:t>
      </w:r>
      <w:r w:rsidR="008A3FC1" w:rsidRPr="00000849">
        <w:rPr>
          <w:rFonts w:asciiTheme="minorHAnsi" w:hAnsiTheme="minorHAnsi" w:cstheme="minorHAnsi"/>
          <w:color w:val="383838"/>
        </w:rPr>
        <w:t xml:space="preserve">. </w:t>
      </w:r>
      <w:r w:rsidR="00FE056C" w:rsidRPr="00000849">
        <w:rPr>
          <w:rFonts w:asciiTheme="minorHAnsi" w:hAnsiTheme="minorHAnsi" w:cstheme="minorHAnsi"/>
          <w:color w:val="383838"/>
        </w:rPr>
        <w:t xml:space="preserve"> </w:t>
      </w:r>
      <w:r w:rsidR="008A3FC1" w:rsidRPr="00000849">
        <w:rPr>
          <w:rFonts w:asciiTheme="minorHAnsi" w:hAnsiTheme="minorHAnsi" w:cstheme="minorHAnsi"/>
          <w:color w:val="383838"/>
        </w:rPr>
        <w:t xml:space="preserve">In </w:t>
      </w:r>
      <w:r w:rsidR="00C705BD" w:rsidRPr="00000849">
        <w:rPr>
          <w:rFonts w:asciiTheme="minorHAnsi" w:hAnsiTheme="minorHAnsi" w:cstheme="minorHAnsi"/>
          <w:color w:val="383838"/>
        </w:rPr>
        <w:t xml:space="preserve">the </w:t>
      </w:r>
      <w:r w:rsidR="008A3FC1" w:rsidRPr="00000849">
        <w:rPr>
          <w:rFonts w:asciiTheme="minorHAnsi" w:hAnsiTheme="minorHAnsi" w:cstheme="minorHAnsi"/>
          <w:color w:val="383838"/>
        </w:rPr>
        <w:t xml:space="preserve">SSA region, the urban population increased by about 8.4 percentage points between 1985 and 2005.  If the urbanization were to </w:t>
      </w:r>
      <w:r w:rsidR="00C705BD" w:rsidRPr="00000849">
        <w:rPr>
          <w:rFonts w:asciiTheme="minorHAnsi" w:hAnsiTheme="minorHAnsi" w:cstheme="minorHAnsi"/>
          <w:color w:val="383838"/>
        </w:rPr>
        <w:t xml:space="preserve">have </w:t>
      </w:r>
      <w:r w:rsidR="008A3FC1" w:rsidRPr="00000849">
        <w:rPr>
          <w:rFonts w:asciiTheme="minorHAnsi" w:hAnsiTheme="minorHAnsi" w:cstheme="minorHAnsi"/>
          <w:color w:val="383838"/>
        </w:rPr>
        <w:t>increase</w:t>
      </w:r>
      <w:r w:rsidR="00C705BD" w:rsidRPr="00000849">
        <w:rPr>
          <w:rFonts w:asciiTheme="minorHAnsi" w:hAnsiTheme="minorHAnsi" w:cstheme="minorHAnsi"/>
          <w:color w:val="383838"/>
        </w:rPr>
        <w:t>d</w:t>
      </w:r>
      <w:r w:rsidR="008A3FC1" w:rsidRPr="00000849">
        <w:rPr>
          <w:rFonts w:asciiTheme="minorHAnsi" w:hAnsiTheme="minorHAnsi" w:cstheme="minorHAnsi"/>
          <w:color w:val="383838"/>
        </w:rPr>
        <w:t xml:space="preserve"> by the same magnitude, it is estimated that average BMI </w:t>
      </w:r>
      <w:r w:rsidR="00C705BD" w:rsidRPr="00000849">
        <w:rPr>
          <w:rFonts w:asciiTheme="minorHAnsi" w:hAnsiTheme="minorHAnsi" w:cstheme="minorHAnsi"/>
          <w:color w:val="383838"/>
        </w:rPr>
        <w:t xml:space="preserve">would have </w:t>
      </w:r>
      <w:r w:rsidR="008A3FC1" w:rsidRPr="00000849">
        <w:rPr>
          <w:rFonts w:asciiTheme="minorHAnsi" w:hAnsiTheme="minorHAnsi" w:cstheme="minorHAnsi"/>
          <w:color w:val="383838"/>
        </w:rPr>
        <w:t>increase</w:t>
      </w:r>
      <w:r w:rsidR="00C705BD" w:rsidRPr="00000849">
        <w:rPr>
          <w:rFonts w:asciiTheme="minorHAnsi" w:hAnsiTheme="minorHAnsi" w:cstheme="minorHAnsi"/>
          <w:color w:val="383838"/>
        </w:rPr>
        <w:t>d</w:t>
      </w:r>
      <w:r w:rsidR="008A3FC1" w:rsidRPr="00000849">
        <w:rPr>
          <w:rFonts w:asciiTheme="minorHAnsi" w:hAnsiTheme="minorHAnsi" w:cstheme="minorHAnsi"/>
          <w:color w:val="383838"/>
        </w:rPr>
        <w:t xml:space="preserve"> by about 0.17 kg/m</w:t>
      </w:r>
      <w:r w:rsidR="008A3FC1" w:rsidRPr="00000849">
        <w:rPr>
          <w:rFonts w:asciiTheme="minorHAnsi" w:hAnsiTheme="minorHAnsi" w:cstheme="minorHAnsi"/>
          <w:color w:val="383838"/>
          <w:vertAlign w:val="superscript"/>
        </w:rPr>
        <w:t>2</w:t>
      </w:r>
      <w:r w:rsidR="008A3FC1" w:rsidRPr="00000849">
        <w:rPr>
          <w:rFonts w:asciiTheme="minorHAnsi" w:hAnsiTheme="minorHAnsi" w:cstheme="minorHAnsi"/>
          <w:color w:val="383838"/>
        </w:rPr>
        <w:t xml:space="preserve">, total cholesterol by about 0.03 mmol/l; and diabetes by about 0.25 percentage points, if all other factors </w:t>
      </w:r>
      <w:r w:rsidR="00C705BD" w:rsidRPr="00000849">
        <w:rPr>
          <w:rFonts w:asciiTheme="minorHAnsi" w:hAnsiTheme="minorHAnsi" w:cstheme="minorHAnsi"/>
          <w:color w:val="383838"/>
        </w:rPr>
        <w:t xml:space="preserve">had </w:t>
      </w:r>
      <w:r w:rsidR="008A3FC1" w:rsidRPr="00000849">
        <w:rPr>
          <w:rFonts w:asciiTheme="minorHAnsi" w:hAnsiTheme="minorHAnsi" w:cstheme="minorHAnsi"/>
          <w:color w:val="383838"/>
        </w:rPr>
        <w:t xml:space="preserve">remained the same </w:t>
      </w:r>
      <w:r w:rsidR="00FE056C" w:rsidRPr="00000849">
        <w:rPr>
          <w:rFonts w:asciiTheme="minorHAnsi" w:hAnsiTheme="minorHAnsi" w:cstheme="minorHAnsi"/>
          <w:color w:val="383838"/>
        </w:rPr>
        <w:fldChar w:fldCharType="begin">
          <w:fldData xml:space="preserve">PEVuZE5vdGU+PENpdGU+PEF1dGhvcj5Hb3J5YWtpbjwvQXV0aG9yPjxZZWFyPjIwMTc8L1llYXI+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</w:fldData>
        </w:fldChar>
      </w:r>
      <w:r w:rsidR="00431DA0" w:rsidRPr="00000849">
        <w:rPr>
          <w:rFonts w:asciiTheme="minorHAnsi" w:hAnsiTheme="minorHAnsi" w:cstheme="minorHAnsi"/>
          <w:color w:val="383838"/>
        </w:rPr>
        <w:instrText xml:space="preserve"> ADDIN EN.CITE </w:instrText>
      </w:r>
      <w:r w:rsidR="00431DA0" w:rsidRPr="00000849">
        <w:rPr>
          <w:rFonts w:asciiTheme="minorHAnsi" w:hAnsiTheme="minorHAnsi" w:cstheme="minorHAnsi"/>
          <w:color w:val="383838"/>
        </w:rPr>
        <w:fldChar w:fldCharType="begin">
          <w:fldData xml:space="preserve">PEVuZE5vdGU+PENpdGU+PEF1dGhvcj5Hb3J5YWtpbjwvQXV0aG9yPjxZZWFyPjIwMTc8L1llYXI+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FE056C" w:rsidRPr="00000849">
        <w:rPr>
          <w:rFonts w:asciiTheme="minorHAnsi" w:hAnsiTheme="minorHAnsi" w:cstheme="minorHAnsi"/>
          <w:color w:val="383838"/>
        </w:rPr>
      </w:r>
      <w:r w:rsidR="00FE056C"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(Goryakin et al., 2017)</w:t>
      </w:r>
      <w:r w:rsidR="00FE056C" w:rsidRPr="00000849">
        <w:rPr>
          <w:rFonts w:asciiTheme="minorHAnsi" w:hAnsiTheme="minorHAnsi" w:cstheme="minorHAnsi"/>
          <w:color w:val="383838"/>
        </w:rPr>
        <w:fldChar w:fldCharType="end"/>
      </w:r>
      <w:r w:rsidR="00FE056C" w:rsidRPr="00000849">
        <w:rPr>
          <w:rFonts w:asciiTheme="minorHAnsi" w:hAnsiTheme="minorHAnsi" w:cstheme="minorHAnsi"/>
          <w:color w:val="383838"/>
        </w:rPr>
        <w:t>.</w:t>
      </w:r>
      <w:r w:rsidR="004E02D5" w:rsidRPr="00000849">
        <w:rPr>
          <w:rFonts w:asciiTheme="minorHAnsi" w:hAnsiTheme="minorHAnsi" w:cstheme="minorHAnsi"/>
          <w:color w:val="383838"/>
        </w:rPr>
        <w:t xml:space="preserve">  </w:t>
      </w:r>
    </w:p>
    <w:p w14:paraId="1C04BB65" w14:textId="1E3A6600" w:rsidR="00FE583F" w:rsidRPr="00000849" w:rsidRDefault="003D02A2" w:rsidP="0063152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An</w:t>
      </w:r>
      <w:r w:rsidR="00A21412" w:rsidRPr="00000849">
        <w:rPr>
          <w:rFonts w:asciiTheme="minorHAnsi" w:hAnsiTheme="minorHAnsi" w:cstheme="minorHAnsi"/>
          <w:color w:val="383838"/>
        </w:rPr>
        <w:t xml:space="preserve">other consistent </w:t>
      </w:r>
      <w:r w:rsidRPr="00000849">
        <w:rPr>
          <w:rFonts w:asciiTheme="minorHAnsi" w:hAnsiTheme="minorHAnsi" w:cstheme="minorHAnsi"/>
          <w:color w:val="383838"/>
        </w:rPr>
        <w:t xml:space="preserve">positive </w:t>
      </w:r>
      <w:r w:rsidR="00A21412" w:rsidRPr="00000849">
        <w:rPr>
          <w:rFonts w:asciiTheme="minorHAnsi" w:hAnsiTheme="minorHAnsi" w:cstheme="minorHAnsi"/>
          <w:color w:val="383838"/>
        </w:rPr>
        <w:t xml:space="preserve">predictor of hypertension </w:t>
      </w:r>
      <w:r w:rsidR="00C705BD" w:rsidRPr="00000849">
        <w:rPr>
          <w:rFonts w:asciiTheme="minorHAnsi" w:hAnsiTheme="minorHAnsi" w:cstheme="minorHAnsi"/>
          <w:color w:val="383838"/>
        </w:rPr>
        <w:t xml:space="preserve">among </w:t>
      </w:r>
      <w:r w:rsidR="00A21412" w:rsidRPr="00000849">
        <w:rPr>
          <w:rFonts w:asciiTheme="minorHAnsi" w:hAnsiTheme="minorHAnsi" w:cstheme="minorHAnsi"/>
          <w:color w:val="383838"/>
        </w:rPr>
        <w:t xml:space="preserve">older adults </w:t>
      </w:r>
      <w:r w:rsidR="00AE11D4" w:rsidRPr="00000849">
        <w:rPr>
          <w:rFonts w:asciiTheme="minorHAnsi" w:hAnsiTheme="minorHAnsi" w:cstheme="minorHAnsi"/>
          <w:color w:val="383838"/>
        </w:rPr>
        <w:t xml:space="preserve">in Ghana </w:t>
      </w:r>
      <w:r w:rsidR="00A21412" w:rsidRPr="00000849">
        <w:rPr>
          <w:rFonts w:asciiTheme="minorHAnsi" w:hAnsiTheme="minorHAnsi" w:cstheme="minorHAnsi"/>
          <w:color w:val="383838"/>
        </w:rPr>
        <w:t xml:space="preserve">in the </w:t>
      </w:r>
      <w:r w:rsidR="00C705BD" w:rsidRPr="00000849">
        <w:rPr>
          <w:rFonts w:asciiTheme="minorHAnsi" w:hAnsiTheme="minorHAnsi" w:cstheme="minorHAnsi"/>
          <w:color w:val="383838"/>
        </w:rPr>
        <w:t xml:space="preserve">multilevel separate </w:t>
      </w:r>
      <w:r w:rsidR="00A21412" w:rsidRPr="00000849">
        <w:rPr>
          <w:rFonts w:asciiTheme="minorHAnsi" w:hAnsiTheme="minorHAnsi" w:cstheme="minorHAnsi"/>
          <w:color w:val="383838"/>
        </w:rPr>
        <w:t xml:space="preserve">SAGE wave and </w:t>
      </w:r>
      <w:r w:rsidR="00BD6510" w:rsidRPr="00000849">
        <w:rPr>
          <w:rFonts w:asciiTheme="minorHAnsi" w:hAnsiTheme="minorHAnsi" w:cstheme="minorHAnsi"/>
          <w:color w:val="383838"/>
        </w:rPr>
        <w:t xml:space="preserve">in the </w:t>
      </w:r>
      <w:r w:rsidR="00C705BD" w:rsidRPr="00000849">
        <w:rPr>
          <w:rFonts w:asciiTheme="minorHAnsi" w:hAnsiTheme="minorHAnsi" w:cstheme="minorHAnsi"/>
          <w:color w:val="383838"/>
        </w:rPr>
        <w:t>longitudinal</w:t>
      </w:r>
      <w:r w:rsidR="00AE11D4" w:rsidRPr="00000849">
        <w:rPr>
          <w:rFonts w:asciiTheme="minorHAnsi" w:hAnsiTheme="minorHAnsi" w:cstheme="minorHAnsi"/>
          <w:color w:val="383838"/>
        </w:rPr>
        <w:t xml:space="preserve"> data</w:t>
      </w:r>
      <w:r w:rsidR="00C705BD" w:rsidRPr="00000849">
        <w:rPr>
          <w:rFonts w:asciiTheme="minorHAnsi" w:hAnsiTheme="minorHAnsi" w:cstheme="minorHAnsi"/>
          <w:color w:val="383838"/>
        </w:rPr>
        <w:t xml:space="preserve"> </w:t>
      </w:r>
      <w:r w:rsidR="00BD6510" w:rsidRPr="00000849">
        <w:rPr>
          <w:rFonts w:asciiTheme="minorHAnsi" w:hAnsiTheme="minorHAnsi" w:cstheme="minorHAnsi"/>
          <w:color w:val="383838"/>
        </w:rPr>
        <w:t>analys</w:t>
      </w:r>
      <w:r w:rsidR="00AE11D4" w:rsidRPr="00000849">
        <w:rPr>
          <w:rFonts w:asciiTheme="minorHAnsi" w:hAnsiTheme="minorHAnsi" w:cstheme="minorHAnsi"/>
          <w:color w:val="383838"/>
        </w:rPr>
        <w:t>e</w:t>
      </w:r>
      <w:r w:rsidR="00BD6510" w:rsidRPr="00000849">
        <w:rPr>
          <w:rFonts w:asciiTheme="minorHAnsi" w:hAnsiTheme="minorHAnsi" w:cstheme="minorHAnsi"/>
          <w:color w:val="383838"/>
        </w:rPr>
        <w:t>s</w:t>
      </w:r>
      <w:r w:rsidR="00A21412" w:rsidRPr="00000849">
        <w:rPr>
          <w:rFonts w:asciiTheme="minorHAnsi" w:hAnsiTheme="minorHAnsi" w:cstheme="minorHAnsi"/>
          <w:color w:val="383838"/>
        </w:rPr>
        <w:t xml:space="preserve"> was </w:t>
      </w:r>
      <w:r w:rsidR="00F43820" w:rsidRPr="00000849">
        <w:rPr>
          <w:rFonts w:asciiTheme="minorHAnsi" w:hAnsiTheme="minorHAnsi" w:cstheme="minorHAnsi"/>
          <w:color w:val="383838"/>
        </w:rPr>
        <w:t>being previously married or never having married</w:t>
      </w:r>
      <w:r w:rsidR="00A21412" w:rsidRPr="00000849">
        <w:rPr>
          <w:rFonts w:asciiTheme="minorHAnsi" w:hAnsiTheme="minorHAnsi" w:cstheme="minorHAnsi"/>
          <w:color w:val="383838"/>
        </w:rPr>
        <w:t xml:space="preserve">.  </w:t>
      </w:r>
      <w:r w:rsidR="008A7874" w:rsidRPr="00000849">
        <w:rPr>
          <w:rFonts w:asciiTheme="minorHAnsi" w:hAnsiTheme="minorHAnsi" w:cstheme="minorHAnsi"/>
          <w:color w:val="383838"/>
        </w:rPr>
        <w:t xml:space="preserve">This finding is </w:t>
      </w:r>
      <w:r w:rsidR="00AE02B6" w:rsidRPr="00000849">
        <w:rPr>
          <w:rFonts w:asciiTheme="minorHAnsi" w:hAnsiTheme="minorHAnsi" w:cstheme="minorHAnsi"/>
          <w:color w:val="383838"/>
        </w:rPr>
        <w:t>at variance</w:t>
      </w:r>
      <w:r w:rsidR="008A7874" w:rsidRPr="00000849">
        <w:rPr>
          <w:rFonts w:asciiTheme="minorHAnsi" w:hAnsiTheme="minorHAnsi" w:cstheme="minorHAnsi"/>
          <w:color w:val="383838"/>
        </w:rPr>
        <w:t xml:space="preserve"> with that of the Ibadan Study of Ageing</w:t>
      </w:r>
      <w:r w:rsidR="00AE11D4" w:rsidRPr="00000849">
        <w:rPr>
          <w:rFonts w:asciiTheme="minorHAnsi" w:hAnsiTheme="minorHAnsi" w:cstheme="minorHAnsi"/>
          <w:color w:val="383838"/>
        </w:rPr>
        <w:t>, which</w:t>
      </w:r>
      <w:r w:rsidR="008A7874" w:rsidRPr="00000849">
        <w:rPr>
          <w:rFonts w:asciiTheme="minorHAnsi" w:hAnsiTheme="minorHAnsi" w:cstheme="minorHAnsi"/>
          <w:color w:val="383838"/>
        </w:rPr>
        <w:t xml:space="preserve"> found that older adults aged ≥65 years who were currently </w:t>
      </w:r>
      <w:r w:rsidR="00091841" w:rsidRPr="00000849">
        <w:rPr>
          <w:rFonts w:asciiTheme="minorHAnsi" w:hAnsiTheme="minorHAnsi" w:cstheme="minorHAnsi"/>
          <w:color w:val="383838"/>
        </w:rPr>
        <w:t>un</w:t>
      </w:r>
      <w:r w:rsidR="008A7874" w:rsidRPr="00000849">
        <w:rPr>
          <w:rFonts w:asciiTheme="minorHAnsi" w:hAnsiTheme="minorHAnsi" w:cstheme="minorHAnsi"/>
          <w:color w:val="383838"/>
        </w:rPr>
        <w:t xml:space="preserve">married had </w:t>
      </w:r>
      <w:r w:rsidR="00091841" w:rsidRPr="00000849">
        <w:rPr>
          <w:rFonts w:asciiTheme="minorHAnsi" w:hAnsiTheme="minorHAnsi" w:cstheme="minorHAnsi"/>
          <w:color w:val="383838"/>
        </w:rPr>
        <w:t>29.0</w:t>
      </w:r>
      <w:r w:rsidR="008A7874" w:rsidRPr="00000849">
        <w:rPr>
          <w:rFonts w:asciiTheme="minorHAnsi" w:hAnsiTheme="minorHAnsi" w:cstheme="minorHAnsi"/>
          <w:color w:val="383838"/>
        </w:rPr>
        <w:t xml:space="preserve">% </w:t>
      </w:r>
      <w:r w:rsidR="00091841" w:rsidRPr="00000849">
        <w:rPr>
          <w:rFonts w:asciiTheme="minorHAnsi" w:hAnsiTheme="minorHAnsi" w:cstheme="minorHAnsi"/>
          <w:color w:val="383838"/>
        </w:rPr>
        <w:t>lower</w:t>
      </w:r>
      <w:r w:rsidR="008A7874" w:rsidRPr="00000849">
        <w:rPr>
          <w:rFonts w:asciiTheme="minorHAnsi" w:hAnsiTheme="minorHAnsi" w:cstheme="minorHAnsi"/>
          <w:color w:val="383838"/>
        </w:rPr>
        <w:t xml:space="preserve"> </w:t>
      </w:r>
      <w:r w:rsidR="00BD6510" w:rsidRPr="00000849">
        <w:rPr>
          <w:rFonts w:asciiTheme="minorHAnsi" w:hAnsiTheme="minorHAnsi" w:cstheme="minorHAnsi"/>
          <w:color w:val="383838"/>
        </w:rPr>
        <w:t xml:space="preserve">adjusted </w:t>
      </w:r>
      <w:r w:rsidR="008A7874" w:rsidRPr="00000849">
        <w:rPr>
          <w:rFonts w:asciiTheme="minorHAnsi" w:hAnsiTheme="minorHAnsi" w:cstheme="minorHAnsi"/>
          <w:color w:val="383838"/>
        </w:rPr>
        <w:t>odds of having hypertension</w:t>
      </w:r>
      <w:r w:rsidR="00091841" w:rsidRPr="00000849">
        <w:rPr>
          <w:rFonts w:asciiTheme="minorHAnsi" w:hAnsiTheme="minorHAnsi" w:cstheme="minorHAnsi"/>
          <w:color w:val="383838"/>
        </w:rPr>
        <w:t xml:space="preserve"> </w:t>
      </w:r>
      <w:r w:rsidR="00091841" w:rsidRPr="00000849">
        <w:rPr>
          <w:rFonts w:asciiTheme="minorHAnsi" w:hAnsiTheme="minorHAnsi" w:cstheme="minorHAnsi"/>
          <w:color w:val="383838"/>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091841" w:rsidRPr="00000849">
        <w:rPr>
          <w:rFonts w:asciiTheme="minorHAnsi" w:hAnsiTheme="minorHAnsi" w:cstheme="minorHAnsi"/>
          <w:color w:val="383838"/>
        </w:rPr>
      </w:r>
      <w:r w:rsidR="00091841" w:rsidRPr="00000849">
        <w:rPr>
          <w:rFonts w:asciiTheme="minorHAnsi" w:hAnsiTheme="minorHAnsi" w:cstheme="minorHAnsi"/>
          <w:color w:val="383838"/>
        </w:rPr>
        <w:fldChar w:fldCharType="separate"/>
      </w:r>
      <w:r w:rsidR="00091841" w:rsidRPr="00000849">
        <w:rPr>
          <w:rFonts w:asciiTheme="minorHAnsi" w:hAnsiTheme="minorHAnsi" w:cstheme="minorHAnsi"/>
          <w:noProof/>
          <w:color w:val="383838"/>
        </w:rPr>
        <w:t>(Raji et al., 2017)</w:t>
      </w:r>
      <w:r w:rsidR="00091841" w:rsidRPr="00000849">
        <w:rPr>
          <w:rFonts w:asciiTheme="minorHAnsi" w:hAnsiTheme="minorHAnsi" w:cstheme="minorHAnsi"/>
          <w:color w:val="383838"/>
        </w:rPr>
        <w:fldChar w:fldCharType="end"/>
      </w:r>
      <w:r w:rsidR="008A7874" w:rsidRPr="00000849">
        <w:rPr>
          <w:rFonts w:asciiTheme="minorHAnsi" w:hAnsiTheme="minorHAnsi" w:cstheme="minorHAnsi"/>
          <w:color w:val="383838"/>
        </w:rPr>
        <w:t xml:space="preserve">.  </w:t>
      </w:r>
      <w:r w:rsidR="00A21412" w:rsidRPr="00000849">
        <w:rPr>
          <w:rFonts w:asciiTheme="minorHAnsi" w:hAnsiTheme="minorHAnsi" w:cstheme="minorHAnsi"/>
          <w:color w:val="383838"/>
        </w:rPr>
        <w:t xml:space="preserve">In most studies in older adults in Africa, </w:t>
      </w:r>
      <w:r w:rsidR="008A7874" w:rsidRPr="00000849">
        <w:rPr>
          <w:rFonts w:asciiTheme="minorHAnsi" w:hAnsiTheme="minorHAnsi" w:cstheme="minorHAnsi"/>
          <w:color w:val="383838"/>
        </w:rPr>
        <w:t xml:space="preserve">however, </w:t>
      </w:r>
      <w:r w:rsidR="00A21412" w:rsidRPr="00000849">
        <w:rPr>
          <w:rFonts w:asciiTheme="minorHAnsi" w:hAnsiTheme="minorHAnsi" w:cstheme="minorHAnsi"/>
          <w:color w:val="383838"/>
        </w:rPr>
        <w:t>th</w:t>
      </w:r>
      <w:r w:rsidR="008A7874" w:rsidRPr="00000849">
        <w:rPr>
          <w:rFonts w:asciiTheme="minorHAnsi" w:hAnsiTheme="minorHAnsi" w:cstheme="minorHAnsi"/>
          <w:color w:val="383838"/>
        </w:rPr>
        <w:t>e</w:t>
      </w:r>
      <w:r w:rsidR="00A21412" w:rsidRPr="00000849">
        <w:rPr>
          <w:rFonts w:asciiTheme="minorHAnsi" w:hAnsiTheme="minorHAnsi" w:cstheme="minorHAnsi"/>
          <w:color w:val="383838"/>
        </w:rPr>
        <w:t xml:space="preserve"> relationship</w:t>
      </w:r>
      <w:r w:rsidR="008A7874" w:rsidRPr="00000849">
        <w:rPr>
          <w:rFonts w:asciiTheme="minorHAnsi" w:hAnsiTheme="minorHAnsi" w:cstheme="minorHAnsi"/>
          <w:color w:val="383838"/>
        </w:rPr>
        <w:t xml:space="preserve"> between marital status and hypertension in older adults</w:t>
      </w:r>
      <w:r w:rsidR="00A21412" w:rsidRPr="00000849">
        <w:rPr>
          <w:rFonts w:asciiTheme="minorHAnsi" w:hAnsiTheme="minorHAnsi" w:cstheme="minorHAnsi"/>
          <w:color w:val="383838"/>
        </w:rPr>
        <w:t xml:space="preserve"> </w:t>
      </w:r>
      <w:r w:rsidR="001D55B2" w:rsidRPr="00000849">
        <w:rPr>
          <w:rFonts w:asciiTheme="minorHAnsi" w:hAnsiTheme="minorHAnsi" w:cstheme="minorHAnsi"/>
          <w:color w:val="383838"/>
        </w:rPr>
        <w:t xml:space="preserve">has not been </w:t>
      </w:r>
      <w:r w:rsidR="00A21412" w:rsidRPr="00000849">
        <w:rPr>
          <w:rFonts w:asciiTheme="minorHAnsi" w:hAnsiTheme="minorHAnsi" w:cstheme="minorHAnsi"/>
          <w:color w:val="383838"/>
        </w:rPr>
        <w:t>statistically significant</w:t>
      </w:r>
      <w:r w:rsidR="00E93D4C" w:rsidRPr="00000849">
        <w:rPr>
          <w:rFonts w:asciiTheme="minorHAnsi" w:hAnsiTheme="minorHAnsi" w:cstheme="minorHAnsi"/>
          <w:color w:val="383838"/>
        </w:rPr>
        <w:t xml:space="preserve"> </w:t>
      </w:r>
      <w:r w:rsidR="00E93D4C" w:rsidRPr="00000849">
        <w:rPr>
          <w:rFonts w:asciiTheme="minorHAnsi" w:hAnsiTheme="minorHAnsi" w:cstheme="minorHAnsi"/>
          <w:color w:val="383838"/>
        </w:rPr>
        <w:lastRenderedPageBreak/>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E93D4C" w:rsidRPr="00000849">
        <w:rPr>
          <w:rFonts w:asciiTheme="minorHAnsi" w:hAnsiTheme="minorHAnsi" w:cstheme="minorHAnsi"/>
          <w:color w:val="383838"/>
        </w:rPr>
        <w:instrText xml:space="preserve"> ADDIN EN.CITE </w:instrText>
      </w:r>
      <w:r w:rsidR="00E93D4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E93D4C" w:rsidRPr="00000849">
        <w:rPr>
          <w:rFonts w:asciiTheme="minorHAnsi" w:hAnsiTheme="minorHAnsi" w:cstheme="minorHAnsi"/>
          <w:color w:val="383838"/>
        </w:rPr>
        <w:instrText xml:space="preserve"> ADDIN EN.CITE.DATA </w:instrText>
      </w:r>
      <w:r w:rsidR="00E93D4C" w:rsidRPr="00000849">
        <w:rPr>
          <w:rFonts w:asciiTheme="minorHAnsi" w:hAnsiTheme="minorHAnsi" w:cstheme="minorHAnsi"/>
          <w:color w:val="383838"/>
        </w:rPr>
      </w:r>
      <w:r w:rsidR="00E93D4C" w:rsidRPr="00000849">
        <w:rPr>
          <w:rFonts w:asciiTheme="minorHAnsi" w:hAnsiTheme="minorHAnsi" w:cstheme="minorHAnsi"/>
          <w:color w:val="383838"/>
        </w:rPr>
        <w:fldChar w:fldCharType="end"/>
      </w:r>
      <w:r w:rsidR="00E93D4C" w:rsidRPr="00000849">
        <w:rPr>
          <w:rFonts w:asciiTheme="minorHAnsi" w:hAnsiTheme="minorHAnsi" w:cstheme="minorHAnsi"/>
          <w:color w:val="383838"/>
        </w:rPr>
      </w:r>
      <w:r w:rsidR="00E93D4C" w:rsidRPr="00000849">
        <w:rPr>
          <w:rFonts w:asciiTheme="minorHAnsi" w:hAnsiTheme="minorHAnsi" w:cstheme="minorHAnsi"/>
          <w:color w:val="383838"/>
        </w:rPr>
        <w:fldChar w:fldCharType="separate"/>
      </w:r>
      <w:r w:rsidR="00E93D4C" w:rsidRPr="00000849">
        <w:rPr>
          <w:rFonts w:asciiTheme="minorHAnsi" w:hAnsiTheme="minorHAnsi" w:cstheme="minorHAnsi"/>
          <w:noProof/>
          <w:color w:val="383838"/>
        </w:rPr>
        <w:t>(Bosu et al., 2019a)</w:t>
      </w:r>
      <w:r w:rsidR="00E93D4C" w:rsidRPr="00000849">
        <w:rPr>
          <w:rFonts w:asciiTheme="minorHAnsi" w:hAnsiTheme="minorHAnsi" w:cstheme="minorHAnsi"/>
          <w:color w:val="383838"/>
        </w:rPr>
        <w:fldChar w:fldCharType="end"/>
      </w:r>
      <w:r w:rsidR="00A21412" w:rsidRPr="00000849">
        <w:rPr>
          <w:rFonts w:asciiTheme="minorHAnsi" w:hAnsiTheme="minorHAnsi" w:cstheme="minorHAnsi"/>
          <w:color w:val="383838"/>
        </w:rPr>
        <w:t>.</w:t>
      </w:r>
      <w:r w:rsidR="008A7874" w:rsidRPr="00000849">
        <w:rPr>
          <w:rFonts w:asciiTheme="minorHAnsi" w:hAnsiTheme="minorHAnsi" w:cstheme="minorHAnsi"/>
          <w:color w:val="383838"/>
        </w:rPr>
        <w:t xml:space="preserve">  </w:t>
      </w:r>
      <w:r w:rsidR="0075526A" w:rsidRPr="00000849">
        <w:rPr>
          <w:rFonts w:asciiTheme="minorHAnsi" w:hAnsiTheme="minorHAnsi" w:cstheme="minorHAnsi"/>
          <w:color w:val="383838"/>
        </w:rPr>
        <w:t xml:space="preserve">In </w:t>
      </w:r>
      <w:r w:rsidR="00AE02B6" w:rsidRPr="00000849">
        <w:rPr>
          <w:rFonts w:asciiTheme="minorHAnsi" w:hAnsiTheme="minorHAnsi" w:cstheme="minorHAnsi"/>
          <w:color w:val="383838"/>
        </w:rPr>
        <w:t>a</w:t>
      </w:r>
      <w:r w:rsidR="0075526A" w:rsidRPr="00000849">
        <w:rPr>
          <w:rFonts w:asciiTheme="minorHAnsi" w:hAnsiTheme="minorHAnsi" w:cstheme="minorHAnsi"/>
          <w:color w:val="383838"/>
        </w:rPr>
        <w:t xml:space="preserve"> </w:t>
      </w:r>
      <w:r w:rsidR="006A15CA" w:rsidRPr="00000849">
        <w:rPr>
          <w:rFonts w:asciiTheme="minorHAnsi" w:hAnsiTheme="minorHAnsi" w:cstheme="minorHAnsi"/>
          <w:color w:val="383838"/>
        </w:rPr>
        <w:t xml:space="preserve">SAGE W1 </w:t>
      </w:r>
      <w:r w:rsidR="00AE02B6" w:rsidRPr="00000849">
        <w:rPr>
          <w:rFonts w:asciiTheme="minorHAnsi" w:hAnsiTheme="minorHAnsi" w:cstheme="minorHAnsi"/>
          <w:color w:val="383838"/>
        </w:rPr>
        <w:t>study</w:t>
      </w:r>
      <w:r w:rsidR="006A15CA" w:rsidRPr="00000849">
        <w:rPr>
          <w:rFonts w:asciiTheme="minorHAnsi" w:hAnsiTheme="minorHAnsi" w:cstheme="minorHAnsi"/>
          <w:color w:val="383838"/>
        </w:rPr>
        <w:t xml:space="preserve"> </w:t>
      </w:r>
      <w:r w:rsidR="00AE02B6" w:rsidRPr="00000849">
        <w:rPr>
          <w:rFonts w:asciiTheme="minorHAnsi" w:hAnsiTheme="minorHAnsi" w:cstheme="minorHAnsi"/>
          <w:color w:val="383838"/>
        </w:rPr>
        <w:t>involving</w:t>
      </w:r>
      <w:r w:rsidR="006A15CA" w:rsidRPr="00000849">
        <w:rPr>
          <w:rFonts w:asciiTheme="minorHAnsi" w:hAnsiTheme="minorHAnsi" w:cstheme="minorHAnsi"/>
          <w:color w:val="383838"/>
        </w:rPr>
        <w:t xml:space="preserve"> adults</w:t>
      </w:r>
      <w:r w:rsidR="001D55B2" w:rsidRPr="00000849">
        <w:rPr>
          <w:rFonts w:asciiTheme="minorHAnsi" w:hAnsiTheme="minorHAnsi" w:cstheme="minorHAnsi"/>
          <w:color w:val="383838"/>
        </w:rPr>
        <w:t xml:space="preserve"> aged ≥18 years</w:t>
      </w:r>
      <w:r w:rsidR="006A15CA" w:rsidRPr="00000849">
        <w:rPr>
          <w:rFonts w:asciiTheme="minorHAnsi" w:hAnsiTheme="minorHAnsi" w:cstheme="minorHAnsi"/>
          <w:color w:val="383838"/>
        </w:rPr>
        <w:t xml:space="preserve">, marital status was not </w:t>
      </w:r>
      <w:r w:rsidR="00AE02B6" w:rsidRPr="00000849">
        <w:rPr>
          <w:rFonts w:asciiTheme="minorHAnsi" w:hAnsiTheme="minorHAnsi" w:cstheme="minorHAnsi"/>
          <w:color w:val="383838"/>
        </w:rPr>
        <w:t xml:space="preserve">significantly </w:t>
      </w:r>
      <w:r w:rsidR="006A15CA" w:rsidRPr="00000849">
        <w:rPr>
          <w:rFonts w:asciiTheme="minorHAnsi" w:hAnsiTheme="minorHAnsi" w:cstheme="minorHAnsi"/>
          <w:color w:val="383838"/>
        </w:rPr>
        <w:t xml:space="preserve">associated with hypertension in any of the six participating countries </w:t>
      </w:r>
      <w:r w:rsidR="006A15CA" w:rsidRPr="00000849">
        <w:rPr>
          <w:rFonts w:asciiTheme="minorHAnsi" w:hAnsiTheme="minorHAnsi" w:cstheme="minorHAnsi"/>
          <w:color w:val="383838"/>
        </w:rPr>
        <w:fldChar w:fldCharType="begin">
          <w:fldData xml:space="preserve">PEVuZE5vdGU+PENpdGU+PEF1dGhvcj5CYXN1PC9BdXRob3I+PFllYXI+MjAxMzwvWWVhcj48UmVj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PEVuZE5vdGU+PENpdGU+PEF1dGhvcj5CYXN1PC9BdXRob3I+PFllYXI+MjAxMzwvWWVhcj48UmVj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6A15CA" w:rsidRPr="00000849">
        <w:rPr>
          <w:rFonts w:asciiTheme="minorHAnsi" w:hAnsiTheme="minorHAnsi" w:cstheme="minorHAnsi"/>
          <w:color w:val="383838"/>
        </w:rPr>
      </w:r>
      <w:r w:rsidR="006A15CA" w:rsidRPr="00000849">
        <w:rPr>
          <w:rFonts w:asciiTheme="minorHAnsi" w:hAnsiTheme="minorHAnsi" w:cstheme="minorHAnsi"/>
          <w:color w:val="383838"/>
        </w:rPr>
        <w:fldChar w:fldCharType="separate"/>
      </w:r>
      <w:r w:rsidR="006A15CA" w:rsidRPr="00000849">
        <w:rPr>
          <w:rFonts w:asciiTheme="minorHAnsi" w:hAnsiTheme="minorHAnsi" w:cstheme="minorHAnsi"/>
          <w:noProof/>
          <w:color w:val="383838"/>
        </w:rPr>
        <w:t>(Basu &amp; Millett, 2013)</w:t>
      </w:r>
      <w:r w:rsidR="006A15CA" w:rsidRPr="00000849">
        <w:rPr>
          <w:rFonts w:asciiTheme="minorHAnsi" w:hAnsiTheme="minorHAnsi" w:cstheme="minorHAnsi"/>
          <w:color w:val="383838"/>
        </w:rPr>
        <w:fldChar w:fldCharType="end"/>
      </w:r>
      <w:r w:rsidR="006A15CA" w:rsidRPr="00000849">
        <w:rPr>
          <w:rFonts w:asciiTheme="minorHAnsi" w:hAnsiTheme="minorHAnsi" w:cstheme="minorHAnsi"/>
          <w:color w:val="383838"/>
        </w:rPr>
        <w:t>.</w:t>
      </w:r>
    </w:p>
    <w:p w14:paraId="7F4DF255" w14:textId="37C01D17" w:rsidR="00860969" w:rsidRPr="00000849" w:rsidRDefault="00502DF2" w:rsidP="00860969">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In a meta-analysis involving 128 studies and 72,674 participants mostly from developed countries, greater marital quality was general</w:t>
      </w:r>
      <w:r w:rsidR="005512B0" w:rsidRPr="00000849">
        <w:rPr>
          <w:rFonts w:asciiTheme="minorHAnsi" w:hAnsiTheme="minorHAnsi" w:cstheme="minorHAnsi"/>
          <w:color w:val="383838"/>
        </w:rPr>
        <w:t>ly</w:t>
      </w:r>
      <w:r w:rsidRPr="00000849">
        <w:rPr>
          <w:rFonts w:asciiTheme="minorHAnsi" w:hAnsiTheme="minorHAnsi" w:cstheme="minorHAnsi"/>
          <w:color w:val="383838"/>
        </w:rPr>
        <w:t xml:space="preserve"> associated with improved physical health including improved BP control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&lt;EndNote&gt;&lt;Cite&gt;&lt;Author&gt;Robles&lt;/Author&gt;&lt;Year&gt;2014&lt;/Year&gt;&lt;RecNum&gt;1003&lt;/RecNum&gt;&lt;DisplayText&gt;(Robles et al., 2014)&lt;/DisplayText&gt;&lt;record&gt;&lt;rec-number&gt;1003&lt;/rec-number&gt;&lt;foreign-keys&gt;&lt;key app="EN" db-id="9tzf2rda8re2a9es5tuxart3swzx2zws2s02" timestamp="1575829236"&gt;1003&lt;/key&gt;&lt;/foreign-keys&gt;&lt;ref-type name="Journal Article"&gt;17&lt;/ref-type&gt;&lt;contributors&gt;&lt;authors&gt;&lt;author&gt;Robles, Theodore F&lt;/author&gt;&lt;author&gt;Slatcher, Richard B&lt;/author&gt;&lt;author&gt;Trombello, Joseph M&lt;/author&gt;&lt;author&gt;McGinn, Meghan M&lt;/author&gt;&lt;/authors&gt;&lt;/contributors&gt;&lt;titles&gt;&lt;title&gt;Marital quality and health: A meta-analytic review&lt;/title&gt;&lt;secondary-title&gt;Psychological bulletin&lt;/secondary-title&gt;&lt;/titles&gt;&lt;periodical&gt;&lt;full-title&gt;Psychological Bulletin&lt;/full-title&gt;&lt;/periodical&gt;&lt;pages&gt;140-187&lt;/pages&gt;&lt;volume&gt;140&lt;/volume&gt;&lt;number&gt;1&lt;/number&gt;&lt;dates&gt;&lt;year&gt;2014&lt;/year&gt;&lt;/dates&gt;&lt;isbn&gt;1939-1455&lt;/isbn&gt;&lt;urls&gt;&lt;/urls&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(Robles et al., 2014)</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F53D9F" w:rsidRPr="00000849">
        <w:rPr>
          <w:rFonts w:asciiTheme="minorHAnsi" w:hAnsiTheme="minorHAnsi" w:cstheme="minorHAnsi"/>
          <w:color w:val="383838"/>
        </w:rPr>
        <w:t xml:space="preserve">In </w:t>
      </w:r>
      <w:r w:rsidR="00883C56" w:rsidRPr="00000849">
        <w:rPr>
          <w:rFonts w:asciiTheme="minorHAnsi" w:hAnsiTheme="minorHAnsi" w:cstheme="minorHAnsi"/>
          <w:color w:val="383838"/>
        </w:rPr>
        <w:t>2018, a</w:t>
      </w:r>
      <w:r w:rsidR="00013B7A" w:rsidRPr="00000849">
        <w:rPr>
          <w:rFonts w:asciiTheme="minorHAnsi" w:hAnsiTheme="minorHAnsi" w:cstheme="minorHAnsi"/>
          <w:color w:val="383838"/>
        </w:rPr>
        <w:t>nother</w:t>
      </w:r>
      <w:r w:rsidR="00883C56" w:rsidRPr="00000849">
        <w:rPr>
          <w:rFonts w:asciiTheme="minorHAnsi" w:hAnsiTheme="minorHAnsi" w:cstheme="minorHAnsi"/>
          <w:color w:val="383838"/>
        </w:rPr>
        <w:t xml:space="preserve"> meta-analysis of 34 studies involving more than two million subjects </w:t>
      </w:r>
      <w:r w:rsidR="00600680" w:rsidRPr="00000849">
        <w:rPr>
          <w:rFonts w:asciiTheme="minorHAnsi" w:hAnsiTheme="minorHAnsi" w:cstheme="minorHAnsi"/>
          <w:color w:val="383838"/>
        </w:rPr>
        <w:t>aged between 42 and 77 years from Europe, Scandinavia, North America, the Middle East, and Asia</w:t>
      </w:r>
      <w:r w:rsidR="00883C56" w:rsidRPr="00000849">
        <w:rPr>
          <w:rFonts w:asciiTheme="minorHAnsi" w:hAnsiTheme="minorHAnsi" w:cstheme="minorHAnsi"/>
          <w:color w:val="383838"/>
        </w:rPr>
        <w:t xml:space="preserve">, being unmarried (never married, divorced or widowed) was associated with 42% greater odds of developing a CVD event </w:t>
      </w:r>
      <w:r w:rsidR="00653508" w:rsidRPr="00000849">
        <w:rPr>
          <w:rFonts w:asciiTheme="minorHAnsi" w:hAnsiTheme="minorHAnsi" w:cstheme="minorHAnsi"/>
          <w:color w:val="383838"/>
        </w:rPr>
        <w:t>(heart attack, ischaemic heart disease, coronary heart disease, stroke)</w:t>
      </w:r>
      <w:r w:rsidR="00600680" w:rsidRPr="00000849">
        <w:rPr>
          <w:rFonts w:asciiTheme="minorHAnsi" w:hAnsiTheme="minorHAnsi" w:cstheme="minorHAnsi"/>
          <w:color w:val="383838"/>
        </w:rPr>
        <w:t xml:space="preserve"> </w:t>
      </w:r>
      <w:r w:rsidR="00653508" w:rsidRPr="00000849">
        <w:rPr>
          <w:rFonts w:asciiTheme="minorHAnsi" w:hAnsiTheme="minorHAnsi" w:cstheme="minorHAnsi"/>
          <w:color w:val="383838"/>
        </w:rPr>
        <w:fldChar w:fldCharType="begin">
          <w:fldData xml:space="preserve">PEVuZE5vdGU+PENpdGU+PEF1dGhvcj5Xb25nPC9BdXRob3I+PFllYXI+MjAxODwvWWVhcj48UmVj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</w:fldData>
        </w:fldChar>
      </w:r>
      <w:r w:rsidR="00653508" w:rsidRPr="00000849">
        <w:rPr>
          <w:rFonts w:asciiTheme="minorHAnsi" w:hAnsiTheme="minorHAnsi" w:cstheme="minorHAnsi"/>
          <w:color w:val="383838"/>
        </w:rPr>
        <w:instrText xml:space="preserve"> ADDIN EN.CITE </w:instrText>
      </w:r>
      <w:r w:rsidR="00653508" w:rsidRPr="00000849">
        <w:rPr>
          <w:rFonts w:asciiTheme="minorHAnsi" w:hAnsiTheme="minorHAnsi" w:cstheme="minorHAnsi"/>
          <w:color w:val="383838"/>
        </w:rPr>
        <w:fldChar w:fldCharType="begin">
          <w:fldData xml:space="preserve">PEVuZE5vdGU+PENpdGU+PEF1dGhvcj5Xb25nPC9BdXRob3I+PFllYXI+MjAxODwvWWVhcj48UmVj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</w:fldData>
        </w:fldChar>
      </w:r>
      <w:r w:rsidR="00653508" w:rsidRPr="00000849">
        <w:rPr>
          <w:rFonts w:asciiTheme="minorHAnsi" w:hAnsiTheme="minorHAnsi" w:cstheme="minorHAnsi"/>
          <w:color w:val="383838"/>
        </w:rPr>
        <w:instrText xml:space="preserve"> ADDIN EN.CITE.DATA </w:instrText>
      </w:r>
      <w:r w:rsidR="00653508" w:rsidRPr="00000849">
        <w:rPr>
          <w:rFonts w:asciiTheme="minorHAnsi" w:hAnsiTheme="minorHAnsi" w:cstheme="minorHAnsi"/>
          <w:color w:val="383838"/>
        </w:rPr>
      </w:r>
      <w:r w:rsidR="00653508" w:rsidRPr="00000849">
        <w:rPr>
          <w:rFonts w:asciiTheme="minorHAnsi" w:hAnsiTheme="minorHAnsi" w:cstheme="minorHAnsi"/>
          <w:color w:val="383838"/>
        </w:rPr>
        <w:fldChar w:fldCharType="end"/>
      </w:r>
      <w:r w:rsidR="00653508" w:rsidRPr="00000849">
        <w:rPr>
          <w:rFonts w:asciiTheme="minorHAnsi" w:hAnsiTheme="minorHAnsi" w:cstheme="minorHAnsi"/>
          <w:color w:val="383838"/>
        </w:rPr>
      </w:r>
      <w:r w:rsidR="00653508" w:rsidRPr="00000849">
        <w:rPr>
          <w:rFonts w:asciiTheme="minorHAnsi" w:hAnsiTheme="minorHAnsi" w:cstheme="minorHAnsi"/>
          <w:color w:val="383838"/>
        </w:rPr>
        <w:fldChar w:fldCharType="separate"/>
      </w:r>
      <w:r w:rsidR="00653508" w:rsidRPr="00000849">
        <w:rPr>
          <w:rFonts w:asciiTheme="minorHAnsi" w:hAnsiTheme="minorHAnsi" w:cstheme="minorHAnsi"/>
          <w:noProof/>
          <w:color w:val="383838"/>
        </w:rPr>
        <w:t>(Wong et al., 2018)</w:t>
      </w:r>
      <w:r w:rsidR="00653508" w:rsidRPr="00000849">
        <w:rPr>
          <w:rFonts w:asciiTheme="minorHAnsi" w:hAnsiTheme="minorHAnsi" w:cstheme="minorHAnsi"/>
          <w:color w:val="383838"/>
        </w:rPr>
        <w:fldChar w:fldCharType="end"/>
      </w:r>
      <w:r w:rsidR="00653508" w:rsidRPr="00000849">
        <w:rPr>
          <w:rFonts w:asciiTheme="minorHAnsi" w:hAnsiTheme="minorHAnsi" w:cstheme="minorHAnsi"/>
          <w:color w:val="383838"/>
        </w:rPr>
        <w:t>.</w:t>
      </w:r>
      <w:r w:rsidR="00883C56" w:rsidRPr="00000849">
        <w:rPr>
          <w:rFonts w:asciiTheme="minorHAnsi" w:hAnsiTheme="minorHAnsi" w:cstheme="minorHAnsi"/>
          <w:color w:val="383838"/>
        </w:rPr>
        <w:t xml:space="preserve"> </w:t>
      </w:r>
      <w:r w:rsidR="0089760F"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Not being married was also associated with </w:t>
      </w:r>
      <w:r w:rsidR="0052445E" w:rsidRPr="00000849">
        <w:rPr>
          <w:rFonts w:asciiTheme="minorHAnsi" w:hAnsiTheme="minorHAnsi" w:cstheme="minorHAnsi"/>
          <w:color w:val="383838"/>
        </w:rPr>
        <w:t>greater</w:t>
      </w:r>
      <w:r w:rsidRPr="00000849">
        <w:rPr>
          <w:rFonts w:asciiTheme="minorHAnsi" w:hAnsiTheme="minorHAnsi" w:cstheme="minorHAnsi"/>
          <w:color w:val="383838"/>
        </w:rPr>
        <w:t xml:space="preserve"> </w:t>
      </w:r>
      <w:r w:rsidR="0052445E" w:rsidRPr="00000849">
        <w:rPr>
          <w:rFonts w:asciiTheme="minorHAnsi" w:hAnsiTheme="minorHAnsi" w:cstheme="minorHAnsi"/>
          <w:color w:val="383838"/>
        </w:rPr>
        <w:t>odds</w:t>
      </w:r>
      <w:r w:rsidRPr="00000849">
        <w:rPr>
          <w:rFonts w:asciiTheme="minorHAnsi" w:hAnsiTheme="minorHAnsi" w:cstheme="minorHAnsi"/>
          <w:color w:val="383838"/>
        </w:rPr>
        <w:t xml:space="preserve"> of dying from coronary heart disease (42%) </w:t>
      </w:r>
      <w:r w:rsidR="0052445E" w:rsidRPr="00000849">
        <w:rPr>
          <w:rFonts w:asciiTheme="minorHAnsi" w:hAnsiTheme="minorHAnsi" w:cstheme="minorHAnsi"/>
          <w:color w:val="383838"/>
        </w:rPr>
        <w:t>or</w:t>
      </w:r>
      <w:r w:rsidRPr="00000849">
        <w:rPr>
          <w:rFonts w:asciiTheme="minorHAnsi" w:hAnsiTheme="minorHAnsi" w:cstheme="minorHAnsi"/>
          <w:color w:val="383838"/>
        </w:rPr>
        <w:t xml:space="preserve"> stroke (55%)</w:t>
      </w:r>
      <w:r w:rsidR="0052445E" w:rsidRPr="00000849">
        <w:rPr>
          <w:rFonts w:asciiTheme="minorHAnsi" w:hAnsiTheme="minorHAnsi" w:cstheme="minorHAnsi"/>
          <w:color w:val="383838"/>
        </w:rPr>
        <w:t>.  It was associated with 20% greater odds of a CVD death but this difference was not statistically significant.</w:t>
      </w:r>
      <w:r w:rsidR="000D3FB7" w:rsidRPr="00000849">
        <w:rPr>
          <w:rFonts w:asciiTheme="minorHAnsi" w:hAnsiTheme="minorHAnsi" w:cstheme="minorHAnsi"/>
          <w:color w:val="383838"/>
        </w:rPr>
        <w:t xml:space="preserve">  Based on these findings, the authors call</w:t>
      </w:r>
      <w:r w:rsidR="00447B99" w:rsidRPr="00000849">
        <w:rPr>
          <w:rFonts w:asciiTheme="minorHAnsi" w:hAnsiTheme="minorHAnsi" w:cstheme="minorHAnsi"/>
          <w:color w:val="383838"/>
        </w:rPr>
        <w:t>ed</w:t>
      </w:r>
      <w:r w:rsidR="000D3FB7" w:rsidRPr="00000849">
        <w:rPr>
          <w:rFonts w:asciiTheme="minorHAnsi" w:hAnsiTheme="minorHAnsi" w:cstheme="minorHAnsi"/>
          <w:color w:val="383838"/>
        </w:rPr>
        <w:t xml:space="preserve"> for marital status to be considered in the risk assessment for CVD</w:t>
      </w:r>
      <w:r w:rsidR="00447B99" w:rsidRPr="00000849">
        <w:rPr>
          <w:rFonts w:asciiTheme="minorHAnsi" w:hAnsiTheme="minorHAnsi" w:cstheme="minorHAnsi"/>
          <w:color w:val="383838"/>
        </w:rPr>
        <w:t xml:space="preserve"> although they acknowledge that </w:t>
      </w:r>
      <w:r w:rsidR="000D3FB7" w:rsidRPr="00000849">
        <w:rPr>
          <w:rFonts w:asciiTheme="minorHAnsi" w:hAnsiTheme="minorHAnsi" w:cstheme="minorHAnsi"/>
          <w:color w:val="383838"/>
        </w:rPr>
        <w:t>marital status could be a surrogate marker of other risk behaviour.</w:t>
      </w:r>
      <w:r w:rsidR="00860969" w:rsidRPr="00000849">
        <w:rPr>
          <w:rFonts w:asciiTheme="minorHAnsi" w:hAnsiTheme="minorHAnsi" w:cstheme="minorHAnsi"/>
          <w:color w:val="383838"/>
        </w:rPr>
        <w:t xml:space="preserve">  The mechanism to explain this relationship is not well-understood and may be due to social-cognitive factors, neuroendocrine processes, biological mediators or health behaviours </w:t>
      </w:r>
      <w:r w:rsidR="00860969" w:rsidRPr="00000849">
        <w:rPr>
          <w:rFonts w:asciiTheme="minorHAnsi" w:hAnsiTheme="minorHAnsi" w:cstheme="minorHAnsi"/>
          <w:color w:val="383838"/>
        </w:rPr>
        <w:fldChar w:fldCharType="begin"/>
      </w:r>
      <w:r w:rsidR="00860969" w:rsidRPr="00000849">
        <w:rPr>
          <w:rFonts w:asciiTheme="minorHAnsi" w:hAnsiTheme="minorHAnsi" w:cstheme="minorHAnsi"/>
          <w:color w:val="383838"/>
        </w:rPr>
        <w:instrText xml:space="preserve"> ADDIN EN.CITE &lt;EndNote&gt;&lt;Cite&gt;&lt;Author&gt;Robles&lt;/Author&gt;&lt;Year&gt;2014&lt;/Year&gt;&lt;RecNum&gt;1003&lt;/RecNum&gt;&lt;DisplayText&gt;(Robles et al., 2014)&lt;/DisplayText&gt;&lt;record&gt;&lt;rec-number&gt;1003&lt;/rec-number&gt;&lt;foreign-keys&gt;&lt;key app="EN" db-id="9tzf2rda8re2a9es5tuxart3swzx2zws2s02" timestamp="1575829236"&gt;1003&lt;/key&gt;&lt;/foreign-keys&gt;&lt;ref-type name="Journal Article"&gt;17&lt;/ref-type&gt;&lt;contributors&gt;&lt;authors&gt;&lt;author&gt;Robles, Theodore F&lt;/author&gt;&lt;author&gt;Slatcher, Richard B&lt;/author&gt;&lt;author&gt;Trombello, Joseph M&lt;/author&gt;&lt;author&gt;McGinn, Meghan M&lt;/author&gt;&lt;/authors&gt;&lt;/contributors&gt;&lt;titles&gt;&lt;title&gt;Marital quality and health: A meta-analytic review&lt;/title&gt;&lt;secondary-title&gt;Psychological bulletin&lt;/secondary-title&gt;&lt;/titles&gt;&lt;periodical&gt;&lt;full-title&gt;Psychological Bulletin&lt;/full-title&gt;&lt;/periodical&gt;&lt;pages&gt;140-187&lt;/pages&gt;&lt;volume&gt;140&lt;/volume&gt;&lt;number&gt;1&lt;/number&gt;&lt;dates&gt;&lt;year&gt;2014&lt;/year&gt;&lt;/dates&gt;&lt;isbn&gt;1939-1455&lt;/isbn&gt;&lt;urls&gt;&lt;/urls&gt;&lt;/record&gt;&lt;/Cite&gt;&lt;/EndNote&gt;</w:instrText>
      </w:r>
      <w:r w:rsidR="00860969" w:rsidRPr="00000849">
        <w:rPr>
          <w:rFonts w:asciiTheme="minorHAnsi" w:hAnsiTheme="minorHAnsi" w:cstheme="minorHAnsi"/>
          <w:color w:val="383838"/>
        </w:rPr>
        <w:fldChar w:fldCharType="separate"/>
      </w:r>
      <w:r w:rsidR="00860969" w:rsidRPr="00000849">
        <w:rPr>
          <w:rFonts w:asciiTheme="minorHAnsi" w:hAnsiTheme="minorHAnsi" w:cstheme="minorHAnsi"/>
          <w:noProof/>
          <w:color w:val="383838"/>
        </w:rPr>
        <w:t>(Robles et al., 2014)</w:t>
      </w:r>
      <w:r w:rsidR="00860969" w:rsidRPr="00000849">
        <w:rPr>
          <w:rFonts w:asciiTheme="minorHAnsi" w:hAnsiTheme="minorHAnsi" w:cstheme="minorHAnsi"/>
          <w:color w:val="383838"/>
        </w:rPr>
        <w:fldChar w:fldCharType="end"/>
      </w:r>
      <w:r w:rsidR="00860969" w:rsidRPr="00000849">
        <w:rPr>
          <w:rFonts w:asciiTheme="minorHAnsi" w:hAnsiTheme="minorHAnsi" w:cstheme="minorHAnsi"/>
          <w:color w:val="383838"/>
        </w:rPr>
        <w:t xml:space="preserve">.  </w:t>
      </w:r>
    </w:p>
    <w:p w14:paraId="309A6677" w14:textId="53933EDA" w:rsidR="003D4C5B" w:rsidRPr="00000849" w:rsidRDefault="00447B99" w:rsidP="003D4C5B">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Unlike SAGE Ghana, m</w:t>
      </w:r>
      <w:r w:rsidR="003D4C5B" w:rsidRPr="00000849">
        <w:rPr>
          <w:rFonts w:asciiTheme="minorHAnsi" w:hAnsiTheme="minorHAnsi" w:cstheme="minorHAnsi"/>
          <w:color w:val="383838"/>
        </w:rPr>
        <w:t xml:space="preserve">arried, cohabiting or previously </w:t>
      </w:r>
      <w:r w:rsidR="00D363A0">
        <w:rPr>
          <w:rFonts w:asciiTheme="minorHAnsi" w:hAnsiTheme="minorHAnsi" w:cstheme="minorHAnsi"/>
          <w:color w:val="383838"/>
        </w:rPr>
        <w:t xml:space="preserve">married </w:t>
      </w:r>
      <w:r w:rsidR="003D4C5B" w:rsidRPr="00000849">
        <w:rPr>
          <w:rFonts w:asciiTheme="minorHAnsi" w:hAnsiTheme="minorHAnsi" w:cstheme="minorHAnsi"/>
          <w:color w:val="383838"/>
        </w:rPr>
        <w:t>women aged 15-49 years</w:t>
      </w:r>
      <w:r w:rsidR="00947016" w:rsidRPr="00000849">
        <w:rPr>
          <w:rFonts w:asciiTheme="minorHAnsi" w:hAnsiTheme="minorHAnsi" w:cstheme="minorHAnsi"/>
          <w:color w:val="383838"/>
        </w:rPr>
        <w:t xml:space="preserve"> involved in the GDHS 2014</w:t>
      </w:r>
      <w:r w:rsidR="003D4C5B" w:rsidRPr="00000849">
        <w:rPr>
          <w:rFonts w:asciiTheme="minorHAnsi" w:hAnsiTheme="minorHAnsi" w:cstheme="minorHAnsi"/>
          <w:color w:val="383838"/>
        </w:rPr>
        <w:t xml:space="preserve"> had 68%-89% greater odds of having hypertension compared to never married women </w:t>
      </w:r>
      <w:r w:rsidR="003D4C5B" w:rsidRPr="00000849">
        <w:rPr>
          <w:rFonts w:asciiTheme="minorHAnsi" w:hAnsiTheme="minorHAnsi" w:cstheme="minorHAnsi"/>
          <w:color w:val="383838"/>
        </w:rPr>
        <w:fldChar w:fldCharType="begin"/>
      </w:r>
      <w:r w:rsidR="003D4C5B" w:rsidRPr="00000849">
        <w:rPr>
          <w:rFonts w:asciiTheme="minorHAnsi" w:hAnsiTheme="minorHAnsi" w:cstheme="minorHAnsi"/>
          <w:color w:val="383838"/>
        </w:rPr>
        <w:instrText xml:space="preserve"> ADDIN EN.CITE &lt;EndNote&gt;&lt;Cite&gt;&lt;Author&gt;Tuoyire&lt;/Author&gt;&lt;Year&gt;2019&lt;/Year&gt;&lt;RecNum&gt;1004&lt;/RecNum&gt;&lt;DisplayText&gt;(Tuoyire &amp;amp; Ayetey, 2019)&lt;/DisplayText&gt;&lt;record&gt;&lt;rec-number&gt;1004&lt;/rec-number&gt;&lt;foreign-keys&gt;&lt;key app="EN" db-id="9tzf2rda8re2a9es5tuxart3swzx2zws2s02" timestamp="1575860618"&gt;1004&lt;/key&gt;&lt;/foreign-keys&gt;&lt;ref-type name="Journal Article"&gt;17&lt;/ref-type&gt;&lt;contributors&gt;&lt;authors&gt;&lt;author&gt;Tuoyire, D. A.&lt;/author&gt;&lt;author&gt;Ayetey, H.&lt;/author&gt;&lt;/authors&gt;&lt;/contributors&gt;&lt;auth-address&gt;*Department of Community Medicine,School of Medical Sciences,College of Health and Allied Sciences,University of Cape Coast,Ghana.&amp;#xD;daggerDepartment of Internal Medicine and Therapeutics,School of Medical Sciences,College of Health and Allied Sciences,University of Cape Coast,Ghana.&lt;/auth-address&gt;&lt;titles&gt;&lt;title&gt;Gender differences in the association between marital status and hypertension in Ghana&lt;/title&gt;&lt;secondary-title&gt;J Biosoc Sci&lt;/secondary-title&gt;&lt;/titles&gt;&lt;periodical&gt;&lt;full-title&gt;J Biosoc Sci&lt;/full-title&gt;&lt;/periodical&gt;&lt;pages&gt;313-334&lt;/pages&gt;&lt;volume&gt;51&lt;/volume&gt;&lt;number&gt;3&lt;/number&gt;&lt;edition&gt;2018/05/22&lt;/edition&gt;&lt;dates&gt;&lt;year&gt;2019&lt;/year&gt;&lt;pub-dates&gt;&lt;date&gt;May&lt;/date&gt;&lt;/pub-dates&gt;&lt;/dates&gt;&lt;isbn&gt;0021-9320&lt;/isbn&gt;&lt;accession-num&gt;29781417&lt;/accession-num&gt;&lt;urls&gt;&lt;/urls&gt;&lt;electronic-resource-num&gt;10.1017/s0021932018000147&lt;/electronic-resource-num&gt;&lt;remote-database-provider&gt;NLM&lt;/remote-database-provider&gt;&lt;language&gt;eng&lt;/language&gt;&lt;/record&gt;&lt;/Cite&gt;&lt;/EndNote&gt;</w:instrText>
      </w:r>
      <w:r w:rsidR="003D4C5B" w:rsidRPr="00000849">
        <w:rPr>
          <w:rFonts w:asciiTheme="minorHAnsi" w:hAnsiTheme="minorHAnsi" w:cstheme="minorHAnsi"/>
          <w:color w:val="383838"/>
        </w:rPr>
        <w:fldChar w:fldCharType="separate"/>
      </w:r>
      <w:r w:rsidR="003D4C5B" w:rsidRPr="00000849">
        <w:rPr>
          <w:rFonts w:asciiTheme="minorHAnsi" w:hAnsiTheme="minorHAnsi" w:cstheme="minorHAnsi"/>
          <w:noProof/>
          <w:color w:val="383838"/>
        </w:rPr>
        <w:t>(Tuoyire &amp; Ayetey, 2019)</w:t>
      </w:r>
      <w:r w:rsidR="003D4C5B" w:rsidRPr="00000849">
        <w:rPr>
          <w:rFonts w:asciiTheme="minorHAnsi" w:hAnsiTheme="minorHAnsi" w:cstheme="minorHAnsi"/>
          <w:color w:val="383838"/>
        </w:rPr>
        <w:fldChar w:fldCharType="end"/>
      </w:r>
      <w:r w:rsidR="003D4C5B" w:rsidRPr="00000849">
        <w:rPr>
          <w:rFonts w:asciiTheme="minorHAnsi" w:hAnsiTheme="minorHAnsi" w:cstheme="minorHAnsi"/>
          <w:color w:val="383838"/>
        </w:rPr>
        <w:t xml:space="preserve">.  The relationship between marital status and hypertension in men was not statistically </w:t>
      </w:r>
      <w:r w:rsidR="003D4C5B" w:rsidRPr="00000849">
        <w:rPr>
          <w:rFonts w:asciiTheme="minorHAnsi" w:hAnsiTheme="minorHAnsi" w:cstheme="minorHAnsi"/>
          <w:color w:val="383838"/>
        </w:rPr>
        <w:lastRenderedPageBreak/>
        <w:t>significant.</w:t>
      </w:r>
      <w:r w:rsidR="00A722B5" w:rsidRPr="00000849">
        <w:rPr>
          <w:rFonts w:asciiTheme="minorHAnsi" w:hAnsiTheme="minorHAnsi" w:cstheme="minorHAnsi"/>
          <w:color w:val="383838"/>
        </w:rPr>
        <w:t xml:space="preserve">  While most studies observe beneficial effects of marriage on cardiovascular health, the relationship is complex and still not well</w:t>
      </w:r>
      <w:r w:rsidR="00E93D4C" w:rsidRPr="00000849">
        <w:rPr>
          <w:rFonts w:asciiTheme="minorHAnsi" w:hAnsiTheme="minorHAnsi" w:cstheme="minorHAnsi"/>
          <w:color w:val="383838"/>
        </w:rPr>
        <w:t>-</w:t>
      </w:r>
      <w:r w:rsidR="00A722B5" w:rsidRPr="00000849">
        <w:rPr>
          <w:rFonts w:asciiTheme="minorHAnsi" w:hAnsiTheme="minorHAnsi" w:cstheme="minorHAnsi"/>
          <w:color w:val="383838"/>
        </w:rPr>
        <w:t xml:space="preserve">understood.  </w:t>
      </w:r>
      <w:r w:rsidR="003E5848" w:rsidRPr="00000849">
        <w:rPr>
          <w:rFonts w:asciiTheme="minorHAnsi" w:hAnsiTheme="minorHAnsi" w:cstheme="minorHAnsi"/>
          <w:color w:val="383838"/>
        </w:rPr>
        <w:t>The role of marital status</w:t>
      </w:r>
      <w:r w:rsidR="00A722B5" w:rsidRPr="00000849">
        <w:rPr>
          <w:rFonts w:asciiTheme="minorHAnsi" w:hAnsiTheme="minorHAnsi" w:cstheme="minorHAnsi"/>
          <w:color w:val="383838"/>
        </w:rPr>
        <w:t xml:space="preserve"> becomes more muddled if one considers the possible effects of</w:t>
      </w:r>
      <w:r w:rsidR="00E93D4C" w:rsidRPr="00000849">
        <w:rPr>
          <w:rFonts w:asciiTheme="minorHAnsi" w:hAnsiTheme="minorHAnsi" w:cstheme="minorHAnsi"/>
          <w:color w:val="383838"/>
        </w:rPr>
        <w:t xml:space="preserve"> polygamy, serial monogamous marriages and the</w:t>
      </w:r>
      <w:r w:rsidR="003C0BD3" w:rsidRPr="00000849">
        <w:rPr>
          <w:rFonts w:asciiTheme="minorHAnsi" w:hAnsiTheme="minorHAnsi" w:cstheme="minorHAnsi"/>
          <w:color w:val="383838"/>
        </w:rPr>
        <w:t xml:space="preserve"> gender roles</w:t>
      </w:r>
      <w:r w:rsidR="003E5848" w:rsidRPr="00000849">
        <w:rPr>
          <w:rFonts w:asciiTheme="minorHAnsi" w:hAnsiTheme="minorHAnsi" w:cstheme="minorHAnsi"/>
          <w:color w:val="383838"/>
        </w:rPr>
        <w:t xml:space="preserve"> in the African setting where even sick female partners are expected to care for their healthier male partners</w:t>
      </w:r>
      <w:r w:rsidR="002D297C" w:rsidRPr="00000849">
        <w:rPr>
          <w:rFonts w:asciiTheme="minorHAnsi" w:hAnsiTheme="minorHAnsi" w:cstheme="minorHAnsi"/>
          <w:color w:val="383838"/>
        </w:rPr>
        <w:t xml:space="preserve">.  </w:t>
      </w:r>
      <w:r w:rsidR="00A722B5" w:rsidRPr="00000849">
        <w:rPr>
          <w:rFonts w:asciiTheme="minorHAnsi" w:hAnsiTheme="minorHAnsi" w:cstheme="minorHAnsi"/>
          <w:color w:val="383838"/>
        </w:rPr>
        <w:t xml:space="preserve">It is doubtful that marital </w:t>
      </w:r>
      <w:r w:rsidR="003E5848" w:rsidRPr="00000849">
        <w:rPr>
          <w:rFonts w:asciiTheme="minorHAnsi" w:hAnsiTheme="minorHAnsi" w:cstheme="minorHAnsi"/>
          <w:color w:val="383838"/>
        </w:rPr>
        <w:t xml:space="preserve">status will be a priority in </w:t>
      </w:r>
      <w:r w:rsidR="00A722B5" w:rsidRPr="00000849">
        <w:rPr>
          <w:rFonts w:asciiTheme="minorHAnsi" w:hAnsiTheme="minorHAnsi" w:cstheme="minorHAnsi"/>
          <w:color w:val="383838"/>
        </w:rPr>
        <w:t>programme</w:t>
      </w:r>
      <w:r w:rsidR="003E5848" w:rsidRPr="00000849">
        <w:rPr>
          <w:rFonts w:asciiTheme="minorHAnsi" w:hAnsiTheme="minorHAnsi" w:cstheme="minorHAnsi"/>
          <w:color w:val="383838"/>
        </w:rPr>
        <w:t>s</w:t>
      </w:r>
      <w:r w:rsidR="00A722B5" w:rsidRPr="00000849">
        <w:rPr>
          <w:rFonts w:asciiTheme="minorHAnsi" w:hAnsiTheme="minorHAnsi" w:cstheme="minorHAnsi"/>
          <w:color w:val="383838"/>
        </w:rPr>
        <w:t xml:space="preserve"> </w:t>
      </w:r>
      <w:r w:rsidR="003E5848" w:rsidRPr="00000849">
        <w:rPr>
          <w:rFonts w:asciiTheme="minorHAnsi" w:hAnsiTheme="minorHAnsi" w:cstheme="minorHAnsi"/>
          <w:color w:val="383838"/>
        </w:rPr>
        <w:t xml:space="preserve">to promote cardiovascular health in Ghana.  One area of focus could be the beneficial effect of social support on compliance with hypertension treatment </w:t>
      </w:r>
      <w:r w:rsidR="003E5848" w:rsidRPr="00000849">
        <w:rPr>
          <w:rFonts w:asciiTheme="minorHAnsi" w:hAnsiTheme="minorHAnsi" w:cstheme="minorHAnsi"/>
          <w:color w:val="383838"/>
        </w:rPr>
        <w:fldChar w:fldCharType="begin"/>
      </w:r>
      <w:r w:rsidR="003E5848" w:rsidRPr="00000849">
        <w:rPr>
          <w:rFonts w:asciiTheme="minorHAnsi" w:hAnsiTheme="minorHAnsi" w:cstheme="minorHAnsi"/>
          <w:color w:val="383838"/>
        </w:rPr>
        <w:instrText xml:space="preserve"> ADDIN EN.CITE &lt;EndNote&gt;&lt;Cite&gt;&lt;Author&gt;Osamor&lt;/Author&gt;&lt;Year&gt;2015&lt;/Year&gt;&lt;RecNum&gt;1012&lt;/RecNum&gt;&lt;DisplayText&gt;(Osamor, 2015)&lt;/DisplayText&gt;&lt;record&gt;&lt;rec-number&gt;1012&lt;/rec-number&gt;&lt;foreign-keys&gt;&lt;key app="EN" db-id="9tzf2rda8re2a9es5tuxart3swzx2zws2s02" timestamp="1575875114"&gt;1012&lt;/key&gt;&lt;/foreign-keys&gt;&lt;ref-type name="Journal Article"&gt;17&lt;/ref-type&gt;&lt;contributors&gt;&lt;authors&gt;&lt;author&gt;Osamor, P. E.&lt;/author&gt;&lt;/authors&gt;&lt;/contributors&gt;&lt;auth-address&gt;Institute of Child Health, College of Medicine, University of Ibadan, Ibadan, Nigeria. ejemenp@yahoo.com.&lt;/auth-address&gt;&lt;titles&gt;&lt;title&gt;Social support and management of hypertension in South-west Nigeria&lt;/title&gt;&lt;secondary-title&gt;Cardiovasc J Afr&lt;/secondary-title&gt;&lt;/titles&gt;&lt;periodical&gt;&lt;full-title&gt;Cardiovascular Journal of Africa&lt;/full-title&gt;&lt;abbr-1&gt;Cardiovasc J Afr&lt;/abbr-1&gt;&lt;/periodical&gt;&lt;pages&gt;29-33&lt;/pages&gt;&lt;volume&gt;26&lt;/volume&gt;&lt;number&gt;1&lt;/number&gt;&lt;edition&gt;2015/03/19&lt;/edition&gt;&lt;keywords&gt;&lt;keyword&gt;Adult&lt;/keyword&gt;&lt;keyword&gt;Aged&lt;/keyword&gt;&lt;keyword&gt;Aged, 80 and over&lt;/keyword&gt;&lt;keyword&gt;Blood Pressure/*drug effects&lt;/keyword&gt;&lt;keyword&gt;Community Health Services&lt;/keyword&gt;&lt;keyword&gt;Cross-Sectional Studies&lt;/keyword&gt;&lt;keyword&gt;Family Relations&lt;/keyword&gt;&lt;keyword&gt;Female&lt;/keyword&gt;&lt;keyword&gt;Friends&lt;/keyword&gt;&lt;keyword&gt;*Health Knowledge, Attitudes, Practice&lt;/keyword&gt;&lt;keyword&gt;Humans&lt;/keyword&gt;&lt;keyword&gt;Hypertension/diagnosis/*drug therapy/physiopathology/psychology&lt;/keyword&gt;&lt;keyword&gt;Hypoglycemic Agents/*therapeutic use&lt;/keyword&gt;&lt;keyword&gt;Male&lt;/keyword&gt;&lt;keyword&gt;*Medication Adherence&lt;/keyword&gt;&lt;keyword&gt;Middle Aged&lt;/keyword&gt;&lt;keyword&gt;Nigeria/epidemiology&lt;/keyword&gt;&lt;keyword&gt;Poverty&lt;/keyword&gt;&lt;keyword&gt;*Social Support&lt;/keyword&gt;&lt;keyword&gt;Treatment Outcome&lt;/keyword&gt;&lt;keyword&gt;Urban Health&lt;/keyword&gt;&lt;/keywords&gt;&lt;dates&gt;&lt;year&gt;2015&lt;/year&gt;&lt;pub-dates&gt;&lt;date&gt;Jan-Feb&lt;/date&gt;&lt;/pub-dates&gt;&lt;/dates&gt;&lt;isbn&gt;1015-9657&lt;/isbn&gt;&lt;accession-num&gt;25784314&lt;/accession-num&gt;&lt;urls&gt;&lt;/urls&gt;&lt;custom2&gt;PMC4392208&lt;/custom2&gt;&lt;electronic-resource-num&gt;10.5830/cvja-2014-066&lt;/electronic-resource-num&gt;&lt;remote-database-provider&gt;NLM&lt;/remote-database-provider&gt;&lt;language&gt;eng&lt;/language&gt;&lt;/record&gt;&lt;/Cite&gt;&lt;/EndNote&gt;</w:instrText>
      </w:r>
      <w:r w:rsidR="003E5848" w:rsidRPr="00000849">
        <w:rPr>
          <w:rFonts w:asciiTheme="minorHAnsi" w:hAnsiTheme="minorHAnsi" w:cstheme="minorHAnsi"/>
          <w:color w:val="383838"/>
        </w:rPr>
        <w:fldChar w:fldCharType="separate"/>
      </w:r>
      <w:r w:rsidR="003E5848" w:rsidRPr="00000849">
        <w:rPr>
          <w:rFonts w:asciiTheme="minorHAnsi" w:hAnsiTheme="minorHAnsi" w:cstheme="minorHAnsi"/>
          <w:noProof/>
          <w:color w:val="383838"/>
        </w:rPr>
        <w:t>(Osamor, 2015)</w:t>
      </w:r>
      <w:r w:rsidR="003E5848" w:rsidRPr="00000849">
        <w:rPr>
          <w:rFonts w:asciiTheme="minorHAnsi" w:hAnsiTheme="minorHAnsi" w:cstheme="minorHAnsi"/>
          <w:color w:val="383838"/>
        </w:rPr>
        <w:fldChar w:fldCharType="end"/>
      </w:r>
      <w:r w:rsidR="003E5848" w:rsidRPr="00000849">
        <w:rPr>
          <w:rFonts w:asciiTheme="minorHAnsi" w:hAnsiTheme="minorHAnsi" w:cstheme="minorHAnsi"/>
          <w:color w:val="383838"/>
        </w:rPr>
        <w:t xml:space="preserve">. </w:t>
      </w:r>
      <w:r w:rsidR="00947016" w:rsidRPr="00000849">
        <w:rPr>
          <w:rFonts w:asciiTheme="minorHAnsi" w:hAnsiTheme="minorHAnsi" w:cstheme="minorHAnsi"/>
          <w:color w:val="383838"/>
        </w:rPr>
        <w:t xml:space="preserve"> </w:t>
      </w:r>
      <w:r w:rsidRPr="00000849">
        <w:rPr>
          <w:rFonts w:asciiTheme="minorHAnsi" w:hAnsiTheme="minorHAnsi" w:cstheme="minorHAnsi"/>
          <w:color w:val="383838"/>
        </w:rPr>
        <w:t>Unfortunately, t</w:t>
      </w:r>
      <w:r w:rsidR="00A64542" w:rsidRPr="00000849">
        <w:rPr>
          <w:rFonts w:asciiTheme="minorHAnsi" w:hAnsiTheme="minorHAnsi" w:cstheme="minorHAnsi"/>
          <w:color w:val="383838"/>
        </w:rPr>
        <w:t xml:space="preserve">here is </w:t>
      </w:r>
      <w:r w:rsidRPr="00000849">
        <w:rPr>
          <w:rFonts w:asciiTheme="minorHAnsi" w:hAnsiTheme="minorHAnsi" w:cstheme="minorHAnsi"/>
          <w:color w:val="383838"/>
        </w:rPr>
        <w:t>scant</w:t>
      </w:r>
      <w:r w:rsidR="00A64542" w:rsidRPr="00000849">
        <w:rPr>
          <w:rFonts w:asciiTheme="minorHAnsi" w:hAnsiTheme="minorHAnsi" w:cstheme="minorHAnsi"/>
          <w:color w:val="383838"/>
        </w:rPr>
        <w:t xml:space="preserve"> r</w:t>
      </w:r>
      <w:r w:rsidR="00947016" w:rsidRPr="00000849">
        <w:rPr>
          <w:rFonts w:asciiTheme="minorHAnsi" w:hAnsiTheme="minorHAnsi" w:cstheme="minorHAnsi"/>
          <w:color w:val="383838"/>
        </w:rPr>
        <w:t xml:space="preserve">esearch on the cardiovascular effects of marital status in </w:t>
      </w:r>
      <w:r w:rsidRPr="00000849">
        <w:rPr>
          <w:rFonts w:asciiTheme="minorHAnsi" w:hAnsiTheme="minorHAnsi" w:cstheme="minorHAnsi"/>
          <w:color w:val="383838"/>
        </w:rPr>
        <w:t xml:space="preserve">the </w:t>
      </w:r>
      <w:r w:rsidR="00947016" w:rsidRPr="00000849">
        <w:rPr>
          <w:rFonts w:asciiTheme="minorHAnsi" w:hAnsiTheme="minorHAnsi" w:cstheme="minorHAnsi"/>
          <w:color w:val="383838"/>
        </w:rPr>
        <w:t>Africa</w:t>
      </w:r>
      <w:r w:rsidRPr="00000849">
        <w:rPr>
          <w:rFonts w:asciiTheme="minorHAnsi" w:hAnsiTheme="minorHAnsi" w:cstheme="minorHAnsi"/>
          <w:color w:val="383838"/>
        </w:rPr>
        <w:t>n context</w:t>
      </w:r>
      <w:r w:rsidR="00947016" w:rsidRPr="00000849">
        <w:rPr>
          <w:rFonts w:asciiTheme="minorHAnsi" w:hAnsiTheme="minorHAnsi" w:cstheme="minorHAnsi"/>
          <w:color w:val="383838"/>
        </w:rPr>
        <w:t>.</w:t>
      </w:r>
    </w:p>
    <w:p w14:paraId="61EB7CDF" w14:textId="5C168368" w:rsidR="008A3FC1" w:rsidRPr="00000849" w:rsidRDefault="008A3FC1" w:rsidP="003D4C5B">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Other demographic determinants such as older age group or being a </w:t>
      </w:r>
      <w:r w:rsidR="00BA200A" w:rsidRPr="00000849">
        <w:rPr>
          <w:rFonts w:asciiTheme="minorHAnsi" w:hAnsiTheme="minorHAnsi" w:cstheme="minorHAnsi"/>
          <w:color w:val="383838"/>
        </w:rPr>
        <w:t>Muslim</w:t>
      </w:r>
      <w:r w:rsidRPr="00000849">
        <w:rPr>
          <w:rFonts w:asciiTheme="minorHAnsi" w:hAnsiTheme="minorHAnsi" w:cstheme="minorHAnsi"/>
          <w:color w:val="383838"/>
        </w:rPr>
        <w:t xml:space="preserve"> were significantly associated with a higher prevalence of hypertension while others such as female sex or belonging to other ethnic groups were ass</w:t>
      </w:r>
      <w:r w:rsidR="00945513" w:rsidRPr="00000849">
        <w:rPr>
          <w:rFonts w:asciiTheme="minorHAnsi" w:hAnsiTheme="minorHAnsi" w:cstheme="minorHAnsi"/>
          <w:color w:val="383838"/>
        </w:rPr>
        <w:t>ociated with a lower prevalence</w:t>
      </w:r>
      <w:r w:rsidR="001E71E7" w:rsidRPr="00000849">
        <w:rPr>
          <w:rFonts w:asciiTheme="minorHAnsi" w:hAnsiTheme="minorHAnsi" w:cstheme="minorHAnsi"/>
          <w:color w:val="383838"/>
        </w:rPr>
        <w:t xml:space="preserve"> in one or the other study wave in Ghana in the current analyses</w:t>
      </w:r>
      <w:r w:rsidR="00945513" w:rsidRPr="00000849">
        <w:rPr>
          <w:rFonts w:asciiTheme="minorHAnsi" w:hAnsiTheme="minorHAnsi" w:cstheme="minorHAnsi"/>
          <w:color w:val="383838"/>
        </w:rPr>
        <w:t xml:space="preserve">.  </w:t>
      </w:r>
      <w:r w:rsidR="001E71E7" w:rsidRPr="00000849">
        <w:rPr>
          <w:rFonts w:asciiTheme="minorHAnsi" w:hAnsiTheme="minorHAnsi" w:cstheme="minorHAnsi"/>
          <w:color w:val="383838"/>
        </w:rPr>
        <w:t xml:space="preserve">Such mixed patterns were also observed in the systematic review of the determinants of hypertension in Africa </w:t>
      </w:r>
      <w:r w:rsidR="001E71E7"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1E71E7" w:rsidRPr="00000849">
        <w:rPr>
          <w:rFonts w:asciiTheme="minorHAnsi" w:hAnsiTheme="minorHAnsi" w:cstheme="minorHAnsi"/>
          <w:color w:val="383838"/>
        </w:rPr>
      </w:r>
      <w:r w:rsidR="001E71E7"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(Bosu et al., 2019a)</w:t>
      </w:r>
      <w:r w:rsidR="001E71E7" w:rsidRPr="00000849">
        <w:rPr>
          <w:rFonts w:asciiTheme="minorHAnsi" w:hAnsiTheme="minorHAnsi" w:cstheme="minorHAnsi"/>
          <w:color w:val="383838"/>
        </w:rPr>
        <w:fldChar w:fldCharType="end"/>
      </w:r>
      <w:r w:rsidR="001E71E7" w:rsidRPr="00000849">
        <w:rPr>
          <w:rFonts w:asciiTheme="minorHAnsi" w:hAnsiTheme="minorHAnsi" w:cstheme="minorHAnsi"/>
          <w:color w:val="383838"/>
        </w:rPr>
        <w:t xml:space="preserve">.  </w:t>
      </w:r>
    </w:p>
    <w:p w14:paraId="753552E1" w14:textId="0F684C91" w:rsidR="00FE1FBC" w:rsidRPr="00000849" w:rsidRDefault="00094A9D" w:rsidP="003D4C5B">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O</w:t>
      </w:r>
      <w:r w:rsidR="00AA33D8" w:rsidRPr="00000849">
        <w:rPr>
          <w:rFonts w:asciiTheme="minorHAnsi" w:hAnsiTheme="minorHAnsi" w:cstheme="minorHAnsi"/>
          <w:color w:val="383838"/>
        </w:rPr>
        <w:t xml:space="preserve">lder age was a positive predictor of hypertension </w:t>
      </w:r>
      <w:r w:rsidRPr="00000849">
        <w:rPr>
          <w:rFonts w:asciiTheme="minorHAnsi" w:hAnsiTheme="minorHAnsi" w:cstheme="minorHAnsi"/>
          <w:color w:val="383838"/>
        </w:rPr>
        <w:t xml:space="preserve">in Ghana over the time of the two SAGE study waves </w:t>
      </w:r>
      <w:r w:rsidR="00AA33D8" w:rsidRPr="00000849">
        <w:rPr>
          <w:rFonts w:asciiTheme="minorHAnsi" w:hAnsiTheme="minorHAnsi" w:cstheme="minorHAnsi"/>
          <w:color w:val="383838"/>
        </w:rPr>
        <w:t>i</w:t>
      </w:r>
      <w:r w:rsidR="00F73832" w:rsidRPr="00000849">
        <w:rPr>
          <w:rFonts w:asciiTheme="minorHAnsi" w:hAnsiTheme="minorHAnsi" w:cstheme="minorHAnsi"/>
          <w:color w:val="383838"/>
        </w:rPr>
        <w:t xml:space="preserve">n the </w:t>
      </w:r>
      <w:r w:rsidR="00210C7B" w:rsidRPr="00000849">
        <w:rPr>
          <w:rFonts w:asciiTheme="minorHAnsi" w:hAnsiTheme="minorHAnsi" w:cstheme="minorHAnsi"/>
          <w:color w:val="383838"/>
        </w:rPr>
        <w:t>longitudinal data analyses</w:t>
      </w:r>
      <w:r w:rsidR="00EE2108" w:rsidRPr="00000849">
        <w:rPr>
          <w:rFonts w:asciiTheme="minorHAnsi" w:hAnsiTheme="minorHAnsi" w:cstheme="minorHAnsi"/>
          <w:color w:val="383838"/>
        </w:rPr>
        <w:t xml:space="preserve">.  </w:t>
      </w:r>
      <w:r w:rsidR="00FE1FBC" w:rsidRPr="00000849">
        <w:rPr>
          <w:rFonts w:asciiTheme="minorHAnsi" w:hAnsiTheme="minorHAnsi" w:cstheme="minorHAnsi"/>
          <w:color w:val="383838"/>
        </w:rPr>
        <w:t xml:space="preserve">Biologically, ageing reduces the elasticity of arterial walls, with arterial stiffening which adversely affects the cardiac structure and function leading to hypertension </w:t>
      </w:r>
      <w:r w:rsidR="00FE1FBC" w:rsidRPr="00000849">
        <w:rPr>
          <w:rFonts w:asciiTheme="minorHAnsi" w:hAnsiTheme="minorHAnsi" w:cstheme="minorHAnsi"/>
          <w:color w:val="383838"/>
        </w:rPr>
        <w:fldChar w:fldCharType="begin">
          <w:fldData xml:space="preserve">PEVuZE5vdGU+PENpdGU+PEF1dGhvcj5Bcm9ub3c8L0F1dGhvcj48WWVhcj4yMDExPC9ZZWFyPjxS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PEVuZE5vdGU+PENpdGU+PEF1dGhvcj5Bcm9ub3c8L0F1dGhvcj48WWVhcj4yMDExPC9ZZWFyPjxS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FE1FBC" w:rsidRPr="00000849">
        <w:rPr>
          <w:rFonts w:asciiTheme="minorHAnsi" w:hAnsiTheme="minorHAnsi" w:cstheme="minorHAnsi"/>
          <w:color w:val="383838"/>
        </w:rPr>
      </w:r>
      <w:r w:rsidR="00FE1FBC"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(Aronow et al., 2011; Williams, 2016a)</w:t>
      </w:r>
      <w:r w:rsidR="00FE1FBC" w:rsidRPr="00000849">
        <w:rPr>
          <w:rFonts w:asciiTheme="minorHAnsi" w:hAnsiTheme="minorHAnsi" w:cstheme="minorHAnsi"/>
          <w:color w:val="383838"/>
        </w:rPr>
        <w:fldChar w:fldCharType="end"/>
      </w:r>
      <w:r w:rsidR="00FE1FBC" w:rsidRPr="00000849">
        <w:rPr>
          <w:rFonts w:asciiTheme="minorHAnsi" w:hAnsiTheme="minorHAnsi" w:cstheme="minorHAnsi"/>
          <w:color w:val="383838"/>
        </w:rPr>
        <w:t>.  Ageing is also associated with a decline in plasma renin activity and impaired renal function which affects the body’s capacity to regulate potassium-</w:t>
      </w:r>
      <w:r w:rsidR="00FE1FBC" w:rsidRPr="00000849">
        <w:rPr>
          <w:rFonts w:asciiTheme="minorHAnsi" w:hAnsiTheme="minorHAnsi" w:cstheme="minorHAnsi"/>
          <w:color w:val="383838"/>
        </w:rPr>
        <w:lastRenderedPageBreak/>
        <w:t>sodium excretion</w:t>
      </w:r>
      <w:r w:rsidR="006A48C8" w:rsidRPr="00000849">
        <w:rPr>
          <w:rFonts w:asciiTheme="minorHAnsi" w:hAnsiTheme="minorHAnsi" w:cstheme="minorHAnsi"/>
          <w:color w:val="383838"/>
        </w:rPr>
        <w:t>, this being one of the mechanisms in the pathophysiology of hypertension</w:t>
      </w:r>
      <w:r w:rsidR="00FE1FBC" w:rsidRPr="00000849">
        <w:rPr>
          <w:rFonts w:asciiTheme="minorHAnsi" w:hAnsiTheme="minorHAnsi" w:cstheme="minorHAnsi"/>
          <w:color w:val="383838"/>
        </w:rPr>
        <w:t>.</w:t>
      </w:r>
    </w:p>
    <w:p w14:paraId="3B53DAE5" w14:textId="1B0163A0" w:rsidR="00950177" w:rsidRPr="00000849" w:rsidRDefault="00950177" w:rsidP="003D4C5B">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652982B3" w14:textId="55190A4E" w:rsidR="00950177" w:rsidRPr="00000849" w:rsidRDefault="00950177" w:rsidP="004E2350">
      <w:pPr>
        <w:pStyle w:val="Heading3"/>
      </w:pPr>
      <w:bookmarkStart w:id="120" w:name="_Toc51472151"/>
      <w:r w:rsidRPr="00000849">
        <w:t>6.4.2</w:t>
      </w:r>
      <w:r w:rsidRPr="00000849">
        <w:tab/>
        <w:t>Socioeconomic determinants</w:t>
      </w:r>
      <w:bookmarkEnd w:id="120"/>
    </w:p>
    <w:p w14:paraId="1F57C233" w14:textId="04C1E68A" w:rsidR="00950177" w:rsidRPr="00000849" w:rsidRDefault="00950177" w:rsidP="00143B7E">
      <w:pPr>
        <w:pStyle w:val="NormalWeb"/>
        <w:keepNext/>
        <w:keepLines/>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2CA26C42" w14:textId="784A6D3E" w:rsidR="004D00ED" w:rsidRPr="00000849" w:rsidRDefault="006E17D8" w:rsidP="00143B7E">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Regarding</w:t>
      </w:r>
      <w:r w:rsidR="009B4B2D" w:rsidRPr="00000849">
        <w:rPr>
          <w:rFonts w:asciiTheme="minorHAnsi" w:hAnsiTheme="minorHAnsi" w:cstheme="minorHAnsi"/>
          <w:color w:val="383838"/>
        </w:rPr>
        <w:t xml:space="preserve"> socioeconomic determinants, h</w:t>
      </w:r>
      <w:r w:rsidR="008D53FB" w:rsidRPr="00000849">
        <w:rPr>
          <w:rFonts w:asciiTheme="minorHAnsi" w:hAnsiTheme="minorHAnsi" w:cstheme="minorHAnsi"/>
          <w:color w:val="383838"/>
        </w:rPr>
        <w:t>aving worked in the past seven days was consistently</w:t>
      </w:r>
      <w:r w:rsidR="00410C93" w:rsidRPr="00000849">
        <w:rPr>
          <w:rFonts w:asciiTheme="minorHAnsi" w:hAnsiTheme="minorHAnsi" w:cstheme="minorHAnsi"/>
          <w:color w:val="383838"/>
        </w:rPr>
        <w:t xml:space="preserve"> </w:t>
      </w:r>
      <w:r w:rsidR="008D53FB" w:rsidRPr="00000849">
        <w:rPr>
          <w:rFonts w:asciiTheme="minorHAnsi" w:hAnsiTheme="minorHAnsi" w:cstheme="minorHAnsi"/>
          <w:color w:val="383838"/>
        </w:rPr>
        <w:t>and significantly protective of hypertension</w:t>
      </w:r>
      <w:r w:rsidR="006A48C8" w:rsidRPr="00000849">
        <w:rPr>
          <w:rFonts w:asciiTheme="minorHAnsi" w:hAnsiTheme="minorHAnsi" w:cstheme="minorHAnsi"/>
          <w:color w:val="383838"/>
        </w:rPr>
        <w:t xml:space="preserve"> in older adults in SAGE Ghana, not only at the separate time points in each wave but also over time</w:t>
      </w:r>
      <w:r w:rsidR="00F01A96" w:rsidRPr="00000849">
        <w:rPr>
          <w:rFonts w:asciiTheme="minorHAnsi" w:hAnsiTheme="minorHAnsi" w:cstheme="minorHAnsi"/>
          <w:color w:val="383838"/>
        </w:rPr>
        <w:t xml:space="preserve"> </w:t>
      </w:r>
      <w:r w:rsidR="008237BA" w:rsidRPr="00000849">
        <w:rPr>
          <w:rFonts w:asciiTheme="minorHAnsi" w:hAnsiTheme="minorHAnsi" w:cstheme="minorHAnsi"/>
          <w:color w:val="383838"/>
        </w:rPr>
        <w:t xml:space="preserve">in the </w:t>
      </w:r>
      <w:r w:rsidR="00210C7B" w:rsidRPr="00000849">
        <w:rPr>
          <w:rFonts w:asciiTheme="minorHAnsi" w:hAnsiTheme="minorHAnsi" w:cstheme="minorHAnsi"/>
          <w:color w:val="383838"/>
        </w:rPr>
        <w:t>longitudinal data analyses</w:t>
      </w:r>
      <w:r w:rsidR="008D53FB" w:rsidRPr="00000849">
        <w:rPr>
          <w:rFonts w:asciiTheme="minorHAnsi" w:hAnsiTheme="minorHAnsi" w:cstheme="minorHAnsi"/>
          <w:color w:val="383838"/>
        </w:rPr>
        <w:t xml:space="preserve">.  </w:t>
      </w:r>
      <w:r w:rsidR="00110A7B" w:rsidRPr="00000849">
        <w:rPr>
          <w:rFonts w:asciiTheme="minorHAnsi" w:hAnsiTheme="minorHAnsi" w:cstheme="minorHAnsi"/>
          <w:color w:val="383838"/>
        </w:rPr>
        <w:t>While the reasons for this protection are not clear, t</w:t>
      </w:r>
      <w:r w:rsidR="00F01A96" w:rsidRPr="00000849">
        <w:rPr>
          <w:rFonts w:asciiTheme="minorHAnsi" w:hAnsiTheme="minorHAnsi" w:cstheme="minorHAnsi"/>
          <w:color w:val="383838"/>
        </w:rPr>
        <w:t xml:space="preserve">he findings are consistent with those of </w:t>
      </w:r>
      <w:r w:rsidR="00F01A96" w:rsidRPr="00000849">
        <w:rPr>
          <w:rFonts w:asciiTheme="minorHAnsi" w:hAnsiTheme="minorHAnsi" w:cstheme="minorHAnsi"/>
          <w:color w:val="383838"/>
        </w:rPr>
        <w:fldChar w:fldCharType="begin">
          <w:fldData xml:space="preserve">PEVuZE5vdGU+PENpdGUgQXV0aG9yWWVhcj0iMSI+PEF1dGhvcj5QaWxsZXJvbjwvQXV0aG9yPjxZ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</w:fldData>
        </w:fldChar>
      </w:r>
      <w:r w:rsidR="00F01A96" w:rsidRPr="00000849">
        <w:rPr>
          <w:rFonts w:asciiTheme="minorHAnsi" w:hAnsiTheme="minorHAnsi" w:cstheme="minorHAnsi"/>
          <w:color w:val="383838"/>
        </w:rPr>
        <w:instrText xml:space="preserve"> ADDIN EN.CITE </w:instrText>
      </w:r>
      <w:r w:rsidR="00F01A96" w:rsidRPr="00000849">
        <w:rPr>
          <w:rFonts w:asciiTheme="minorHAnsi" w:hAnsiTheme="minorHAnsi" w:cstheme="minorHAnsi"/>
          <w:color w:val="383838"/>
        </w:rPr>
        <w:fldChar w:fldCharType="begin">
          <w:fldData xml:space="preserve">PEVuZE5vdGU+PENpdGUgQXV0aG9yWWVhcj0iMSI+PEF1dGhvcj5QaWxsZXJvbjwvQXV0aG9yPjxZ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</w:fldData>
        </w:fldChar>
      </w:r>
      <w:r w:rsidR="00F01A96" w:rsidRPr="00000849">
        <w:rPr>
          <w:rFonts w:asciiTheme="minorHAnsi" w:hAnsiTheme="minorHAnsi" w:cstheme="minorHAnsi"/>
          <w:color w:val="383838"/>
        </w:rPr>
        <w:instrText xml:space="preserve"> ADDIN EN.CITE.DATA </w:instrText>
      </w:r>
      <w:r w:rsidR="00F01A96" w:rsidRPr="00000849">
        <w:rPr>
          <w:rFonts w:asciiTheme="minorHAnsi" w:hAnsiTheme="minorHAnsi" w:cstheme="minorHAnsi"/>
          <w:color w:val="383838"/>
        </w:rPr>
      </w:r>
      <w:r w:rsidR="00F01A96" w:rsidRPr="00000849">
        <w:rPr>
          <w:rFonts w:asciiTheme="minorHAnsi" w:hAnsiTheme="minorHAnsi" w:cstheme="minorHAnsi"/>
          <w:color w:val="383838"/>
        </w:rPr>
        <w:fldChar w:fldCharType="end"/>
      </w:r>
      <w:r w:rsidR="00F01A96" w:rsidRPr="00000849">
        <w:rPr>
          <w:rFonts w:asciiTheme="minorHAnsi" w:hAnsiTheme="minorHAnsi" w:cstheme="minorHAnsi"/>
          <w:color w:val="383838"/>
        </w:rPr>
      </w:r>
      <w:r w:rsidR="00F01A96" w:rsidRPr="00000849">
        <w:rPr>
          <w:rFonts w:asciiTheme="minorHAnsi" w:hAnsiTheme="minorHAnsi" w:cstheme="minorHAnsi"/>
          <w:color w:val="383838"/>
        </w:rPr>
        <w:fldChar w:fldCharType="separate"/>
      </w:r>
      <w:r w:rsidR="00F01A96" w:rsidRPr="00000849">
        <w:rPr>
          <w:rFonts w:asciiTheme="minorHAnsi" w:hAnsiTheme="minorHAnsi" w:cstheme="minorHAnsi"/>
          <w:noProof/>
          <w:color w:val="383838"/>
        </w:rPr>
        <w:t>Pilleron et al. (2017)</w:t>
      </w:r>
      <w:r w:rsidR="00F01A96" w:rsidRPr="00000849">
        <w:rPr>
          <w:rFonts w:asciiTheme="minorHAnsi" w:hAnsiTheme="minorHAnsi" w:cstheme="minorHAnsi"/>
          <w:color w:val="383838"/>
        </w:rPr>
        <w:fldChar w:fldCharType="end"/>
      </w:r>
      <w:r w:rsidR="00F01A96" w:rsidRPr="00000849">
        <w:rPr>
          <w:rFonts w:asciiTheme="minorHAnsi" w:hAnsiTheme="minorHAnsi" w:cstheme="minorHAnsi"/>
          <w:color w:val="383838"/>
        </w:rPr>
        <w:t xml:space="preserve"> who found that older adults in Congo and CAR who were jobless had a</w:t>
      </w:r>
      <w:r w:rsidR="003A3785" w:rsidRPr="00000849">
        <w:rPr>
          <w:rFonts w:asciiTheme="minorHAnsi" w:hAnsiTheme="minorHAnsi" w:cstheme="minorHAnsi"/>
          <w:color w:val="383838"/>
        </w:rPr>
        <w:t>n</w:t>
      </w:r>
      <w:r w:rsidR="00F01A96" w:rsidRPr="00000849">
        <w:rPr>
          <w:rFonts w:asciiTheme="minorHAnsi" w:hAnsiTheme="minorHAnsi" w:cstheme="minorHAnsi"/>
          <w:color w:val="383838"/>
        </w:rPr>
        <w:t xml:space="preserve"> 83% greater</w:t>
      </w:r>
      <w:r w:rsidR="00C95AAA" w:rsidRPr="00000849">
        <w:rPr>
          <w:rFonts w:asciiTheme="minorHAnsi" w:hAnsiTheme="minorHAnsi" w:cstheme="minorHAnsi"/>
          <w:color w:val="383838"/>
        </w:rPr>
        <w:t xml:space="preserve"> adjusted</w:t>
      </w:r>
      <w:r w:rsidR="00F01A96" w:rsidRPr="00000849">
        <w:rPr>
          <w:rFonts w:asciiTheme="minorHAnsi" w:hAnsiTheme="minorHAnsi" w:cstheme="minorHAnsi"/>
          <w:color w:val="383838"/>
        </w:rPr>
        <w:t xml:space="preserve"> risk of having hypertension</w:t>
      </w:r>
      <w:r w:rsidR="003A3785" w:rsidRPr="00000849">
        <w:rPr>
          <w:rFonts w:asciiTheme="minorHAnsi" w:hAnsiTheme="minorHAnsi" w:cstheme="minorHAnsi"/>
          <w:color w:val="383838"/>
        </w:rPr>
        <w:t xml:space="preserve"> when compared with</w:t>
      </w:r>
      <w:r w:rsidR="00C95AAA" w:rsidRPr="00000849">
        <w:rPr>
          <w:rFonts w:asciiTheme="minorHAnsi" w:hAnsiTheme="minorHAnsi" w:cstheme="minorHAnsi"/>
          <w:color w:val="383838"/>
        </w:rPr>
        <w:t xml:space="preserve"> those</w:t>
      </w:r>
      <w:r w:rsidR="003A3785" w:rsidRPr="00000849">
        <w:rPr>
          <w:rFonts w:asciiTheme="minorHAnsi" w:hAnsiTheme="minorHAnsi" w:cstheme="minorHAnsi"/>
          <w:color w:val="383838"/>
        </w:rPr>
        <w:t xml:space="preserve"> previous</w:t>
      </w:r>
      <w:r w:rsidR="00C95AAA" w:rsidRPr="00000849">
        <w:rPr>
          <w:rFonts w:asciiTheme="minorHAnsi" w:hAnsiTheme="minorHAnsi" w:cstheme="minorHAnsi"/>
          <w:color w:val="383838"/>
        </w:rPr>
        <w:t>ly employed</w:t>
      </w:r>
      <w:r w:rsidR="003A3785" w:rsidRPr="00000849">
        <w:rPr>
          <w:rFonts w:asciiTheme="minorHAnsi" w:hAnsiTheme="minorHAnsi" w:cstheme="minorHAnsi"/>
          <w:color w:val="383838"/>
        </w:rPr>
        <w:t xml:space="preserve"> </w:t>
      </w:r>
      <w:r w:rsidR="00C95AAA" w:rsidRPr="00000849">
        <w:rPr>
          <w:rFonts w:asciiTheme="minorHAnsi" w:hAnsiTheme="minorHAnsi" w:cstheme="minorHAnsi"/>
          <w:color w:val="383838"/>
        </w:rPr>
        <w:t>in the</w:t>
      </w:r>
      <w:r w:rsidR="003A3785" w:rsidRPr="00000849">
        <w:rPr>
          <w:rFonts w:asciiTheme="minorHAnsi" w:hAnsiTheme="minorHAnsi" w:cstheme="minorHAnsi"/>
          <w:color w:val="383838"/>
        </w:rPr>
        <w:t xml:space="preserve"> government </w:t>
      </w:r>
      <w:r w:rsidR="00C95AAA" w:rsidRPr="00000849">
        <w:rPr>
          <w:rFonts w:asciiTheme="minorHAnsi" w:hAnsiTheme="minorHAnsi" w:cstheme="minorHAnsi"/>
          <w:color w:val="383838"/>
        </w:rPr>
        <w:t>service</w:t>
      </w:r>
      <w:r w:rsidR="003A3785" w:rsidRPr="00000849">
        <w:rPr>
          <w:rFonts w:asciiTheme="minorHAnsi" w:hAnsiTheme="minorHAnsi" w:cstheme="minorHAnsi"/>
          <w:color w:val="383838"/>
        </w:rPr>
        <w:t xml:space="preserve">.  </w:t>
      </w:r>
      <w:r w:rsidR="00CA552D" w:rsidRPr="00000849">
        <w:rPr>
          <w:rFonts w:asciiTheme="minorHAnsi" w:hAnsiTheme="minorHAnsi" w:cstheme="minorHAnsi"/>
          <w:color w:val="383838"/>
        </w:rPr>
        <w:t xml:space="preserve">Previous occupation as farmer, fisherman, storekeeper or craftsman was similarly associated with hypertension.  </w:t>
      </w:r>
      <w:r w:rsidR="00285CA1" w:rsidRPr="00000849">
        <w:rPr>
          <w:rFonts w:asciiTheme="minorHAnsi" w:hAnsiTheme="minorHAnsi" w:cstheme="minorHAnsi"/>
          <w:color w:val="383838"/>
        </w:rPr>
        <w:t xml:space="preserve">Among older adults in Cameroon however, the relation between occupational type and hypertension was not statistically significant </w:t>
      </w:r>
      <w:r w:rsidR="00285CA1" w:rsidRPr="00000849">
        <w:rPr>
          <w:rFonts w:asciiTheme="minorHAnsi" w:hAnsiTheme="minorHAnsi" w:cstheme="minorHAnsi"/>
          <w:color w:val="383838"/>
        </w:rPr>
        <w:fldChar w:fldCharType="begin"/>
      </w:r>
      <w:r w:rsidR="00285CA1" w:rsidRPr="00000849">
        <w:rPr>
          <w:rFonts w:asciiTheme="minorHAnsi" w:hAnsiTheme="minorHAnsi" w:cstheme="minorHAnsi"/>
          <w:color w:val="383838"/>
        </w:rPr>
        <w:instrText xml:space="preserve"> ADDIN EN.CITE &lt;EndNote&gt;&lt;Cite&gt;&lt;Author&gt;Tianyi&lt;/Author&gt;&lt;Year&gt;2018&lt;/Year&gt;&lt;RecNum&gt;47&lt;/RecNum&gt;&lt;DisplayText&gt;(Tianyi et al., 2018)&lt;/DisplayText&gt;&lt;record&gt;&lt;rec-number&gt;47&lt;/rec-number&gt;&lt;foreign-keys&gt;&lt;key app="EN" db-id="pzfw02x58peadyevdp8vswt40etp25t5ddp0" timestamp="1533786270"&gt;47&lt;/key&gt;&lt;/foreign-keys&gt;&lt;ref-type name="Journal Article"&gt;17&lt;/ref-type&gt;&lt;contributors&gt;&lt;authors&gt;&lt;author&gt;Tianyi, Frank L&lt;/author&gt;&lt;author&gt;Agbor, Valirie N&lt;/author&gt;&lt;author&gt;Njamnshi, Alfred K %J Health Science Reports&lt;/author&gt;&lt;/authors&gt;&lt;/contributors&gt;&lt;titles&gt;&lt;title&gt;Prevalence, awareness, treatment, and control of hypertension in Cameroonians aged 50 years and older: A community‐based study&lt;/title&gt;&lt;secondary-title&gt;Health Science Reports&lt;/secondary-title&gt;&lt;/titles&gt;&lt;periodical&gt;&lt;full-title&gt;Health Science Reports&lt;/full-title&gt;&lt;abbr-1&gt;Health Sci Rep&lt;/abbr-1&gt;&lt;/periodical&gt;&lt;pages&gt;e44&lt;/pages&gt;&lt;volume&gt;1&lt;/volume&gt;&lt;number&gt;5&lt;/number&gt;&lt;dates&gt;&lt;year&gt;2018&lt;/year&gt;&lt;/dates&gt;&lt;isbn&gt;2398-8835&lt;/isbn&gt;&lt;urls&gt;&lt;/urls&gt;&lt;/record&gt;&lt;/Cite&gt;&lt;/EndNote&gt;</w:instrText>
      </w:r>
      <w:r w:rsidR="00285CA1" w:rsidRPr="00000849">
        <w:rPr>
          <w:rFonts w:asciiTheme="minorHAnsi" w:hAnsiTheme="minorHAnsi" w:cstheme="minorHAnsi"/>
          <w:color w:val="383838"/>
        </w:rPr>
        <w:fldChar w:fldCharType="separate"/>
      </w:r>
      <w:r w:rsidR="00285CA1" w:rsidRPr="00000849">
        <w:rPr>
          <w:rFonts w:asciiTheme="minorHAnsi" w:hAnsiTheme="minorHAnsi" w:cstheme="minorHAnsi"/>
          <w:noProof/>
          <w:color w:val="383838"/>
        </w:rPr>
        <w:t>(Tianyi et al., 2018)</w:t>
      </w:r>
      <w:r w:rsidR="00285CA1" w:rsidRPr="00000849">
        <w:rPr>
          <w:rFonts w:asciiTheme="minorHAnsi" w:hAnsiTheme="minorHAnsi" w:cstheme="minorHAnsi"/>
          <w:color w:val="383838"/>
        </w:rPr>
        <w:fldChar w:fldCharType="end"/>
      </w:r>
      <w:r w:rsidR="00285CA1" w:rsidRPr="00000849">
        <w:rPr>
          <w:rFonts w:asciiTheme="minorHAnsi" w:hAnsiTheme="minorHAnsi" w:cstheme="minorHAnsi"/>
          <w:color w:val="383838"/>
        </w:rPr>
        <w:t>.</w:t>
      </w:r>
    </w:p>
    <w:p w14:paraId="066A9873" w14:textId="269A35F0" w:rsidR="00947016" w:rsidRPr="00000849" w:rsidRDefault="00110A7B" w:rsidP="002D5EDB">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O</w:t>
      </w:r>
      <w:r w:rsidR="00522561" w:rsidRPr="00000849">
        <w:rPr>
          <w:rFonts w:asciiTheme="minorHAnsi" w:hAnsiTheme="minorHAnsi" w:cstheme="minorHAnsi"/>
          <w:color w:val="383838"/>
        </w:rPr>
        <w:t xml:space="preserve">ne </w:t>
      </w:r>
      <w:r w:rsidR="00A64542" w:rsidRPr="00000849">
        <w:rPr>
          <w:rFonts w:asciiTheme="minorHAnsi" w:hAnsiTheme="minorHAnsi" w:cstheme="minorHAnsi"/>
          <w:color w:val="383838"/>
        </w:rPr>
        <w:t xml:space="preserve">might </w:t>
      </w:r>
      <w:r w:rsidR="00522561" w:rsidRPr="00000849">
        <w:rPr>
          <w:rFonts w:asciiTheme="minorHAnsi" w:hAnsiTheme="minorHAnsi" w:cstheme="minorHAnsi"/>
          <w:color w:val="383838"/>
        </w:rPr>
        <w:t>expect</w:t>
      </w:r>
      <w:r w:rsidRPr="00000849">
        <w:rPr>
          <w:rFonts w:asciiTheme="minorHAnsi" w:hAnsiTheme="minorHAnsi" w:cstheme="minorHAnsi"/>
          <w:color w:val="383838"/>
        </w:rPr>
        <w:t xml:space="preserve"> th</w:t>
      </w:r>
      <w:r w:rsidR="00522561" w:rsidRPr="00000849">
        <w:rPr>
          <w:rFonts w:asciiTheme="minorHAnsi" w:hAnsiTheme="minorHAnsi" w:cstheme="minorHAnsi"/>
          <w:color w:val="383838"/>
        </w:rPr>
        <w:t xml:space="preserve">e occurrence of hypertension to follow a social gradient in which those in the higher socioeconomic class are a greater risk of hypertension. </w:t>
      </w:r>
      <w:r w:rsidRPr="00000849">
        <w:rPr>
          <w:rFonts w:asciiTheme="minorHAnsi" w:hAnsiTheme="minorHAnsi" w:cstheme="minorHAnsi"/>
          <w:color w:val="383838"/>
        </w:rPr>
        <w:t xml:space="preserve"> </w:t>
      </w:r>
      <w:r w:rsidR="00522561" w:rsidRPr="00000849">
        <w:rPr>
          <w:rFonts w:asciiTheme="minorHAnsi" w:hAnsiTheme="minorHAnsi" w:cstheme="minorHAnsi"/>
          <w:color w:val="383838"/>
        </w:rPr>
        <w:t xml:space="preserve">For example, in the civil servants study of Accra, those in the highest employment grade category were twice as likely to have hypertension as those in the lowest category </w:t>
      </w:r>
      <w:r w:rsidR="00522561"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&lt;EndNote&gt;&lt;Cite&gt;&lt;Author&gt;Addo&lt;/Author&gt;&lt;Year&gt;2009&lt;/Year&gt;&lt;RecNum&gt;1014&lt;/RecNum&gt;&lt;DisplayText&gt;(Addo et al., 2009b)&lt;/DisplayText&gt;&lt;record&gt;&lt;rec-number&gt;1014&lt;/rec-number&gt;&lt;foreign-keys&gt;&lt;key app="EN" db-id="9tzf2rda8re2a9es5tuxart3swzx2zws2s02" timestamp="1576290181"&gt;1014&lt;/key&gt;&lt;/foreign-keys&gt;&lt;ref-type name="Journal Article"&gt;17&lt;/ref-type&gt;&lt;contributors&gt;&lt;authors&gt;&lt;author&gt;Addo, Juliet&lt;/author&gt;&lt;author&gt;Smeeth, Liam&lt;/author&gt;&lt;author&gt;Leon, David A&lt;/author&gt;&lt;/authors&gt;&lt;/contributors&gt;&lt;titles&gt;&lt;title&gt;Socioeconomic position and hypertension: a study of urban civil servants in Ghana&lt;/title&gt;&lt;secondary-title&gt;Journal of Epidemiology &amp;amp; Community Health&lt;/secondary-title&gt;&lt;/titles&gt;&lt;periodical&gt;&lt;full-title&gt;Journal of Epidemiology &amp;amp; Community Health&lt;/full-title&gt;&lt;/periodical&gt;&lt;pages&gt;646-650&lt;/pages&gt;&lt;volume&gt;63&lt;/volume&gt;&lt;number&gt;8&lt;/number&gt;&lt;dates&gt;&lt;year&gt;2009&lt;/year&gt;&lt;/dates&gt;&lt;isbn&gt;0143-005X&lt;/isbn&gt;&lt;urls&gt;&lt;/urls&gt;&lt;/record&gt;&lt;/Cite&gt;&lt;/EndNote&gt;</w:instrText>
      </w:r>
      <w:r w:rsidR="00522561"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(Addo et al., 2009b)</w:t>
      </w:r>
      <w:r w:rsidR="00522561" w:rsidRPr="00000849">
        <w:rPr>
          <w:rFonts w:asciiTheme="minorHAnsi" w:hAnsiTheme="minorHAnsi" w:cstheme="minorHAnsi"/>
          <w:color w:val="383838"/>
        </w:rPr>
        <w:fldChar w:fldCharType="end"/>
      </w:r>
      <w:r w:rsidR="00522561" w:rsidRPr="00000849">
        <w:rPr>
          <w:rFonts w:asciiTheme="minorHAnsi" w:hAnsiTheme="minorHAnsi" w:cstheme="minorHAnsi"/>
          <w:color w:val="383838"/>
        </w:rPr>
        <w:t xml:space="preserve">. </w:t>
      </w:r>
      <w:r w:rsidR="00773DA3" w:rsidRPr="00000849">
        <w:rPr>
          <w:rFonts w:asciiTheme="minorHAnsi" w:hAnsiTheme="minorHAnsi" w:cstheme="minorHAnsi"/>
          <w:color w:val="383838"/>
        </w:rPr>
        <w:t xml:space="preserve"> </w:t>
      </w:r>
      <w:r w:rsidR="002D5EDB" w:rsidRPr="00000849">
        <w:rPr>
          <w:rFonts w:asciiTheme="minorHAnsi" w:hAnsiTheme="minorHAnsi" w:cstheme="minorHAnsi"/>
          <w:color w:val="383838"/>
        </w:rPr>
        <w:t xml:space="preserve">The odds of hypertension among the civil servants increased with the ownership of an increasing number of assets or amenities such as a flush toilet, </w:t>
      </w:r>
      <w:r w:rsidR="002D5EDB" w:rsidRPr="00000849">
        <w:rPr>
          <w:rFonts w:asciiTheme="minorHAnsi" w:hAnsiTheme="minorHAnsi" w:cstheme="minorHAnsi"/>
          <w:color w:val="383838"/>
        </w:rPr>
        <w:lastRenderedPageBreak/>
        <w:t xml:space="preserve">electricity, a refrigerator, a family car and a television.  Similarly, in the GDHS 2014, the adjusted odds associated </w:t>
      </w:r>
      <w:r w:rsidR="00437DC3" w:rsidRPr="00000849">
        <w:rPr>
          <w:rFonts w:asciiTheme="minorHAnsi" w:hAnsiTheme="minorHAnsi" w:cstheme="minorHAnsi"/>
          <w:color w:val="383838"/>
        </w:rPr>
        <w:t xml:space="preserve">increased with increasing wealth, with the differences between each of the richest three quintiles and the reference quintile group being statistically significant </w:t>
      </w:r>
      <w:r w:rsidR="00437DC3" w:rsidRPr="00000849">
        <w:rPr>
          <w:rFonts w:asciiTheme="minorHAnsi" w:hAnsiTheme="minorHAnsi" w:cstheme="minorHAnsi"/>
          <w:color w:val="383838"/>
        </w:rPr>
        <w:fldChar w:fldCharType="begin"/>
      </w:r>
      <w:r w:rsidR="00437DC3" w:rsidRPr="00000849">
        <w:rPr>
          <w:rFonts w:asciiTheme="minorHAnsi" w:hAnsiTheme="minorHAnsi" w:cstheme="minorHAnsi"/>
          <w:color w:val="383838"/>
        </w:rPr>
        <w:instrText xml:space="preserve"> ADDIN EN.CITE &lt;EndNote&gt;&lt;Cite&gt;&lt;Author&gt;Sanuade&lt;/Author&gt;&lt;Year&gt;2018&lt;/Year&gt;&lt;RecNum&gt;1015&lt;/RecNum&gt;&lt;DisplayText&gt;(Sanuade et al., 2018)&lt;/DisplayText&gt;&lt;record&gt;&lt;rec-number&gt;1015&lt;/rec-number&gt;&lt;foreign-keys&gt;&lt;key app="EN" db-id="9tzf2rda8re2a9es5tuxart3swzx2zws2s02" timestamp="1576328331"&gt;1015&lt;/key&gt;&lt;/foreign-keys&gt;&lt;ref-type name="Journal Article"&gt;17&lt;/ref-type&gt;&lt;contributors&gt;&lt;authors&gt;&lt;author&gt;Sanuade, Olutobi Adekunle&lt;/author&gt;&lt;author&gt;Boatemaa, Sandra&lt;/author&gt;&lt;author&gt;Kushitor, Mawuli Komla&lt;/author&gt;&lt;/authors&gt;&lt;/contributors&gt;&lt;titles&gt;&lt;title&gt;Hypertension prevalence, awareness, treatment and control in Ghanaian population: Evidence from the Ghana demographic and health survey&lt;/title&gt;&lt;secondary-title&gt;PloS one&lt;/secondary-title&gt;&lt;/titles&gt;&lt;periodical&gt;&lt;full-title&gt;PLoS One&lt;/full-title&gt;&lt;/periodical&gt;&lt;pages&gt;e0205985&lt;/pages&gt;&lt;volume&gt;13&lt;/volume&gt;&lt;number&gt;11&lt;/number&gt;&lt;dates&gt;&lt;year&gt;2018&lt;/year&gt;&lt;/dates&gt;&lt;isbn&gt;1932-6203&lt;/isbn&gt;&lt;urls&gt;&lt;/urls&gt;&lt;/record&gt;&lt;/Cite&gt;&lt;/EndNote&gt;</w:instrText>
      </w:r>
      <w:r w:rsidR="00437DC3" w:rsidRPr="00000849">
        <w:rPr>
          <w:rFonts w:asciiTheme="minorHAnsi" w:hAnsiTheme="minorHAnsi" w:cstheme="minorHAnsi"/>
          <w:color w:val="383838"/>
        </w:rPr>
        <w:fldChar w:fldCharType="separate"/>
      </w:r>
      <w:r w:rsidR="00437DC3" w:rsidRPr="00000849">
        <w:rPr>
          <w:rFonts w:asciiTheme="minorHAnsi" w:hAnsiTheme="minorHAnsi" w:cstheme="minorHAnsi"/>
          <w:noProof/>
          <w:color w:val="383838"/>
        </w:rPr>
        <w:t>(Sanuade et al., 2018)</w:t>
      </w:r>
      <w:r w:rsidR="00437DC3" w:rsidRPr="00000849">
        <w:rPr>
          <w:rFonts w:asciiTheme="minorHAnsi" w:hAnsiTheme="minorHAnsi" w:cstheme="minorHAnsi"/>
          <w:color w:val="383838"/>
        </w:rPr>
        <w:fldChar w:fldCharType="end"/>
      </w:r>
      <w:r w:rsidR="00437DC3" w:rsidRPr="00000849">
        <w:rPr>
          <w:rFonts w:asciiTheme="minorHAnsi" w:hAnsiTheme="minorHAnsi" w:cstheme="minorHAnsi"/>
          <w:color w:val="383838"/>
        </w:rPr>
        <w:t>.</w:t>
      </w:r>
      <w:r w:rsidR="00CA7CEE" w:rsidRPr="00000849">
        <w:rPr>
          <w:rFonts w:asciiTheme="minorHAnsi" w:hAnsiTheme="minorHAnsi" w:cstheme="minorHAnsi"/>
          <w:color w:val="383838"/>
        </w:rPr>
        <w:t xml:space="preserve">  </w:t>
      </w:r>
      <w:r w:rsidR="00C478B1" w:rsidRPr="00000849">
        <w:rPr>
          <w:rFonts w:asciiTheme="minorHAnsi" w:hAnsiTheme="minorHAnsi" w:cstheme="minorHAnsi"/>
          <w:color w:val="383838"/>
        </w:rPr>
        <w:t>However,</w:t>
      </w:r>
      <w:r w:rsidR="00CA7CEE" w:rsidRPr="00000849">
        <w:rPr>
          <w:rFonts w:asciiTheme="minorHAnsi" w:hAnsiTheme="minorHAnsi" w:cstheme="minorHAnsi"/>
          <w:color w:val="383838"/>
        </w:rPr>
        <w:t xml:space="preserve"> </w:t>
      </w:r>
      <w:r w:rsidR="00C478B1" w:rsidRPr="00000849">
        <w:rPr>
          <w:rFonts w:asciiTheme="minorHAnsi" w:hAnsiTheme="minorHAnsi" w:cstheme="minorHAnsi"/>
          <w:color w:val="383838"/>
        </w:rPr>
        <w:t xml:space="preserve">the relationship between </w:t>
      </w:r>
      <w:r w:rsidR="00CA7CEE" w:rsidRPr="00000849">
        <w:rPr>
          <w:rFonts w:asciiTheme="minorHAnsi" w:hAnsiTheme="minorHAnsi" w:cstheme="minorHAnsi"/>
          <w:color w:val="383838"/>
        </w:rPr>
        <w:t xml:space="preserve">wealth quintiles </w:t>
      </w:r>
      <w:r w:rsidR="00410C93" w:rsidRPr="00000849">
        <w:rPr>
          <w:rFonts w:asciiTheme="minorHAnsi" w:hAnsiTheme="minorHAnsi" w:cstheme="minorHAnsi"/>
          <w:color w:val="383838"/>
        </w:rPr>
        <w:t xml:space="preserve">and hypertension </w:t>
      </w:r>
      <w:r w:rsidR="00CA7CEE" w:rsidRPr="00000849">
        <w:rPr>
          <w:rFonts w:asciiTheme="minorHAnsi" w:hAnsiTheme="minorHAnsi" w:cstheme="minorHAnsi"/>
          <w:color w:val="383838"/>
        </w:rPr>
        <w:t>w</w:t>
      </w:r>
      <w:r w:rsidR="00410C93" w:rsidRPr="00000849">
        <w:rPr>
          <w:rFonts w:asciiTheme="minorHAnsi" w:hAnsiTheme="minorHAnsi" w:cstheme="minorHAnsi"/>
          <w:color w:val="383838"/>
        </w:rPr>
        <w:t>as</w:t>
      </w:r>
      <w:r w:rsidR="00CA7CEE" w:rsidRPr="00000849">
        <w:rPr>
          <w:rFonts w:asciiTheme="minorHAnsi" w:hAnsiTheme="minorHAnsi" w:cstheme="minorHAnsi"/>
          <w:color w:val="383838"/>
        </w:rPr>
        <w:t xml:space="preserve"> </w:t>
      </w:r>
      <w:r w:rsidR="00C478B1" w:rsidRPr="00000849">
        <w:rPr>
          <w:rFonts w:asciiTheme="minorHAnsi" w:hAnsiTheme="minorHAnsi" w:cstheme="minorHAnsi"/>
          <w:color w:val="383838"/>
        </w:rPr>
        <w:t>less remarkable</w:t>
      </w:r>
      <w:r w:rsidR="00CA7CEE" w:rsidRPr="00000849">
        <w:rPr>
          <w:rFonts w:asciiTheme="minorHAnsi" w:hAnsiTheme="minorHAnsi" w:cstheme="minorHAnsi"/>
          <w:color w:val="383838"/>
        </w:rPr>
        <w:t xml:space="preserve"> in older adults</w:t>
      </w:r>
      <w:r w:rsidR="00C478B1" w:rsidRPr="00000849">
        <w:rPr>
          <w:rFonts w:asciiTheme="minorHAnsi" w:hAnsiTheme="minorHAnsi" w:cstheme="minorHAnsi"/>
          <w:color w:val="383838"/>
        </w:rPr>
        <w:t xml:space="preserve"> in Ghana</w:t>
      </w:r>
      <w:r w:rsidR="007310DA" w:rsidRPr="00000849">
        <w:rPr>
          <w:rFonts w:asciiTheme="minorHAnsi" w:hAnsiTheme="minorHAnsi" w:cstheme="minorHAnsi"/>
          <w:color w:val="383838"/>
        </w:rPr>
        <w:t xml:space="preserve"> or </w:t>
      </w:r>
      <w:r w:rsidR="00CA7CEE" w:rsidRPr="00000849">
        <w:rPr>
          <w:rFonts w:asciiTheme="minorHAnsi" w:hAnsiTheme="minorHAnsi" w:cstheme="minorHAnsi"/>
          <w:color w:val="383838"/>
        </w:rPr>
        <w:t xml:space="preserve">in South Africa </w:t>
      </w:r>
      <w:r w:rsidR="00BA4907" w:rsidRPr="00000849">
        <w:rPr>
          <w:rFonts w:asciiTheme="minorHAnsi" w:hAnsiTheme="minorHAnsi" w:cstheme="minorHAnsi"/>
          <w:color w:val="383838"/>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BA4907" w:rsidRPr="00000849">
        <w:rPr>
          <w:rFonts w:asciiTheme="minorHAnsi" w:hAnsiTheme="minorHAnsi" w:cstheme="minorHAnsi"/>
          <w:color w:val="383838"/>
        </w:rPr>
      </w:r>
      <w:r w:rsidR="00BA4907" w:rsidRPr="00000849">
        <w:rPr>
          <w:rFonts w:asciiTheme="minorHAnsi" w:hAnsiTheme="minorHAnsi" w:cstheme="minorHAnsi"/>
          <w:color w:val="383838"/>
        </w:rPr>
        <w:fldChar w:fldCharType="separate"/>
      </w:r>
      <w:r w:rsidR="00CD7B29">
        <w:rPr>
          <w:rFonts w:asciiTheme="minorHAnsi" w:hAnsiTheme="minorHAnsi" w:cstheme="minorHAnsi"/>
          <w:noProof/>
          <w:color w:val="383838"/>
        </w:rPr>
        <w:t>(Lloyd-Sherlock et al., 2014)</w:t>
      </w:r>
      <w:r w:rsidR="00BA4907" w:rsidRPr="00000849">
        <w:rPr>
          <w:rFonts w:asciiTheme="minorHAnsi" w:hAnsiTheme="minorHAnsi" w:cstheme="minorHAnsi"/>
          <w:color w:val="383838"/>
        </w:rPr>
        <w:fldChar w:fldCharType="end"/>
      </w:r>
      <w:r w:rsidR="00CA7CEE" w:rsidRPr="00000849">
        <w:rPr>
          <w:rFonts w:asciiTheme="minorHAnsi" w:hAnsiTheme="minorHAnsi" w:cstheme="minorHAnsi"/>
          <w:color w:val="383838"/>
        </w:rPr>
        <w:t>.</w:t>
      </w:r>
      <w:r w:rsidR="004B60D8" w:rsidRPr="00000849">
        <w:rPr>
          <w:rFonts w:asciiTheme="minorHAnsi" w:hAnsiTheme="minorHAnsi" w:cstheme="minorHAnsi"/>
          <w:color w:val="383838"/>
        </w:rPr>
        <w:t xml:space="preserve">  In the current analysis, a </w:t>
      </w:r>
      <w:r w:rsidR="004D16FC" w:rsidRPr="00000849">
        <w:rPr>
          <w:rFonts w:asciiTheme="minorHAnsi" w:hAnsiTheme="minorHAnsi" w:cstheme="minorHAnsi"/>
          <w:color w:val="383838"/>
        </w:rPr>
        <w:t xml:space="preserve">statistically significant </w:t>
      </w:r>
      <w:r w:rsidR="004B60D8" w:rsidRPr="00000849">
        <w:rPr>
          <w:rFonts w:asciiTheme="minorHAnsi" w:hAnsiTheme="minorHAnsi" w:cstheme="minorHAnsi"/>
          <w:color w:val="383838"/>
        </w:rPr>
        <w:t xml:space="preserve">dose response relationship </w:t>
      </w:r>
      <w:r w:rsidR="004D16FC" w:rsidRPr="00000849">
        <w:rPr>
          <w:rFonts w:asciiTheme="minorHAnsi" w:hAnsiTheme="minorHAnsi" w:cstheme="minorHAnsi"/>
          <w:color w:val="383838"/>
        </w:rPr>
        <w:t>between wealth quintiles and hypertension was only observed in the crude but not the multivariable analyses.</w:t>
      </w:r>
    </w:p>
    <w:p w14:paraId="17A6015C" w14:textId="6F1E64E9" w:rsidR="003A3250" w:rsidRPr="00000849" w:rsidRDefault="003A3250" w:rsidP="002D5EDB">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There was </w:t>
      </w:r>
      <w:r w:rsidR="005512B0" w:rsidRPr="00000849">
        <w:rPr>
          <w:rFonts w:asciiTheme="minorHAnsi" w:hAnsiTheme="minorHAnsi" w:cstheme="minorHAnsi"/>
          <w:color w:val="383838"/>
        </w:rPr>
        <w:t xml:space="preserve">some </w:t>
      </w:r>
      <w:r w:rsidRPr="00000849">
        <w:rPr>
          <w:rFonts w:asciiTheme="minorHAnsi" w:hAnsiTheme="minorHAnsi" w:cstheme="minorHAnsi"/>
          <w:color w:val="383838"/>
        </w:rPr>
        <w:t xml:space="preserve">evidence of a protective effect of </w:t>
      </w:r>
      <w:r w:rsidR="00665445" w:rsidRPr="00000849">
        <w:rPr>
          <w:rFonts w:asciiTheme="minorHAnsi" w:hAnsiTheme="minorHAnsi" w:cstheme="minorHAnsi"/>
          <w:color w:val="383838"/>
        </w:rPr>
        <w:t>higher-level</w:t>
      </w:r>
      <w:r w:rsidRPr="00000849">
        <w:rPr>
          <w:rFonts w:asciiTheme="minorHAnsi" w:hAnsiTheme="minorHAnsi" w:cstheme="minorHAnsi"/>
          <w:color w:val="383838"/>
        </w:rPr>
        <w:t xml:space="preserve"> education among older adults in only the SAGE Ghana W1</w:t>
      </w:r>
      <w:r w:rsidR="007310DA" w:rsidRPr="00000849">
        <w:rPr>
          <w:rFonts w:asciiTheme="minorHAnsi" w:hAnsiTheme="minorHAnsi" w:cstheme="minorHAnsi"/>
          <w:color w:val="383838"/>
        </w:rPr>
        <w:t xml:space="preserve">, as in </w:t>
      </w:r>
      <w:r w:rsidRPr="00000849">
        <w:rPr>
          <w:rFonts w:asciiTheme="minorHAnsi" w:hAnsiTheme="minorHAnsi" w:cstheme="minorHAnsi"/>
          <w:color w:val="383838"/>
        </w:rPr>
        <w:t>South Africa</w:t>
      </w:r>
      <w:r w:rsidR="007310DA" w:rsidRPr="00000849">
        <w:rPr>
          <w:rFonts w:asciiTheme="minorHAnsi" w:hAnsiTheme="minorHAnsi" w:cstheme="minorHAnsi"/>
          <w:color w:val="383838"/>
        </w:rPr>
        <w:t xml:space="preserve"> </w:t>
      </w:r>
      <w:r w:rsidR="00D4507C" w:rsidRPr="00000849">
        <w:rPr>
          <w:rFonts w:asciiTheme="minorHAnsi" w:hAnsiTheme="minorHAnsi" w:cstheme="minorHAnsi"/>
          <w:color w:val="383838"/>
        </w:rPr>
        <w:fldChar w:fldCharType="begin">
          <w:fldData xml:space="preserve">PEVuZE5vdGU+PENpdGU+PEF1dGhvcj5MbG95ZC1TaGVybG9jazwvQXV0aG9yPjxZZWFyPjIwMTc8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PEVuZE5vdGU+PENpdGU+PEF1dGhvcj5MbG95ZC1TaGVybG9jazwvQXV0aG9yPjxZZWFyPjIwMTc8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D4507C" w:rsidRPr="00000849">
        <w:rPr>
          <w:rFonts w:asciiTheme="minorHAnsi" w:hAnsiTheme="minorHAnsi" w:cstheme="minorHAnsi"/>
          <w:color w:val="383838"/>
        </w:rPr>
      </w:r>
      <w:r w:rsidR="00D4507C"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(Lloyd-Sherlock et al., 2017; Tyrovolas et al., 2015)</w:t>
      </w:r>
      <w:r w:rsidR="00D4507C" w:rsidRPr="00000849">
        <w:rPr>
          <w:rFonts w:asciiTheme="minorHAnsi" w:hAnsiTheme="minorHAnsi" w:cstheme="minorHAnsi"/>
          <w:color w:val="383838"/>
        </w:rPr>
        <w:fldChar w:fldCharType="end"/>
      </w:r>
      <w:r w:rsidR="00D4507C" w:rsidRPr="00000849">
        <w:rPr>
          <w:rFonts w:asciiTheme="minorHAnsi" w:hAnsiTheme="minorHAnsi" w:cstheme="minorHAnsi"/>
          <w:color w:val="383838"/>
        </w:rPr>
        <w:t xml:space="preserve">.  </w:t>
      </w:r>
      <w:r w:rsidR="007310DA" w:rsidRPr="00000849">
        <w:rPr>
          <w:rFonts w:asciiTheme="minorHAnsi" w:hAnsiTheme="minorHAnsi" w:cstheme="minorHAnsi"/>
          <w:color w:val="383838"/>
        </w:rPr>
        <w:t xml:space="preserve">This contrasts with the situation </w:t>
      </w:r>
      <w:r w:rsidR="006C36A2" w:rsidRPr="00000849">
        <w:rPr>
          <w:rFonts w:asciiTheme="minorHAnsi" w:hAnsiTheme="minorHAnsi" w:cstheme="minorHAnsi"/>
          <w:color w:val="383838"/>
        </w:rPr>
        <w:t>among</w:t>
      </w:r>
      <w:r w:rsidR="007310DA" w:rsidRPr="00000849">
        <w:rPr>
          <w:rFonts w:asciiTheme="minorHAnsi" w:hAnsiTheme="minorHAnsi" w:cstheme="minorHAnsi"/>
          <w:color w:val="383838"/>
        </w:rPr>
        <w:t xml:space="preserve"> older adults in </w:t>
      </w:r>
      <w:r w:rsidR="00D4507C" w:rsidRPr="00000849">
        <w:rPr>
          <w:rFonts w:asciiTheme="minorHAnsi" w:hAnsiTheme="minorHAnsi" w:cstheme="minorHAnsi"/>
          <w:color w:val="383838"/>
        </w:rPr>
        <w:t xml:space="preserve">other African </w:t>
      </w:r>
      <w:r w:rsidR="007310DA" w:rsidRPr="00000849">
        <w:rPr>
          <w:rFonts w:asciiTheme="minorHAnsi" w:hAnsiTheme="minorHAnsi" w:cstheme="minorHAnsi"/>
          <w:color w:val="383838"/>
        </w:rPr>
        <w:t xml:space="preserve">countries </w:t>
      </w:r>
      <w:r w:rsidR="00D4507C" w:rsidRPr="00000849">
        <w:rPr>
          <w:rFonts w:asciiTheme="minorHAnsi" w:hAnsiTheme="minorHAnsi" w:cstheme="minorHAnsi"/>
          <w:color w:val="383838"/>
        </w:rPr>
        <w:t xml:space="preserve"> </w:t>
      </w:r>
      <w:r w:rsidR="00A95C08" w:rsidRPr="00000849">
        <w:rPr>
          <w:rFonts w:asciiTheme="minorHAnsi" w:hAnsiTheme="minorHAnsi" w:cstheme="minorHAnsi"/>
          <w:color w:val="383838"/>
        </w:rPr>
        <w:fldChar w:fldCharType="begin">
          <w:fldData xml:space="preserve">PEVuZE5vdGU+PENpdGU+PEF1dGhvcj5IYW1tYW1pPC9BdXRob3I+PFllYXI+MjAxMTwvWWVhcj48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PEVuZE5vdGU+PENpdGU+PEF1dGhvcj5IYW1tYW1pPC9BdXRob3I+PFllYXI+MjAxMTwvWWVhcj48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A95C08" w:rsidRPr="00000849">
        <w:rPr>
          <w:rFonts w:asciiTheme="minorHAnsi" w:hAnsiTheme="minorHAnsi" w:cstheme="minorHAnsi"/>
          <w:color w:val="383838"/>
        </w:rPr>
      </w:r>
      <w:r w:rsidR="00A95C08" w:rsidRPr="00000849">
        <w:rPr>
          <w:rFonts w:asciiTheme="minorHAnsi" w:hAnsiTheme="minorHAnsi" w:cstheme="minorHAnsi"/>
          <w:color w:val="383838"/>
        </w:rPr>
        <w:fldChar w:fldCharType="separate"/>
      </w:r>
      <w:r w:rsidR="00000849" w:rsidRPr="00000849">
        <w:rPr>
          <w:rFonts w:asciiTheme="minorHAnsi" w:hAnsiTheme="minorHAnsi" w:cstheme="minorHAnsi"/>
          <w:noProof/>
          <w:color w:val="383838"/>
        </w:rPr>
        <w:t>(Hammami et al., 2011; Macia et al., 2012; Scholten et al., 2011)</w:t>
      </w:r>
      <w:r w:rsidR="00A95C08" w:rsidRPr="00000849">
        <w:rPr>
          <w:rFonts w:asciiTheme="minorHAnsi" w:hAnsiTheme="minorHAnsi" w:cstheme="minorHAnsi"/>
          <w:color w:val="383838"/>
        </w:rPr>
        <w:fldChar w:fldCharType="end"/>
      </w:r>
      <w:r w:rsidR="007310DA" w:rsidRPr="00000849">
        <w:rPr>
          <w:rFonts w:asciiTheme="minorHAnsi" w:hAnsiTheme="minorHAnsi" w:cstheme="minorHAnsi"/>
          <w:color w:val="383838"/>
        </w:rPr>
        <w:t xml:space="preserve"> or </w:t>
      </w:r>
      <w:r w:rsidR="006C36A2" w:rsidRPr="00000849">
        <w:rPr>
          <w:rFonts w:asciiTheme="minorHAnsi" w:hAnsiTheme="minorHAnsi" w:cstheme="minorHAnsi"/>
          <w:color w:val="383838"/>
        </w:rPr>
        <w:t xml:space="preserve">among </w:t>
      </w:r>
      <w:r w:rsidR="007310DA" w:rsidRPr="00000849">
        <w:rPr>
          <w:rFonts w:asciiTheme="minorHAnsi" w:hAnsiTheme="minorHAnsi" w:cstheme="minorHAnsi"/>
          <w:color w:val="383838"/>
        </w:rPr>
        <w:t>younger subjects i</w:t>
      </w:r>
      <w:r w:rsidR="00A95C08" w:rsidRPr="00000849">
        <w:rPr>
          <w:rFonts w:asciiTheme="minorHAnsi" w:hAnsiTheme="minorHAnsi" w:cstheme="minorHAnsi"/>
          <w:color w:val="383838"/>
        </w:rPr>
        <w:t xml:space="preserve">n the GDHS 2014 </w:t>
      </w:r>
      <w:r w:rsidR="007310DA" w:rsidRPr="00000849">
        <w:rPr>
          <w:rFonts w:asciiTheme="minorHAnsi" w:hAnsiTheme="minorHAnsi" w:cstheme="minorHAnsi"/>
          <w:color w:val="383838"/>
        </w:rPr>
        <w:t>in Ghana</w:t>
      </w:r>
      <w:r w:rsidR="00A95C08" w:rsidRPr="00000849">
        <w:rPr>
          <w:rFonts w:asciiTheme="minorHAnsi" w:hAnsiTheme="minorHAnsi" w:cstheme="minorHAnsi"/>
          <w:color w:val="383838"/>
        </w:rPr>
        <w:t xml:space="preserve">, </w:t>
      </w:r>
      <w:r w:rsidR="007310DA" w:rsidRPr="00000849">
        <w:rPr>
          <w:rFonts w:asciiTheme="minorHAnsi" w:hAnsiTheme="minorHAnsi" w:cstheme="minorHAnsi"/>
          <w:color w:val="383838"/>
        </w:rPr>
        <w:t xml:space="preserve">where education </w:t>
      </w:r>
      <w:r w:rsidR="00A95C08" w:rsidRPr="00000849">
        <w:rPr>
          <w:rFonts w:asciiTheme="minorHAnsi" w:hAnsiTheme="minorHAnsi" w:cstheme="minorHAnsi"/>
          <w:color w:val="383838"/>
        </w:rPr>
        <w:t xml:space="preserve">was not significantly associated with hypertension </w:t>
      </w:r>
      <w:r w:rsidR="00A95C08" w:rsidRPr="00000849">
        <w:rPr>
          <w:rFonts w:asciiTheme="minorHAnsi" w:hAnsiTheme="minorHAnsi" w:cstheme="minorHAnsi"/>
          <w:color w:val="383838"/>
        </w:rPr>
        <w:fldChar w:fldCharType="begin"/>
      </w:r>
      <w:r w:rsidR="00A95C08" w:rsidRPr="00000849">
        <w:rPr>
          <w:rFonts w:asciiTheme="minorHAnsi" w:hAnsiTheme="minorHAnsi" w:cstheme="minorHAnsi"/>
          <w:color w:val="383838"/>
        </w:rPr>
        <w:instrText xml:space="preserve"> ADDIN EN.CITE &lt;EndNote&gt;&lt;Cite&gt;&lt;Author&gt;Sanuade&lt;/Author&gt;&lt;Year&gt;2018&lt;/Year&gt;&lt;RecNum&gt;1015&lt;/RecNum&gt;&lt;DisplayText&gt;(Sanuade et al., 2018)&lt;/DisplayText&gt;&lt;record&gt;&lt;rec-number&gt;1015&lt;/rec-number&gt;&lt;foreign-keys&gt;&lt;key app="EN" db-id="9tzf2rda8re2a9es5tuxart3swzx2zws2s02" timestamp="1576328331"&gt;1015&lt;/key&gt;&lt;/foreign-keys&gt;&lt;ref-type name="Journal Article"&gt;17&lt;/ref-type&gt;&lt;contributors&gt;&lt;authors&gt;&lt;author&gt;Sanuade, Olutobi Adekunle&lt;/author&gt;&lt;author&gt;Boatemaa, Sandra&lt;/author&gt;&lt;author&gt;Kushitor, Mawuli Komla&lt;/author&gt;&lt;/authors&gt;&lt;/contributors&gt;&lt;titles&gt;&lt;title&gt;Hypertension prevalence, awareness, treatment and control in Ghanaian population: Evidence from the Ghana demographic and health survey&lt;/title&gt;&lt;secondary-title&gt;PloS one&lt;/secondary-title&gt;&lt;/titles&gt;&lt;periodical&gt;&lt;full-title&gt;PLoS One&lt;/full-title&gt;&lt;/periodical&gt;&lt;pages&gt;e0205985&lt;/pages&gt;&lt;volume&gt;13&lt;/volume&gt;&lt;number&gt;11&lt;/number&gt;&lt;dates&gt;&lt;year&gt;2018&lt;/year&gt;&lt;/dates&gt;&lt;isbn&gt;1932-6203&lt;/isbn&gt;&lt;urls&gt;&lt;/urls&gt;&lt;/record&gt;&lt;/Cite&gt;&lt;/EndNote&gt;</w:instrText>
      </w:r>
      <w:r w:rsidR="00A95C08" w:rsidRPr="00000849">
        <w:rPr>
          <w:rFonts w:asciiTheme="minorHAnsi" w:hAnsiTheme="minorHAnsi" w:cstheme="minorHAnsi"/>
          <w:color w:val="383838"/>
        </w:rPr>
        <w:fldChar w:fldCharType="separate"/>
      </w:r>
      <w:r w:rsidR="00A95C08" w:rsidRPr="00000849">
        <w:rPr>
          <w:rFonts w:asciiTheme="minorHAnsi" w:hAnsiTheme="minorHAnsi" w:cstheme="minorHAnsi"/>
          <w:noProof/>
          <w:color w:val="383838"/>
        </w:rPr>
        <w:t>(Sanuade et al., 2018)</w:t>
      </w:r>
      <w:r w:rsidR="00A95C08" w:rsidRPr="00000849">
        <w:rPr>
          <w:rFonts w:asciiTheme="minorHAnsi" w:hAnsiTheme="minorHAnsi" w:cstheme="minorHAnsi"/>
          <w:color w:val="383838"/>
        </w:rPr>
        <w:fldChar w:fldCharType="end"/>
      </w:r>
      <w:r w:rsidR="00A95C08" w:rsidRPr="00000849">
        <w:rPr>
          <w:rFonts w:asciiTheme="minorHAnsi" w:hAnsiTheme="minorHAnsi" w:cstheme="minorHAnsi"/>
          <w:color w:val="383838"/>
        </w:rPr>
        <w:t>.</w:t>
      </w:r>
    </w:p>
    <w:p w14:paraId="68FBFAE0" w14:textId="7300C30F" w:rsidR="008D53FB" w:rsidRPr="00000849" w:rsidRDefault="00537B19" w:rsidP="007310DA">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Overall, the relationship</w:t>
      </w:r>
      <w:r w:rsidR="007310DA" w:rsidRPr="00000849">
        <w:rPr>
          <w:rFonts w:asciiTheme="minorHAnsi" w:hAnsiTheme="minorHAnsi" w:cstheme="minorHAnsi"/>
          <w:color w:val="383838"/>
        </w:rPr>
        <w:t>s</w:t>
      </w:r>
      <w:r w:rsidRPr="00000849">
        <w:rPr>
          <w:rFonts w:asciiTheme="minorHAnsi" w:hAnsiTheme="minorHAnsi" w:cstheme="minorHAnsi"/>
          <w:color w:val="383838"/>
        </w:rPr>
        <w:t xml:space="preserve"> between socio-economic determinants </w:t>
      </w:r>
      <w:r w:rsidR="009A1912" w:rsidRPr="00000849">
        <w:rPr>
          <w:rFonts w:asciiTheme="minorHAnsi" w:hAnsiTheme="minorHAnsi" w:cstheme="minorHAnsi"/>
          <w:color w:val="383838"/>
        </w:rPr>
        <w:t xml:space="preserve">(education and wealth quintiles) </w:t>
      </w:r>
      <w:r w:rsidRPr="00000849">
        <w:rPr>
          <w:rFonts w:asciiTheme="minorHAnsi" w:hAnsiTheme="minorHAnsi" w:cstheme="minorHAnsi"/>
          <w:color w:val="383838"/>
        </w:rPr>
        <w:t xml:space="preserve">and hypertension in older adults in Ghana were inconsistent.  </w:t>
      </w:r>
      <w:r w:rsidR="003D5D59" w:rsidRPr="00000849">
        <w:rPr>
          <w:rFonts w:asciiTheme="minorHAnsi" w:hAnsiTheme="minorHAnsi" w:cstheme="minorHAnsi"/>
          <w:color w:val="383838"/>
        </w:rPr>
        <w:t xml:space="preserve">Similar </w:t>
      </w:r>
      <w:r w:rsidR="0027263E" w:rsidRPr="00000849">
        <w:rPr>
          <w:rFonts w:asciiTheme="minorHAnsi" w:hAnsiTheme="minorHAnsi" w:cstheme="minorHAnsi"/>
          <w:color w:val="383838"/>
        </w:rPr>
        <w:t>inconsisten</w:t>
      </w:r>
      <w:r w:rsidR="003D5D59" w:rsidRPr="00000849">
        <w:rPr>
          <w:rFonts w:asciiTheme="minorHAnsi" w:hAnsiTheme="minorHAnsi" w:cstheme="minorHAnsi"/>
          <w:color w:val="383838"/>
        </w:rPr>
        <w:t>t associations</w:t>
      </w:r>
      <w:r w:rsidR="0027263E" w:rsidRPr="00000849">
        <w:rPr>
          <w:rFonts w:asciiTheme="minorHAnsi" w:hAnsiTheme="minorHAnsi" w:cstheme="minorHAnsi"/>
          <w:color w:val="383838"/>
        </w:rPr>
        <w:t xml:space="preserve"> ha</w:t>
      </w:r>
      <w:r w:rsidR="006E17D8" w:rsidRPr="00000849">
        <w:rPr>
          <w:rFonts w:asciiTheme="minorHAnsi" w:hAnsiTheme="minorHAnsi" w:cstheme="minorHAnsi"/>
          <w:color w:val="383838"/>
        </w:rPr>
        <w:t>ve</w:t>
      </w:r>
      <w:r w:rsidR="0027263E" w:rsidRPr="00000849">
        <w:rPr>
          <w:rFonts w:asciiTheme="minorHAnsi" w:hAnsiTheme="minorHAnsi" w:cstheme="minorHAnsi"/>
          <w:color w:val="383838"/>
        </w:rPr>
        <w:t xml:space="preserve"> also been reported in a systematic review of the determinants of hypertension in older adults in Africa </w:t>
      </w:r>
      <w:r w:rsidR="0027263E"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27263E" w:rsidRPr="00000849">
        <w:rPr>
          <w:rFonts w:asciiTheme="minorHAnsi" w:hAnsiTheme="minorHAnsi" w:cstheme="minorHAnsi"/>
          <w:color w:val="383838"/>
        </w:rPr>
      </w:r>
      <w:r w:rsidR="0027263E"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(Bosu et al., 2019a)</w:t>
      </w:r>
      <w:r w:rsidR="0027263E" w:rsidRPr="00000849">
        <w:rPr>
          <w:rFonts w:asciiTheme="minorHAnsi" w:hAnsiTheme="minorHAnsi" w:cstheme="minorHAnsi"/>
          <w:color w:val="383838"/>
        </w:rPr>
        <w:fldChar w:fldCharType="end"/>
      </w:r>
      <w:r w:rsidR="0027263E" w:rsidRPr="00000849">
        <w:rPr>
          <w:rFonts w:asciiTheme="minorHAnsi" w:hAnsiTheme="minorHAnsi" w:cstheme="minorHAnsi"/>
          <w:color w:val="383838"/>
        </w:rPr>
        <w:t xml:space="preserve"> or among workers in West Africa</w:t>
      </w:r>
      <w:r w:rsidR="003F010C" w:rsidRPr="00000849">
        <w:rPr>
          <w:rFonts w:asciiTheme="minorHAnsi" w:hAnsiTheme="minorHAnsi" w:cstheme="minorHAnsi"/>
          <w:color w:val="383838"/>
        </w:rPr>
        <w:t xml:space="preserve"> </w:t>
      </w:r>
      <w:r w:rsidR="003F010C" w:rsidRPr="00000849">
        <w:rPr>
          <w:rFonts w:asciiTheme="minorHAnsi" w:hAnsiTheme="minorHAnsi" w:cstheme="minorHAnsi"/>
          <w:color w:val="383838"/>
        </w:rPr>
        <w:fldChar w:fldCharType="begin"/>
      </w:r>
      <w:r w:rsidR="0060706B" w:rsidRPr="00000849">
        <w:rPr>
          <w:rFonts w:asciiTheme="minorHAnsi" w:hAnsiTheme="minorHAnsi" w:cstheme="minorHAnsi"/>
          <w:color w:val="383838"/>
        </w:rPr>
        <w:instrText xml:space="preserve"> ADDIN EN.CITE &lt;EndNote&gt;&lt;Cite&gt;&lt;Author&gt;Bosu&lt;/Author&gt;&lt;Year&gt;2016&lt;/Year&gt;&lt;RecNum&gt;47&lt;/RecNum&gt;&lt;DisplayText&gt;(Bosu, 2016)&lt;/DisplayText&gt;&lt;record&gt;&lt;rec-number&gt;47&lt;/rec-number&gt;&lt;foreign-keys&gt;&lt;key app="EN" db-id="9tzf2rda8re2a9es5tuxart3swzx2zws2s02" timestamp="1464944378"&gt;47&lt;/key&gt;&lt;/foreign-keys&gt;&lt;ref-type name="Journal Article"&gt;17&lt;/ref-type&gt;&lt;contributors&gt;&lt;authors&gt;&lt;author&gt;Bosu, William K.&lt;/author&gt;&lt;/authors&gt;&lt;/contributors&gt;&lt;titles&gt;&lt;title&gt;Determinants of Mean Blood Pressure and Hypertension among Workers in West Africa&lt;/title&gt;&lt;secondary-title&gt;International Journal of Hypertension&lt;/secondary-title&gt;&lt;/titles&gt;&lt;periodical&gt;&lt;full-title&gt;International Journal of Hypertension&lt;/full-title&gt;&lt;/periodical&gt;&lt;pages&gt;3192149&lt;/pages&gt;&lt;volume&gt;2016&lt;/volume&gt;&lt;dates&gt;&lt;year&gt;2016&lt;/year&gt;&lt;/dates&gt;&lt;urls&gt;&lt;related-urls&gt;&lt;url&gt;http://dx.doi.org/10.1155/2016/3192149&lt;/url&gt;&lt;/related-urls&gt;&lt;/urls&gt;&lt;custom7&gt;3192149&lt;/custom7&gt;&lt;electronic-resource-num&gt;10.1155/2016/3192149&lt;/electronic-resource-num&gt;&lt;/record&gt;&lt;/Cite&gt;&lt;/EndNote&gt;</w:instrText>
      </w:r>
      <w:r w:rsidR="003F010C"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(Bosu, 2016)</w:t>
      </w:r>
      <w:r w:rsidR="003F010C" w:rsidRPr="00000849">
        <w:rPr>
          <w:rFonts w:asciiTheme="minorHAnsi" w:hAnsiTheme="minorHAnsi" w:cstheme="minorHAnsi"/>
          <w:color w:val="383838"/>
        </w:rPr>
        <w:fldChar w:fldCharType="end"/>
      </w:r>
      <w:r w:rsidR="0027263E" w:rsidRPr="00000849">
        <w:rPr>
          <w:rFonts w:asciiTheme="minorHAnsi" w:hAnsiTheme="minorHAnsi" w:cstheme="minorHAnsi"/>
          <w:color w:val="383838"/>
        </w:rPr>
        <w:t>.</w:t>
      </w:r>
      <w:r w:rsidR="00A02FEF" w:rsidRPr="00000849">
        <w:rPr>
          <w:rFonts w:asciiTheme="minorHAnsi" w:hAnsiTheme="minorHAnsi" w:cstheme="minorHAnsi"/>
          <w:color w:val="383838"/>
        </w:rPr>
        <w:t xml:space="preserve">  The inconsistent patterns may be related to the heterogeneity of the populations studied, self-reporting biases and measurement difficulties.</w:t>
      </w:r>
    </w:p>
    <w:p w14:paraId="50821DF2" w14:textId="77777777" w:rsidR="00950177" w:rsidRPr="00000849" w:rsidRDefault="00950177" w:rsidP="000C5870">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39C7D355" w14:textId="2E539E99" w:rsidR="00950177" w:rsidRPr="00000849" w:rsidRDefault="00950177" w:rsidP="00ED4046">
      <w:pPr>
        <w:pStyle w:val="Heading3"/>
      </w:pPr>
      <w:bookmarkStart w:id="121" w:name="_Toc51472152"/>
      <w:r w:rsidRPr="00000849">
        <w:lastRenderedPageBreak/>
        <w:t>6.4.3</w:t>
      </w:r>
      <w:r w:rsidRPr="00000849">
        <w:tab/>
        <w:t>Lifestyle determinants</w:t>
      </w:r>
      <w:bookmarkEnd w:id="121"/>
    </w:p>
    <w:p w14:paraId="2F17A954" w14:textId="77777777" w:rsidR="00950177" w:rsidRPr="00000849" w:rsidRDefault="00950177" w:rsidP="00000849">
      <w:pPr>
        <w:pStyle w:val="NormalWeb"/>
        <w:keepNext/>
        <w:keepLines/>
        <w:shd w:val="clear" w:color="auto" w:fill="FFFFFF"/>
        <w:spacing w:before="0" w:beforeAutospacing="0" w:after="165" w:afterAutospacing="0" w:line="480" w:lineRule="auto"/>
        <w:ind w:firstLine="720"/>
        <w:jc w:val="both"/>
        <w:rPr>
          <w:rFonts w:asciiTheme="minorHAnsi" w:hAnsiTheme="minorHAnsi" w:cstheme="minorHAnsi"/>
          <w:color w:val="383838"/>
        </w:rPr>
      </w:pPr>
    </w:p>
    <w:p w14:paraId="5F4FE0AB" w14:textId="66BC2544" w:rsidR="00894769" w:rsidRPr="00000849" w:rsidRDefault="006E17D8" w:rsidP="00000849">
      <w:pPr>
        <w:pStyle w:val="NormalWeb"/>
        <w:keepNext/>
        <w:keepLines/>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Regarding</w:t>
      </w:r>
      <w:r w:rsidR="00110A7B" w:rsidRPr="00000849">
        <w:rPr>
          <w:rFonts w:asciiTheme="minorHAnsi" w:hAnsiTheme="minorHAnsi" w:cstheme="minorHAnsi"/>
          <w:color w:val="383838"/>
        </w:rPr>
        <w:t xml:space="preserve"> lifestyle determinants, </w:t>
      </w:r>
      <w:r w:rsidR="00894769" w:rsidRPr="00000849">
        <w:rPr>
          <w:rFonts w:asciiTheme="minorHAnsi" w:hAnsiTheme="minorHAnsi" w:cstheme="minorHAnsi"/>
          <w:color w:val="383838"/>
        </w:rPr>
        <w:t xml:space="preserve">overweight/obesity was associated with the second highest odds (after residence in GAR) of having hypertension or its severity </w:t>
      </w:r>
      <w:r w:rsidR="008237BA" w:rsidRPr="00000849">
        <w:rPr>
          <w:rFonts w:asciiTheme="minorHAnsi" w:hAnsiTheme="minorHAnsi" w:cstheme="minorHAnsi"/>
          <w:color w:val="383838"/>
        </w:rPr>
        <w:t>in</w:t>
      </w:r>
      <w:r w:rsidR="00894769" w:rsidRPr="00000849">
        <w:rPr>
          <w:rFonts w:asciiTheme="minorHAnsi" w:hAnsiTheme="minorHAnsi" w:cstheme="minorHAnsi"/>
          <w:color w:val="383838"/>
        </w:rPr>
        <w:t xml:space="preserve"> the study </w:t>
      </w:r>
      <w:r w:rsidR="008237BA" w:rsidRPr="00000849">
        <w:rPr>
          <w:rFonts w:asciiTheme="minorHAnsi" w:hAnsiTheme="minorHAnsi" w:cstheme="minorHAnsi"/>
          <w:color w:val="383838"/>
        </w:rPr>
        <w:t xml:space="preserve">W1 and in the </w:t>
      </w:r>
      <w:r w:rsidR="00210C7B" w:rsidRPr="00000849">
        <w:rPr>
          <w:rFonts w:asciiTheme="minorHAnsi" w:hAnsiTheme="minorHAnsi" w:cstheme="minorHAnsi"/>
          <w:color w:val="383838"/>
        </w:rPr>
        <w:t>longitudinal data analyses</w:t>
      </w:r>
      <w:r w:rsidR="00F35CB4" w:rsidRPr="00000849">
        <w:rPr>
          <w:rFonts w:asciiTheme="minorHAnsi" w:hAnsiTheme="minorHAnsi" w:cstheme="minorHAnsi"/>
          <w:color w:val="383838"/>
        </w:rPr>
        <w:t xml:space="preserve"> </w:t>
      </w:r>
      <w:r w:rsidR="00894769" w:rsidRPr="00000849">
        <w:rPr>
          <w:rFonts w:asciiTheme="minorHAnsi" w:hAnsiTheme="minorHAnsi" w:cstheme="minorHAnsi"/>
          <w:color w:val="383838"/>
        </w:rPr>
        <w:t xml:space="preserve"> in Ghana.  </w:t>
      </w:r>
      <w:r w:rsidR="002C32A4" w:rsidRPr="00000849">
        <w:rPr>
          <w:rFonts w:asciiTheme="minorHAnsi" w:hAnsiTheme="minorHAnsi" w:cstheme="minorHAnsi"/>
          <w:color w:val="383838"/>
        </w:rPr>
        <w:t>There was a dose-response effect</w:t>
      </w:r>
      <w:r w:rsidR="00183869" w:rsidRPr="00000849">
        <w:rPr>
          <w:rFonts w:asciiTheme="minorHAnsi" w:hAnsiTheme="minorHAnsi" w:cstheme="minorHAnsi"/>
          <w:color w:val="383838"/>
        </w:rPr>
        <w:t xml:space="preserve"> with increasing odds of hypertension with</w:t>
      </w:r>
      <w:r w:rsidR="002C32A4" w:rsidRPr="00000849">
        <w:rPr>
          <w:rFonts w:asciiTheme="minorHAnsi" w:hAnsiTheme="minorHAnsi" w:cstheme="minorHAnsi"/>
          <w:color w:val="383838"/>
        </w:rPr>
        <w:t xml:space="preserve"> increasing BMI categories.  </w:t>
      </w:r>
      <w:r w:rsidR="00894769" w:rsidRPr="00000849">
        <w:rPr>
          <w:rFonts w:asciiTheme="minorHAnsi" w:hAnsiTheme="minorHAnsi" w:cstheme="minorHAnsi"/>
          <w:color w:val="383838"/>
        </w:rPr>
        <w:t>The</w:t>
      </w:r>
      <w:r w:rsidR="002C32A4" w:rsidRPr="00000849">
        <w:rPr>
          <w:rFonts w:asciiTheme="minorHAnsi" w:hAnsiTheme="minorHAnsi" w:cstheme="minorHAnsi"/>
          <w:color w:val="383838"/>
        </w:rPr>
        <w:t xml:space="preserve">se findings are consistent with those in existing </w:t>
      </w:r>
      <w:r w:rsidR="00894769" w:rsidRPr="00000849">
        <w:rPr>
          <w:rFonts w:asciiTheme="minorHAnsi" w:hAnsiTheme="minorHAnsi" w:cstheme="minorHAnsi"/>
          <w:color w:val="383838"/>
        </w:rPr>
        <w:t>literature</w:t>
      </w:r>
      <w:r w:rsidR="002C32A4" w:rsidRPr="00000849">
        <w:rPr>
          <w:rFonts w:asciiTheme="minorHAnsi" w:hAnsiTheme="minorHAnsi" w:cstheme="minorHAnsi"/>
          <w:color w:val="383838"/>
        </w:rPr>
        <w:t xml:space="preserve">.  In the systematic review of the determinants of hypertension in older adults in Africa, overweight and obesity were </w:t>
      </w:r>
      <w:r w:rsidR="00E54735" w:rsidRPr="00000849">
        <w:rPr>
          <w:rFonts w:asciiTheme="minorHAnsi" w:hAnsiTheme="minorHAnsi" w:cstheme="minorHAnsi"/>
          <w:color w:val="383838"/>
        </w:rPr>
        <w:t>among</w:t>
      </w:r>
      <w:r w:rsidR="002C32A4" w:rsidRPr="00000849">
        <w:rPr>
          <w:rFonts w:asciiTheme="minorHAnsi" w:hAnsiTheme="minorHAnsi" w:cstheme="minorHAnsi"/>
          <w:color w:val="383838"/>
        </w:rPr>
        <w:t xml:space="preserve"> the strongest and consistent predictors </w:t>
      </w:r>
      <w:r w:rsidR="002C32A4"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2C32A4" w:rsidRPr="00000849">
        <w:rPr>
          <w:rFonts w:asciiTheme="minorHAnsi" w:hAnsiTheme="minorHAnsi" w:cstheme="minorHAnsi"/>
          <w:color w:val="383838"/>
        </w:rPr>
      </w:r>
      <w:r w:rsidR="002C32A4"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(Bosu et al., 2019a)</w:t>
      </w:r>
      <w:r w:rsidR="002C32A4" w:rsidRPr="00000849">
        <w:rPr>
          <w:rFonts w:asciiTheme="minorHAnsi" w:hAnsiTheme="minorHAnsi" w:cstheme="minorHAnsi"/>
          <w:color w:val="383838"/>
        </w:rPr>
        <w:fldChar w:fldCharType="end"/>
      </w:r>
      <w:r w:rsidR="002C32A4" w:rsidRPr="00000849">
        <w:rPr>
          <w:rFonts w:asciiTheme="minorHAnsi" w:hAnsiTheme="minorHAnsi" w:cstheme="minorHAnsi"/>
          <w:color w:val="383838"/>
        </w:rPr>
        <w:t>.</w:t>
      </w:r>
      <w:r w:rsidR="00894769" w:rsidRPr="00000849">
        <w:rPr>
          <w:rFonts w:asciiTheme="minorHAnsi" w:hAnsiTheme="minorHAnsi" w:cstheme="minorHAnsi"/>
          <w:color w:val="383838"/>
        </w:rPr>
        <w:t xml:space="preserve"> </w:t>
      </w:r>
      <w:r w:rsidR="002C32A4" w:rsidRPr="00000849">
        <w:rPr>
          <w:rFonts w:asciiTheme="minorHAnsi" w:hAnsiTheme="minorHAnsi" w:cstheme="minorHAnsi"/>
          <w:color w:val="383838"/>
        </w:rPr>
        <w:t xml:space="preserve"> </w:t>
      </w:r>
      <w:r w:rsidR="00B36490" w:rsidRPr="00000849">
        <w:rPr>
          <w:rFonts w:asciiTheme="minorHAnsi" w:hAnsiTheme="minorHAnsi" w:cstheme="minorHAnsi"/>
          <w:color w:val="383838"/>
        </w:rPr>
        <w:t xml:space="preserve">In the combined analyses in the six SAGE countries, overweight and obese subjects aged ≥18 years had 1.6 and 3.7 times the adjusted odds of having hypertension </w:t>
      </w:r>
      <w:r w:rsidR="008152B4" w:rsidRPr="00000849">
        <w:rPr>
          <w:rFonts w:asciiTheme="minorHAnsi" w:hAnsiTheme="minorHAnsi" w:cstheme="minorHAnsi"/>
          <w:color w:val="383838"/>
        </w:rPr>
        <w:t xml:space="preserve">respectively </w:t>
      </w:r>
      <w:r w:rsidR="00B36490" w:rsidRPr="00000849">
        <w:rPr>
          <w:rFonts w:asciiTheme="minorHAnsi" w:hAnsiTheme="minorHAnsi" w:cstheme="minorHAnsi"/>
          <w:color w:val="383838"/>
        </w:rPr>
        <w:t xml:space="preserve">as those with normal BMI </w:t>
      </w:r>
      <w:r w:rsidR="00B36490" w:rsidRPr="00000849">
        <w:rPr>
          <w:rFonts w:asciiTheme="minorHAnsi" w:hAnsiTheme="minorHAnsi" w:cstheme="minorHAnsi"/>
          <w:color w:val="383838"/>
        </w:rPr>
        <w:fldChar w:fldCharType="begin">
          <w:fldData xml:space="preserve">PEVuZE5vdGU+PENpdGU+PEF1dGhvcj5CYXN1PC9BdXRob3I+PFllYXI+MjAxMzwvWWVhcj48UmVj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PEVuZE5vdGU+PENpdGU+PEF1dGhvcj5CYXN1PC9BdXRob3I+PFllYXI+MjAxMzwvWWVhcj48UmVj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B36490" w:rsidRPr="00000849">
        <w:rPr>
          <w:rFonts w:asciiTheme="minorHAnsi" w:hAnsiTheme="minorHAnsi" w:cstheme="minorHAnsi"/>
          <w:color w:val="383838"/>
        </w:rPr>
      </w:r>
      <w:r w:rsidR="00B36490" w:rsidRPr="00000849">
        <w:rPr>
          <w:rFonts w:asciiTheme="minorHAnsi" w:hAnsiTheme="minorHAnsi" w:cstheme="minorHAnsi"/>
          <w:color w:val="383838"/>
        </w:rPr>
        <w:fldChar w:fldCharType="separate"/>
      </w:r>
      <w:r w:rsidR="00B36490" w:rsidRPr="00000849">
        <w:rPr>
          <w:rFonts w:asciiTheme="minorHAnsi" w:hAnsiTheme="minorHAnsi" w:cstheme="minorHAnsi"/>
          <w:noProof/>
          <w:color w:val="383838"/>
        </w:rPr>
        <w:t>(Basu &amp; Millett, 2013)</w:t>
      </w:r>
      <w:r w:rsidR="00B36490" w:rsidRPr="00000849">
        <w:rPr>
          <w:rFonts w:asciiTheme="minorHAnsi" w:hAnsiTheme="minorHAnsi" w:cstheme="minorHAnsi"/>
          <w:color w:val="383838"/>
        </w:rPr>
        <w:fldChar w:fldCharType="end"/>
      </w:r>
      <w:r w:rsidR="00B36490" w:rsidRPr="00000849">
        <w:rPr>
          <w:rFonts w:asciiTheme="minorHAnsi" w:hAnsiTheme="minorHAnsi" w:cstheme="minorHAnsi"/>
          <w:color w:val="383838"/>
        </w:rPr>
        <w:t xml:space="preserve">.  In the </w:t>
      </w:r>
      <w:r w:rsidR="008152B4" w:rsidRPr="00000849">
        <w:rPr>
          <w:rFonts w:asciiTheme="minorHAnsi" w:hAnsiTheme="minorHAnsi" w:cstheme="minorHAnsi"/>
          <w:color w:val="383838"/>
        </w:rPr>
        <w:t>demographic and health surveys in five SSA countries including Ghana</w:t>
      </w:r>
      <w:r w:rsidR="00B36490" w:rsidRPr="00000849">
        <w:rPr>
          <w:rFonts w:asciiTheme="minorHAnsi" w:hAnsiTheme="minorHAnsi" w:cstheme="minorHAnsi"/>
          <w:color w:val="383838"/>
        </w:rPr>
        <w:t xml:space="preserve">, </w:t>
      </w:r>
      <w:r w:rsidR="008152B4" w:rsidRPr="00000849">
        <w:rPr>
          <w:rFonts w:asciiTheme="minorHAnsi" w:hAnsiTheme="minorHAnsi" w:cstheme="minorHAnsi"/>
          <w:color w:val="383838"/>
        </w:rPr>
        <w:t xml:space="preserve">overweight and obese women had 2.4 and 5.3 times the adjusted odds of hypertension respectively as those with normal BMI </w:t>
      </w:r>
      <w:r w:rsidR="008152B4" w:rsidRPr="00000849">
        <w:rPr>
          <w:rFonts w:asciiTheme="minorHAnsi" w:hAnsiTheme="minorHAnsi" w:cstheme="minorHAnsi"/>
          <w:color w:val="383838"/>
        </w:rPr>
        <w:fldChar w:fldCharType="begin">
          <w:fldData xml:space="preserve">PEVuZE5vdGU+PENpdGU+PEF1dGhvcj5ZYXlhPC9BdXRob3I+PFllYXI+MjAxODwvWWVhcj48UmVj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</w:fldData>
        </w:fldChar>
      </w:r>
      <w:r w:rsidR="008152B4" w:rsidRPr="00000849">
        <w:rPr>
          <w:rFonts w:asciiTheme="minorHAnsi" w:hAnsiTheme="minorHAnsi" w:cstheme="minorHAnsi"/>
          <w:color w:val="383838"/>
        </w:rPr>
        <w:instrText xml:space="preserve"> ADDIN EN.CITE </w:instrText>
      </w:r>
      <w:r w:rsidR="008152B4" w:rsidRPr="00000849">
        <w:rPr>
          <w:rFonts w:asciiTheme="minorHAnsi" w:hAnsiTheme="minorHAnsi" w:cstheme="minorHAnsi"/>
          <w:color w:val="383838"/>
        </w:rPr>
        <w:fldChar w:fldCharType="begin">
          <w:fldData xml:space="preserve">PEVuZE5vdGU+PENpdGU+PEF1dGhvcj5ZYXlhPC9BdXRob3I+PFllYXI+MjAxODwvWWVhcj48UmVj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</w:fldData>
        </w:fldChar>
      </w:r>
      <w:r w:rsidR="008152B4" w:rsidRPr="00000849">
        <w:rPr>
          <w:rFonts w:asciiTheme="minorHAnsi" w:hAnsiTheme="minorHAnsi" w:cstheme="minorHAnsi"/>
          <w:color w:val="383838"/>
        </w:rPr>
        <w:instrText xml:space="preserve"> ADDIN EN.CITE.DATA </w:instrText>
      </w:r>
      <w:r w:rsidR="008152B4" w:rsidRPr="00000849">
        <w:rPr>
          <w:rFonts w:asciiTheme="minorHAnsi" w:hAnsiTheme="minorHAnsi" w:cstheme="minorHAnsi"/>
          <w:color w:val="383838"/>
        </w:rPr>
      </w:r>
      <w:r w:rsidR="008152B4" w:rsidRPr="00000849">
        <w:rPr>
          <w:rFonts w:asciiTheme="minorHAnsi" w:hAnsiTheme="minorHAnsi" w:cstheme="minorHAnsi"/>
          <w:color w:val="383838"/>
        </w:rPr>
        <w:fldChar w:fldCharType="end"/>
      </w:r>
      <w:r w:rsidR="008152B4" w:rsidRPr="00000849">
        <w:rPr>
          <w:rFonts w:asciiTheme="minorHAnsi" w:hAnsiTheme="minorHAnsi" w:cstheme="minorHAnsi"/>
          <w:color w:val="383838"/>
        </w:rPr>
      </w:r>
      <w:r w:rsidR="008152B4" w:rsidRPr="00000849">
        <w:rPr>
          <w:rFonts w:asciiTheme="minorHAnsi" w:hAnsiTheme="minorHAnsi" w:cstheme="minorHAnsi"/>
          <w:color w:val="383838"/>
        </w:rPr>
        <w:fldChar w:fldCharType="separate"/>
      </w:r>
      <w:r w:rsidR="008152B4" w:rsidRPr="00000849">
        <w:rPr>
          <w:rFonts w:asciiTheme="minorHAnsi" w:hAnsiTheme="minorHAnsi" w:cstheme="minorHAnsi"/>
          <w:noProof/>
          <w:color w:val="383838"/>
        </w:rPr>
        <w:t>(Yaya et al., 2018)</w:t>
      </w:r>
      <w:r w:rsidR="008152B4" w:rsidRPr="00000849">
        <w:rPr>
          <w:rFonts w:asciiTheme="minorHAnsi" w:hAnsiTheme="minorHAnsi" w:cstheme="minorHAnsi"/>
          <w:color w:val="383838"/>
        </w:rPr>
        <w:fldChar w:fldCharType="end"/>
      </w:r>
      <w:r w:rsidR="008152B4" w:rsidRPr="00000849">
        <w:rPr>
          <w:rFonts w:asciiTheme="minorHAnsi" w:hAnsiTheme="minorHAnsi" w:cstheme="minorHAnsi"/>
          <w:color w:val="383838"/>
        </w:rPr>
        <w:t xml:space="preserve">.  </w:t>
      </w:r>
      <w:r w:rsidR="00B36490" w:rsidRPr="00000849">
        <w:rPr>
          <w:rFonts w:asciiTheme="minorHAnsi" w:hAnsiTheme="minorHAnsi" w:cstheme="minorHAnsi"/>
          <w:color w:val="383838"/>
        </w:rPr>
        <w:t xml:space="preserve"> </w:t>
      </w:r>
    </w:p>
    <w:p w14:paraId="7EC13AF7" w14:textId="5C531861" w:rsidR="00720F8D" w:rsidRPr="00000849" w:rsidRDefault="00176418" w:rsidP="00720F8D">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Overweight and obesity have reached </w:t>
      </w:r>
      <w:r w:rsidR="006D315D" w:rsidRPr="00000849">
        <w:rPr>
          <w:rFonts w:asciiTheme="minorHAnsi" w:hAnsiTheme="minorHAnsi" w:cstheme="minorHAnsi"/>
          <w:color w:val="383838"/>
        </w:rPr>
        <w:t>‘</w:t>
      </w:r>
      <w:r w:rsidR="009E0D55" w:rsidRPr="00000849">
        <w:rPr>
          <w:rFonts w:asciiTheme="minorHAnsi" w:hAnsiTheme="minorHAnsi" w:cstheme="minorHAnsi"/>
          <w:color w:val="383838"/>
        </w:rPr>
        <w:t>epidemic</w:t>
      </w:r>
      <w:r w:rsidR="006D315D" w:rsidRPr="00000849">
        <w:rPr>
          <w:rFonts w:asciiTheme="minorHAnsi" w:hAnsiTheme="minorHAnsi" w:cstheme="minorHAnsi"/>
          <w:color w:val="383838"/>
        </w:rPr>
        <w:t>’</w:t>
      </w:r>
      <w:r w:rsidRPr="00000849">
        <w:rPr>
          <w:rFonts w:asciiTheme="minorHAnsi" w:hAnsiTheme="minorHAnsi" w:cstheme="minorHAnsi"/>
          <w:color w:val="383838"/>
        </w:rPr>
        <w:t xml:space="preserve"> levels in Ghana</w:t>
      </w:r>
      <w:r w:rsidR="009E0D55" w:rsidRPr="00000849">
        <w:rPr>
          <w:rFonts w:asciiTheme="minorHAnsi" w:hAnsiTheme="minorHAnsi" w:cstheme="minorHAnsi"/>
          <w:color w:val="383838"/>
        </w:rPr>
        <w:t xml:space="preserve"> </w:t>
      </w:r>
      <w:r w:rsidR="009E0D55"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&lt;EndNote&gt;&lt;Cite&gt;&lt;Author&gt;Ofori-Asenso&lt;/Author&gt;&lt;Year&gt;2016&lt;/Year&gt;&lt;RecNum&gt;1021&lt;/RecNum&gt;&lt;DisplayText&gt;(Ofori-Asenso et al., 2016)&lt;/DisplayText&gt;&lt;record&gt;&lt;rec-number&gt;1021&lt;/rec-number&gt;&lt;foreign-keys&gt;&lt;key app="EN" db-id="9tzf2rda8re2a9es5tuxart3swzx2zws2s02" timestamp="1576588925"&gt;1021&lt;/key&gt;&lt;/foreign-keys&gt;&lt;ref-type name="Journal Article"&gt;17&lt;/ref-type&gt;&lt;contributors&gt;&lt;authors&gt;&lt;author&gt;Ofori-Asenso, Richard&lt;/author&gt;&lt;author&gt;Agyeman, Akosua Adom&lt;/author&gt;&lt;author&gt;Laar, Amos&lt;/author&gt;&lt;author&gt;Boateng, Daniel&lt;/author&gt;&lt;/authors&gt;&lt;/contributors&gt;&lt;titles&gt;&lt;title&gt;Overweight and obesity epidemic in Ghana—a systematic review and meta-analysis&lt;/title&gt;&lt;secondary-title&gt;BMC Public Health&lt;/secondary-title&gt;&lt;/titles&gt;&lt;periodical&gt;&lt;full-title&gt;BMC Public Health&lt;/full-title&gt;&lt;abbr-1&gt;BMC Public Health&lt;/abbr-1&gt;&lt;/periodical&gt;&lt;pages&gt;1239&lt;/pages&gt;&lt;volume&gt;16&lt;/volume&gt;&lt;number&gt;1&lt;/number&gt;&lt;dates&gt;&lt;year&gt;2016&lt;/year&gt;&lt;/dates&gt;&lt;isbn&gt;1471-2458&lt;/isbn&gt;&lt;urls&gt;&lt;/urls&gt;&lt;/record&gt;&lt;/Cite&gt;&lt;/EndNote&gt;</w:instrText>
      </w:r>
      <w:r w:rsidR="009E0D55"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(Ofori-Asenso et al., 2016)</w:t>
      </w:r>
      <w:r w:rsidR="009E0D55" w:rsidRPr="00000849">
        <w:rPr>
          <w:rFonts w:asciiTheme="minorHAnsi" w:hAnsiTheme="minorHAnsi" w:cstheme="minorHAnsi"/>
          <w:color w:val="383838"/>
        </w:rPr>
        <w:fldChar w:fldCharType="end"/>
      </w:r>
      <w:r w:rsidRPr="00000849">
        <w:rPr>
          <w:rFonts w:asciiTheme="minorHAnsi" w:hAnsiTheme="minorHAnsi" w:cstheme="minorHAnsi"/>
          <w:color w:val="383838"/>
        </w:rPr>
        <w:t>.  Their prevalence in urban women</w:t>
      </w:r>
      <w:r w:rsidR="006D315D" w:rsidRPr="00000849">
        <w:rPr>
          <w:rFonts w:asciiTheme="minorHAnsi" w:hAnsiTheme="minorHAnsi" w:cstheme="minorHAnsi"/>
          <w:color w:val="383838"/>
        </w:rPr>
        <w:t xml:space="preserve"> in Ghana</w:t>
      </w:r>
      <w:r w:rsidRPr="00000849">
        <w:rPr>
          <w:rFonts w:asciiTheme="minorHAnsi" w:hAnsiTheme="minorHAnsi" w:cstheme="minorHAnsi"/>
          <w:color w:val="383838"/>
        </w:rPr>
        <w:t xml:space="preserve"> involved in the demographic and health survey was among the highest in Africa</w:t>
      </w:r>
      <w:r w:rsidR="00992B15" w:rsidRPr="00000849">
        <w:rPr>
          <w:rFonts w:asciiTheme="minorHAnsi" w:hAnsiTheme="minorHAnsi" w:cstheme="minorHAnsi"/>
          <w:color w:val="383838"/>
        </w:rPr>
        <w:t xml:space="preserve"> </w:t>
      </w:r>
      <w:r w:rsidR="00992B15" w:rsidRPr="00000849">
        <w:rPr>
          <w:rFonts w:asciiTheme="minorHAnsi" w:hAnsiTheme="minorHAnsi" w:cstheme="minorHAnsi"/>
          <w:color w:val="383838"/>
        </w:rPr>
        <w:fldChar w:fldCharType="begin">
          <w:fldData xml:space="preserve">PEVuZE5vdGU+PENpdGU+PEF1dGhvcj5BbXVnc2k8L0F1dGhvcj48WWVhcj4yMDE3PC9ZZWFyPjxS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</w:fldData>
        </w:fldChar>
      </w:r>
      <w:r w:rsidR="00992B15" w:rsidRPr="00000849">
        <w:rPr>
          <w:rFonts w:asciiTheme="minorHAnsi" w:hAnsiTheme="minorHAnsi" w:cstheme="minorHAnsi"/>
          <w:color w:val="383838"/>
        </w:rPr>
        <w:instrText xml:space="preserve"> ADDIN EN.CITE </w:instrText>
      </w:r>
      <w:r w:rsidR="00992B15" w:rsidRPr="00000849">
        <w:rPr>
          <w:rFonts w:asciiTheme="minorHAnsi" w:hAnsiTheme="minorHAnsi" w:cstheme="minorHAnsi"/>
          <w:color w:val="383838"/>
        </w:rPr>
        <w:fldChar w:fldCharType="begin">
          <w:fldData xml:space="preserve">PEVuZE5vdGU+PENpdGU+PEF1dGhvcj5BbXVnc2k8L0F1dGhvcj48WWVhcj4yMDE3PC9ZZWFyPjxS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</w:fldData>
        </w:fldChar>
      </w:r>
      <w:r w:rsidR="00992B15" w:rsidRPr="00000849">
        <w:rPr>
          <w:rFonts w:asciiTheme="minorHAnsi" w:hAnsiTheme="minorHAnsi" w:cstheme="minorHAnsi"/>
          <w:color w:val="383838"/>
        </w:rPr>
        <w:instrText xml:space="preserve"> ADDIN EN.CITE.DATA </w:instrText>
      </w:r>
      <w:r w:rsidR="00992B15" w:rsidRPr="00000849">
        <w:rPr>
          <w:rFonts w:asciiTheme="minorHAnsi" w:hAnsiTheme="minorHAnsi" w:cstheme="minorHAnsi"/>
          <w:color w:val="383838"/>
        </w:rPr>
      </w:r>
      <w:r w:rsidR="00992B15" w:rsidRPr="00000849">
        <w:rPr>
          <w:rFonts w:asciiTheme="minorHAnsi" w:hAnsiTheme="minorHAnsi" w:cstheme="minorHAnsi"/>
          <w:color w:val="383838"/>
        </w:rPr>
        <w:fldChar w:fldCharType="end"/>
      </w:r>
      <w:r w:rsidR="00992B15" w:rsidRPr="00000849">
        <w:rPr>
          <w:rFonts w:asciiTheme="minorHAnsi" w:hAnsiTheme="minorHAnsi" w:cstheme="minorHAnsi"/>
          <w:color w:val="383838"/>
        </w:rPr>
      </w:r>
      <w:r w:rsidR="00992B15" w:rsidRPr="00000849">
        <w:rPr>
          <w:rFonts w:asciiTheme="minorHAnsi" w:hAnsiTheme="minorHAnsi" w:cstheme="minorHAnsi"/>
          <w:color w:val="383838"/>
        </w:rPr>
        <w:fldChar w:fldCharType="separate"/>
      </w:r>
      <w:r w:rsidR="00992B15" w:rsidRPr="00000849">
        <w:rPr>
          <w:rFonts w:asciiTheme="minorHAnsi" w:hAnsiTheme="minorHAnsi" w:cstheme="minorHAnsi"/>
          <w:noProof/>
          <w:color w:val="383838"/>
        </w:rPr>
        <w:t>(Amugsi et al., 2017)</w:t>
      </w:r>
      <w:r w:rsidR="00992B15"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992B15" w:rsidRPr="00000849">
        <w:rPr>
          <w:rFonts w:asciiTheme="minorHAnsi" w:hAnsiTheme="minorHAnsi" w:cstheme="minorHAnsi"/>
          <w:color w:val="383838"/>
        </w:rPr>
        <w:t xml:space="preserve">Obesity </w:t>
      </w:r>
      <w:r w:rsidRPr="00000849">
        <w:rPr>
          <w:rFonts w:asciiTheme="minorHAnsi" w:hAnsiTheme="minorHAnsi" w:cstheme="minorHAnsi"/>
          <w:color w:val="383838"/>
        </w:rPr>
        <w:t xml:space="preserve">increased </w:t>
      </w:r>
      <w:r w:rsidR="00992B15" w:rsidRPr="00000849">
        <w:rPr>
          <w:rFonts w:asciiTheme="minorHAnsi" w:hAnsiTheme="minorHAnsi" w:cstheme="minorHAnsi"/>
          <w:color w:val="383838"/>
        </w:rPr>
        <w:t xml:space="preserve">nearly three-fold from 7.7% in 1993 to 22.0% in 2014.  The pooled estimate of the prevalence of overweight and obesity in Ghana </w:t>
      </w:r>
      <w:r w:rsidR="00B65C7B" w:rsidRPr="00000849">
        <w:rPr>
          <w:rFonts w:asciiTheme="minorHAnsi" w:hAnsiTheme="minorHAnsi" w:cstheme="minorHAnsi"/>
          <w:color w:val="383838"/>
        </w:rPr>
        <w:t>wa</w:t>
      </w:r>
      <w:r w:rsidR="00992B15" w:rsidRPr="00000849">
        <w:rPr>
          <w:rFonts w:asciiTheme="minorHAnsi" w:hAnsiTheme="minorHAnsi" w:cstheme="minorHAnsi"/>
          <w:color w:val="383838"/>
        </w:rPr>
        <w:t xml:space="preserve">s 25.4% (95% CI 22.2–28.7%) and 17.1% (95% CI 14.7–19.5%) respectively </w:t>
      </w:r>
      <w:r w:rsidR="00992B15" w:rsidRPr="00000849">
        <w:rPr>
          <w:rFonts w:asciiTheme="minorHAnsi" w:hAnsiTheme="minorHAnsi" w:cstheme="minorHAnsi"/>
          <w:color w:val="383838"/>
        </w:rPr>
        <w:fldChar w:fldCharType="begin"/>
      </w:r>
      <w:r w:rsidR="009E0D55" w:rsidRPr="00000849">
        <w:rPr>
          <w:rFonts w:asciiTheme="minorHAnsi" w:hAnsiTheme="minorHAnsi" w:cstheme="minorHAnsi"/>
          <w:color w:val="383838"/>
        </w:rPr>
        <w:instrText xml:space="preserve"> ADDIN EN.CITE &lt;EndNote&gt;&lt;Cite&gt;&lt;Author&gt;Ofori-Asenso&lt;/Author&gt;&lt;Year&gt;2016&lt;/Year&gt;&lt;RecNum&gt;1021&lt;/RecNum&gt;&lt;DisplayText&gt;(Ofori-Asenso et al., 2016)&lt;/DisplayText&gt;&lt;record&gt;&lt;rec-number&gt;1021&lt;/rec-number&gt;&lt;foreign-keys&gt;&lt;key app="EN" db-id="9tzf2rda8re2a9es5tuxart3swzx2zws2s02" timestamp="1576588925"&gt;1021&lt;/key&gt;&lt;/foreign-keys&gt;&lt;ref-type name="Journal Article"&gt;17&lt;/ref-type&gt;&lt;contributors&gt;&lt;authors&gt;&lt;author&gt;Ofori-Asenso, Richard&lt;/author&gt;&lt;author&gt;Agyeman, Akosua Adom&lt;/author&gt;&lt;author&gt;Laar, Amos&lt;/author&gt;&lt;author&gt;Boateng, Daniel&lt;/author&gt;&lt;/authors&gt;&lt;/contributors&gt;&lt;titles&gt;&lt;title&gt;Overweight and obesity epidemic in Ghana—a systematic review and meta-analysis&lt;/title&gt;&lt;secondary-title&gt;BMC Public Health&lt;/secondary-title&gt;&lt;/titles&gt;&lt;periodical&gt;&lt;full-title&gt;BMC Public Health&lt;/full-title&gt;&lt;abbr-1&gt;BMC Public Health&lt;/abbr-1&gt;&lt;/periodical&gt;&lt;pages&gt;1239&lt;/pages&gt;&lt;volume&gt;16&lt;/volume&gt;&lt;number&gt;1&lt;/number&gt;&lt;dates&gt;&lt;year&gt;2016&lt;/year&gt;&lt;/dates&gt;&lt;isbn&gt;1471-2458&lt;/isbn&gt;&lt;urls&gt;&lt;/urls&gt;&lt;/record&gt;&lt;/Cite&gt;&lt;/EndNote&gt;</w:instrText>
      </w:r>
      <w:r w:rsidR="00992B15" w:rsidRPr="00000849">
        <w:rPr>
          <w:rFonts w:asciiTheme="minorHAnsi" w:hAnsiTheme="minorHAnsi" w:cstheme="minorHAnsi"/>
          <w:color w:val="383838"/>
        </w:rPr>
        <w:fldChar w:fldCharType="separate"/>
      </w:r>
      <w:r w:rsidR="009E0D55" w:rsidRPr="00000849">
        <w:rPr>
          <w:rFonts w:asciiTheme="minorHAnsi" w:hAnsiTheme="minorHAnsi" w:cstheme="minorHAnsi"/>
          <w:noProof/>
          <w:color w:val="383838"/>
        </w:rPr>
        <w:t>(Ofori-Asenso et al., 2016)</w:t>
      </w:r>
      <w:r w:rsidR="00992B15" w:rsidRPr="00000849">
        <w:rPr>
          <w:rFonts w:asciiTheme="minorHAnsi" w:hAnsiTheme="minorHAnsi" w:cstheme="minorHAnsi"/>
          <w:color w:val="383838"/>
        </w:rPr>
        <w:fldChar w:fldCharType="end"/>
      </w:r>
      <w:r w:rsidR="00992B15" w:rsidRPr="00000849">
        <w:rPr>
          <w:rFonts w:asciiTheme="minorHAnsi" w:hAnsiTheme="minorHAnsi" w:cstheme="minorHAnsi"/>
          <w:color w:val="383838"/>
        </w:rPr>
        <w:t xml:space="preserve">.  In older adults, the prevalence of overweight/obesity increased </w:t>
      </w:r>
      <w:r w:rsidR="00B75C0B" w:rsidRPr="00000849">
        <w:rPr>
          <w:rFonts w:asciiTheme="minorHAnsi" w:hAnsiTheme="minorHAnsi" w:cstheme="minorHAnsi"/>
          <w:color w:val="383838"/>
        </w:rPr>
        <w:t xml:space="preserve">rapidly </w:t>
      </w:r>
      <w:r w:rsidR="00992B15" w:rsidRPr="00000849">
        <w:rPr>
          <w:rFonts w:asciiTheme="minorHAnsi" w:hAnsiTheme="minorHAnsi" w:cstheme="minorHAnsi"/>
          <w:color w:val="383838"/>
        </w:rPr>
        <w:t xml:space="preserve">between </w:t>
      </w:r>
      <w:r w:rsidR="00B75C0B" w:rsidRPr="00000849">
        <w:rPr>
          <w:rFonts w:asciiTheme="minorHAnsi" w:hAnsiTheme="minorHAnsi" w:cstheme="minorHAnsi"/>
          <w:color w:val="383838"/>
        </w:rPr>
        <w:t xml:space="preserve">SAGE </w:t>
      </w:r>
      <w:r w:rsidR="00992B15" w:rsidRPr="00000849">
        <w:rPr>
          <w:rFonts w:asciiTheme="minorHAnsi" w:hAnsiTheme="minorHAnsi" w:cstheme="minorHAnsi"/>
          <w:color w:val="383838"/>
        </w:rPr>
        <w:t xml:space="preserve">waves 1 and 2 in Ghana </w:t>
      </w:r>
      <w:r w:rsidR="00B75C0B" w:rsidRPr="00000849">
        <w:rPr>
          <w:rFonts w:asciiTheme="minorHAnsi" w:hAnsiTheme="minorHAnsi" w:cstheme="minorHAnsi"/>
          <w:color w:val="383838"/>
        </w:rPr>
        <w:t xml:space="preserve">from 2007 to 2015 </w:t>
      </w:r>
      <w:r w:rsidR="00B75C0B" w:rsidRPr="00000849">
        <w:rPr>
          <w:rFonts w:asciiTheme="minorHAnsi" w:hAnsiTheme="minorHAnsi" w:cstheme="minorHAnsi"/>
          <w:color w:val="383838"/>
        </w:rPr>
        <w:fldChar w:fldCharType="begin"/>
      </w:r>
      <w:r w:rsidR="00B45210" w:rsidRPr="00000849">
        <w:rPr>
          <w:rFonts w:asciiTheme="minorHAnsi" w:hAnsiTheme="minorHAnsi" w:cstheme="minorHAnsi"/>
          <w:color w:val="383838"/>
        </w:rPr>
        <w:instrText xml:space="preserve"> ADDIN EN.CITE &lt;EndNote&gt;&lt;Cite&gt;&lt;Author&gt;Lartey&lt;/Author&gt;&lt;Year&gt;2019&lt;/Year&gt;&lt;RecNum&gt;983&lt;/RecNum&gt;&lt;DisplayText&gt;(Lartey et al., 2019b)&lt;/DisplayText&gt;&lt;record&gt;&lt;rec-number&gt;983&lt;/rec-number&gt;&lt;foreign-keys&gt;&lt;key app="EN" db-id="9tzf2rda8re2a9es5tuxart3swzx2zws2s02" timestamp="1575530197"&gt;983&lt;/key&gt;&lt;/foreign-keys&gt;&lt;ref-type name="Journal Article"&gt;17&lt;/ref-type&gt;&lt;contributors&gt;&lt;authors&gt;&lt;author&gt;Lartey, Stella T&lt;/author&gt;&lt;author&gt;Magnussen, Costan G&lt;/author&gt;&lt;author&gt;Si, Lei&lt;/author&gt;&lt;author&gt;Boateng, Godfred O&lt;/author&gt;&lt;author&gt;De Graaff, Barbara&lt;/author&gt;&lt;author&gt;Biritwum, Richard Berko&lt;/author&gt;&lt;author&gt;Minicuci, Nadia&lt;/author&gt;&lt;author&gt;Kowal, Paul&lt;/author&gt;&lt;author&gt;Blizzard, Leigh&lt;/author&gt;&lt;author&gt;Palmer, Andrew J&lt;/author&gt;&lt;/authors&gt;&lt;/contributors&gt;&lt;titles&gt;&lt;title&gt;Rapidly increasing prevalence of overweight and obesity in older Ghanaian adults from 2007-2015: evidence from WHO-SAGE Waves 1 &amp;amp; 2&lt;/title&gt;&lt;secondary-title&gt;PloS One&lt;/secondary-title&gt;&lt;/titles&gt;&lt;periodical&gt;&lt;full-title&gt;PLoS One&lt;/full-title&gt;&lt;/periodical&gt;&lt;pages&gt;e021504&lt;/pages&gt;&lt;volume&gt;14&lt;/volume&gt;&lt;number&gt;8&lt;/number&gt;&lt;dates&gt;&lt;year&gt;2019&lt;/year&gt;&lt;/dates&gt;&lt;urls&gt;&lt;related-urls&gt;&lt;url&gt;https://doi.org/10.1371/journal.pone.0215045&lt;/url&gt;&lt;/related-urls&gt;&lt;/urls&gt;&lt;/record&gt;&lt;/Cite&gt;&lt;/EndNote&gt;</w:instrText>
      </w:r>
      <w:r w:rsidR="00B75C0B"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(Lartey et al., 2019b)</w:t>
      </w:r>
      <w:r w:rsidR="00B75C0B" w:rsidRPr="00000849">
        <w:rPr>
          <w:rFonts w:asciiTheme="minorHAnsi" w:hAnsiTheme="minorHAnsi" w:cstheme="minorHAnsi"/>
          <w:color w:val="383838"/>
        </w:rPr>
        <w:fldChar w:fldCharType="end"/>
      </w:r>
      <w:r w:rsidR="00992B15" w:rsidRPr="00000849">
        <w:rPr>
          <w:rFonts w:asciiTheme="minorHAnsi" w:hAnsiTheme="minorHAnsi" w:cstheme="minorHAnsi"/>
          <w:color w:val="383838"/>
        </w:rPr>
        <w:t>.</w:t>
      </w:r>
      <w:r w:rsidR="00B75C0B" w:rsidRPr="00000849">
        <w:rPr>
          <w:rFonts w:asciiTheme="minorHAnsi" w:hAnsiTheme="minorHAnsi" w:cstheme="minorHAnsi"/>
          <w:color w:val="383838"/>
        </w:rPr>
        <w:t xml:space="preserve">  Besides the </w:t>
      </w:r>
      <w:r w:rsidR="00B65C7B" w:rsidRPr="00000849">
        <w:rPr>
          <w:rFonts w:asciiTheme="minorHAnsi" w:hAnsiTheme="minorHAnsi" w:cstheme="minorHAnsi"/>
          <w:color w:val="383838"/>
        </w:rPr>
        <w:t>health</w:t>
      </w:r>
      <w:r w:rsidR="00B75C0B" w:rsidRPr="00000849">
        <w:rPr>
          <w:rFonts w:asciiTheme="minorHAnsi" w:hAnsiTheme="minorHAnsi" w:cstheme="minorHAnsi"/>
          <w:color w:val="383838"/>
        </w:rPr>
        <w:t xml:space="preserve"> risks, </w:t>
      </w:r>
      <w:r w:rsidR="00B75C0B" w:rsidRPr="00000849">
        <w:rPr>
          <w:rFonts w:asciiTheme="minorHAnsi" w:hAnsiTheme="minorHAnsi" w:cstheme="minorHAnsi"/>
          <w:color w:val="383838"/>
        </w:rPr>
        <w:lastRenderedPageBreak/>
        <w:t xml:space="preserve">overweight and obesity in older adults </w:t>
      </w:r>
      <w:r w:rsidR="00E56A07" w:rsidRPr="00000849">
        <w:rPr>
          <w:rFonts w:asciiTheme="minorHAnsi" w:hAnsiTheme="minorHAnsi" w:cstheme="minorHAnsi"/>
          <w:color w:val="383838"/>
        </w:rPr>
        <w:t xml:space="preserve">in Ghana </w:t>
      </w:r>
      <w:r w:rsidR="006D315D" w:rsidRPr="00000849">
        <w:rPr>
          <w:rFonts w:asciiTheme="minorHAnsi" w:hAnsiTheme="minorHAnsi" w:cstheme="minorHAnsi"/>
          <w:color w:val="383838"/>
        </w:rPr>
        <w:t xml:space="preserve">have been </w:t>
      </w:r>
      <w:r w:rsidR="00B75C0B" w:rsidRPr="00000849">
        <w:rPr>
          <w:rFonts w:asciiTheme="minorHAnsi" w:hAnsiTheme="minorHAnsi" w:cstheme="minorHAnsi"/>
          <w:color w:val="383838"/>
        </w:rPr>
        <w:t xml:space="preserve">associated with higher clinic costs </w:t>
      </w:r>
      <w:r w:rsidR="00B75C0B"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&lt;EndNote&gt;&lt;Cite&gt;&lt;Author&gt;Lartey&lt;/Author&gt;&lt;Year&gt;2019&lt;/Year&gt;&lt;RecNum&gt;1022&lt;/RecNum&gt;&lt;DisplayText&gt;(Lartey et al., 2019a)&lt;/DisplayText&gt;&lt;record&gt;&lt;rec-number&gt;1022&lt;/rec-number&gt;&lt;foreign-keys&gt;&lt;key app="EN" db-id="9tzf2rda8re2a9es5tuxart3swzx2zws2s02" timestamp="1576589266"&gt;1022&lt;/key&gt;&lt;/foreign-keys&gt;&lt;ref-type name="Journal Article"&gt;17&lt;/ref-type&gt;&lt;contributors&gt;&lt;authors&gt;&lt;author&gt;Lartey, Stella T&lt;/author&gt;&lt;author&gt;de Graaff, Barbara&lt;/author&gt;&lt;author&gt;Magnussen, Costan G&lt;/author&gt;&lt;author&gt;Boateng, Godfred O&lt;/author&gt;&lt;author&gt;Aikins, Moses&lt;/author&gt;&lt;author&gt;Minicuci, Nadia&lt;/author&gt;&lt;author&gt;Kowal, Paul&lt;/author&gt;&lt;author&gt;Si, Lei&lt;/author&gt;&lt;author&gt;Palmer, Andrew J&lt;/author&gt;&lt;/authors&gt;&lt;/contributors&gt;&lt;titles&gt;&lt;title&gt;Health service utilization and direct healthcare costs associated with obesity in older adult population in Ghana&lt;/title&gt;&lt;secondary-title&gt;Health Policy and Planning&lt;/secondary-title&gt;&lt;/titles&gt;&lt;periodical&gt;&lt;full-title&gt;Health Policy Plan&lt;/full-title&gt;&lt;abbr-1&gt;Health policy and planning&lt;/abbr-1&gt;&lt;/periodical&gt;&lt;dates&gt;&lt;year&gt;2019&lt;/year&gt;&lt;/dates&gt;&lt;isbn&gt;0268-1080&lt;/isbn&gt;&lt;urls&gt;&lt;related-urls&gt;&lt;url&gt;https://doi.org/10.1093/heapol/czz147&lt;/url&gt;&lt;/related-urls&gt;&lt;/urls&gt;&lt;custom1&gt;czz147&lt;/custom1&gt;&lt;electronic-resource-num&gt;10.1093/heapol/czz147&lt;/electronic-resource-num&gt;&lt;access-date&gt;12/17/2019&lt;/access-date&gt;&lt;/record&gt;&lt;/Cite&gt;&lt;/EndNote&gt;</w:instrText>
      </w:r>
      <w:r w:rsidR="00B75C0B"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(Lartey et al., 2019a)</w:t>
      </w:r>
      <w:r w:rsidR="00B75C0B" w:rsidRPr="00000849">
        <w:rPr>
          <w:rFonts w:asciiTheme="minorHAnsi" w:hAnsiTheme="minorHAnsi" w:cstheme="minorHAnsi"/>
          <w:color w:val="383838"/>
        </w:rPr>
        <w:fldChar w:fldCharType="end"/>
      </w:r>
      <w:r w:rsidR="00B75C0B" w:rsidRPr="00000849">
        <w:rPr>
          <w:rFonts w:asciiTheme="minorHAnsi" w:hAnsiTheme="minorHAnsi" w:cstheme="minorHAnsi"/>
          <w:color w:val="383838"/>
        </w:rPr>
        <w:t>.</w:t>
      </w:r>
      <w:r w:rsidR="004B442F" w:rsidRPr="00000849">
        <w:rPr>
          <w:rFonts w:asciiTheme="minorHAnsi" w:hAnsiTheme="minorHAnsi" w:cstheme="minorHAnsi"/>
          <w:color w:val="383838"/>
        </w:rPr>
        <w:t xml:space="preserve">  </w:t>
      </w:r>
      <w:r w:rsidR="00992B15" w:rsidRPr="00000849">
        <w:rPr>
          <w:rFonts w:asciiTheme="minorHAnsi" w:hAnsiTheme="minorHAnsi" w:cstheme="minorHAnsi"/>
          <w:color w:val="383838"/>
        </w:rPr>
        <w:t xml:space="preserve">The </w:t>
      </w:r>
      <w:r w:rsidR="00720F8D" w:rsidRPr="00000849">
        <w:rPr>
          <w:rFonts w:asciiTheme="minorHAnsi" w:hAnsiTheme="minorHAnsi" w:cstheme="minorHAnsi"/>
          <w:color w:val="383838"/>
        </w:rPr>
        <w:t xml:space="preserve">mean total costs per person was US$34.8 </w:t>
      </w:r>
      <w:r w:rsidR="004B442F" w:rsidRPr="00000849">
        <w:rPr>
          <w:rFonts w:asciiTheme="minorHAnsi" w:hAnsiTheme="minorHAnsi" w:cstheme="minorHAnsi"/>
          <w:color w:val="383838"/>
        </w:rPr>
        <w:t>for normal weight, $77.5 for overweight and $131.9 for obese subjects.</w:t>
      </w:r>
    </w:p>
    <w:p w14:paraId="37A5CA85" w14:textId="26198F55" w:rsidR="00176418" w:rsidRPr="00000849" w:rsidRDefault="003427F9" w:rsidP="00176418">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It is estimated that </w:t>
      </w:r>
      <w:r w:rsidRPr="00000849">
        <w:rPr>
          <w:rFonts w:asciiTheme="minorHAnsi" w:hAnsiTheme="minorHAnsi" w:cstheme="minorHAnsi"/>
        </w:rPr>
        <w:t xml:space="preserve">the risk of hypertension increases by 49% for every five-unit increment in BMI, by 27% per 10 cm increase in waist circumference, and by 37% and 74% per 0.1-unit increment in waist-to-hip ratio and waist-to-height ratio respectively </w:t>
      </w:r>
      <w:r w:rsidRPr="00000849">
        <w:rPr>
          <w:rFonts w:asciiTheme="minorHAnsi" w:hAnsiTheme="minorHAnsi" w:cstheme="minorHAnsi"/>
        </w:rPr>
        <w:fldChar w:fldCharType="begin">
          <w:fldData xml:space="preserve">PEVuZE5vdGU+PENpdGU+PEF1dGhvcj5KYXllZGk8L0F1dGhvcj48WWVhcj4yMDE4PC9ZZWFyPjxS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</w:fldData>
        </w:fldChar>
      </w:r>
      <w:r w:rsidR="00431DA0" w:rsidRPr="00000849">
        <w:rPr>
          <w:rFonts w:asciiTheme="minorHAnsi" w:hAnsiTheme="minorHAnsi" w:cstheme="minorHAnsi"/>
        </w:rPr>
        <w:instrText xml:space="preserve"> ADDIN EN.CITE </w:instrText>
      </w:r>
      <w:r w:rsidR="00431DA0" w:rsidRPr="00000849">
        <w:rPr>
          <w:rFonts w:asciiTheme="minorHAnsi" w:hAnsiTheme="minorHAnsi" w:cstheme="minorHAnsi"/>
        </w:rPr>
        <w:fldChar w:fldCharType="begin">
          <w:fldData xml:space="preserve">PEVuZE5vdGU+PENpdGU+PEF1dGhvcj5KYXllZGk8L0F1dGhvcj48WWVhcj4yMDE4PC9ZZWFyPjxS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</w:fldData>
        </w:fldChar>
      </w:r>
      <w:r w:rsidR="00431DA0" w:rsidRPr="00000849">
        <w:rPr>
          <w:rFonts w:asciiTheme="minorHAnsi" w:hAnsiTheme="minorHAnsi" w:cstheme="minorHAnsi"/>
        </w:rPr>
        <w:instrText xml:space="preserve"> ADDIN EN.CITE.DATA </w:instrText>
      </w:r>
      <w:r w:rsidR="00431DA0" w:rsidRPr="00000849">
        <w:rPr>
          <w:rFonts w:asciiTheme="minorHAnsi" w:hAnsiTheme="minorHAnsi" w:cstheme="minorHAnsi"/>
        </w:rPr>
      </w:r>
      <w:r w:rsidR="00431DA0" w:rsidRPr="00000849">
        <w:rPr>
          <w:rFonts w:asciiTheme="minorHAnsi" w:hAnsiTheme="minorHAnsi" w:cstheme="minorHAnsi"/>
        </w:rPr>
        <w:fldChar w:fldCharType="end"/>
      </w:r>
      <w:r w:rsidRPr="00000849">
        <w:rPr>
          <w:rFonts w:asciiTheme="minorHAnsi" w:hAnsiTheme="minorHAnsi" w:cstheme="minorHAnsi"/>
        </w:rPr>
      </w:r>
      <w:r w:rsidRPr="00000849">
        <w:rPr>
          <w:rFonts w:asciiTheme="minorHAnsi" w:hAnsiTheme="minorHAnsi" w:cstheme="minorHAnsi"/>
        </w:rPr>
        <w:fldChar w:fldCharType="separate"/>
      </w:r>
      <w:r w:rsidR="00431DA0" w:rsidRPr="00000849">
        <w:rPr>
          <w:rFonts w:asciiTheme="minorHAnsi" w:hAnsiTheme="minorHAnsi" w:cstheme="minorHAnsi"/>
          <w:noProof/>
        </w:rPr>
        <w:t>(Jayedi et al., 2018)</w:t>
      </w:r>
      <w:r w:rsidRPr="00000849">
        <w:rPr>
          <w:rFonts w:asciiTheme="minorHAnsi" w:hAnsiTheme="minorHAnsi" w:cstheme="minorHAnsi"/>
        </w:rPr>
        <w:fldChar w:fldCharType="end"/>
      </w:r>
      <w:r w:rsidRPr="00000849">
        <w:rPr>
          <w:rFonts w:asciiTheme="minorHAnsi" w:hAnsiTheme="minorHAnsi" w:cstheme="minorHAnsi"/>
        </w:rPr>
        <w:t xml:space="preserve">.  </w:t>
      </w:r>
      <w:r w:rsidR="004B442F" w:rsidRPr="00000849">
        <w:rPr>
          <w:rFonts w:asciiTheme="minorHAnsi" w:hAnsiTheme="minorHAnsi" w:cstheme="minorHAnsi"/>
        </w:rPr>
        <w:t xml:space="preserve">Conversely, weight reduction is associated with reduced risk of hypertension in overweight/obese people </w:t>
      </w:r>
      <w:r w:rsidR="004B442F" w:rsidRPr="00000849">
        <w:rPr>
          <w:rFonts w:asciiTheme="minorHAnsi" w:hAnsiTheme="minorHAnsi" w:cstheme="minorHAnsi"/>
        </w:rPr>
        <w:fldChar w:fldCharType="begin"/>
      </w:r>
      <w:r w:rsidR="00431DA0" w:rsidRPr="00000849">
        <w:rPr>
          <w:rFonts w:asciiTheme="minorHAnsi" w:hAnsiTheme="minorHAnsi" w:cstheme="minorHAnsi"/>
        </w:rPr>
        <w:instrText xml:space="preserve"> ADDIN EN.CITE &lt;EndNote&gt;&lt;Cite&gt;&lt;Author&gt;Poorolajal&lt;/Author&gt;&lt;Year&gt;2016&lt;/Year&gt;&lt;RecNum&gt;368&lt;/RecNum&gt;&lt;DisplayText&gt;(Poorolajal et al., 2016)&lt;/DisplayText&gt;&lt;record&gt;&lt;rec-number&gt;368&lt;/rec-number&gt;&lt;foreign-keys&gt;&lt;key app="EN" db-id="pzfw02x58peadyevdp8vswt40etp25t5ddp0" timestamp="1546369570"&gt;368&lt;/key&gt;&lt;/foreign-keys&gt;&lt;ref-type name="Journal Article"&gt;17&lt;/ref-type&gt;&lt;contributors&gt;&lt;authors&gt;&lt;author&gt;Poorolajal, Jalal&lt;/author&gt;&lt;author&gt;Hooshmand, Elham&lt;/author&gt;&lt;author&gt;Bahrami, Masoud&lt;/author&gt;&lt;author&gt;Ameri, Pegah&lt;/author&gt;&lt;/authors&gt;&lt;/contributors&gt;&lt;titles&gt;&lt;title&gt;How much excess weight loss can reduce the risk of hypertension?&lt;/title&gt;&lt;secondary-title&gt;Journal of Public Health&lt;/secondary-title&gt;&lt;/titles&gt;&lt;periodical&gt;&lt;full-title&gt;Journal of Public Health&lt;/full-title&gt;&lt;abbr-1&gt;J Public Health (Oxf)&lt;/abbr-1&gt;&lt;/periodical&gt;&lt;pages&gt;e95-e102&lt;/pages&gt;&lt;volume&gt;39&lt;/volume&gt;&lt;number&gt;3&lt;/number&gt;&lt;dates&gt;&lt;year&gt;2016&lt;/year&gt;&lt;/dates&gt;&lt;isbn&gt;1741-3842&lt;/isbn&gt;&lt;urls&gt;&lt;/urls&gt;&lt;/record&gt;&lt;/Cite&gt;&lt;/EndNote&gt;</w:instrText>
      </w:r>
      <w:r w:rsidR="004B442F" w:rsidRPr="00000849">
        <w:rPr>
          <w:rFonts w:asciiTheme="minorHAnsi" w:hAnsiTheme="minorHAnsi" w:cstheme="minorHAnsi"/>
        </w:rPr>
        <w:fldChar w:fldCharType="separate"/>
      </w:r>
      <w:r w:rsidR="00431DA0" w:rsidRPr="00000849">
        <w:rPr>
          <w:rFonts w:asciiTheme="minorHAnsi" w:hAnsiTheme="minorHAnsi" w:cstheme="minorHAnsi"/>
          <w:noProof/>
        </w:rPr>
        <w:t>(Poorolajal et al., 2016)</w:t>
      </w:r>
      <w:r w:rsidR="004B442F" w:rsidRPr="00000849">
        <w:rPr>
          <w:rFonts w:asciiTheme="minorHAnsi" w:hAnsiTheme="minorHAnsi" w:cstheme="minorHAnsi"/>
        </w:rPr>
        <w:fldChar w:fldCharType="end"/>
      </w:r>
      <w:r w:rsidR="004B442F" w:rsidRPr="00000849">
        <w:rPr>
          <w:rFonts w:asciiTheme="minorHAnsi" w:hAnsiTheme="minorHAnsi" w:cstheme="minorHAnsi"/>
        </w:rPr>
        <w:t xml:space="preserve">.  Being overweight/obese does not only increase the risk for hypertension, but also for diabetes, </w:t>
      </w:r>
      <w:r w:rsidR="00176418" w:rsidRPr="00000849">
        <w:rPr>
          <w:rFonts w:asciiTheme="minorHAnsi" w:hAnsiTheme="minorHAnsi" w:cstheme="minorHAnsi"/>
          <w:color w:val="383838"/>
        </w:rPr>
        <w:t>dyslipid</w:t>
      </w:r>
      <w:r w:rsidR="004B442F" w:rsidRPr="00000849">
        <w:rPr>
          <w:rFonts w:asciiTheme="minorHAnsi" w:hAnsiTheme="minorHAnsi" w:cstheme="minorHAnsi"/>
          <w:color w:val="383838"/>
        </w:rPr>
        <w:t>a</w:t>
      </w:r>
      <w:r w:rsidR="00176418" w:rsidRPr="00000849">
        <w:rPr>
          <w:rFonts w:asciiTheme="minorHAnsi" w:hAnsiTheme="minorHAnsi" w:cstheme="minorHAnsi"/>
          <w:color w:val="383838"/>
        </w:rPr>
        <w:t>emia, atherosclerosis, and</w:t>
      </w:r>
      <w:r w:rsidR="004B442F" w:rsidRPr="00000849">
        <w:rPr>
          <w:rFonts w:asciiTheme="minorHAnsi" w:hAnsiTheme="minorHAnsi" w:cstheme="minorHAnsi"/>
          <w:color w:val="383838"/>
        </w:rPr>
        <w:t xml:space="preserve"> </w:t>
      </w:r>
      <w:r w:rsidR="00176418" w:rsidRPr="00000849">
        <w:rPr>
          <w:rFonts w:asciiTheme="minorHAnsi" w:hAnsiTheme="minorHAnsi" w:cstheme="minorHAnsi"/>
          <w:color w:val="383838"/>
        </w:rPr>
        <w:t>chronic renal disease</w:t>
      </w:r>
      <w:r w:rsidR="004B442F" w:rsidRPr="00000849">
        <w:rPr>
          <w:rFonts w:asciiTheme="minorHAnsi" w:hAnsiTheme="minorHAnsi" w:cstheme="minorHAnsi"/>
          <w:color w:val="383838"/>
        </w:rPr>
        <w:t xml:space="preserve">.  </w:t>
      </w:r>
      <w:r w:rsidR="009E0D55" w:rsidRPr="00000849">
        <w:rPr>
          <w:rFonts w:asciiTheme="minorHAnsi" w:hAnsiTheme="minorHAnsi" w:cstheme="minorHAnsi"/>
          <w:color w:val="383838"/>
        </w:rPr>
        <w:t xml:space="preserve">Thus, the imperative to reduce overweight/obesity is not only for medical reasons but also </w:t>
      </w:r>
      <w:r w:rsidR="00B65C7B" w:rsidRPr="00000849">
        <w:rPr>
          <w:rFonts w:asciiTheme="minorHAnsi" w:hAnsiTheme="minorHAnsi" w:cstheme="minorHAnsi"/>
          <w:color w:val="383838"/>
        </w:rPr>
        <w:t>for financial reasons</w:t>
      </w:r>
      <w:r w:rsidR="009E0D55" w:rsidRPr="00000849">
        <w:rPr>
          <w:rFonts w:asciiTheme="minorHAnsi" w:hAnsiTheme="minorHAnsi" w:cstheme="minorHAnsi"/>
          <w:color w:val="383838"/>
        </w:rPr>
        <w:t>.</w:t>
      </w:r>
    </w:p>
    <w:p w14:paraId="6A53E3C6" w14:textId="4DC74944" w:rsidR="002C32A4" w:rsidRPr="00000849" w:rsidRDefault="00F75336" w:rsidP="00F75336">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Besides genetic and behavioural causes, the mechanisms that explain the </w:t>
      </w:r>
      <w:r w:rsidR="005C4A39" w:rsidRPr="00000849">
        <w:rPr>
          <w:rFonts w:asciiTheme="minorHAnsi" w:hAnsiTheme="minorHAnsi" w:cstheme="minorHAnsi"/>
          <w:color w:val="383838"/>
        </w:rPr>
        <w:t xml:space="preserve">association between </w:t>
      </w:r>
      <w:r w:rsidRPr="00000849">
        <w:rPr>
          <w:rFonts w:asciiTheme="minorHAnsi" w:hAnsiTheme="minorHAnsi" w:cstheme="minorHAnsi"/>
          <w:color w:val="383838"/>
        </w:rPr>
        <w:t xml:space="preserve">hypertension </w:t>
      </w:r>
      <w:r w:rsidR="005C4A39" w:rsidRPr="00000849">
        <w:rPr>
          <w:rFonts w:asciiTheme="minorHAnsi" w:hAnsiTheme="minorHAnsi" w:cstheme="minorHAnsi"/>
          <w:color w:val="383838"/>
        </w:rPr>
        <w:t>and</w:t>
      </w:r>
      <w:r w:rsidRPr="00000849">
        <w:rPr>
          <w:rFonts w:asciiTheme="minorHAnsi" w:hAnsiTheme="minorHAnsi" w:cstheme="minorHAnsi"/>
          <w:color w:val="383838"/>
        </w:rPr>
        <w:t xml:space="preserve"> weight gain </w:t>
      </w:r>
      <w:r w:rsidR="00995895" w:rsidRPr="00000849">
        <w:rPr>
          <w:rFonts w:asciiTheme="minorHAnsi" w:hAnsiTheme="minorHAnsi" w:cstheme="minorHAnsi"/>
          <w:color w:val="383838"/>
        </w:rPr>
        <w:t>are</w:t>
      </w:r>
      <w:r w:rsidRPr="00000849">
        <w:rPr>
          <w:rFonts w:asciiTheme="minorHAnsi" w:hAnsiTheme="minorHAnsi" w:cstheme="minorHAnsi"/>
          <w:color w:val="383838"/>
        </w:rPr>
        <w:t xml:space="preserve"> increased sodium reabsorption and increased blood volume which </w:t>
      </w:r>
      <w:r w:rsidR="00995895" w:rsidRPr="00000849">
        <w:rPr>
          <w:rFonts w:asciiTheme="minorHAnsi" w:hAnsiTheme="minorHAnsi" w:cstheme="minorHAnsi"/>
          <w:color w:val="383838"/>
        </w:rPr>
        <w:t>are</w:t>
      </w:r>
      <w:r w:rsidRPr="00000849">
        <w:rPr>
          <w:rFonts w:asciiTheme="minorHAnsi" w:hAnsiTheme="minorHAnsi" w:cstheme="minorHAnsi"/>
          <w:color w:val="383838"/>
        </w:rPr>
        <w:t xml:space="preserve"> mediated </w:t>
      </w:r>
      <w:r w:rsidR="00793CD5" w:rsidRPr="00000849">
        <w:rPr>
          <w:rFonts w:asciiTheme="minorHAnsi" w:hAnsiTheme="minorHAnsi" w:cstheme="minorHAnsi"/>
          <w:color w:val="383838"/>
        </w:rPr>
        <w:t>by increased</w:t>
      </w:r>
      <w:r w:rsidRPr="00000849">
        <w:rPr>
          <w:rFonts w:asciiTheme="minorHAnsi" w:hAnsiTheme="minorHAnsi" w:cstheme="minorHAnsi"/>
          <w:color w:val="383838"/>
        </w:rPr>
        <w:t xml:space="preserve"> sympathetic nervous system activity; activation of the renin-angiotensin system; and in the case of abdominal obesity, increased physical compression of the kidneys, leading to increased</w:t>
      </w:r>
      <w:r w:rsidR="00793CD5" w:rsidRPr="00000849">
        <w:rPr>
          <w:rFonts w:asciiTheme="minorHAnsi" w:hAnsiTheme="minorHAnsi" w:cstheme="minorHAnsi"/>
          <w:color w:val="383838"/>
        </w:rPr>
        <w:t xml:space="preserve"> intrarenal pressure</w:t>
      </w:r>
      <w:r w:rsidRPr="00000849">
        <w:rPr>
          <w:rFonts w:asciiTheme="minorHAnsi" w:hAnsiTheme="minorHAnsi" w:cstheme="minorHAnsi"/>
          <w:color w:val="383838"/>
        </w:rPr>
        <w:t xml:space="preserve"> </w:t>
      </w:r>
      <w:r w:rsidR="00793CD5" w:rsidRPr="00000849">
        <w:rPr>
          <w:rFonts w:asciiTheme="minorHAnsi" w:hAnsiTheme="minorHAnsi" w:cstheme="minorHAnsi"/>
          <w:color w:val="383838"/>
        </w:rPr>
        <w:fldChar w:fldCharType="begin"/>
      </w:r>
      <w:r w:rsidR="00793CD5" w:rsidRPr="00000849">
        <w:rPr>
          <w:rFonts w:asciiTheme="minorHAnsi" w:hAnsiTheme="minorHAnsi" w:cstheme="minorHAnsi"/>
          <w:color w:val="383838"/>
        </w:rPr>
        <w:instrText xml:space="preserve"> ADDIN EN.CITE &lt;EndNote&gt;&lt;Cite&gt;&lt;Author&gt;Hall&lt;/Author&gt;&lt;Year&gt;2003&lt;/Year&gt;&lt;RecNum&gt;1023&lt;/RecNum&gt;&lt;DisplayText&gt;(Hall et al., 2003)&lt;/DisplayText&gt;&lt;record&gt;&lt;rec-number&gt;1023&lt;/rec-number&gt;&lt;foreign-keys&gt;&lt;key app="EN" db-id="9tzf2rda8re2a9es5tuxart3swzx2zws2s02" timestamp="1576596687"&gt;1023&lt;/key&gt;&lt;/foreign-keys&gt;&lt;ref-type name="Journal Article"&gt;17&lt;/ref-type&gt;&lt;contributors&gt;&lt;authors&gt;&lt;author&gt;Hall, John E&lt;/author&gt;&lt;author&gt;Jones, Daniel W&lt;/author&gt;&lt;author&gt;Kuo, Jay J&lt;/author&gt;&lt;author&gt;da Silva, Alexandre&lt;/author&gt;&lt;author&gt;Tallam, Lakshmi S&lt;/author&gt;&lt;author&gt;Liu, Jiankang&lt;/author&gt;&lt;/authors&gt;&lt;/contributors&gt;&lt;titles&gt;&lt;title&gt;Impact of the obesity epidemic on hypertension and renal disease&lt;/title&gt;&lt;secondary-title&gt;Current hypertension reports&lt;/secondary-title&gt;&lt;/titles&gt;&lt;periodical&gt;&lt;full-title&gt;Current hypertension reports&lt;/full-title&gt;&lt;/periodical&gt;&lt;pages&gt;386-392&lt;/pages&gt;&lt;volume&gt;5&lt;/volume&gt;&lt;number&gt;5&lt;/number&gt;&lt;dates&gt;&lt;year&gt;2003&lt;/year&gt;&lt;/dates&gt;&lt;isbn&gt;1522-6417&lt;/isbn&gt;&lt;urls&gt;&lt;/urls&gt;&lt;/record&gt;&lt;/Cite&gt;&lt;/EndNote&gt;</w:instrText>
      </w:r>
      <w:r w:rsidR="00793CD5" w:rsidRPr="00000849">
        <w:rPr>
          <w:rFonts w:asciiTheme="minorHAnsi" w:hAnsiTheme="minorHAnsi" w:cstheme="minorHAnsi"/>
          <w:color w:val="383838"/>
        </w:rPr>
        <w:fldChar w:fldCharType="separate"/>
      </w:r>
      <w:r w:rsidR="00793CD5" w:rsidRPr="00000849">
        <w:rPr>
          <w:rFonts w:asciiTheme="minorHAnsi" w:hAnsiTheme="minorHAnsi" w:cstheme="minorHAnsi"/>
          <w:noProof/>
          <w:color w:val="383838"/>
        </w:rPr>
        <w:t>(Hall et al., 2003)</w:t>
      </w:r>
      <w:r w:rsidR="00793CD5" w:rsidRPr="00000849">
        <w:rPr>
          <w:rFonts w:asciiTheme="minorHAnsi" w:hAnsiTheme="minorHAnsi" w:cstheme="minorHAnsi"/>
          <w:color w:val="383838"/>
        </w:rPr>
        <w:fldChar w:fldCharType="end"/>
      </w:r>
      <w:r w:rsidRPr="00000849">
        <w:rPr>
          <w:rFonts w:asciiTheme="minorHAnsi" w:hAnsiTheme="minorHAnsi" w:cstheme="minorHAnsi"/>
          <w:color w:val="383838"/>
        </w:rPr>
        <w:t>.</w:t>
      </w:r>
      <w:r w:rsidR="00793CD5" w:rsidRPr="00000849">
        <w:rPr>
          <w:rFonts w:asciiTheme="minorHAnsi" w:hAnsiTheme="minorHAnsi" w:cstheme="minorHAnsi"/>
          <w:color w:val="383838"/>
        </w:rPr>
        <w:t xml:space="preserve">  The pathophysiological mechanisms are complex and involve</w:t>
      </w:r>
      <w:r w:rsidR="00C84144" w:rsidRPr="00000849">
        <w:rPr>
          <w:rFonts w:asciiTheme="minorHAnsi" w:hAnsiTheme="minorHAnsi" w:cstheme="minorHAnsi"/>
          <w:color w:val="383838"/>
        </w:rPr>
        <w:t xml:space="preserve"> impaired vascular </w:t>
      </w:r>
      <w:r w:rsidR="00793CD5" w:rsidRPr="00000849">
        <w:rPr>
          <w:rFonts w:asciiTheme="minorHAnsi" w:hAnsiTheme="minorHAnsi" w:cstheme="minorHAnsi"/>
          <w:color w:val="383838"/>
        </w:rPr>
        <w:t xml:space="preserve">endothelial </w:t>
      </w:r>
      <w:r w:rsidR="00C84144" w:rsidRPr="00000849">
        <w:rPr>
          <w:rFonts w:asciiTheme="minorHAnsi" w:hAnsiTheme="minorHAnsi" w:cstheme="minorHAnsi"/>
          <w:color w:val="383838"/>
        </w:rPr>
        <w:t>function,</w:t>
      </w:r>
      <w:r w:rsidR="00793CD5" w:rsidRPr="00000849">
        <w:rPr>
          <w:rFonts w:asciiTheme="minorHAnsi" w:hAnsiTheme="minorHAnsi" w:cstheme="minorHAnsi"/>
          <w:color w:val="383838"/>
        </w:rPr>
        <w:t xml:space="preserve"> redu</w:t>
      </w:r>
      <w:r w:rsidR="00C84144" w:rsidRPr="00000849">
        <w:rPr>
          <w:rFonts w:asciiTheme="minorHAnsi" w:hAnsiTheme="minorHAnsi" w:cstheme="minorHAnsi"/>
          <w:color w:val="383838"/>
        </w:rPr>
        <w:t>ced availability of nitrous oxid</w:t>
      </w:r>
      <w:r w:rsidR="00793CD5" w:rsidRPr="00000849">
        <w:rPr>
          <w:rFonts w:asciiTheme="minorHAnsi" w:hAnsiTheme="minorHAnsi" w:cstheme="minorHAnsi"/>
          <w:color w:val="383838"/>
        </w:rPr>
        <w:t>e</w:t>
      </w:r>
      <w:r w:rsidR="00C84144" w:rsidRPr="00000849">
        <w:rPr>
          <w:rFonts w:asciiTheme="minorHAnsi" w:hAnsiTheme="minorHAnsi" w:cstheme="minorHAnsi"/>
          <w:color w:val="383838"/>
        </w:rPr>
        <w:t xml:space="preserve">, increased adipokines, and insulin resistance </w:t>
      </w:r>
      <w:r w:rsidR="00C84144" w:rsidRPr="00000849">
        <w:rPr>
          <w:rFonts w:asciiTheme="minorHAnsi" w:hAnsiTheme="minorHAnsi" w:cstheme="minorHAnsi"/>
          <w:color w:val="383838"/>
        </w:rPr>
        <w:fldChar w:fldCharType="begin"/>
      </w:r>
      <w:r w:rsidR="00C84144" w:rsidRPr="00000849">
        <w:rPr>
          <w:rFonts w:asciiTheme="minorHAnsi" w:hAnsiTheme="minorHAnsi" w:cstheme="minorHAnsi"/>
          <w:color w:val="383838"/>
        </w:rPr>
        <w:instrText xml:space="preserve"> ADDIN EN.CITE &lt;EndNote&gt;&lt;Cite&gt;&lt;Author&gt;Seravalle&lt;/Author&gt;&lt;Year&gt;2017&lt;/Year&gt;&lt;RecNum&gt;469&lt;/RecNum&gt;&lt;DisplayText&gt;(Seravalle &amp;amp; Grassi, 2017)&lt;/DisplayText&gt;&lt;record&gt;&lt;rec-number&gt;469&lt;/rec-number&gt;&lt;foreign-keys&gt;&lt;key app="EN" db-id="pzfw02x58peadyevdp8vswt40etp25t5ddp0" timestamp="1576561268"&gt;469&lt;/key&gt;&lt;/foreign-keys&gt;&lt;ref-type name="Journal Article"&gt;17&lt;/ref-type&gt;&lt;contributors&gt;&lt;authors&gt;&lt;author&gt;Seravalle, Gino&lt;/author&gt;&lt;author&gt;Grassi, Guido&lt;/author&gt;&lt;/authors&gt;&lt;/contributors&gt;&lt;titles&gt;&lt;title&gt;Obesity and hypertension&lt;/title&gt;&lt;secondary-title&gt;Pharmacological Research&lt;/secondary-title&gt;&lt;/titles&gt;&lt;periodical&gt;&lt;full-title&gt;Pharmacological Research&lt;/full-title&gt;&lt;/periodical&gt;&lt;pages&gt;1-7&lt;/pages&gt;&lt;volume&gt;122&lt;/volume&gt;&lt;keywords&gt;&lt;keyword&gt;Visceral fat distribution&lt;/keyword&gt;&lt;keyword&gt;Hypertension&lt;/keyword&gt;&lt;keyword&gt;Cardiovascular risk&lt;/keyword&gt;&lt;keyword&gt;Target organ damage&lt;/keyword&gt;&lt;keyword&gt;Pathophysiological mechanisms&lt;/keyword&gt;&lt;keyword&gt;Treatment&lt;/keyword&gt;&lt;/keywords&gt;&lt;dates&gt;&lt;year&gt;2017&lt;/year&gt;&lt;pub-dates&gt;&lt;date&gt;2017/08/01/&lt;/date&gt;&lt;/pub-dates&gt;&lt;/dates&gt;&lt;isbn&gt;1043-6618&lt;/isbn&gt;&lt;urls&gt;&lt;related-urls&gt;&lt;url&gt;http://www.sciencedirect.com/science/article/pii/S1043661817304620&lt;/url&gt;&lt;/related-urls&gt;&lt;/urls&gt;&lt;electronic-resource-num&gt;https://doi.org/10.1016/j.phrs.2017.05.013&lt;/electronic-resource-num&gt;&lt;/record&gt;&lt;/Cite&gt;&lt;/EndNote&gt;</w:instrText>
      </w:r>
      <w:r w:rsidR="00C84144" w:rsidRPr="00000849">
        <w:rPr>
          <w:rFonts w:asciiTheme="minorHAnsi" w:hAnsiTheme="minorHAnsi" w:cstheme="minorHAnsi"/>
          <w:color w:val="383838"/>
        </w:rPr>
        <w:fldChar w:fldCharType="separate"/>
      </w:r>
      <w:r w:rsidR="00C84144" w:rsidRPr="00000849">
        <w:rPr>
          <w:rFonts w:asciiTheme="minorHAnsi" w:hAnsiTheme="minorHAnsi" w:cstheme="minorHAnsi"/>
          <w:noProof/>
          <w:color w:val="383838"/>
        </w:rPr>
        <w:t>(Seravalle &amp; Grassi, 2017)</w:t>
      </w:r>
      <w:r w:rsidR="00C84144" w:rsidRPr="00000849">
        <w:rPr>
          <w:rFonts w:asciiTheme="minorHAnsi" w:hAnsiTheme="minorHAnsi" w:cstheme="minorHAnsi"/>
          <w:color w:val="383838"/>
        </w:rPr>
        <w:fldChar w:fldCharType="end"/>
      </w:r>
      <w:r w:rsidR="00C84144" w:rsidRPr="00000849">
        <w:rPr>
          <w:rFonts w:asciiTheme="minorHAnsi" w:hAnsiTheme="minorHAnsi" w:cstheme="minorHAnsi"/>
          <w:color w:val="383838"/>
        </w:rPr>
        <w:t>.</w:t>
      </w:r>
    </w:p>
    <w:p w14:paraId="7E104A16" w14:textId="5431A882" w:rsidR="002B1F08" w:rsidRPr="00000849" w:rsidRDefault="00894769" w:rsidP="000C5870">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E</w:t>
      </w:r>
      <w:r w:rsidR="007C5E12" w:rsidRPr="00000849">
        <w:rPr>
          <w:rFonts w:asciiTheme="minorHAnsi" w:hAnsiTheme="minorHAnsi" w:cstheme="minorHAnsi"/>
          <w:color w:val="383838"/>
        </w:rPr>
        <w:t xml:space="preserve">ngaging in high level of physical activity </w:t>
      </w:r>
      <w:r w:rsidR="007A6F0C" w:rsidRPr="00000849">
        <w:rPr>
          <w:rFonts w:asciiTheme="minorHAnsi" w:hAnsiTheme="minorHAnsi" w:cstheme="minorHAnsi"/>
          <w:color w:val="383838"/>
        </w:rPr>
        <w:t xml:space="preserve">was </w:t>
      </w:r>
      <w:r w:rsidR="007C5E12" w:rsidRPr="00000849">
        <w:rPr>
          <w:rFonts w:asciiTheme="minorHAnsi" w:hAnsiTheme="minorHAnsi" w:cstheme="minorHAnsi"/>
          <w:color w:val="383838"/>
        </w:rPr>
        <w:t xml:space="preserve">associated with </w:t>
      </w:r>
      <w:r w:rsidR="007A6F0C" w:rsidRPr="00000849">
        <w:rPr>
          <w:rFonts w:asciiTheme="minorHAnsi" w:hAnsiTheme="minorHAnsi" w:cstheme="minorHAnsi"/>
          <w:color w:val="383838"/>
        </w:rPr>
        <w:t xml:space="preserve">opposite effects in either </w:t>
      </w:r>
      <w:r w:rsidR="00272280" w:rsidRPr="00000849">
        <w:rPr>
          <w:rFonts w:asciiTheme="minorHAnsi" w:hAnsiTheme="minorHAnsi" w:cstheme="minorHAnsi"/>
          <w:color w:val="383838"/>
        </w:rPr>
        <w:t xml:space="preserve">SAGE Ghana </w:t>
      </w:r>
      <w:r w:rsidR="007A6F0C" w:rsidRPr="00000849">
        <w:rPr>
          <w:rFonts w:asciiTheme="minorHAnsi" w:hAnsiTheme="minorHAnsi" w:cstheme="minorHAnsi"/>
          <w:color w:val="383838"/>
        </w:rPr>
        <w:t xml:space="preserve">study wave – </w:t>
      </w:r>
      <w:r w:rsidR="00764723" w:rsidRPr="00000849">
        <w:rPr>
          <w:rFonts w:asciiTheme="minorHAnsi" w:hAnsiTheme="minorHAnsi" w:cstheme="minorHAnsi"/>
          <w:color w:val="383838"/>
        </w:rPr>
        <w:t>with</w:t>
      </w:r>
      <w:r w:rsidR="007A6F0C" w:rsidRPr="00000849">
        <w:rPr>
          <w:rFonts w:asciiTheme="minorHAnsi" w:hAnsiTheme="minorHAnsi" w:cstheme="minorHAnsi"/>
          <w:color w:val="383838"/>
        </w:rPr>
        <w:t xml:space="preserve"> greater odds of </w:t>
      </w:r>
      <w:r w:rsidR="007C5E12" w:rsidRPr="00000849">
        <w:rPr>
          <w:rFonts w:asciiTheme="minorHAnsi" w:hAnsiTheme="minorHAnsi" w:cstheme="minorHAnsi"/>
          <w:color w:val="383838"/>
        </w:rPr>
        <w:t>having hypertension</w:t>
      </w:r>
      <w:r w:rsidR="00AE50D3" w:rsidRPr="00000849">
        <w:rPr>
          <w:rFonts w:asciiTheme="minorHAnsi" w:hAnsiTheme="minorHAnsi" w:cstheme="minorHAnsi"/>
          <w:color w:val="383838"/>
        </w:rPr>
        <w:t xml:space="preserve"> (or its </w:t>
      </w:r>
      <w:r w:rsidR="00AE50D3" w:rsidRPr="00000849">
        <w:rPr>
          <w:rFonts w:asciiTheme="minorHAnsi" w:hAnsiTheme="minorHAnsi" w:cstheme="minorHAnsi"/>
          <w:color w:val="383838"/>
        </w:rPr>
        <w:lastRenderedPageBreak/>
        <w:t>severity)</w:t>
      </w:r>
      <w:r w:rsidR="007C5E12" w:rsidRPr="00000849">
        <w:rPr>
          <w:rFonts w:asciiTheme="minorHAnsi" w:hAnsiTheme="minorHAnsi" w:cstheme="minorHAnsi"/>
          <w:color w:val="383838"/>
        </w:rPr>
        <w:t xml:space="preserve"> </w:t>
      </w:r>
      <w:r w:rsidR="007A6F0C" w:rsidRPr="00000849">
        <w:rPr>
          <w:rFonts w:asciiTheme="minorHAnsi" w:hAnsiTheme="minorHAnsi" w:cstheme="minorHAnsi"/>
          <w:color w:val="383838"/>
        </w:rPr>
        <w:t>in one and lower odds in the other</w:t>
      </w:r>
      <w:r w:rsidR="007C5E12" w:rsidRPr="00000849">
        <w:rPr>
          <w:rFonts w:asciiTheme="minorHAnsi" w:hAnsiTheme="minorHAnsi" w:cstheme="minorHAnsi"/>
          <w:color w:val="383838"/>
        </w:rPr>
        <w:t xml:space="preserve">.  </w:t>
      </w:r>
      <w:r w:rsidR="007A6F0C" w:rsidRPr="00000849">
        <w:rPr>
          <w:rFonts w:asciiTheme="minorHAnsi" w:hAnsiTheme="minorHAnsi" w:cstheme="minorHAnsi"/>
          <w:color w:val="383838"/>
        </w:rPr>
        <w:t>Moderate-intensity physical activity conferred some pr</w:t>
      </w:r>
      <w:r w:rsidR="00272280" w:rsidRPr="00000849">
        <w:rPr>
          <w:rFonts w:asciiTheme="minorHAnsi" w:hAnsiTheme="minorHAnsi" w:cstheme="minorHAnsi"/>
          <w:color w:val="383838"/>
        </w:rPr>
        <w:t xml:space="preserve">otection against hypertension over the period of the studies </w:t>
      </w:r>
      <w:r w:rsidR="002B1F08" w:rsidRPr="00000849">
        <w:rPr>
          <w:rFonts w:asciiTheme="minorHAnsi" w:hAnsiTheme="minorHAnsi" w:cstheme="minorHAnsi"/>
          <w:color w:val="383838"/>
        </w:rPr>
        <w:t>in Ghana.</w:t>
      </w:r>
      <w:r w:rsidR="0085699E" w:rsidRPr="00000849">
        <w:rPr>
          <w:rFonts w:asciiTheme="minorHAnsi" w:hAnsiTheme="minorHAnsi" w:cstheme="minorHAnsi"/>
          <w:color w:val="383838"/>
        </w:rPr>
        <w:t xml:space="preserve">  </w:t>
      </w:r>
      <w:r w:rsidR="0065149A" w:rsidRPr="00000849">
        <w:rPr>
          <w:rFonts w:asciiTheme="minorHAnsi" w:hAnsiTheme="minorHAnsi" w:cstheme="minorHAnsi"/>
          <w:color w:val="383838"/>
        </w:rPr>
        <w:t xml:space="preserve">A similar mixed pattern </w:t>
      </w:r>
      <w:r w:rsidR="00BC45C0" w:rsidRPr="00000849">
        <w:rPr>
          <w:rFonts w:asciiTheme="minorHAnsi" w:hAnsiTheme="minorHAnsi" w:cstheme="minorHAnsi"/>
          <w:color w:val="383838"/>
        </w:rPr>
        <w:t xml:space="preserve">has been reported </w:t>
      </w:r>
      <w:r w:rsidR="0065149A" w:rsidRPr="00000849">
        <w:rPr>
          <w:rFonts w:asciiTheme="minorHAnsi" w:hAnsiTheme="minorHAnsi" w:cstheme="minorHAnsi"/>
          <w:color w:val="383838"/>
        </w:rPr>
        <w:t xml:space="preserve">in the literature.  </w:t>
      </w:r>
      <w:r w:rsidR="0085699E" w:rsidRPr="00000849">
        <w:rPr>
          <w:rFonts w:asciiTheme="minorHAnsi" w:hAnsiTheme="minorHAnsi" w:cstheme="minorHAnsi"/>
          <w:color w:val="383838"/>
        </w:rPr>
        <w:t xml:space="preserve">In a systematic review of studies in older adults in Africa </w:t>
      </w:r>
      <w:r w:rsidR="0065149A"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65149A" w:rsidRPr="00000849">
        <w:rPr>
          <w:rFonts w:asciiTheme="minorHAnsi" w:hAnsiTheme="minorHAnsi" w:cstheme="minorHAnsi"/>
          <w:color w:val="383838"/>
        </w:rPr>
      </w:r>
      <w:r w:rsidR="0065149A"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(Bosu et al., 2019a)</w:t>
      </w:r>
      <w:r w:rsidR="0065149A" w:rsidRPr="00000849">
        <w:rPr>
          <w:rFonts w:asciiTheme="minorHAnsi" w:hAnsiTheme="minorHAnsi" w:cstheme="minorHAnsi"/>
          <w:color w:val="383838"/>
        </w:rPr>
        <w:fldChar w:fldCharType="end"/>
      </w:r>
      <w:r w:rsidR="0085699E" w:rsidRPr="00000849">
        <w:rPr>
          <w:rFonts w:asciiTheme="minorHAnsi" w:hAnsiTheme="minorHAnsi" w:cstheme="minorHAnsi"/>
          <w:color w:val="383838"/>
        </w:rPr>
        <w:t xml:space="preserve">, low level physical activity </w:t>
      </w:r>
      <w:r w:rsidR="0065149A" w:rsidRPr="00000849">
        <w:rPr>
          <w:rFonts w:asciiTheme="minorHAnsi" w:hAnsiTheme="minorHAnsi" w:cstheme="minorHAnsi"/>
          <w:color w:val="383838"/>
        </w:rPr>
        <w:t xml:space="preserve">in SAGE South Africa </w:t>
      </w:r>
      <w:r w:rsidR="0065149A" w:rsidRPr="00000849">
        <w:rPr>
          <w:rFonts w:asciiTheme="minorHAnsi" w:hAnsiTheme="minorHAnsi" w:cstheme="minorHAnsi"/>
          <w:color w:val="383838"/>
        </w:rPr>
        <w:fldChar w:fldCharType="begin"/>
      </w:r>
      <w:r w:rsidR="00AC2BE6">
        <w:rPr>
          <w:rFonts w:asciiTheme="minorHAnsi" w:hAnsiTheme="minorHAnsi" w:cstheme="minorHAnsi"/>
          <w:color w:val="383838"/>
        </w:rPr>
        <w:instrText xml:space="preserve"> ADDIN EN.CITE &lt;EndNote&gt;&lt;Cite&gt;&lt;Author&gt;Peltzer&lt;/Author&gt;&lt;Year&gt;2013&lt;/Year&gt;&lt;RecNum&gt;869&lt;/RecNum&gt;&lt;DisplayText&gt;(Peltzer &amp;amp; Phaswana-Mafuya, 2013a)&lt;/DisplayText&gt;&lt;record&gt;&lt;rec-number&gt;869&lt;/rec-number&gt;&lt;foreign-keys&gt;&lt;key app="EN" db-id="29t2ptva8t9xtgex0z2vepsadpwpfxd9a2zv" timestamp="1615774562"&gt;869&lt;/key&gt;&lt;/foreign-keys&gt;&lt;ref-type name="Journal Article"&gt;17&lt;/ref-type&gt;&lt;contributors&gt;&lt;authors&gt;&lt;author&gt;Peltzer, K.&lt;/author&gt;&lt;author&gt;Phaswana-Mafuya, N.&lt;/author&gt;&lt;/authors&gt;&lt;/contributors&gt;&lt;auth-address&gt;HIV/AIDS/SIT and TB (HAST), Human Sciences Research Council, Pretoria, South Africa&lt;/auth-address&gt;&lt;titles&gt;&lt;title&gt;Hypertension and associated factors in older adults in South Africa&lt;/title&gt;&lt;secondary-title&gt;Cardiovascular Journal of Africa&lt;/secondary-title&gt;&lt;/titles&gt;&lt;periodical&gt;&lt;full-title&gt;Cardiovascular Journal of Africa&lt;/full-title&gt;&lt;abbr-1&gt;Cardiovasc J Afr&lt;/abbr-1&gt;&lt;/periodical&gt;&lt;pages&gt;66-71&lt;/pages&gt;&lt;volume&gt;24&lt;/volume&gt;&lt;number&gt;3&lt;/number&gt;&lt;keywords&gt;&lt;keyword&gt;adult&lt;/keyword&gt;&lt;keyword&gt;aged&lt;/keyword&gt;&lt;keyword&gt;anthropometry&lt;/keyword&gt;&lt;keyword&gt;article&lt;/keyword&gt;&lt;keyword&gt;blood pressure measurement&lt;/keyword&gt;&lt;keyword&gt;female&lt;/keyword&gt;&lt;keyword&gt;human&lt;/keyword&gt;&lt;keyword&gt;*hypertension/ep [Epidemiology]&lt;/keyword&gt;&lt;keyword&gt;major clinical study&lt;/keyword&gt;&lt;keyword&gt;male&lt;/keyword&gt;&lt;keyword&gt;outpatient care&lt;/keyword&gt;&lt;keyword&gt;prevalence&lt;/keyword&gt;&lt;keyword&gt;questionnaire&lt;/keyword&gt;&lt;keyword&gt;*senescence&lt;/keyword&gt;&lt;keyword&gt;*South Africa&lt;/keyword&gt;&lt;/keywords&gt;&lt;dates&gt;&lt;year&gt;2013&lt;/year&gt;&lt;/dates&gt;&lt;pub-location&gt;South Africa&lt;/pub-location&gt;&lt;publisher&gt;Clinics Cardive Publishing (PTY)Ltd (PO Box 1013, Durbanville 7551, South Africa)&lt;/publisher&gt;&lt;isbn&gt;1995-1892&lt;/isbn&gt;&lt;urls&gt;&lt;related-urls&gt;&lt;url&gt;http://search.sabinet.co.za/WebZ/images/ejour/cardio1/cardio1_v24_n3_a5.pdf?sessionid=01-35585-666414646&amp;amp;format=F&lt;/url&gt;&lt;url&gt;http://ovidsp.ovid.com/ovidweb.cgi?T=JS&amp;amp;PAGE=reference&amp;amp;D=emed15&amp;amp;NEWS=N&amp;amp;AN=368996853&lt;/url&gt;&lt;/related-urls&gt;&lt;/urls&gt;&lt;electronic-resource-num&gt;10.5830/cvja-2013-002&lt;/electronic-resource-num&gt;&lt;/record&gt;&lt;/Cite&gt;&lt;/EndNote&gt;</w:instrText>
      </w:r>
      <w:r w:rsidR="0065149A" w:rsidRPr="00000849">
        <w:rPr>
          <w:rFonts w:asciiTheme="minorHAnsi" w:hAnsiTheme="minorHAnsi" w:cstheme="minorHAnsi"/>
          <w:color w:val="383838"/>
        </w:rPr>
        <w:fldChar w:fldCharType="separate"/>
      </w:r>
      <w:r w:rsidR="00D363A0">
        <w:rPr>
          <w:rFonts w:asciiTheme="minorHAnsi" w:hAnsiTheme="minorHAnsi" w:cstheme="minorHAnsi"/>
          <w:noProof/>
          <w:color w:val="383838"/>
        </w:rPr>
        <w:t>(Peltzer &amp; Phaswana-Mafuya, 2013a)</w:t>
      </w:r>
      <w:r w:rsidR="0065149A" w:rsidRPr="00000849">
        <w:rPr>
          <w:rFonts w:asciiTheme="minorHAnsi" w:hAnsiTheme="minorHAnsi" w:cstheme="minorHAnsi"/>
          <w:color w:val="383838"/>
        </w:rPr>
        <w:fldChar w:fldCharType="end"/>
      </w:r>
      <w:r w:rsidR="0065149A" w:rsidRPr="00000849">
        <w:rPr>
          <w:rFonts w:asciiTheme="minorHAnsi" w:hAnsiTheme="minorHAnsi" w:cstheme="minorHAnsi"/>
          <w:color w:val="383838"/>
        </w:rPr>
        <w:t xml:space="preserve"> but high level physical activity in Congo/CAR </w:t>
      </w:r>
      <w:r w:rsidR="0065149A" w:rsidRPr="00000849">
        <w:rPr>
          <w:rFonts w:asciiTheme="minorHAnsi" w:hAnsiTheme="minorHAnsi" w:cstheme="minorHAnsi"/>
          <w:color w:val="383838"/>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65149A" w:rsidRPr="00000849">
        <w:rPr>
          <w:rFonts w:asciiTheme="minorHAnsi" w:hAnsiTheme="minorHAnsi" w:cstheme="minorHAnsi"/>
          <w:color w:val="383838"/>
        </w:rPr>
        <w:instrText xml:space="preserve"> ADDIN EN.CITE </w:instrText>
      </w:r>
      <w:r w:rsidR="0065149A" w:rsidRPr="00000849">
        <w:rPr>
          <w:rFonts w:asciiTheme="minorHAnsi" w:hAnsiTheme="minorHAnsi" w:cstheme="minorHAnsi"/>
          <w:color w:val="383838"/>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65149A" w:rsidRPr="00000849">
        <w:rPr>
          <w:rFonts w:asciiTheme="minorHAnsi" w:hAnsiTheme="minorHAnsi" w:cstheme="minorHAnsi"/>
          <w:color w:val="383838"/>
        </w:rPr>
        <w:instrText xml:space="preserve"> ADDIN EN.CITE.DATA </w:instrText>
      </w:r>
      <w:r w:rsidR="0065149A" w:rsidRPr="00000849">
        <w:rPr>
          <w:rFonts w:asciiTheme="minorHAnsi" w:hAnsiTheme="minorHAnsi" w:cstheme="minorHAnsi"/>
          <w:color w:val="383838"/>
        </w:rPr>
      </w:r>
      <w:r w:rsidR="0065149A" w:rsidRPr="00000849">
        <w:rPr>
          <w:rFonts w:asciiTheme="minorHAnsi" w:hAnsiTheme="minorHAnsi" w:cstheme="minorHAnsi"/>
          <w:color w:val="383838"/>
        </w:rPr>
        <w:fldChar w:fldCharType="end"/>
      </w:r>
      <w:r w:rsidR="0065149A" w:rsidRPr="00000849">
        <w:rPr>
          <w:rFonts w:asciiTheme="minorHAnsi" w:hAnsiTheme="minorHAnsi" w:cstheme="minorHAnsi"/>
          <w:color w:val="383838"/>
        </w:rPr>
      </w:r>
      <w:r w:rsidR="0065149A" w:rsidRPr="00000849">
        <w:rPr>
          <w:rFonts w:asciiTheme="minorHAnsi" w:hAnsiTheme="minorHAnsi" w:cstheme="minorHAnsi"/>
          <w:color w:val="383838"/>
        </w:rPr>
        <w:fldChar w:fldCharType="separate"/>
      </w:r>
      <w:r w:rsidR="0065149A" w:rsidRPr="00000849">
        <w:rPr>
          <w:rFonts w:asciiTheme="minorHAnsi" w:hAnsiTheme="minorHAnsi" w:cstheme="minorHAnsi"/>
          <w:noProof/>
          <w:color w:val="383838"/>
        </w:rPr>
        <w:t>(Pilleron et al., 2017)</w:t>
      </w:r>
      <w:r w:rsidR="0065149A" w:rsidRPr="00000849">
        <w:rPr>
          <w:rFonts w:asciiTheme="minorHAnsi" w:hAnsiTheme="minorHAnsi" w:cstheme="minorHAnsi"/>
          <w:color w:val="383838"/>
        </w:rPr>
        <w:fldChar w:fldCharType="end"/>
      </w:r>
      <w:r w:rsidR="0065149A" w:rsidRPr="00000849">
        <w:rPr>
          <w:rFonts w:asciiTheme="minorHAnsi" w:hAnsiTheme="minorHAnsi" w:cstheme="minorHAnsi"/>
          <w:color w:val="383838"/>
        </w:rPr>
        <w:t xml:space="preserve"> were </w:t>
      </w:r>
      <w:r w:rsidR="00AE50D3" w:rsidRPr="00000849">
        <w:rPr>
          <w:rFonts w:asciiTheme="minorHAnsi" w:hAnsiTheme="minorHAnsi" w:cstheme="minorHAnsi"/>
          <w:color w:val="383838"/>
        </w:rPr>
        <w:t xml:space="preserve">protective of hypertension.  In other studies, the relationship between physical activity and hypertension was not statistically significant </w:t>
      </w:r>
      <w:r w:rsidR="00AE50D3" w:rsidRPr="00000849">
        <w:rPr>
          <w:rFonts w:asciiTheme="minorHAnsi" w:hAnsiTheme="minorHAnsi" w:cstheme="minorHAnsi"/>
          <w:color w:val="383838"/>
        </w:rPr>
        <w:fldChar w:fldCharType="begin">
          <w:fldData xml:space="preserve">PEVuZE5vdGU+PENpdGU+PEF1dGhvcj5IYW1tYW1pPC9BdXRob3I+PFllYXI+MjAxMTwvWWVhcj48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=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PEVuZE5vdGU+PENpdGU+PEF1dGhvcj5IYW1tYW1pPC9BdXRob3I+PFllYXI+MjAxMTwvWWVhcj48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=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AE50D3" w:rsidRPr="00000849">
        <w:rPr>
          <w:rFonts w:asciiTheme="minorHAnsi" w:hAnsiTheme="minorHAnsi" w:cstheme="minorHAnsi"/>
          <w:color w:val="383838"/>
        </w:rPr>
      </w:r>
      <w:r w:rsidR="00AE50D3" w:rsidRPr="00000849">
        <w:rPr>
          <w:rFonts w:asciiTheme="minorHAnsi" w:hAnsiTheme="minorHAnsi" w:cstheme="minorHAnsi"/>
          <w:color w:val="383838"/>
        </w:rPr>
        <w:fldChar w:fldCharType="separate"/>
      </w:r>
      <w:r w:rsidR="00CD7B29">
        <w:rPr>
          <w:rFonts w:asciiTheme="minorHAnsi" w:hAnsiTheme="minorHAnsi" w:cstheme="minorHAnsi"/>
          <w:noProof/>
          <w:color w:val="383838"/>
        </w:rPr>
        <w:t>(Hammami et al., 2011; Lloyd-Sherlock et al., 2014)</w:t>
      </w:r>
      <w:r w:rsidR="00AE50D3" w:rsidRPr="00000849">
        <w:rPr>
          <w:rFonts w:asciiTheme="minorHAnsi" w:hAnsiTheme="minorHAnsi" w:cstheme="minorHAnsi"/>
          <w:color w:val="383838"/>
        </w:rPr>
        <w:fldChar w:fldCharType="end"/>
      </w:r>
      <w:r w:rsidR="00AE50D3" w:rsidRPr="00000849">
        <w:rPr>
          <w:rFonts w:asciiTheme="minorHAnsi" w:hAnsiTheme="minorHAnsi" w:cstheme="minorHAnsi"/>
          <w:color w:val="383838"/>
        </w:rPr>
        <w:t xml:space="preserve">.  </w:t>
      </w:r>
      <w:r w:rsidR="000C5870" w:rsidRPr="00000849">
        <w:rPr>
          <w:rFonts w:asciiTheme="minorHAnsi" w:hAnsiTheme="minorHAnsi" w:cstheme="minorHAnsi"/>
          <w:color w:val="383838"/>
        </w:rPr>
        <w:t xml:space="preserve">Similarly, in the six </w:t>
      </w:r>
      <w:r w:rsidR="00BC45C0" w:rsidRPr="00000849">
        <w:rPr>
          <w:rFonts w:asciiTheme="minorHAnsi" w:hAnsiTheme="minorHAnsi" w:cstheme="minorHAnsi"/>
          <w:color w:val="383838"/>
        </w:rPr>
        <w:t xml:space="preserve">SAGE </w:t>
      </w:r>
      <w:r w:rsidR="000C5870" w:rsidRPr="00000849">
        <w:rPr>
          <w:rFonts w:asciiTheme="minorHAnsi" w:hAnsiTheme="minorHAnsi" w:cstheme="minorHAnsi"/>
          <w:color w:val="383838"/>
        </w:rPr>
        <w:t xml:space="preserve">countries, hypertension did not vary significantly by level of physical activity in </w:t>
      </w:r>
      <w:r w:rsidR="00AE50D3" w:rsidRPr="00000849">
        <w:rPr>
          <w:rFonts w:asciiTheme="minorHAnsi" w:hAnsiTheme="minorHAnsi" w:cstheme="minorHAnsi"/>
          <w:color w:val="383838"/>
        </w:rPr>
        <w:t xml:space="preserve">participants aged ≥18 years </w:t>
      </w:r>
      <w:r w:rsidR="00AE50D3" w:rsidRPr="00000849">
        <w:rPr>
          <w:rFonts w:asciiTheme="minorHAnsi" w:hAnsiTheme="minorHAnsi" w:cstheme="minorHAnsi"/>
          <w:color w:val="383838"/>
        </w:rPr>
        <w:fldChar w:fldCharType="begin">
          <w:fldData xml:space="preserve">PEVuZE5vdGU+PENpdGU+PEF1dGhvcj5CYXN1PC9BdXRob3I+PFllYXI+MjAxMzwvWWVhcj48UmVj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PEVuZE5vdGU+PENpdGU+PEF1dGhvcj5CYXN1PC9BdXRob3I+PFllYXI+MjAxMzwvWWVhcj48UmVj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AE50D3" w:rsidRPr="00000849">
        <w:rPr>
          <w:rFonts w:asciiTheme="minorHAnsi" w:hAnsiTheme="minorHAnsi" w:cstheme="minorHAnsi"/>
          <w:color w:val="383838"/>
        </w:rPr>
      </w:r>
      <w:r w:rsidR="00AE50D3" w:rsidRPr="00000849">
        <w:rPr>
          <w:rFonts w:asciiTheme="minorHAnsi" w:hAnsiTheme="minorHAnsi" w:cstheme="minorHAnsi"/>
          <w:color w:val="383838"/>
        </w:rPr>
        <w:fldChar w:fldCharType="separate"/>
      </w:r>
      <w:r w:rsidR="00AE50D3" w:rsidRPr="00000849">
        <w:rPr>
          <w:rFonts w:asciiTheme="minorHAnsi" w:hAnsiTheme="minorHAnsi" w:cstheme="minorHAnsi"/>
          <w:noProof/>
          <w:color w:val="383838"/>
        </w:rPr>
        <w:t>(Basu &amp; Millett, 2013)</w:t>
      </w:r>
      <w:r w:rsidR="00AE50D3" w:rsidRPr="00000849">
        <w:rPr>
          <w:rFonts w:asciiTheme="minorHAnsi" w:hAnsiTheme="minorHAnsi" w:cstheme="minorHAnsi"/>
          <w:color w:val="383838"/>
        </w:rPr>
        <w:fldChar w:fldCharType="end"/>
      </w:r>
      <w:r w:rsidR="000C5870" w:rsidRPr="00000849">
        <w:rPr>
          <w:rFonts w:asciiTheme="minorHAnsi" w:hAnsiTheme="minorHAnsi" w:cstheme="minorHAnsi"/>
          <w:color w:val="383838"/>
        </w:rPr>
        <w:t>.</w:t>
      </w:r>
    </w:p>
    <w:p w14:paraId="5D3F8594" w14:textId="0A795000" w:rsidR="00E71AD3" w:rsidRPr="00000849" w:rsidRDefault="00E54735" w:rsidP="00E71AD3">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Nonetheless</w:t>
      </w:r>
      <w:r w:rsidR="000C5870" w:rsidRPr="00000849">
        <w:rPr>
          <w:rFonts w:asciiTheme="minorHAnsi" w:hAnsiTheme="minorHAnsi" w:cstheme="minorHAnsi"/>
          <w:color w:val="383838"/>
        </w:rPr>
        <w:t xml:space="preserve">, </w:t>
      </w:r>
      <w:r w:rsidR="00AA5FC3" w:rsidRPr="00000849">
        <w:rPr>
          <w:rFonts w:asciiTheme="minorHAnsi" w:hAnsiTheme="minorHAnsi" w:cstheme="minorHAnsi"/>
          <w:color w:val="383838"/>
        </w:rPr>
        <w:t>the beneficial role of physical activity, even at low-to-moderate levels</w:t>
      </w:r>
      <w:r w:rsidR="00C90A8B" w:rsidRPr="00000849">
        <w:rPr>
          <w:rFonts w:asciiTheme="minorHAnsi" w:hAnsiTheme="minorHAnsi" w:cstheme="minorHAnsi"/>
          <w:color w:val="383838"/>
        </w:rPr>
        <w:t xml:space="preserve"> or when s</w:t>
      </w:r>
      <w:r w:rsidR="00110F5B" w:rsidRPr="00000849">
        <w:rPr>
          <w:rFonts w:asciiTheme="minorHAnsi" w:hAnsiTheme="minorHAnsi" w:cstheme="minorHAnsi"/>
          <w:color w:val="383838"/>
        </w:rPr>
        <w:t>tarted in later life</w:t>
      </w:r>
      <w:r w:rsidR="00AA5FC3" w:rsidRPr="00000849">
        <w:rPr>
          <w:rFonts w:asciiTheme="minorHAnsi" w:hAnsiTheme="minorHAnsi" w:cstheme="minorHAnsi"/>
          <w:color w:val="383838"/>
        </w:rPr>
        <w:t xml:space="preserve">, in improving cardiovascular outcomes in older adults is </w:t>
      </w:r>
      <w:r w:rsidR="000C23A4" w:rsidRPr="00000849">
        <w:rPr>
          <w:rFonts w:asciiTheme="minorHAnsi" w:hAnsiTheme="minorHAnsi" w:cstheme="minorHAnsi"/>
          <w:color w:val="383838"/>
        </w:rPr>
        <w:t>undoubted</w:t>
      </w:r>
      <w:r w:rsidR="00AA5FC3" w:rsidRPr="00000849">
        <w:rPr>
          <w:rFonts w:asciiTheme="minorHAnsi" w:hAnsiTheme="minorHAnsi" w:cstheme="minorHAnsi"/>
          <w:color w:val="383838"/>
        </w:rPr>
        <w:t xml:space="preserve"> </w:t>
      </w:r>
      <w:r w:rsidR="00AA5FC3" w:rsidRPr="00000849">
        <w:rPr>
          <w:rFonts w:asciiTheme="minorHAnsi" w:hAnsiTheme="minorHAnsi" w:cstheme="minorHAnsi"/>
          <w:color w:val="383838"/>
        </w:rPr>
        <w:fldChar w:fldCharType="begin">
          <w:fldData xml:space="preserve">PEVuZE5vdGU+PENpdGU+PEF1dGhvcj5IdXBpbjwvQXV0aG9yPjxZZWFyPjIwMTU8L1llYXI+PFJl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PEVuZE5vdGU+PENpdGU+PEF1dGhvcj5IdXBpbjwvQXV0aG9yPjxZZWFyPjIwMTU8L1llYXI+PFJl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AA5FC3" w:rsidRPr="00000849">
        <w:rPr>
          <w:rFonts w:asciiTheme="minorHAnsi" w:hAnsiTheme="minorHAnsi" w:cstheme="minorHAnsi"/>
          <w:color w:val="383838"/>
        </w:rPr>
      </w:r>
      <w:r w:rsidR="00AA5FC3"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(Hamer et al., 2014; Hupin et al., 2015)</w:t>
      </w:r>
      <w:r w:rsidR="00AA5FC3" w:rsidRPr="00000849">
        <w:rPr>
          <w:rFonts w:asciiTheme="minorHAnsi" w:hAnsiTheme="minorHAnsi" w:cstheme="minorHAnsi"/>
          <w:color w:val="383838"/>
        </w:rPr>
        <w:fldChar w:fldCharType="end"/>
      </w:r>
      <w:r w:rsidR="00AA5FC3" w:rsidRPr="00000849">
        <w:rPr>
          <w:rFonts w:asciiTheme="minorHAnsi" w:hAnsiTheme="minorHAnsi" w:cstheme="minorHAnsi"/>
          <w:color w:val="383838"/>
        </w:rPr>
        <w:t>.</w:t>
      </w:r>
      <w:r w:rsidR="00E73F93" w:rsidRPr="00000849">
        <w:rPr>
          <w:rFonts w:asciiTheme="minorHAnsi" w:hAnsiTheme="minorHAnsi" w:cstheme="minorHAnsi"/>
          <w:color w:val="383838"/>
        </w:rPr>
        <w:t xml:space="preserve">  In a systematic review of the health effects of aerobic training </w:t>
      </w:r>
      <w:r w:rsidR="00686378" w:rsidRPr="00000849">
        <w:rPr>
          <w:rFonts w:asciiTheme="minorHAnsi" w:hAnsiTheme="minorHAnsi" w:cstheme="minorHAnsi"/>
          <w:color w:val="383838"/>
        </w:rPr>
        <w:t xml:space="preserve">involving eleven controlled-trials </w:t>
      </w:r>
      <w:r w:rsidR="00E73F93" w:rsidRPr="00000849">
        <w:rPr>
          <w:rFonts w:asciiTheme="minorHAnsi" w:hAnsiTheme="minorHAnsi" w:cstheme="minorHAnsi"/>
          <w:color w:val="383838"/>
        </w:rPr>
        <w:t>among</w:t>
      </w:r>
      <w:r w:rsidR="00686378" w:rsidRPr="00000849">
        <w:rPr>
          <w:rFonts w:asciiTheme="minorHAnsi" w:hAnsiTheme="minorHAnsi" w:cstheme="minorHAnsi"/>
          <w:color w:val="383838"/>
        </w:rPr>
        <w:t xml:space="preserve"> </w:t>
      </w:r>
      <w:r w:rsidR="00E73F93" w:rsidRPr="00000849">
        <w:rPr>
          <w:rFonts w:asciiTheme="minorHAnsi" w:hAnsiTheme="minorHAnsi" w:cstheme="minorHAnsi"/>
          <w:color w:val="383838"/>
        </w:rPr>
        <w:t>adults ≥70 aged years</w:t>
      </w:r>
      <w:r w:rsidR="00DF720F" w:rsidRPr="00000849">
        <w:rPr>
          <w:rFonts w:asciiTheme="minorHAnsi" w:hAnsiTheme="minorHAnsi" w:cstheme="minorHAnsi"/>
          <w:color w:val="383838"/>
        </w:rPr>
        <w:t xml:space="preserve"> who were healthy or had hypertension</w:t>
      </w:r>
      <w:r w:rsidR="00E73F93" w:rsidRPr="00000849">
        <w:rPr>
          <w:rFonts w:asciiTheme="minorHAnsi" w:hAnsiTheme="minorHAnsi" w:cstheme="minorHAnsi"/>
          <w:color w:val="383838"/>
        </w:rPr>
        <w:t xml:space="preserve">, most studies </w:t>
      </w:r>
      <w:r w:rsidR="00686378" w:rsidRPr="00000849">
        <w:rPr>
          <w:rFonts w:asciiTheme="minorHAnsi" w:hAnsiTheme="minorHAnsi" w:cstheme="minorHAnsi"/>
          <w:color w:val="383838"/>
        </w:rPr>
        <w:t>reported a reduction in SBP by 5.3</w:t>
      </w:r>
      <w:r w:rsidR="00BC45C0" w:rsidRPr="00000849">
        <w:rPr>
          <w:rFonts w:asciiTheme="minorHAnsi" w:hAnsiTheme="minorHAnsi" w:cstheme="minorHAnsi"/>
          <w:color w:val="383838"/>
        </w:rPr>
        <w:t>%</w:t>
      </w:r>
      <w:r w:rsidR="00686378" w:rsidRPr="00000849">
        <w:rPr>
          <w:rFonts w:asciiTheme="minorHAnsi" w:hAnsiTheme="minorHAnsi" w:cstheme="minorHAnsi"/>
          <w:color w:val="383838"/>
        </w:rPr>
        <w:t>-16.0% and DBP by 11.4</w:t>
      </w:r>
      <w:r w:rsidR="00BC45C0" w:rsidRPr="00000849">
        <w:rPr>
          <w:rFonts w:asciiTheme="minorHAnsi" w:hAnsiTheme="minorHAnsi" w:cstheme="minorHAnsi"/>
          <w:color w:val="383838"/>
        </w:rPr>
        <w:t>%</w:t>
      </w:r>
      <w:r w:rsidR="00686378" w:rsidRPr="00000849">
        <w:rPr>
          <w:rFonts w:asciiTheme="minorHAnsi" w:hAnsiTheme="minorHAnsi" w:cstheme="minorHAnsi"/>
          <w:color w:val="383838"/>
        </w:rPr>
        <w:t xml:space="preserve">-13.0% </w:t>
      </w:r>
      <w:r w:rsidR="00686378" w:rsidRPr="00000849">
        <w:rPr>
          <w:rFonts w:asciiTheme="minorHAnsi" w:hAnsiTheme="minorHAnsi" w:cstheme="minorHAnsi"/>
          <w:color w:val="383838"/>
        </w:rPr>
        <w:fldChar w:fldCharType="begin"/>
      </w:r>
      <w:r w:rsidR="00686378" w:rsidRPr="00000849">
        <w:rPr>
          <w:rFonts w:asciiTheme="minorHAnsi" w:hAnsiTheme="minorHAnsi" w:cstheme="minorHAnsi"/>
          <w:color w:val="383838"/>
        </w:rPr>
        <w:instrText xml:space="preserve"> ADDIN EN.CITE &lt;EndNote&gt;&lt;Cite&gt;&lt;Author&gt;Bouaziz&lt;/Author&gt;&lt;Year&gt;2017&lt;/Year&gt;&lt;RecNum&gt;1016&lt;/RecNum&gt;&lt;DisplayText&gt;(Bouaziz et al., 2017)&lt;/DisplayText&gt;&lt;record&gt;&lt;rec-number&gt;1016&lt;/rec-number&gt;&lt;foreign-keys&gt;&lt;key app="EN" db-id="9tzf2rda8re2a9es5tuxart3swzx2zws2s02" timestamp="1576553353"&gt;1016&lt;/key&gt;&lt;/foreign-keys&gt;&lt;ref-type name="Journal Article"&gt;17&lt;/ref-type&gt;&lt;contributors&gt;&lt;authors&gt;&lt;author&gt;Bouaziz, Walid&lt;/author&gt;&lt;author&gt;Vogel, Thomas&lt;/author&gt;&lt;author&gt;Schmitt, Elise&lt;/author&gt;&lt;author&gt;Kaltenbach, Georges&lt;/author&gt;&lt;author&gt;Geny, Bernard&lt;/author&gt;&lt;author&gt;Lang, Pierre Olivier&lt;/author&gt;&lt;/authors&gt;&lt;/contributors&gt;&lt;titles&gt;&lt;title&gt;Health benefits of aerobic training programs in adults aged 70 and over: a systematic review&lt;/title&gt;&lt;secondary-title&gt;Archives of gerontology and geriatrics&lt;/secondary-title&gt;&lt;/titles&gt;&lt;periodical&gt;&lt;full-title&gt;Archives of Gerontology and Geriatrics&lt;/full-title&gt;&lt;abbr-1&gt;Arch Gerontol Geriatr&lt;/abbr-1&gt;&lt;/periodical&gt;&lt;pages&gt;110-127&lt;/pages&gt;&lt;volume&gt;69&lt;/volume&gt;&lt;dates&gt;&lt;year&gt;2017&lt;/year&gt;&lt;/dates&gt;&lt;isbn&gt;0167-4943&lt;/isbn&gt;&lt;urls&gt;&lt;/urls&gt;&lt;/record&gt;&lt;/Cite&gt;&lt;/EndNote&gt;</w:instrText>
      </w:r>
      <w:r w:rsidR="00686378" w:rsidRPr="00000849">
        <w:rPr>
          <w:rFonts w:asciiTheme="minorHAnsi" w:hAnsiTheme="minorHAnsi" w:cstheme="minorHAnsi"/>
          <w:color w:val="383838"/>
        </w:rPr>
        <w:fldChar w:fldCharType="separate"/>
      </w:r>
      <w:r w:rsidR="00686378" w:rsidRPr="00000849">
        <w:rPr>
          <w:rFonts w:asciiTheme="minorHAnsi" w:hAnsiTheme="minorHAnsi" w:cstheme="minorHAnsi"/>
          <w:noProof/>
          <w:color w:val="383838"/>
        </w:rPr>
        <w:t>(Bouaziz et al., 2017)</w:t>
      </w:r>
      <w:r w:rsidR="00686378" w:rsidRPr="00000849">
        <w:rPr>
          <w:rFonts w:asciiTheme="minorHAnsi" w:hAnsiTheme="minorHAnsi" w:cstheme="minorHAnsi"/>
          <w:color w:val="383838"/>
        </w:rPr>
        <w:fldChar w:fldCharType="end"/>
      </w:r>
      <w:r w:rsidR="00686378" w:rsidRPr="00000849">
        <w:rPr>
          <w:rFonts w:asciiTheme="minorHAnsi" w:hAnsiTheme="minorHAnsi" w:cstheme="minorHAnsi"/>
          <w:color w:val="383838"/>
        </w:rPr>
        <w:t xml:space="preserve">.  The review also found consistent evidence of benefits for respiratory fitness, glucose metabolism control, functional outcomes, and cognitive performance.  </w:t>
      </w:r>
      <w:r w:rsidR="00E71AD3" w:rsidRPr="00000849">
        <w:rPr>
          <w:rFonts w:asciiTheme="minorHAnsi" w:hAnsiTheme="minorHAnsi" w:cstheme="minorHAnsi"/>
          <w:color w:val="383838"/>
        </w:rPr>
        <w:t xml:space="preserve">Another systematic review of randomized controlled trials investigating nonpharmacological strategies to reduce BP found that aerobic or resistance </w:t>
      </w:r>
      <w:r w:rsidR="00110DA2" w:rsidRPr="00000849">
        <w:rPr>
          <w:rFonts w:asciiTheme="minorHAnsi" w:hAnsiTheme="minorHAnsi" w:cstheme="minorHAnsi"/>
          <w:color w:val="383838"/>
        </w:rPr>
        <w:t xml:space="preserve">exercise </w:t>
      </w:r>
      <w:r w:rsidR="00E71AD3" w:rsidRPr="00000849">
        <w:rPr>
          <w:rFonts w:asciiTheme="minorHAnsi" w:hAnsiTheme="minorHAnsi" w:cstheme="minorHAnsi"/>
          <w:color w:val="383838"/>
        </w:rPr>
        <w:t>training or both, undertaken regularly over at least a three</w:t>
      </w:r>
      <w:r w:rsidR="00BC45C0" w:rsidRPr="00000849">
        <w:rPr>
          <w:rFonts w:asciiTheme="minorHAnsi" w:hAnsiTheme="minorHAnsi" w:cstheme="minorHAnsi"/>
          <w:color w:val="383838"/>
        </w:rPr>
        <w:t>-</w:t>
      </w:r>
      <w:r w:rsidR="00E71AD3" w:rsidRPr="00000849">
        <w:rPr>
          <w:rFonts w:asciiTheme="minorHAnsi" w:hAnsiTheme="minorHAnsi" w:cstheme="minorHAnsi"/>
          <w:color w:val="383838"/>
        </w:rPr>
        <w:t>month period le</w:t>
      </w:r>
      <w:r w:rsidR="00995895" w:rsidRPr="00000849">
        <w:rPr>
          <w:rFonts w:asciiTheme="minorHAnsi" w:hAnsiTheme="minorHAnsi" w:cstheme="minorHAnsi"/>
          <w:color w:val="383838"/>
        </w:rPr>
        <w:t>d</w:t>
      </w:r>
      <w:r w:rsidR="00E71AD3" w:rsidRPr="00000849">
        <w:rPr>
          <w:rFonts w:asciiTheme="minorHAnsi" w:hAnsiTheme="minorHAnsi" w:cstheme="minorHAnsi"/>
          <w:color w:val="383838"/>
        </w:rPr>
        <w:t xml:space="preserve"> to reductions of 5-6mmHg in SBP and 2-3.5 mmHg in DBP in adults aged ≥65 years </w:t>
      </w:r>
      <w:r w:rsidR="00E71AD3" w:rsidRPr="00000849">
        <w:rPr>
          <w:rFonts w:asciiTheme="minorHAnsi" w:hAnsiTheme="minorHAnsi" w:cstheme="minorHAnsi"/>
          <w:color w:val="383838"/>
        </w:rPr>
        <w:fldChar w:fldCharType="begin"/>
      </w:r>
      <w:r w:rsidR="00E71AD3" w:rsidRPr="00000849">
        <w:rPr>
          <w:rFonts w:asciiTheme="minorHAnsi" w:hAnsiTheme="minorHAnsi" w:cstheme="minorHAnsi"/>
          <w:color w:val="383838"/>
        </w:rPr>
        <w:instrText xml:space="preserve"> ADDIN EN.CITE &lt;EndNote&gt;&lt;Cite&gt;&lt;Author&gt;Herrod&lt;/Author&gt;&lt;Year&gt;2018&lt;/Year&gt;&lt;RecNum&gt;464&lt;/RecNum&gt;&lt;DisplayText&gt;(Herrod et al., 2018)&lt;/DisplayText&gt;&lt;record&gt;&lt;rec-number&gt;464&lt;/rec-number&gt;&lt;foreign-keys&gt;&lt;key app="EN" db-id="pzfw02x58peadyevdp8vswt40etp25t5ddp0" timestamp="1576472660"&gt;464&lt;/key&gt;&lt;/foreign-keys&gt;&lt;ref-type name="Journal Article"&gt;17&lt;/ref-type&gt;&lt;contributors&gt;&lt;authors&gt;&lt;author&gt;Herrod, Philip JJ&lt;/author&gt;&lt;author&gt;Doleman, Brett&lt;/author&gt;&lt;author&gt;Blackwell, James EM&lt;/author&gt;&lt;author&gt;O’Boyle, Francesca&lt;/author&gt;&lt;author&gt;Williams, John P&lt;/author&gt;&lt;author&gt;Lund, Jonathan N&lt;/author&gt;&lt;author&gt;Phillips, Bethan E&lt;/author&gt;&lt;/authors&gt;&lt;/contributors&gt;&lt;titles&gt;&lt;title&gt;Exercise and other nonpharmacological strategies to reduce blood pressure in older adults: a systematic review and meta-analysis&lt;/title&gt;&lt;secondary-title&gt;Journal of the American Society of Hypertension&lt;/secondary-title&gt;&lt;/titles&gt;&lt;periodical&gt;&lt;full-title&gt;Journal of the American Society of Hypertension&lt;/full-title&gt;&lt;/periodical&gt;&lt;pages&gt;248-267&lt;/pages&gt;&lt;volume&gt;12&lt;/volume&gt;&lt;number&gt;4&lt;/number&gt;&lt;dates&gt;&lt;year&gt;2018&lt;/year&gt;&lt;/dates&gt;&lt;isbn&gt;1933-1711&lt;/isbn&gt;&lt;urls&gt;&lt;/urls&gt;&lt;/record&gt;&lt;/Cite&gt;&lt;/EndNote&gt;</w:instrText>
      </w:r>
      <w:r w:rsidR="00E71AD3" w:rsidRPr="00000849">
        <w:rPr>
          <w:rFonts w:asciiTheme="minorHAnsi" w:hAnsiTheme="minorHAnsi" w:cstheme="minorHAnsi"/>
          <w:color w:val="383838"/>
        </w:rPr>
        <w:fldChar w:fldCharType="separate"/>
      </w:r>
      <w:r w:rsidR="00E71AD3" w:rsidRPr="00000849">
        <w:rPr>
          <w:rFonts w:asciiTheme="minorHAnsi" w:hAnsiTheme="minorHAnsi" w:cstheme="minorHAnsi"/>
          <w:color w:val="383838"/>
        </w:rPr>
        <w:t>(Herrod et al., 2018)</w:t>
      </w:r>
      <w:r w:rsidR="00E71AD3" w:rsidRPr="00000849">
        <w:rPr>
          <w:rFonts w:asciiTheme="minorHAnsi" w:hAnsiTheme="minorHAnsi" w:cstheme="minorHAnsi"/>
          <w:color w:val="383838"/>
        </w:rPr>
        <w:fldChar w:fldCharType="end"/>
      </w:r>
      <w:r w:rsidR="00110DA2" w:rsidRPr="00000849">
        <w:rPr>
          <w:rFonts w:asciiTheme="minorHAnsi" w:hAnsiTheme="minorHAnsi" w:cstheme="minorHAnsi"/>
          <w:color w:val="383838"/>
        </w:rPr>
        <w:t>.</w:t>
      </w:r>
    </w:p>
    <w:p w14:paraId="432F30CE" w14:textId="15D14EA6" w:rsidR="001056FF" w:rsidRPr="00000849" w:rsidRDefault="00995895" w:rsidP="000C5870">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lastRenderedPageBreak/>
        <w:t>However, a</w:t>
      </w:r>
      <w:r w:rsidR="001056FF" w:rsidRPr="00000849">
        <w:rPr>
          <w:rFonts w:asciiTheme="minorHAnsi" w:hAnsiTheme="minorHAnsi" w:cstheme="minorHAnsi"/>
          <w:color w:val="383838"/>
        </w:rPr>
        <w:t xml:space="preserve">dherence to exercise can be challenging, particularly among older adults and is better achieved in those who are healthy, fit, non-smokers, have a history of physically active lifestyle and are well-motivated with high self-efficacy </w:t>
      </w:r>
      <w:r w:rsidR="001056FF"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&lt;EndNote&gt;&lt;Cite&gt;&lt;Author&gt;Martin&lt;/Author&gt;&lt;Year&gt;2001&lt;/Year&gt;&lt;RecNum&gt;1018&lt;/RecNum&gt;&lt;DisplayText&gt;(Martin &amp;amp; Sinden, 2001)&lt;/DisplayText&gt;&lt;record&gt;&lt;rec-number&gt;1018&lt;/rec-number&gt;&lt;foreign-keys&gt;&lt;key app="EN" db-id="9tzf2rda8re2a9es5tuxart3swzx2zws2s02" timestamp="1576554743"&gt;1018&lt;/key&gt;&lt;/foreign-keys&gt;&lt;ref-type name="Journal Article"&gt;17&lt;/ref-type&gt;&lt;contributors&gt;&lt;authors&gt;&lt;author&gt;Martin, Kathleen A&lt;/author&gt;&lt;author&gt;Sinden, Adrienne R&lt;/author&gt;&lt;/authors&gt;&lt;/contributors&gt;&lt;titles&gt;&lt;title&gt;Who will stay and who will go? A review of older adults’ adherence to randomized controlled trials of exercise&lt;/title&gt;&lt;secondary-title&gt;Journal of Aging and Physical Activity&lt;/secondary-title&gt;&lt;/titles&gt;&lt;periodical&gt;&lt;full-title&gt;Journal of Aging and Physical Activity&lt;/full-title&gt;&lt;/periodical&gt;&lt;pages&gt;91-114&lt;/pages&gt;&lt;volume&gt;9&lt;/volume&gt;&lt;number&gt;2&lt;/number&gt;&lt;dates&gt;&lt;year&gt;2001&lt;/year&gt;&lt;/dates&gt;&lt;isbn&gt;1063-8652&lt;/isbn&gt;&lt;urls&gt;&lt;/urls&gt;&lt;/record&gt;&lt;/Cite&gt;&lt;/EndNote&gt;</w:instrText>
      </w:r>
      <w:r w:rsidR="001056FF" w:rsidRPr="00000849">
        <w:rPr>
          <w:rFonts w:asciiTheme="minorHAnsi" w:hAnsiTheme="minorHAnsi" w:cstheme="minorHAnsi"/>
          <w:color w:val="383838"/>
        </w:rPr>
        <w:fldChar w:fldCharType="separate"/>
      </w:r>
      <w:r w:rsidR="001056FF" w:rsidRPr="00000849">
        <w:rPr>
          <w:rFonts w:asciiTheme="minorHAnsi" w:hAnsiTheme="minorHAnsi" w:cstheme="minorHAnsi"/>
          <w:noProof/>
          <w:color w:val="383838"/>
        </w:rPr>
        <w:t>(Martin &amp; Sinden, 2001)</w:t>
      </w:r>
      <w:r w:rsidR="001056FF" w:rsidRPr="00000849">
        <w:rPr>
          <w:rFonts w:asciiTheme="minorHAnsi" w:hAnsiTheme="minorHAnsi" w:cstheme="minorHAnsi"/>
          <w:color w:val="383838"/>
        </w:rPr>
        <w:fldChar w:fldCharType="end"/>
      </w:r>
      <w:r w:rsidR="001056FF" w:rsidRPr="00000849">
        <w:rPr>
          <w:rFonts w:asciiTheme="minorHAnsi" w:hAnsiTheme="minorHAnsi" w:cstheme="minorHAnsi"/>
          <w:color w:val="383838"/>
        </w:rPr>
        <w:t>.</w:t>
      </w:r>
      <w:r w:rsidR="00C24B40" w:rsidRPr="00000849">
        <w:rPr>
          <w:rFonts w:asciiTheme="minorHAnsi" w:hAnsiTheme="minorHAnsi" w:cstheme="minorHAnsi"/>
          <w:color w:val="383838"/>
        </w:rPr>
        <w:t xml:space="preserve">  </w:t>
      </w:r>
      <w:r w:rsidR="00665445" w:rsidRPr="00000849">
        <w:rPr>
          <w:rFonts w:asciiTheme="minorHAnsi" w:hAnsiTheme="minorHAnsi" w:cstheme="minorHAnsi"/>
          <w:color w:val="383838"/>
        </w:rPr>
        <w:t xml:space="preserve">Less daunting forms of exercise have been </w:t>
      </w:r>
      <w:r w:rsidRPr="00000849">
        <w:rPr>
          <w:rFonts w:asciiTheme="minorHAnsi" w:hAnsiTheme="minorHAnsi" w:cstheme="minorHAnsi"/>
          <w:color w:val="383838"/>
        </w:rPr>
        <w:t>explored</w:t>
      </w:r>
      <w:r w:rsidR="00C24B40" w:rsidRPr="00000849">
        <w:rPr>
          <w:rFonts w:asciiTheme="minorHAnsi" w:hAnsiTheme="minorHAnsi" w:cstheme="minorHAnsi"/>
          <w:color w:val="383838"/>
        </w:rPr>
        <w:t xml:space="preserve">.  Dancing has been found to have functional, metabolic and cognitive benefits in older adults </w:t>
      </w:r>
      <w:r w:rsidR="00C24B40" w:rsidRPr="00000849">
        <w:rPr>
          <w:rFonts w:asciiTheme="minorHAnsi" w:hAnsiTheme="minorHAnsi" w:cstheme="minorHAnsi"/>
          <w:color w:val="383838"/>
        </w:rPr>
        <w:fldChar w:fldCharType="begin">
          <w:fldData xml:space="preserve">PEVuZE5vdGU+PENpdGU+PEF1dGhvcj5Sb2RyaWd1ZXMtS3JhdXNlPC9BdXRob3I+PFllYXI+MjAx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</w:fldData>
        </w:fldChar>
      </w:r>
      <w:r w:rsidR="00431DA0" w:rsidRPr="00000849">
        <w:rPr>
          <w:rFonts w:asciiTheme="minorHAnsi" w:hAnsiTheme="minorHAnsi" w:cstheme="minorHAnsi"/>
          <w:color w:val="383838"/>
        </w:rPr>
        <w:instrText xml:space="preserve"> ADDIN EN.CITE </w:instrText>
      </w:r>
      <w:r w:rsidR="00431DA0" w:rsidRPr="00000849">
        <w:rPr>
          <w:rFonts w:asciiTheme="minorHAnsi" w:hAnsiTheme="minorHAnsi" w:cstheme="minorHAnsi"/>
          <w:color w:val="383838"/>
        </w:rPr>
        <w:fldChar w:fldCharType="begin">
          <w:fldData xml:space="preserve">PEVuZE5vdGU+PENpdGU+PEF1dGhvcj5Sb2RyaWd1ZXMtS3JhdXNlPC9BdXRob3I+PFllYXI+MjAx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C24B40" w:rsidRPr="00000849">
        <w:rPr>
          <w:rFonts w:asciiTheme="minorHAnsi" w:hAnsiTheme="minorHAnsi" w:cstheme="minorHAnsi"/>
          <w:color w:val="383838"/>
        </w:rPr>
      </w:r>
      <w:r w:rsidR="00C24B40"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(Predovan et al., 2019; Rodrigues-Krause et al., 2019)</w:t>
      </w:r>
      <w:r w:rsidR="00C24B40" w:rsidRPr="00000849">
        <w:rPr>
          <w:rFonts w:asciiTheme="minorHAnsi" w:hAnsiTheme="minorHAnsi" w:cstheme="minorHAnsi"/>
          <w:color w:val="383838"/>
        </w:rPr>
        <w:fldChar w:fldCharType="end"/>
      </w:r>
      <w:r w:rsidR="00C24B40" w:rsidRPr="00000849">
        <w:rPr>
          <w:rFonts w:asciiTheme="minorHAnsi" w:hAnsiTheme="minorHAnsi" w:cstheme="minorHAnsi"/>
          <w:color w:val="383838"/>
        </w:rPr>
        <w:t xml:space="preserve">.  </w:t>
      </w:r>
      <w:r w:rsidR="00665445" w:rsidRPr="00000849">
        <w:rPr>
          <w:rFonts w:asciiTheme="minorHAnsi" w:hAnsiTheme="minorHAnsi" w:cstheme="minorHAnsi"/>
          <w:color w:val="383838"/>
        </w:rPr>
        <w:t>Moreover, there is evidence that structured exercises and lifestyle physical activity integrated into the daily lives of older adults are equally effective</w:t>
      </w:r>
      <w:r w:rsidR="001F34CE" w:rsidRPr="00000849">
        <w:rPr>
          <w:rFonts w:asciiTheme="minorHAnsi" w:hAnsiTheme="minorHAnsi" w:cstheme="minorHAnsi"/>
          <w:color w:val="383838"/>
        </w:rPr>
        <w:t xml:space="preserve">, with the latter being more </w:t>
      </w:r>
      <w:r w:rsidR="00617A76" w:rsidRPr="00000849">
        <w:rPr>
          <w:rFonts w:asciiTheme="minorHAnsi" w:hAnsiTheme="minorHAnsi" w:cstheme="minorHAnsi"/>
          <w:color w:val="383838"/>
        </w:rPr>
        <w:t>sustainable in maintaining increased physical activity</w:t>
      </w:r>
      <w:r w:rsidR="001F34CE" w:rsidRPr="00000849">
        <w:rPr>
          <w:rFonts w:asciiTheme="minorHAnsi" w:hAnsiTheme="minorHAnsi" w:cstheme="minorHAnsi"/>
          <w:color w:val="383838"/>
        </w:rPr>
        <w:t xml:space="preserve"> in the long term </w:t>
      </w:r>
      <w:r w:rsidR="00617A76" w:rsidRPr="00000849">
        <w:rPr>
          <w:rFonts w:asciiTheme="minorHAnsi" w:hAnsiTheme="minorHAnsi" w:cstheme="minorHAnsi"/>
          <w:color w:val="383838"/>
        </w:rPr>
        <w:t xml:space="preserve">than the former </w:t>
      </w:r>
      <w:r w:rsidR="00617A76"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&lt;EndNote&gt;&lt;Cite&gt;&lt;Author&gt;Opdenacker&lt;/Author&gt;&lt;Year&gt;2008&lt;/Year&gt;&lt;RecNum&gt;1031&lt;/RecNum&gt;&lt;DisplayText&gt;(Opdenacker et al., 2008)&lt;/DisplayText&gt;&lt;record&gt;&lt;rec-number&gt;1031&lt;/rec-number&gt;&lt;foreign-keys&gt;&lt;key app="EN" db-id="9tzf2rda8re2a9es5tuxart3swzx2zws2s02" timestamp="1576840138"&gt;1031&lt;/key&gt;&lt;/foreign-keys&gt;&lt;ref-type name="Journal Article"&gt;17&lt;/ref-type&gt;&lt;contributors&gt;&lt;authors&gt;&lt;author&gt;Opdenacker, J.&lt;/author&gt;&lt;author&gt;Boen, F.&lt;/author&gt;&lt;author&gt;Coorevits, N.&lt;/author&gt;&lt;author&gt;Delecluse, C.&lt;/author&gt;&lt;/authors&gt;&lt;/contributors&gt;&lt;auth-address&gt;Department of Human Kinesiology, Faculty of Kinesiology and Rehabilitation Sciences, K.U.Leuven, Tervuursevest 101, 3001 Leuven, Belgium. Joke.Opdenacker@faber.kuleuven.be&lt;/auth-address&gt;&lt;titles&gt;&lt;title&gt;Effectiveness of a lifestyle intervention and a structured exercise intervention in older adults&lt;/title&gt;&lt;secondary-title&gt;Prev Med&lt;/secondary-title&gt;&lt;/titles&gt;&lt;periodical&gt;&lt;full-title&gt;Prev Med&lt;/full-title&gt;&lt;/periodical&gt;&lt;pages&gt;518-24&lt;/pages&gt;&lt;volume&gt;46&lt;/volume&gt;&lt;number&gt;6&lt;/number&gt;&lt;edition&gt;2008/04/15&lt;/edition&gt;&lt;keywords&gt;&lt;keyword&gt;Acceleration&lt;/keyword&gt;&lt;keyword&gt;Age Factors&lt;/keyword&gt;&lt;keyword&gt;Aged&lt;/keyword&gt;&lt;keyword&gt;*Exercise Therapy&lt;/keyword&gt;&lt;keyword&gt;Female&lt;/keyword&gt;&lt;keyword&gt;Health Promotion&lt;/keyword&gt;&lt;keyword&gt;Health Surveys&lt;/keyword&gt;&lt;keyword&gt;Humans&lt;/keyword&gt;&lt;keyword&gt;*Life Style&lt;/keyword&gt;&lt;keyword&gt;Male&lt;/keyword&gt;&lt;keyword&gt;*Motor Activity&lt;/keyword&gt;&lt;keyword&gt;*Program Evaluation&lt;/keyword&gt;&lt;keyword&gt;Surveys and Questionnaires&lt;/keyword&gt;&lt;/keywords&gt;&lt;dates&gt;&lt;year&gt;2008&lt;/year&gt;&lt;pub-dates&gt;&lt;date&gt;Jun&lt;/date&gt;&lt;/pub-dates&gt;&lt;/dates&gt;&lt;isbn&gt;0091-7435 (Print)&amp;#xD;0091-7435&lt;/isbn&gt;&lt;accession-num&gt;18405960&lt;/accession-num&gt;&lt;urls&gt;&lt;/urls&gt;&lt;electronic-resource-num&gt;10.1016/j.ypmed.2008.02.017&lt;/electronic-resource-num&gt;&lt;remote-database-provider&gt;NLM&lt;/remote-database-provider&gt;&lt;language&gt;eng&lt;/language&gt;&lt;/record&gt;&lt;/Cite&gt;&lt;/EndNote&gt;</w:instrText>
      </w:r>
      <w:r w:rsidR="00617A76"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(Opdenacker et al., 2008)</w:t>
      </w:r>
      <w:r w:rsidR="00617A76" w:rsidRPr="00000849">
        <w:rPr>
          <w:rFonts w:asciiTheme="minorHAnsi" w:hAnsiTheme="minorHAnsi" w:cstheme="minorHAnsi"/>
          <w:color w:val="383838"/>
        </w:rPr>
        <w:fldChar w:fldCharType="end"/>
      </w:r>
      <w:r w:rsidR="00617A76" w:rsidRPr="00000849">
        <w:rPr>
          <w:rFonts w:asciiTheme="minorHAnsi" w:hAnsiTheme="minorHAnsi" w:cstheme="minorHAnsi"/>
          <w:color w:val="383838"/>
        </w:rPr>
        <w:t>.</w:t>
      </w:r>
      <w:r w:rsidR="001F34CE" w:rsidRPr="00000849">
        <w:rPr>
          <w:rFonts w:asciiTheme="minorHAnsi" w:hAnsiTheme="minorHAnsi" w:cstheme="minorHAnsi"/>
          <w:color w:val="383838"/>
        </w:rPr>
        <w:t xml:space="preserve"> </w:t>
      </w:r>
      <w:r w:rsidR="00665445" w:rsidRPr="00000849">
        <w:rPr>
          <w:rFonts w:asciiTheme="minorHAnsi" w:hAnsiTheme="minorHAnsi" w:cstheme="minorHAnsi"/>
          <w:color w:val="383838"/>
        </w:rPr>
        <w:t xml:space="preserve"> </w:t>
      </w:r>
      <w:r w:rsidR="001056FF" w:rsidRPr="00000849">
        <w:rPr>
          <w:rFonts w:asciiTheme="minorHAnsi" w:hAnsiTheme="minorHAnsi" w:cstheme="minorHAnsi"/>
          <w:color w:val="383838"/>
        </w:rPr>
        <w:t xml:space="preserve">Unfortunately, Ghana </w:t>
      </w:r>
      <w:r w:rsidR="00C24B40" w:rsidRPr="00000849">
        <w:rPr>
          <w:rFonts w:asciiTheme="minorHAnsi" w:hAnsiTheme="minorHAnsi" w:cstheme="minorHAnsi"/>
          <w:color w:val="383838"/>
        </w:rPr>
        <w:t xml:space="preserve">has limited </w:t>
      </w:r>
      <w:r w:rsidR="001056FF" w:rsidRPr="00000849">
        <w:rPr>
          <w:rFonts w:asciiTheme="minorHAnsi" w:hAnsiTheme="minorHAnsi" w:cstheme="minorHAnsi"/>
          <w:color w:val="383838"/>
        </w:rPr>
        <w:t xml:space="preserve">programmes </w:t>
      </w:r>
      <w:r w:rsidRPr="00000849">
        <w:rPr>
          <w:rFonts w:asciiTheme="minorHAnsi" w:hAnsiTheme="minorHAnsi" w:cstheme="minorHAnsi"/>
          <w:color w:val="383838"/>
        </w:rPr>
        <w:t xml:space="preserve">or infrastructure </w:t>
      </w:r>
      <w:r w:rsidR="001056FF" w:rsidRPr="00000849">
        <w:rPr>
          <w:rFonts w:asciiTheme="minorHAnsi" w:hAnsiTheme="minorHAnsi" w:cstheme="minorHAnsi"/>
          <w:color w:val="383838"/>
        </w:rPr>
        <w:t xml:space="preserve">to systematically </w:t>
      </w:r>
      <w:r w:rsidR="00C24B40" w:rsidRPr="00000849">
        <w:rPr>
          <w:rFonts w:asciiTheme="minorHAnsi" w:hAnsiTheme="minorHAnsi" w:cstheme="minorHAnsi"/>
          <w:color w:val="383838"/>
        </w:rPr>
        <w:t>engage</w:t>
      </w:r>
      <w:r w:rsidR="001056FF" w:rsidRPr="00000849">
        <w:rPr>
          <w:rFonts w:asciiTheme="minorHAnsi" w:hAnsiTheme="minorHAnsi" w:cstheme="minorHAnsi"/>
          <w:color w:val="383838"/>
        </w:rPr>
        <w:t xml:space="preserve"> </w:t>
      </w:r>
      <w:r w:rsidR="00C24B40" w:rsidRPr="00000849">
        <w:rPr>
          <w:rFonts w:asciiTheme="minorHAnsi" w:hAnsiTheme="minorHAnsi" w:cstheme="minorHAnsi"/>
          <w:color w:val="383838"/>
        </w:rPr>
        <w:t xml:space="preserve">older adults in </w:t>
      </w:r>
      <w:r w:rsidR="001056FF" w:rsidRPr="00000849">
        <w:rPr>
          <w:rFonts w:asciiTheme="minorHAnsi" w:hAnsiTheme="minorHAnsi" w:cstheme="minorHAnsi"/>
          <w:color w:val="383838"/>
        </w:rPr>
        <w:t xml:space="preserve">physical activity </w:t>
      </w:r>
      <w:r w:rsidR="00C24B40" w:rsidRPr="00000849">
        <w:rPr>
          <w:rFonts w:asciiTheme="minorHAnsi" w:hAnsiTheme="minorHAnsi" w:cstheme="minorHAnsi"/>
          <w:color w:val="383838"/>
        </w:rPr>
        <w:t>sessions.</w:t>
      </w:r>
      <w:r w:rsidR="001056FF" w:rsidRPr="00000849">
        <w:rPr>
          <w:rFonts w:asciiTheme="minorHAnsi" w:hAnsiTheme="minorHAnsi" w:cstheme="minorHAnsi"/>
          <w:color w:val="383838"/>
        </w:rPr>
        <w:t xml:space="preserve">  </w:t>
      </w:r>
    </w:p>
    <w:p w14:paraId="09A4E2FF" w14:textId="34801CE6" w:rsidR="007C5E12" w:rsidRPr="00000849" w:rsidRDefault="007C5E12" w:rsidP="00BA59D2">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Overall, most of the findings conform</w:t>
      </w:r>
      <w:r w:rsidR="00BA59D2" w:rsidRPr="00000849">
        <w:rPr>
          <w:rFonts w:asciiTheme="minorHAnsi" w:hAnsiTheme="minorHAnsi" w:cstheme="minorHAnsi"/>
          <w:color w:val="383838"/>
        </w:rPr>
        <w:t>ed</w:t>
      </w:r>
      <w:r w:rsidRPr="00000849">
        <w:rPr>
          <w:rFonts w:asciiTheme="minorHAnsi" w:hAnsiTheme="minorHAnsi" w:cstheme="minorHAnsi"/>
          <w:color w:val="383838"/>
        </w:rPr>
        <w:t xml:space="preserve"> to what might be expected but </w:t>
      </w:r>
      <w:r w:rsidR="00BA59D2" w:rsidRPr="00000849">
        <w:rPr>
          <w:rFonts w:asciiTheme="minorHAnsi" w:hAnsiTheme="minorHAnsi" w:cstheme="minorHAnsi"/>
          <w:color w:val="383838"/>
        </w:rPr>
        <w:t xml:space="preserve">there were occasional </w:t>
      </w:r>
      <w:r w:rsidR="00995895" w:rsidRPr="00000849">
        <w:rPr>
          <w:rFonts w:asciiTheme="minorHAnsi" w:hAnsiTheme="minorHAnsi" w:cstheme="minorHAnsi"/>
          <w:color w:val="383838"/>
        </w:rPr>
        <w:t xml:space="preserve">counterintuitive </w:t>
      </w:r>
      <w:r w:rsidR="00BA59D2" w:rsidRPr="00000849">
        <w:rPr>
          <w:rFonts w:asciiTheme="minorHAnsi" w:hAnsiTheme="minorHAnsi" w:cstheme="minorHAnsi"/>
          <w:color w:val="383838"/>
        </w:rPr>
        <w:t xml:space="preserve">glitches such as heavy alcohol drinking and consumption of inadequate daily fruit and vegetable servings that emerged </w:t>
      </w:r>
      <w:r w:rsidRPr="00000849">
        <w:rPr>
          <w:rFonts w:asciiTheme="minorHAnsi" w:hAnsiTheme="minorHAnsi" w:cstheme="minorHAnsi"/>
          <w:color w:val="383838"/>
        </w:rPr>
        <w:t xml:space="preserve">as </w:t>
      </w:r>
      <w:r w:rsidR="00BD50B0" w:rsidRPr="00000849">
        <w:rPr>
          <w:rFonts w:asciiTheme="minorHAnsi" w:hAnsiTheme="minorHAnsi" w:cstheme="minorHAnsi"/>
          <w:color w:val="383838"/>
        </w:rPr>
        <w:t xml:space="preserve">negative </w:t>
      </w:r>
      <w:r w:rsidRPr="00000849">
        <w:rPr>
          <w:rFonts w:asciiTheme="minorHAnsi" w:hAnsiTheme="minorHAnsi" w:cstheme="minorHAnsi"/>
          <w:color w:val="383838"/>
        </w:rPr>
        <w:t xml:space="preserve">predictors of hypertension </w:t>
      </w:r>
      <w:r w:rsidR="00BA59D2" w:rsidRPr="00000849">
        <w:rPr>
          <w:rFonts w:asciiTheme="minorHAnsi" w:hAnsiTheme="minorHAnsi" w:cstheme="minorHAnsi"/>
          <w:color w:val="383838"/>
        </w:rPr>
        <w:t>in W2.</w:t>
      </w:r>
    </w:p>
    <w:p w14:paraId="1F74EA5D" w14:textId="77777777" w:rsidR="002C6410" w:rsidRPr="00000849" w:rsidRDefault="002C6410"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1BDBD94E" w14:textId="1AD7DD66" w:rsidR="00BA21ED" w:rsidRPr="00000849" w:rsidRDefault="002006AA" w:rsidP="00210AE7">
      <w:pPr>
        <w:pStyle w:val="Heading2"/>
        <w:keepNext w:val="0"/>
        <w:keepLines w:val="0"/>
      </w:pPr>
      <w:bookmarkStart w:id="122" w:name="_Toc51472153"/>
      <w:r w:rsidRPr="00000849">
        <w:t>6.</w:t>
      </w:r>
      <w:r w:rsidR="00083AAD" w:rsidRPr="00000849">
        <w:t>5</w:t>
      </w:r>
      <w:r w:rsidR="003E120D" w:rsidRPr="00000849">
        <w:tab/>
      </w:r>
      <w:r w:rsidR="00BA21ED" w:rsidRPr="00000849">
        <w:t xml:space="preserve">Awareness, </w:t>
      </w:r>
      <w:r w:rsidR="00101F48" w:rsidRPr="00000849">
        <w:t>d</w:t>
      </w:r>
      <w:r w:rsidR="00BA21ED" w:rsidRPr="00000849">
        <w:t xml:space="preserve">etection and </w:t>
      </w:r>
      <w:r w:rsidR="00101F48" w:rsidRPr="00000849">
        <w:t>c</w:t>
      </w:r>
      <w:r w:rsidR="00BA21ED" w:rsidRPr="00000849">
        <w:t xml:space="preserve">ontrol of </w:t>
      </w:r>
      <w:r w:rsidR="00101F48" w:rsidRPr="00000849">
        <w:t>h</w:t>
      </w:r>
      <w:r w:rsidR="00BA21ED" w:rsidRPr="00000849">
        <w:t>ypertension</w:t>
      </w:r>
      <w:bookmarkEnd w:id="122"/>
    </w:p>
    <w:p w14:paraId="5C2C385C" w14:textId="77777777" w:rsidR="002C6410" w:rsidRPr="00000849" w:rsidRDefault="002C6410" w:rsidP="00143B7E">
      <w:pPr>
        <w:pStyle w:val="NormalWeb"/>
        <w:shd w:val="clear" w:color="auto" w:fill="FFFFFF"/>
        <w:spacing w:before="0" w:beforeAutospacing="0" w:after="165" w:afterAutospacing="0" w:line="480" w:lineRule="auto"/>
        <w:rPr>
          <w:rFonts w:asciiTheme="minorHAnsi" w:hAnsiTheme="minorHAnsi" w:cstheme="minorHAnsi"/>
          <w:color w:val="383838"/>
        </w:rPr>
      </w:pPr>
    </w:p>
    <w:p w14:paraId="3C31866A" w14:textId="1DE28618" w:rsidR="00803E6A" w:rsidRPr="00000849" w:rsidRDefault="00866EB9" w:rsidP="00143B7E">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A major challenge identified from the current analyses is the low level of awareness of hypertension in the older adults in Ghana.  The level of awareness in </w:t>
      </w:r>
      <w:r w:rsidR="00DE0175" w:rsidRPr="00000849">
        <w:rPr>
          <w:rFonts w:asciiTheme="minorHAnsi" w:hAnsiTheme="minorHAnsi" w:cstheme="minorHAnsi"/>
          <w:color w:val="383838"/>
        </w:rPr>
        <w:t>the two study waves was 24.1%-27.6%.</w:t>
      </w:r>
      <w:r w:rsidRPr="00000849">
        <w:rPr>
          <w:rFonts w:asciiTheme="minorHAnsi" w:hAnsiTheme="minorHAnsi" w:cstheme="minorHAnsi"/>
          <w:color w:val="383838"/>
        </w:rPr>
        <w:t xml:space="preserve">  </w:t>
      </w:r>
      <w:r w:rsidR="00554398" w:rsidRPr="00000849">
        <w:rPr>
          <w:rFonts w:asciiTheme="minorHAnsi" w:hAnsiTheme="minorHAnsi" w:cstheme="minorHAnsi"/>
          <w:color w:val="383838"/>
        </w:rPr>
        <w:t>Since o</w:t>
      </w:r>
      <w:r w:rsidRPr="00000849">
        <w:rPr>
          <w:rFonts w:asciiTheme="minorHAnsi" w:hAnsiTheme="minorHAnsi" w:cstheme="minorHAnsi"/>
          <w:color w:val="383838"/>
        </w:rPr>
        <w:t>lder adults have had a longer opportunity in life to have been diagnosed at health encounters</w:t>
      </w:r>
      <w:r w:rsidR="00554398" w:rsidRPr="00000849">
        <w:rPr>
          <w:rFonts w:asciiTheme="minorHAnsi" w:hAnsiTheme="minorHAnsi" w:cstheme="minorHAnsi"/>
          <w:color w:val="383838"/>
        </w:rPr>
        <w:t>, they would be expected to be more aware of their diagnosis</w:t>
      </w:r>
      <w:r w:rsidRPr="00000849">
        <w:rPr>
          <w:rFonts w:asciiTheme="minorHAnsi" w:hAnsiTheme="minorHAnsi" w:cstheme="minorHAnsi"/>
          <w:color w:val="383838"/>
        </w:rPr>
        <w:t xml:space="preserve"> than younger adults</w:t>
      </w:r>
      <w:r w:rsidR="00554398" w:rsidRPr="00000849">
        <w:rPr>
          <w:rFonts w:asciiTheme="minorHAnsi" w:hAnsiTheme="minorHAnsi" w:cstheme="minorHAnsi"/>
          <w:color w:val="383838"/>
        </w:rPr>
        <w:t xml:space="preserve"> </w:t>
      </w:r>
      <w:r w:rsidR="00554398"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&lt;EndNote&gt;&lt;Cite&gt;&lt;Author&gt;Lloyd-Sherlock&lt;/Author&gt;&lt;Year&gt;2017&lt;/Year&gt;&lt;RecNum&gt;1663&lt;/RecNum&gt;&lt;DisplayText&gt;(Lloyd-Sherlock et al., 2017)&lt;/DisplayText&gt;&lt;record&gt;&lt;rec-number&gt;1663&lt;/rec-number&gt;&lt;foreign-keys&gt;&lt;key app="EN" db-id="9tzf2rda8re2a9es5tuxart3swzx2zws2s02" timestamp="1597566646"&gt;1663&lt;/key&gt;&lt;/foreign-keys&gt;&lt;ref-type name="Journal Article"&gt;17&lt;/ref-type&gt;&lt;contributors&gt;&lt;authors&gt;&lt;author&gt;Lloyd-Sherlock, Peter&lt;/author&gt;&lt;author&gt;Minicuci, Nadia&lt;/author&gt;&lt;author&gt;Corso, Barbara&lt;/author&gt;&lt;author&gt;Beard, John&lt;/author&gt;&lt;author&gt;Chatterji, Somnath&lt;/author&gt;&lt;author&gt;Ebrahim, Shah&lt;/author&gt;&lt;/authors&gt;&lt;/contributors&gt;&lt;titles&gt;&lt;title&gt;Diseases of the Rich? The Social Patterning of Hypertension in Six Low- and Middle-Income Countries&lt;/title&gt;&lt;secondary-title&gt;European Journal of Development Research&lt;/secondary-title&gt;&lt;/titles&gt;&lt;periodical&gt;&lt;full-title&gt;European Journal of Development Research&lt;/full-title&gt;&lt;/periodical&gt;&lt;pages&gt;827-842&lt;/pages&gt;&lt;volume&gt;29&lt;/volume&gt;&lt;number&gt;4&lt;/number&gt;&lt;keywords&gt;&lt;keyword&gt;HYPERTENSION&lt;/keyword&gt;&lt;keyword&gt;MIDDLE-income countries&lt;/keyword&gt;&lt;keyword&gt;PERCEPTION&lt;/keyword&gt;&lt;keyword&gt;NON-communicable diseases&lt;/keyword&gt;&lt;keyword&gt;PUBLIC health&lt;/keyword&gt;&lt;keyword&gt;equity&lt;/keyword&gt;&lt;keyword&gt;health&lt;/keyword&gt;&lt;keyword&gt;older people&lt;/keyword&gt;&lt;keyword&gt;policy&lt;/keyword&gt;&lt;/keywords&gt;&lt;dates&gt;&lt;year&gt;2017&lt;/year&gt;&lt;/dates&gt;&lt;isbn&gt;09578811&lt;/isbn&gt;&lt;accession-num&gt;124414655&lt;/accession-num&gt;&lt;work-type&gt;Article&lt;/work-type&gt;&lt;urls&gt;&lt;related-urls&gt;&lt;url&gt;http://search.ebscohost.com/login.aspx?direct=true&amp;amp;db=asn&amp;amp;AN=124414655&amp;amp;site=ehost-live&amp;amp;authtype=ip,shib&amp;amp;user=s1523151&lt;/url&gt;&lt;/related-urls&gt;&lt;/urls&gt;&lt;electronic-resource-num&gt;10.1057/s41287-016-0063-2&lt;/electronic-resource-num&gt;&lt;remote-database-name&gt;asn&lt;/remote-database-name&gt;&lt;remote-database-provider&gt;EBSCOhost&lt;/remote-database-provider&gt;&lt;/record&gt;&lt;/Cite&gt;&lt;/EndNote&gt;</w:instrText>
      </w:r>
      <w:r w:rsidR="00554398" w:rsidRPr="00000849">
        <w:rPr>
          <w:rFonts w:asciiTheme="minorHAnsi" w:hAnsiTheme="minorHAnsi" w:cstheme="minorHAnsi"/>
          <w:color w:val="383838"/>
        </w:rPr>
        <w:fldChar w:fldCharType="separate"/>
      </w:r>
      <w:r w:rsidR="00554398" w:rsidRPr="00000849">
        <w:rPr>
          <w:rFonts w:asciiTheme="minorHAnsi" w:hAnsiTheme="minorHAnsi" w:cstheme="minorHAnsi"/>
          <w:noProof/>
          <w:color w:val="383838"/>
        </w:rPr>
        <w:t>(Lloyd-Sherlock et al., 2017)</w:t>
      </w:r>
      <w:r w:rsidR="00554398"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Yet, </w:t>
      </w:r>
      <w:r w:rsidR="00DE0175" w:rsidRPr="00000849">
        <w:rPr>
          <w:rFonts w:asciiTheme="minorHAnsi" w:hAnsiTheme="minorHAnsi" w:cstheme="minorHAnsi"/>
          <w:color w:val="383838"/>
        </w:rPr>
        <w:t xml:space="preserve">up to </w:t>
      </w:r>
      <w:r w:rsidR="001C1086" w:rsidRPr="00000849">
        <w:rPr>
          <w:rFonts w:asciiTheme="minorHAnsi" w:hAnsiTheme="minorHAnsi" w:cstheme="minorHAnsi"/>
          <w:color w:val="383838"/>
        </w:rPr>
        <w:t>72%</w:t>
      </w:r>
      <w:r w:rsidRPr="00000849">
        <w:rPr>
          <w:rFonts w:asciiTheme="minorHAnsi" w:hAnsiTheme="minorHAnsi" w:cstheme="minorHAnsi"/>
          <w:color w:val="383838"/>
        </w:rPr>
        <w:t xml:space="preserve"> of </w:t>
      </w:r>
      <w:r w:rsidRPr="00000849">
        <w:rPr>
          <w:rFonts w:asciiTheme="minorHAnsi" w:hAnsiTheme="minorHAnsi" w:cstheme="minorHAnsi"/>
          <w:color w:val="383838"/>
        </w:rPr>
        <w:lastRenderedPageBreak/>
        <w:t xml:space="preserve">the hypertension </w:t>
      </w:r>
      <w:r w:rsidR="00554398" w:rsidRPr="00000849">
        <w:rPr>
          <w:rFonts w:asciiTheme="minorHAnsi" w:hAnsiTheme="minorHAnsi" w:cstheme="minorHAnsi"/>
          <w:color w:val="383838"/>
        </w:rPr>
        <w:t xml:space="preserve">in the two study waves </w:t>
      </w:r>
      <w:r w:rsidRPr="00000849">
        <w:rPr>
          <w:rFonts w:asciiTheme="minorHAnsi" w:hAnsiTheme="minorHAnsi" w:cstheme="minorHAnsi"/>
          <w:color w:val="383838"/>
        </w:rPr>
        <w:t>was undiagnosed</w:t>
      </w:r>
      <w:r w:rsidR="00554398" w:rsidRPr="00000849">
        <w:rPr>
          <w:rFonts w:asciiTheme="minorHAnsi" w:hAnsiTheme="minorHAnsi" w:cstheme="minorHAnsi"/>
          <w:color w:val="383838"/>
        </w:rPr>
        <w:t xml:space="preserve"> and l</w:t>
      </w:r>
      <w:r w:rsidR="00803E6A" w:rsidRPr="00000849">
        <w:rPr>
          <w:rFonts w:asciiTheme="minorHAnsi" w:hAnsiTheme="minorHAnsi" w:cstheme="minorHAnsi"/>
          <w:color w:val="383838"/>
        </w:rPr>
        <w:t>ess than 5% of those with hypertension had their BP controlled.</w:t>
      </w:r>
    </w:p>
    <w:p w14:paraId="3CE62E30" w14:textId="280D230A" w:rsidR="00866EB9" w:rsidRPr="00000849" w:rsidRDefault="00236208" w:rsidP="0039083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These findings are </w:t>
      </w:r>
      <w:r w:rsidR="001C1086" w:rsidRPr="00000849">
        <w:rPr>
          <w:rFonts w:asciiTheme="minorHAnsi" w:hAnsiTheme="minorHAnsi" w:cstheme="minorHAnsi"/>
          <w:color w:val="383838"/>
        </w:rPr>
        <w:t>important</w:t>
      </w:r>
      <w:r w:rsidRPr="00000849">
        <w:rPr>
          <w:rFonts w:asciiTheme="minorHAnsi" w:hAnsiTheme="minorHAnsi" w:cstheme="minorHAnsi"/>
          <w:color w:val="383838"/>
        </w:rPr>
        <w:t xml:space="preserve"> considering u</w:t>
      </w:r>
      <w:r w:rsidR="00803E6A" w:rsidRPr="00000849">
        <w:rPr>
          <w:rFonts w:asciiTheme="minorHAnsi" w:hAnsiTheme="minorHAnsi" w:cstheme="minorHAnsi"/>
          <w:color w:val="383838"/>
        </w:rPr>
        <w:t xml:space="preserve">ncontrolled hypertension and moderate-to-severe hypertension are risk factors for stroke in Ghana </w:t>
      </w:r>
      <w:r w:rsidR="00803E6A"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&lt;EndNote&gt;&lt;Cite&gt;&lt;Author&gt;Owolabi&lt;/Author&gt;&lt;Year&gt;2018&lt;/Year&gt;&lt;RecNum&gt;1636&lt;/RecNum&gt;&lt;DisplayText&gt;(Owolabi et al., 2018; Sarfo et al., 2018b)&lt;/DisplayText&gt;&lt;record&gt;&lt;rec-number&gt;1636&lt;/rec-number&gt;&lt;foreign-keys&gt;&lt;key app="EN" db-id="9tzf2rda8re2a9es5tuxart3swzx2zws2s02" timestamp="1591576036"&gt;1636&lt;/key&gt;&lt;/foreign-keys&gt;&lt;ref-type name="Journal Article"&gt;17&lt;/ref-type&gt;&lt;contributors&gt;&lt;authors&gt;&lt;author&gt;Owolabi, Mayowa O&lt;/author&gt;&lt;author&gt;Sarfo, Fred&lt;/author&gt;&lt;author&gt;Akinyemi, Rufus&lt;/author&gt;&lt;author&gt;Gebregziabher, Mulugeta&lt;/author&gt;&lt;author&gt;Akpa, Onoja&lt;/author&gt;&lt;author&gt;Akpalu, Albert&lt;/author&gt;&lt;author&gt;Wahab, Kolawole&lt;/author&gt;&lt;author&gt;Obiako, Reginald&lt;/author&gt;&lt;author&gt;Owolabi, Lukman&lt;/author&gt;&lt;author&gt;Ovbiagele, Bruce&lt;/author&gt;&lt;/authors&gt;&lt;/contributors&gt;&lt;titles&gt;&lt;title&gt;Dominant modifiable risk factors for stroke in Ghana and Nigeria (SIREN): a case-control study&lt;/title&gt;&lt;secondary-title&gt;The Lancet Global Health&lt;/secondary-title&gt;&lt;/titles&gt;&lt;periodical&gt;&lt;full-title&gt;The Lancet Global Health&lt;/full-title&gt;&lt;/periodical&gt;&lt;pages&gt;e436-e446&lt;/pages&gt;&lt;volume&gt;6&lt;/volume&gt;&lt;number&gt;4&lt;/number&gt;&lt;dates&gt;&lt;year&gt;2018&lt;/year&gt;&lt;/dates&gt;&lt;isbn&gt;2214-109X&lt;/isbn&gt;&lt;urls&gt;&lt;/urls&gt;&lt;/record&gt;&lt;/Cite&gt;&lt;Cite&gt;&lt;Author&gt;Sarfo&lt;/Author&gt;&lt;Year&gt;2018&lt;/Year&gt;&lt;RecNum&gt;1025&lt;/RecNum&gt;&lt;record&gt;&lt;rec-number&gt;1025&lt;/rec-number&gt;&lt;foreign-keys&gt;&lt;key app="EN" db-id="9tzf2rda8re2a9es5tuxart3swzx2zws2s02" timestamp="1576600345"&gt;1025&lt;/key&gt;&lt;/foreign-keys&gt;&lt;ref-type name="Journal Article"&gt;17&lt;/ref-type&gt;&lt;contributors&gt;&lt;authors&gt;&lt;author&gt;Sarfo, Fred S&lt;/author&gt;&lt;author&gt;Mobula, Linda M&lt;/author&gt;&lt;author&gt;Plange-Rhule, Jacob&lt;/author&gt;&lt;author&gt;Ansong, Daniel&lt;/author&gt;&lt;author&gt;Ofori-Adjei, David&lt;/author&gt;&lt;/authors&gt;&lt;/contributors&gt;&lt;titles&gt;&lt;title&gt;Incident stroke among Ghanaians with hypertension and diabetes: a multicenter, prospective cohort study&lt;/title&gt;&lt;secondary-title&gt;Journal of the Neurological Sciences&lt;/secondary-title&gt;&lt;/titles&gt;&lt;periodical&gt;&lt;full-title&gt;Journal of the neurological sciences&lt;/full-title&gt;&lt;/periodical&gt;&lt;pages&gt;17-24&lt;/pages&gt;&lt;volume&gt;395&lt;/volume&gt;&lt;dates&gt;&lt;year&gt;2018&lt;/year&gt;&lt;/dates&gt;&lt;isbn&gt;0022-510X&lt;/isbn&gt;&lt;urls&gt;&lt;/urls&gt;&lt;/record&gt;&lt;/Cite&gt;&lt;/EndNote&gt;</w:instrText>
      </w:r>
      <w:r w:rsidR="00803E6A"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(Owolabi et al., 2018; Sarfo et al., 2018b)</w:t>
      </w:r>
      <w:r w:rsidR="00803E6A" w:rsidRPr="00000849">
        <w:rPr>
          <w:rFonts w:asciiTheme="minorHAnsi" w:hAnsiTheme="minorHAnsi" w:cstheme="minorHAnsi"/>
          <w:color w:val="383838"/>
        </w:rPr>
        <w:fldChar w:fldCharType="end"/>
      </w:r>
      <w:r w:rsidR="00803E6A" w:rsidRPr="00000849">
        <w:rPr>
          <w:rFonts w:asciiTheme="minorHAnsi" w:hAnsiTheme="minorHAnsi" w:cstheme="minorHAnsi"/>
          <w:color w:val="383838"/>
        </w:rPr>
        <w:t xml:space="preserve">.  </w:t>
      </w:r>
      <w:r w:rsidR="00E33B86" w:rsidRPr="00000849">
        <w:rPr>
          <w:rFonts w:asciiTheme="minorHAnsi" w:hAnsiTheme="minorHAnsi" w:cstheme="minorHAnsi"/>
          <w:color w:val="383838"/>
        </w:rPr>
        <w:t>The level of awareness is better than th</w:t>
      </w:r>
      <w:r w:rsidR="00102B87" w:rsidRPr="00000849">
        <w:rPr>
          <w:rFonts w:asciiTheme="minorHAnsi" w:hAnsiTheme="minorHAnsi" w:cstheme="minorHAnsi"/>
          <w:color w:val="383838"/>
        </w:rPr>
        <w:t xml:space="preserve">at of </w:t>
      </w:r>
      <w:r w:rsidR="00924C52" w:rsidRPr="00000849">
        <w:rPr>
          <w:rFonts w:asciiTheme="minorHAnsi" w:hAnsiTheme="minorHAnsi" w:cstheme="minorHAnsi"/>
          <w:color w:val="383838"/>
        </w:rPr>
        <w:t xml:space="preserve">only </w:t>
      </w:r>
      <w:r w:rsidR="00102B87" w:rsidRPr="00000849">
        <w:rPr>
          <w:rFonts w:asciiTheme="minorHAnsi" w:hAnsiTheme="minorHAnsi" w:cstheme="minorHAnsi"/>
          <w:color w:val="383838"/>
        </w:rPr>
        <w:t>one</w:t>
      </w:r>
      <w:r w:rsidR="00E33B86" w:rsidRPr="00000849">
        <w:rPr>
          <w:rFonts w:asciiTheme="minorHAnsi" w:hAnsiTheme="minorHAnsi" w:cstheme="minorHAnsi"/>
          <w:color w:val="383838"/>
        </w:rPr>
        <w:t xml:space="preserve"> of </w:t>
      </w:r>
      <w:r w:rsidR="00E26854" w:rsidRPr="00000849">
        <w:rPr>
          <w:rFonts w:asciiTheme="minorHAnsi" w:hAnsiTheme="minorHAnsi" w:cstheme="minorHAnsi"/>
          <w:color w:val="383838"/>
        </w:rPr>
        <w:t xml:space="preserve">12 </w:t>
      </w:r>
      <w:r w:rsidR="00E33B86" w:rsidRPr="00000849">
        <w:rPr>
          <w:rFonts w:asciiTheme="minorHAnsi" w:hAnsiTheme="minorHAnsi" w:cstheme="minorHAnsi"/>
          <w:color w:val="383838"/>
        </w:rPr>
        <w:t xml:space="preserve">studies </w:t>
      </w:r>
      <w:r w:rsidR="00924C52" w:rsidRPr="00000849">
        <w:rPr>
          <w:rFonts w:asciiTheme="minorHAnsi" w:hAnsiTheme="minorHAnsi" w:cstheme="minorHAnsi"/>
          <w:color w:val="383838"/>
        </w:rPr>
        <w:t>reporting the prevalence of awareness</w:t>
      </w:r>
      <w:r w:rsidR="00E33B86" w:rsidRPr="00000849">
        <w:rPr>
          <w:rFonts w:asciiTheme="minorHAnsi" w:hAnsiTheme="minorHAnsi" w:cstheme="minorHAnsi"/>
          <w:color w:val="383838"/>
        </w:rPr>
        <w:t xml:space="preserve"> in a systematic review of hypertension in older adults in Africa</w:t>
      </w:r>
      <w:r w:rsidR="00554398" w:rsidRPr="00000849">
        <w:rPr>
          <w:rFonts w:asciiTheme="minorHAnsi" w:hAnsiTheme="minorHAnsi" w:cstheme="minorHAnsi"/>
          <w:color w:val="383838"/>
        </w:rPr>
        <w:t xml:space="preserve"> in which </w:t>
      </w:r>
      <w:r w:rsidR="00924C52" w:rsidRPr="00000849">
        <w:rPr>
          <w:rFonts w:asciiTheme="minorHAnsi" w:hAnsiTheme="minorHAnsi" w:cstheme="minorHAnsi"/>
          <w:color w:val="383838"/>
        </w:rPr>
        <w:t>it was</w:t>
      </w:r>
      <w:r w:rsidR="00E33B86" w:rsidRPr="00000849">
        <w:rPr>
          <w:rFonts w:asciiTheme="minorHAnsi" w:hAnsiTheme="minorHAnsi" w:cstheme="minorHAnsi"/>
          <w:color w:val="383838"/>
        </w:rPr>
        <w:t xml:space="preserve"> 22.0%</w:t>
      </w:r>
      <w:r w:rsidR="00E26854" w:rsidRPr="00000849">
        <w:rPr>
          <w:rFonts w:asciiTheme="minorHAnsi" w:hAnsiTheme="minorHAnsi" w:cstheme="minorHAnsi"/>
          <w:color w:val="383838"/>
        </w:rPr>
        <w:t xml:space="preserve"> </w:t>
      </w:r>
      <w:r w:rsidR="00E26854" w:rsidRPr="00000849">
        <w:rPr>
          <w:rFonts w:asciiTheme="minorHAnsi" w:hAnsiTheme="minorHAnsi" w:cstheme="minorHAnsi"/>
          <w:color w:val="383838"/>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E26854" w:rsidRPr="00000849">
        <w:rPr>
          <w:rFonts w:asciiTheme="minorHAnsi" w:hAnsiTheme="minorHAnsi" w:cstheme="minorHAnsi"/>
          <w:color w:val="383838"/>
        </w:rPr>
      </w:r>
      <w:r w:rsidR="00E26854" w:rsidRPr="00000849">
        <w:rPr>
          <w:rFonts w:asciiTheme="minorHAnsi" w:hAnsiTheme="minorHAnsi" w:cstheme="minorHAnsi"/>
          <w:color w:val="383838"/>
        </w:rPr>
        <w:fldChar w:fldCharType="separate"/>
      </w:r>
      <w:r w:rsidR="00E26854" w:rsidRPr="00000849">
        <w:rPr>
          <w:rFonts w:asciiTheme="minorHAnsi" w:hAnsiTheme="minorHAnsi" w:cstheme="minorHAnsi"/>
          <w:noProof/>
          <w:color w:val="383838"/>
        </w:rPr>
        <w:t>(Raji et al., 2017)</w:t>
      </w:r>
      <w:r w:rsidR="00E26854" w:rsidRPr="00000849">
        <w:rPr>
          <w:rFonts w:asciiTheme="minorHAnsi" w:hAnsiTheme="minorHAnsi" w:cstheme="minorHAnsi"/>
          <w:color w:val="383838"/>
        </w:rPr>
        <w:fldChar w:fldCharType="end"/>
      </w:r>
      <w:r w:rsidR="00924C52" w:rsidRPr="00000849">
        <w:rPr>
          <w:rFonts w:asciiTheme="minorHAnsi" w:hAnsiTheme="minorHAnsi" w:cstheme="minorHAnsi"/>
          <w:color w:val="383838"/>
        </w:rPr>
        <w:t xml:space="preserve"> whereas in the other studies</w:t>
      </w:r>
      <w:r w:rsidR="00CD7B29">
        <w:rPr>
          <w:rFonts w:asciiTheme="minorHAnsi" w:hAnsiTheme="minorHAnsi" w:cstheme="minorHAnsi"/>
          <w:color w:val="383838"/>
        </w:rPr>
        <w:t>,</w:t>
      </w:r>
      <w:r w:rsidR="00924C52" w:rsidRPr="00000849">
        <w:rPr>
          <w:rFonts w:asciiTheme="minorHAnsi" w:hAnsiTheme="minorHAnsi" w:cstheme="minorHAnsi"/>
          <w:color w:val="383838"/>
        </w:rPr>
        <w:t xml:space="preserve"> it ranged from </w:t>
      </w:r>
      <w:r w:rsidR="00210AE7" w:rsidRPr="00000849">
        <w:rPr>
          <w:rFonts w:asciiTheme="minorHAnsi" w:hAnsiTheme="minorHAnsi" w:cstheme="minorHAnsi"/>
          <w:color w:val="383838"/>
        </w:rPr>
        <w:t>30.0%</w:t>
      </w:r>
      <w:r w:rsidR="00924C52" w:rsidRPr="00000849">
        <w:rPr>
          <w:rFonts w:asciiTheme="minorHAnsi" w:hAnsiTheme="minorHAnsi" w:cstheme="minorHAnsi"/>
          <w:color w:val="383838"/>
        </w:rPr>
        <w:t xml:space="preserve"> </w:t>
      </w:r>
      <w:r w:rsidR="00ED4046" w:rsidRPr="00000849">
        <w:rPr>
          <w:rFonts w:asciiTheme="minorHAnsi" w:hAnsiTheme="minorHAnsi" w:cstheme="minorHAnsi"/>
          <w:color w:val="383838"/>
        </w:rPr>
        <w:t xml:space="preserve">in Senegal </w:t>
      </w:r>
      <w:r w:rsidR="00CB1908">
        <w:rPr>
          <w:rFonts w:asciiTheme="minorHAnsi" w:hAnsiTheme="minorHAnsi" w:cstheme="minorHAnsi"/>
          <w:color w:val="383838"/>
        </w:rPr>
        <w:fldChar w:fldCharType="begin"/>
      </w:r>
      <w:r w:rsidR="00CB1908">
        <w:rPr>
          <w:rFonts w:asciiTheme="minorHAnsi" w:hAnsiTheme="minorHAnsi" w:cstheme="minorHAnsi"/>
          <w:color w:val="383838"/>
        </w:rPr>
        <w:instrText xml:space="preserve"> ADDIN EN.CITE &lt;EndNote&gt;&lt;Cite&gt;&lt;Author&gt;Duboz&lt;/Author&gt;&lt;Year&gt;2015&lt;/Year&gt;&lt;RecNum&gt;66&lt;/RecNum&gt;&lt;DisplayText&gt;(Duboz et al., 2015)&lt;/DisplayText&gt;&lt;record&gt;&lt;rec-number&gt;66&lt;/rec-number&gt;&lt;foreign-keys&gt;&lt;key app="EN" db-id="pzfw02x58peadyevdp8vswt40etp25t5ddp0" timestamp="1534112951"&gt;66&lt;/key&gt;&lt;/foreign-keys&gt;&lt;ref-type name="Journal Article"&gt;17&lt;/ref-type&gt;&lt;contributors&gt;&lt;authors&gt;&lt;author&gt;Duboz, Priscilla&lt;/author&gt;&lt;author&gt;Touré, M&lt;/author&gt;&lt;author&gt;Hane, F&lt;/author&gt;&lt;author&gt;Macia, Enguerran&lt;/author&gt;&lt;author&gt;Coume, Mamadou&lt;/author&gt;&lt;author&gt;Bâ, A&lt;/author&gt;&lt;author&gt;Boetsch, Gilles&lt;/author&gt;&lt;author&gt;Gueye, Lamine&lt;/author&gt;&lt;author&gt;Chapuis-Lucciani, Nicole&lt;/author&gt;&lt;/authors&gt;&lt;/contributors&gt;&lt;titles&gt;&lt;title&gt;Vieillissement et pathologies chroniques au Sénégal. Comparaison entre des populations vivant en milieu rural (Ferlo) et urbain (Dakar) Ageing and chronic diseases in Senegal. A comparison between rural (Ferlo) and urban (Dakar) populations&lt;/title&gt;&lt;secondary-title&gt;Bulletin de la Société de pathologie exotique&lt;/secondary-title&gt;&lt;/titles&gt;&lt;periodical&gt;&lt;full-title&gt;Bulletin de la Société de Pathologie Exotique&lt;/full-title&gt;&lt;abbr-1&gt;Bull Soc Pathol Exot&lt;/abbr-1&gt;&lt;/periodical&gt;&lt;pages&gt;25-31&lt;/pages&gt;&lt;volume&gt;108&lt;/volume&gt;&lt;number&gt;1&lt;/number&gt;&lt;dates&gt;&lt;year&gt;2015&lt;/year&gt;&lt;/dates&gt;&lt;isbn&gt;0037-9085&lt;/isbn&gt;&lt;urls&gt;&lt;/urls&gt;&lt;/record&gt;&lt;/Cite&gt;&lt;/EndNote&gt;</w:instrText>
      </w:r>
      <w:r w:rsidR="00CB1908">
        <w:rPr>
          <w:rFonts w:asciiTheme="minorHAnsi" w:hAnsiTheme="minorHAnsi" w:cstheme="minorHAnsi"/>
          <w:color w:val="383838"/>
        </w:rPr>
        <w:fldChar w:fldCharType="separate"/>
      </w:r>
      <w:r w:rsidR="00CB1908">
        <w:rPr>
          <w:rFonts w:asciiTheme="minorHAnsi" w:hAnsiTheme="minorHAnsi" w:cstheme="minorHAnsi"/>
          <w:noProof/>
          <w:color w:val="383838"/>
        </w:rPr>
        <w:t>(Duboz et al., 2015)</w:t>
      </w:r>
      <w:r w:rsidR="00CB1908">
        <w:rPr>
          <w:rFonts w:asciiTheme="minorHAnsi" w:hAnsiTheme="minorHAnsi" w:cstheme="minorHAnsi"/>
          <w:color w:val="383838"/>
        </w:rPr>
        <w:fldChar w:fldCharType="end"/>
      </w:r>
      <w:r w:rsidR="00CB1908">
        <w:rPr>
          <w:rFonts w:asciiTheme="minorHAnsi" w:hAnsiTheme="minorHAnsi" w:cstheme="minorHAnsi"/>
          <w:color w:val="383838"/>
        </w:rPr>
        <w:t xml:space="preserve"> </w:t>
      </w:r>
      <w:r w:rsidR="00924C52" w:rsidRPr="00000849">
        <w:rPr>
          <w:rFonts w:asciiTheme="minorHAnsi" w:hAnsiTheme="minorHAnsi" w:cstheme="minorHAnsi"/>
          <w:color w:val="383838"/>
        </w:rPr>
        <w:t xml:space="preserve">to </w:t>
      </w:r>
      <w:r w:rsidR="00210AE7" w:rsidRPr="00000849">
        <w:rPr>
          <w:rFonts w:asciiTheme="minorHAnsi" w:hAnsiTheme="minorHAnsi" w:cstheme="minorHAnsi"/>
          <w:color w:val="383838"/>
        </w:rPr>
        <w:t xml:space="preserve">81.0% </w:t>
      </w:r>
      <w:r w:rsidR="00ED4046" w:rsidRPr="00000849">
        <w:rPr>
          <w:rFonts w:asciiTheme="minorHAnsi" w:hAnsiTheme="minorHAnsi" w:cstheme="minorHAnsi"/>
          <w:color w:val="383838"/>
        </w:rPr>
        <w:t>in Tunisia</w:t>
      </w:r>
      <w:r w:rsidR="00CB20EC" w:rsidRPr="00000849">
        <w:rPr>
          <w:rFonts w:asciiTheme="minorHAnsi" w:hAnsiTheme="minorHAnsi" w:cstheme="minorHAnsi"/>
          <w:color w:val="383838"/>
        </w:rPr>
        <w:t xml:space="preserve"> </w:t>
      </w:r>
      <w:r w:rsidR="00ED4046" w:rsidRPr="00000849">
        <w:rPr>
          <w:rFonts w:asciiTheme="minorHAnsi" w:hAnsiTheme="minorHAnsi" w:cstheme="minorHAnsi"/>
          <w:color w:val="383838"/>
        </w:rPr>
        <w:fldChar w:fldCharType="begin">
          <w:fldData xml:space="preserve">PEVuZE5vdGU+PENpdGU+PEF1dGhvcj5IYW1tYW1pPC9BdXRob3I+PFllYXI+MjAxMTwvWWVhcj48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PEVuZE5vdGU+PENpdGU+PEF1dGhvcj5IYW1tYW1pPC9BdXRob3I+PFllYXI+MjAxMTwvWWVhcj48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ED4046" w:rsidRPr="00000849">
        <w:rPr>
          <w:rFonts w:asciiTheme="minorHAnsi" w:hAnsiTheme="minorHAnsi" w:cstheme="minorHAnsi"/>
          <w:color w:val="383838"/>
        </w:rPr>
      </w:r>
      <w:r w:rsidR="00ED4046" w:rsidRPr="00000849">
        <w:rPr>
          <w:rFonts w:asciiTheme="minorHAnsi" w:hAnsiTheme="minorHAnsi" w:cstheme="minorHAnsi"/>
          <w:color w:val="383838"/>
        </w:rPr>
        <w:fldChar w:fldCharType="separate"/>
      </w:r>
      <w:r w:rsidR="00000849" w:rsidRPr="00000849">
        <w:rPr>
          <w:rFonts w:asciiTheme="minorHAnsi" w:hAnsiTheme="minorHAnsi" w:cstheme="minorHAnsi"/>
          <w:noProof/>
          <w:color w:val="383838"/>
        </w:rPr>
        <w:t>(Hammami et al., 2011)</w:t>
      </w:r>
      <w:r w:rsidR="00ED4046" w:rsidRPr="00000849">
        <w:rPr>
          <w:rFonts w:asciiTheme="minorHAnsi" w:hAnsiTheme="minorHAnsi" w:cstheme="minorHAnsi"/>
          <w:color w:val="383838"/>
        </w:rPr>
        <w:fldChar w:fldCharType="end"/>
      </w:r>
      <w:r w:rsidR="00ED4046" w:rsidRPr="00000849">
        <w:rPr>
          <w:rFonts w:asciiTheme="minorHAnsi" w:hAnsiTheme="minorHAnsi" w:cstheme="minorHAnsi"/>
          <w:color w:val="383838"/>
        </w:rPr>
        <w:t>.</w:t>
      </w:r>
      <w:r w:rsidR="00CB20EC" w:rsidRPr="00000849">
        <w:rPr>
          <w:rFonts w:asciiTheme="minorHAnsi" w:hAnsiTheme="minorHAnsi" w:cstheme="minorHAnsi"/>
          <w:color w:val="383838"/>
        </w:rPr>
        <w:t xml:space="preserve"> </w:t>
      </w:r>
    </w:p>
    <w:p w14:paraId="30E18C21" w14:textId="51E0F892" w:rsidR="00236208" w:rsidRPr="00000849" w:rsidRDefault="00C645B5" w:rsidP="00C645B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In the five other SAGE countries, the prevalence of awareness of hypertension </w:t>
      </w:r>
      <w:r w:rsidR="00E26854" w:rsidRPr="00000849">
        <w:rPr>
          <w:rFonts w:asciiTheme="minorHAnsi" w:hAnsiTheme="minorHAnsi" w:cstheme="minorHAnsi"/>
          <w:color w:val="383838"/>
        </w:rPr>
        <w:t xml:space="preserve">in older adults </w:t>
      </w:r>
      <w:r w:rsidRPr="00000849">
        <w:rPr>
          <w:rFonts w:asciiTheme="minorHAnsi" w:hAnsiTheme="minorHAnsi" w:cstheme="minorHAnsi"/>
          <w:color w:val="383838"/>
        </w:rPr>
        <w:t>was greater than that of Ghana</w:t>
      </w:r>
      <w:r w:rsidR="00E26854" w:rsidRPr="00000849">
        <w:rPr>
          <w:rFonts w:asciiTheme="minorHAnsi" w:hAnsiTheme="minorHAnsi" w:cstheme="minorHAnsi"/>
          <w:color w:val="383838"/>
        </w:rPr>
        <w:t xml:space="preserve"> (23.3%)</w:t>
      </w:r>
      <w:r w:rsidRPr="00000849">
        <w:rPr>
          <w:rFonts w:asciiTheme="minorHAnsi" w:hAnsiTheme="minorHAnsi" w:cstheme="minorHAnsi"/>
          <w:color w:val="383838"/>
        </w:rPr>
        <w:t>, ranging from 38.0% in South Africa to 72.1% in Russia</w:t>
      </w:r>
      <w:r w:rsidR="00CB1908">
        <w:rPr>
          <w:rFonts w:asciiTheme="minorHAnsi" w:hAnsiTheme="minorHAnsi" w:cstheme="minorHAnsi"/>
          <w:color w:val="383838"/>
        </w:rPr>
        <w:t xml:space="preserve"> </w:t>
      </w:r>
      <w:r w:rsidR="00CB1908">
        <w:rPr>
          <w:rFonts w:asciiTheme="minorHAnsi" w:hAnsiTheme="minorHAnsi" w:cstheme="minorHAnsi"/>
          <w:color w:val="383838"/>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00CB1908">
        <w:rPr>
          <w:rFonts w:asciiTheme="minorHAnsi" w:hAnsiTheme="minorHAnsi" w:cstheme="minorHAnsi"/>
          <w:color w:val="383838"/>
        </w:rPr>
      </w:r>
      <w:r w:rsidR="00CB1908">
        <w:rPr>
          <w:rFonts w:asciiTheme="minorHAnsi" w:hAnsiTheme="minorHAnsi" w:cstheme="minorHAnsi"/>
          <w:color w:val="383838"/>
        </w:rPr>
        <w:fldChar w:fldCharType="separate"/>
      </w:r>
      <w:r w:rsidR="00CD7B29">
        <w:rPr>
          <w:rFonts w:asciiTheme="minorHAnsi" w:hAnsiTheme="minorHAnsi" w:cstheme="minorHAnsi"/>
          <w:noProof/>
          <w:color w:val="383838"/>
        </w:rPr>
        <w:t>(Lloyd-Sherlock et al., 2014)</w:t>
      </w:r>
      <w:r w:rsidR="00CB1908">
        <w:rPr>
          <w:rFonts w:asciiTheme="minorHAnsi" w:hAnsiTheme="minorHAnsi" w:cstheme="minorHAnsi"/>
          <w:color w:val="383838"/>
        </w:rPr>
        <w:fldChar w:fldCharType="end"/>
      </w:r>
      <w:r w:rsidRPr="00000849">
        <w:rPr>
          <w:rFonts w:asciiTheme="minorHAnsi" w:hAnsiTheme="minorHAnsi" w:cstheme="minorHAnsi"/>
          <w:color w:val="383838"/>
        </w:rPr>
        <w:t>.  Older age, being female, overweight/obese and increasing wealth quintiles were associated with increased awareness.  Ghana had the lowest control of hypertension</w:t>
      </w:r>
      <w:r w:rsidR="00F805E4" w:rsidRPr="00000849">
        <w:rPr>
          <w:rFonts w:asciiTheme="minorHAnsi" w:hAnsiTheme="minorHAnsi" w:cstheme="minorHAnsi"/>
          <w:color w:val="383838"/>
        </w:rPr>
        <w:t xml:space="preserve"> (4.1%)</w:t>
      </w:r>
      <w:r w:rsidR="00472259"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it ranged from 7.8% in South Africa to 14.1% in India. </w:t>
      </w:r>
      <w:r w:rsidR="00BC1A90" w:rsidRPr="00000849">
        <w:rPr>
          <w:rFonts w:asciiTheme="minorHAnsi" w:hAnsiTheme="minorHAnsi" w:cstheme="minorHAnsi"/>
          <w:color w:val="383838"/>
        </w:rPr>
        <w:t xml:space="preserve"> Older age, being female and increasing wealth quintiles favoured BP control while being overweight/obese favoured poor control.</w:t>
      </w:r>
    </w:p>
    <w:p w14:paraId="1B8728CC" w14:textId="3EACDB02" w:rsidR="002F028A" w:rsidRPr="00000849" w:rsidRDefault="00C645B5" w:rsidP="00C645B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In </w:t>
      </w:r>
      <w:r w:rsidR="00AB44AF" w:rsidRPr="00000849">
        <w:rPr>
          <w:rFonts w:asciiTheme="minorHAnsi" w:hAnsiTheme="minorHAnsi" w:cstheme="minorHAnsi"/>
          <w:color w:val="383838"/>
        </w:rPr>
        <w:t xml:space="preserve">population-based </w:t>
      </w:r>
      <w:r w:rsidRPr="00000849">
        <w:rPr>
          <w:rFonts w:asciiTheme="minorHAnsi" w:hAnsiTheme="minorHAnsi" w:cstheme="minorHAnsi"/>
          <w:color w:val="383838"/>
        </w:rPr>
        <w:t xml:space="preserve">studies in Ghana, the prevalence of awareness of hypertension in younger adults was 22.0%-54.1% while the effective BP control was achieved in 0%-23.8% </w:t>
      </w:r>
      <w:r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&lt;EndNote&gt;&lt;Cite&gt;&lt;Author&gt;Bosu&lt;/Author&gt;&lt;Year&gt;2010&lt;/Year&gt;&lt;RecNum&gt;48&lt;/RecNum&gt;&lt;DisplayText&gt;(Bosu, 2010; Sanuade et al., 2018)&lt;/DisplayText&gt;&lt;record&gt;&lt;rec-number&gt;48&lt;/rec-number&gt;&lt;foreign-keys&gt;&lt;key app="EN" db-id="9tzf2rda8re2a9es5tuxart3swzx2zws2s02" timestamp="1464944378"&gt;48&lt;/key&gt;&lt;/foreign-keys&gt;&lt;ref-type name="Journal Article"&gt;17&lt;/ref-type&gt;&lt;contributors&gt;&lt;authors&gt;&lt;author&gt;Bosu, William K.&lt;/author&gt;&lt;/authors&gt;&lt;/contributors&gt;&lt;titles&gt;&lt;title&gt;Epidemic of hypertension in Ghana: a systematic review.&lt;/title&gt;&lt;secondary-title&gt;BMC Public Health.&lt;/secondary-title&gt;&lt;/titles&gt;&lt;pages&gt;418&lt;/pages&gt;&lt;volume&gt;10&lt;/volume&gt;&lt;dates&gt;&lt;year&gt;2010&lt;/year&gt;&lt;/dates&gt;&lt;urls&gt;&lt;/urls&gt;&lt;electronic-resource-num&gt;10.1186/1471-2458-10-418&lt;/electronic-resource-num&gt;&lt;/record&gt;&lt;/Cite&gt;&lt;Cite&gt;&lt;Author&gt;Sanuade&lt;/Author&gt;&lt;Year&gt;2018&lt;/Year&gt;&lt;RecNum&gt;1015&lt;/RecNum&gt;&lt;record&gt;&lt;rec-number&gt;1015&lt;/rec-number&gt;&lt;foreign-keys&gt;&lt;key app="EN" db-id="9tzf2rda8re2a9es5tuxart3swzx2zws2s02" timestamp="1576328331"&gt;1015&lt;/key&gt;&lt;/foreign-keys&gt;&lt;ref-type name="Journal Article"&gt;17&lt;/ref-type&gt;&lt;contributors&gt;&lt;authors&gt;&lt;author&gt;Sanuade, Olutobi Adekunle&lt;/author&gt;&lt;author&gt;Boatemaa, Sandra&lt;/author&gt;&lt;author&gt;Kushitor, Mawuli Komla&lt;/author&gt;&lt;/authors&gt;&lt;/contributors&gt;&lt;titles&gt;&lt;title&gt;Hypertension prevalence, awareness, treatment and control in Ghanaian population: Evidence from the Ghana demographic and health survey&lt;/title&gt;&lt;secondary-title&gt;PloS one&lt;/secondary-title&gt;&lt;/titles&gt;&lt;periodical&gt;&lt;full-title&gt;PLoS One&lt;/full-title&gt;&lt;/periodical&gt;&lt;pages&gt;e0205985&lt;/pages&gt;&lt;volume&gt;13&lt;/volume&gt;&lt;number&gt;11&lt;/number&gt;&lt;dates&gt;&lt;year&gt;2018&lt;/year&gt;&lt;/dates&gt;&lt;isbn&gt;1932-6203&lt;/isbn&gt;&lt;urls&gt;&lt;/urls&gt;&lt;/record&gt;&lt;/Cite&gt;&lt;/EndNote&gt;</w:instrText>
      </w:r>
      <w:r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(Bosu, 2010; Sanuade et al., 2018)</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BC1A90" w:rsidRPr="00000849">
        <w:rPr>
          <w:rFonts w:asciiTheme="minorHAnsi" w:hAnsiTheme="minorHAnsi" w:cstheme="minorHAnsi"/>
          <w:color w:val="383838"/>
        </w:rPr>
        <w:t>While general awareness of hypertension has improved in Ghana, misconceptions remain</w:t>
      </w:r>
      <w:r w:rsidR="00101F48" w:rsidRPr="00000849">
        <w:rPr>
          <w:rFonts w:asciiTheme="minorHAnsi" w:hAnsiTheme="minorHAnsi" w:cstheme="minorHAnsi"/>
          <w:color w:val="383838"/>
        </w:rPr>
        <w:t xml:space="preserve"> </w:t>
      </w:r>
      <w:r w:rsidR="00101F48" w:rsidRPr="00000849">
        <w:rPr>
          <w:rFonts w:asciiTheme="minorHAnsi" w:hAnsiTheme="minorHAnsi" w:cstheme="minorHAnsi"/>
          <w:color w:val="383838"/>
        </w:rPr>
        <w:fldChar w:fldCharType="begin"/>
      </w:r>
      <w:r w:rsidR="00101F48" w:rsidRPr="00000849">
        <w:rPr>
          <w:rFonts w:asciiTheme="minorHAnsi" w:hAnsiTheme="minorHAnsi" w:cstheme="minorHAnsi"/>
          <w:color w:val="383838"/>
        </w:rPr>
        <w:instrText xml:space="preserve"> ADDIN EN.CITE &lt;EndNote&gt;&lt;Cite&gt;&lt;Author&gt;Spencer&lt;/Author&gt;&lt;Year&gt;2005&lt;/Year&gt;&lt;RecNum&gt;346&lt;/RecNum&gt;&lt;DisplayText&gt;(Spencer, 2005)&lt;/DisplayText&gt;&lt;record&gt;&lt;rec-number&gt;346&lt;/rec-number&gt;&lt;foreign-keys&gt;&lt;key app="EN" db-id="5paetsfsntds24ev0rkprap12ppft2pvs2ds" timestamp="1400369292"&gt;346&lt;/key&gt;&lt;/foreign-keys&gt;&lt;ref-type name="Journal Article"&gt;17&lt;/ref-type&gt;&lt;contributors&gt;&lt;authors&gt;&lt;author&gt;Spencer, J., Phillips, E., Ogedegbe, G.&lt;/author&gt;&lt;/authors&gt;&lt;/contributors&gt;&lt;titles&gt;&lt;title&gt;Knowledge attitudes, beliefs, and blood pressure control in a community-based sample in Ghana&lt;/title&gt;&lt;secondary-title&gt;Ethnicity and Disease&lt;/secondary-title&gt;&lt;/titles&gt;&lt;periodical&gt;&lt;full-title&gt;Ethnicity and Disease&lt;/full-title&gt;&lt;abbr-1&gt;Ethn Dis.&lt;/abbr-1&gt;&lt;/periodical&gt;&lt;pages&gt;748-752&lt;/pages&gt;&lt;volume&gt;15&lt;/volume&gt;&lt;dates&gt;&lt;year&gt;2005&lt;/year&gt;&lt;/dates&gt;&lt;urls&gt;&lt;/urls&gt;&lt;/record&gt;&lt;/Cite&gt;&lt;/EndNote&gt;</w:instrText>
      </w:r>
      <w:r w:rsidR="00101F48" w:rsidRPr="00000849">
        <w:rPr>
          <w:rFonts w:asciiTheme="minorHAnsi" w:hAnsiTheme="minorHAnsi" w:cstheme="minorHAnsi"/>
          <w:color w:val="383838"/>
        </w:rPr>
        <w:fldChar w:fldCharType="separate"/>
      </w:r>
      <w:r w:rsidR="00101F48" w:rsidRPr="00000849">
        <w:rPr>
          <w:rFonts w:asciiTheme="minorHAnsi" w:hAnsiTheme="minorHAnsi" w:cstheme="minorHAnsi"/>
          <w:noProof/>
          <w:color w:val="383838"/>
        </w:rPr>
        <w:t>(Spencer, 2005)</w:t>
      </w:r>
      <w:r w:rsidR="00101F48" w:rsidRPr="00000849">
        <w:rPr>
          <w:rFonts w:asciiTheme="minorHAnsi" w:hAnsiTheme="minorHAnsi" w:cstheme="minorHAnsi"/>
          <w:color w:val="383838"/>
        </w:rPr>
        <w:fldChar w:fldCharType="end"/>
      </w:r>
      <w:r w:rsidR="00BC1A90" w:rsidRPr="00000849">
        <w:rPr>
          <w:rFonts w:asciiTheme="minorHAnsi" w:hAnsiTheme="minorHAnsi" w:cstheme="minorHAnsi"/>
          <w:color w:val="383838"/>
        </w:rPr>
        <w:t xml:space="preserve">.  </w:t>
      </w:r>
      <w:r w:rsidR="00101F48" w:rsidRPr="00000849">
        <w:rPr>
          <w:rFonts w:asciiTheme="minorHAnsi" w:hAnsiTheme="minorHAnsi" w:cstheme="minorHAnsi"/>
          <w:color w:val="383838"/>
        </w:rPr>
        <w:t xml:space="preserve">Among </w:t>
      </w:r>
      <w:r w:rsidR="00E70525" w:rsidRPr="00000849">
        <w:rPr>
          <w:rFonts w:asciiTheme="minorHAnsi" w:hAnsiTheme="minorHAnsi" w:cstheme="minorHAnsi"/>
          <w:color w:val="383838"/>
        </w:rPr>
        <w:t xml:space="preserve">people </w:t>
      </w:r>
      <w:r w:rsidR="00B3536F">
        <w:rPr>
          <w:rFonts w:asciiTheme="minorHAnsi" w:hAnsiTheme="minorHAnsi" w:cstheme="minorHAnsi"/>
          <w:color w:val="383838"/>
        </w:rPr>
        <w:t xml:space="preserve">living </w:t>
      </w:r>
      <w:r w:rsidR="00E70525" w:rsidRPr="00000849">
        <w:rPr>
          <w:rFonts w:asciiTheme="minorHAnsi" w:hAnsiTheme="minorHAnsi" w:cstheme="minorHAnsi"/>
          <w:color w:val="383838"/>
        </w:rPr>
        <w:t xml:space="preserve">with </w:t>
      </w:r>
      <w:r w:rsidR="00B3536F" w:rsidRPr="00000849">
        <w:rPr>
          <w:rFonts w:asciiTheme="minorHAnsi" w:hAnsiTheme="minorHAnsi" w:cstheme="minorHAnsi"/>
          <w:color w:val="383838"/>
        </w:rPr>
        <w:t xml:space="preserve">known </w:t>
      </w:r>
      <w:r w:rsidR="00E70525" w:rsidRPr="00000849">
        <w:rPr>
          <w:rFonts w:asciiTheme="minorHAnsi" w:hAnsiTheme="minorHAnsi" w:cstheme="minorHAnsi"/>
          <w:color w:val="383838"/>
        </w:rPr>
        <w:t>hypertension</w:t>
      </w:r>
      <w:r w:rsidR="00101F48" w:rsidRPr="00000849">
        <w:rPr>
          <w:rFonts w:asciiTheme="minorHAnsi" w:hAnsiTheme="minorHAnsi" w:cstheme="minorHAnsi"/>
          <w:color w:val="383838"/>
        </w:rPr>
        <w:t xml:space="preserve"> enrolled on the</w:t>
      </w:r>
      <w:r w:rsidR="00401940" w:rsidRPr="00000849">
        <w:rPr>
          <w:rFonts w:asciiTheme="minorHAnsi" w:hAnsiTheme="minorHAnsi" w:cstheme="minorHAnsi"/>
          <w:color w:val="383838"/>
        </w:rPr>
        <w:t xml:space="preserve"> hospital-based</w:t>
      </w:r>
      <w:r w:rsidR="00101F48" w:rsidRPr="00000849">
        <w:rPr>
          <w:rFonts w:asciiTheme="minorHAnsi" w:hAnsiTheme="minorHAnsi" w:cstheme="minorHAnsi"/>
          <w:color w:val="383838"/>
        </w:rPr>
        <w:t xml:space="preserve"> Ghana Access and Affordability Programme, only </w:t>
      </w:r>
      <w:r w:rsidR="00401940" w:rsidRPr="00000849">
        <w:rPr>
          <w:rFonts w:asciiTheme="minorHAnsi" w:hAnsiTheme="minorHAnsi" w:cstheme="minorHAnsi"/>
          <w:color w:val="383838"/>
        </w:rPr>
        <w:t xml:space="preserve">63.2% knew what hypertension meant, 6.2% knew the BP cut-offs, and most did not know about its complications </w:t>
      </w:r>
      <w:r w:rsidR="00401940" w:rsidRPr="00000849">
        <w:rPr>
          <w:rFonts w:asciiTheme="minorHAnsi" w:hAnsiTheme="minorHAnsi" w:cstheme="minorHAnsi"/>
          <w:color w:val="383838"/>
        </w:rPr>
        <w:fldChar w:fldCharType="begin"/>
      </w:r>
      <w:r w:rsidR="00B45210" w:rsidRPr="00000849">
        <w:rPr>
          <w:rFonts w:asciiTheme="minorHAnsi" w:hAnsiTheme="minorHAnsi" w:cstheme="minorHAnsi"/>
          <w:color w:val="383838"/>
        </w:rPr>
        <w:instrText xml:space="preserve"> ADDIN EN.CITE &lt;EndNote&gt;&lt;Cite&gt;&lt;Author&gt;Sarfo&lt;/Author&gt;&lt;Year&gt;2018&lt;/Year&gt;&lt;RecNum&gt;1026&lt;/RecNum&gt;&lt;DisplayText&gt;(Sarfo et al., 2018a)&lt;/DisplayText&gt;&lt;record&gt;&lt;rec-number&gt;1026&lt;/rec-number&gt;&lt;foreign-keys&gt;&lt;key app="EN" db-id="9tzf2rda8re2a9es5tuxart3swzx2zws2s02" timestamp="1576622112"&gt;1026&lt;/key&gt;&lt;/foreign-keys&gt;&lt;ref-type name="Journal Article"&gt;17&lt;/ref-type&gt;&lt;contributors&gt;&lt;authors&gt;&lt;author&gt;Sarfo, Fred Stephen&lt;/author&gt;&lt;author&gt;Mobula, Linda M.&lt;/author&gt;&lt;author&gt;Burnham, Gilbert&lt;/author&gt;&lt;author&gt;Ansong, Daniel&lt;/author&gt;&lt;author&gt;Plange-Rhule, Jacob&lt;/author&gt;&lt;author&gt;Sarfo-Kantanka, Osei&lt;/author&gt;&lt;author&gt;Ofori-Adjei, David&lt;/author&gt;&lt;/authors&gt;&lt;/contributors&gt;&lt;titles&gt;&lt;title&gt;Factors associated with uncontrolled blood pressure among Ghanaians: Evidence from a multicenter hospital-based study&lt;/title&gt;&lt;secondary-title&gt;PLOS ONE&lt;/secondary-title&gt;&lt;/titles&gt;&lt;periodical&gt;&lt;full-title&gt;PLoS One&lt;/full-title&gt;&lt;/periodical&gt;&lt;pages&gt;e0193494&lt;/pages&gt;&lt;volume&gt;13&lt;/volume&gt;&lt;number&gt;3&lt;/number&gt;&lt;dates&gt;&lt;year&gt;2018&lt;/year&gt;&lt;/dates&gt;&lt;publisher&gt;Public Library of Science&lt;/publisher&gt;&lt;urls&gt;&lt;related-urls&gt;&lt;url&gt;https://doi.org/10.1371/journal.pone.0193494&lt;/url&gt;&lt;/related-urls&gt;&lt;/urls&gt;&lt;electronic-resource-num&gt;10.1371/journal.pone.0193494&lt;/electronic-resource-num&gt;&lt;/record&gt;&lt;/Cite&gt;&lt;/EndNote&gt;</w:instrText>
      </w:r>
      <w:r w:rsidR="00401940" w:rsidRPr="00000849">
        <w:rPr>
          <w:rFonts w:asciiTheme="minorHAnsi" w:hAnsiTheme="minorHAnsi" w:cstheme="minorHAnsi"/>
          <w:color w:val="383838"/>
        </w:rPr>
        <w:fldChar w:fldCharType="separate"/>
      </w:r>
      <w:r w:rsidR="00B45210" w:rsidRPr="00000849">
        <w:rPr>
          <w:rFonts w:asciiTheme="minorHAnsi" w:hAnsiTheme="minorHAnsi" w:cstheme="minorHAnsi"/>
          <w:noProof/>
          <w:color w:val="383838"/>
        </w:rPr>
        <w:t>(Sarfo et al., 2018a)</w:t>
      </w:r>
      <w:r w:rsidR="00401940" w:rsidRPr="00000849">
        <w:rPr>
          <w:rFonts w:asciiTheme="minorHAnsi" w:hAnsiTheme="minorHAnsi" w:cstheme="minorHAnsi"/>
          <w:color w:val="383838"/>
        </w:rPr>
        <w:fldChar w:fldCharType="end"/>
      </w:r>
      <w:r w:rsidR="00401940" w:rsidRPr="00000849">
        <w:rPr>
          <w:rFonts w:asciiTheme="minorHAnsi" w:hAnsiTheme="minorHAnsi" w:cstheme="minorHAnsi"/>
          <w:color w:val="383838"/>
        </w:rPr>
        <w:t xml:space="preserve">.  </w:t>
      </w:r>
      <w:r w:rsidR="000E31C4" w:rsidRPr="00000849">
        <w:rPr>
          <w:rFonts w:asciiTheme="minorHAnsi" w:hAnsiTheme="minorHAnsi" w:cstheme="minorHAnsi"/>
          <w:color w:val="383838"/>
        </w:rPr>
        <w:lastRenderedPageBreak/>
        <w:t>R</w:t>
      </w:r>
      <w:r w:rsidR="00401940" w:rsidRPr="00000849">
        <w:rPr>
          <w:rFonts w:asciiTheme="minorHAnsi" w:hAnsiTheme="minorHAnsi" w:cstheme="minorHAnsi"/>
          <w:color w:val="383838"/>
        </w:rPr>
        <w:t>eceiving treatment at a tertiary referral centre, long duration of hypertension</w:t>
      </w:r>
      <w:r w:rsidR="00C74466" w:rsidRPr="00000849">
        <w:rPr>
          <w:rFonts w:asciiTheme="minorHAnsi" w:hAnsiTheme="minorHAnsi" w:cstheme="minorHAnsi"/>
          <w:color w:val="383838"/>
        </w:rPr>
        <w:t>, poor adherence to medication, reported difficulty at obtaining medications from hospital pharmacy and the number of antihypertensive medications were independently associated with poor BP control.</w:t>
      </w:r>
      <w:r w:rsidR="00AB44AF" w:rsidRPr="00000849">
        <w:rPr>
          <w:rFonts w:asciiTheme="minorHAnsi" w:hAnsiTheme="minorHAnsi" w:cstheme="minorHAnsi"/>
          <w:color w:val="383838"/>
        </w:rPr>
        <w:t xml:space="preserve">  </w:t>
      </w:r>
    </w:p>
    <w:p w14:paraId="57C99CBD" w14:textId="0CE4A373" w:rsidR="00236208" w:rsidRPr="00000849" w:rsidRDefault="00AB44AF" w:rsidP="00C645B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Similarly, in a recent hospital-based study in Accra, </w:t>
      </w:r>
      <w:r w:rsidR="002F028A" w:rsidRPr="00000849">
        <w:rPr>
          <w:rFonts w:asciiTheme="minorHAnsi" w:hAnsiTheme="minorHAnsi" w:cstheme="minorHAnsi"/>
          <w:color w:val="383838"/>
        </w:rPr>
        <w:t xml:space="preserve">Ghana </w:t>
      </w:r>
      <w:r w:rsidRPr="00000849">
        <w:rPr>
          <w:rFonts w:asciiTheme="minorHAnsi" w:hAnsiTheme="minorHAnsi" w:cstheme="minorHAnsi"/>
          <w:color w:val="383838"/>
        </w:rPr>
        <w:t xml:space="preserve">among adult patients with hypertension on treatment for one year or longer, 73.3% had poor knowledge of hypertension defined in relation to its causes and complications and </w:t>
      </w:r>
      <w:r w:rsidR="002F028A" w:rsidRPr="00000849">
        <w:rPr>
          <w:rFonts w:asciiTheme="minorHAnsi" w:hAnsiTheme="minorHAnsi" w:cstheme="minorHAnsi"/>
          <w:color w:val="383838"/>
        </w:rPr>
        <w:t xml:space="preserve">what a </w:t>
      </w:r>
      <w:r w:rsidRPr="00000849">
        <w:rPr>
          <w:rFonts w:asciiTheme="minorHAnsi" w:hAnsiTheme="minorHAnsi" w:cstheme="minorHAnsi"/>
          <w:color w:val="383838"/>
        </w:rPr>
        <w:t>normal adult BP</w:t>
      </w:r>
      <w:r w:rsidR="002F028A" w:rsidRPr="00000849">
        <w:rPr>
          <w:rFonts w:asciiTheme="minorHAnsi" w:hAnsiTheme="minorHAnsi" w:cstheme="minorHAnsi"/>
          <w:color w:val="383838"/>
        </w:rPr>
        <w:t xml:space="preserve"> is </w:t>
      </w:r>
      <w:r w:rsidR="002F028A" w:rsidRPr="00000849">
        <w:rPr>
          <w:rFonts w:asciiTheme="minorHAnsi" w:hAnsiTheme="minorHAnsi" w:cstheme="minorHAnsi"/>
          <w:color w:val="383838"/>
        </w:rPr>
        <w:fldChar w:fldCharType="begin"/>
      </w:r>
      <w:r w:rsidR="003E660C" w:rsidRPr="00000849">
        <w:rPr>
          <w:rFonts w:asciiTheme="minorHAnsi" w:hAnsiTheme="minorHAnsi" w:cstheme="minorHAnsi"/>
          <w:color w:val="383838"/>
        </w:rPr>
        <w:instrText xml:space="preserve"> ADDIN EN.CITE &lt;EndNote&gt;&lt;Cite&gt;&lt;Author&gt;Okai&lt;/Author&gt;&lt;Year&gt;2020&lt;/Year&gt;&lt;RecNum&gt;1686&lt;/RecNum&gt;&lt;DisplayText&gt;(Okai et al., 2020)&lt;/DisplayText&gt;&lt;record&gt;&lt;rec-number&gt;1686&lt;/rec-number&gt;&lt;foreign-keys&gt;&lt;key app="EN" db-id="9tzf2rda8re2a9es5tuxart3swzx2zws2s02" timestamp="1598716467"&gt;1686&lt;/key&gt;&lt;/foreign-keys&gt;&lt;ref-type name="Journal Article"&gt;17&lt;/ref-type&gt;&lt;contributors&gt;&lt;authors&gt;&lt;author&gt;Okai, Darlene Esinam&lt;/author&gt;&lt;author&gt;Manu, Adom&lt;/author&gt;&lt;author&gt;Amoah, Emefa Modey&lt;/author&gt;&lt;author&gt;Laar, Amos&lt;/author&gt;&lt;author&gt;Akamah, Joseph&lt;/author&gt;&lt;author&gt;Torpey, Kwasi&lt;/author&gt;&lt;/authors&gt;&lt;/contributors&gt;&lt;titles&gt;&lt;title&gt;Patient-level factors influencing hypertension control in adults in Accra, Ghana&lt;/title&gt;&lt;secondary-title&gt;BMC cardiovascular disorders&lt;/secondary-title&gt;&lt;alt-title&gt;BMC Cardiovasc Disord&lt;/alt-title&gt;&lt;/titles&gt;&lt;periodical&gt;&lt;full-title&gt;BMC Cardiovascular Disorders&lt;/full-title&gt;&lt;abbr-1&gt;BMC Cardiovasc Disord&lt;/abbr-1&gt;&lt;/periodical&gt;&lt;alt-periodical&gt;&lt;full-title&gt;BMC Cardiovascular Disorders&lt;/full-title&gt;&lt;abbr-1&gt;BMC Cardiovasc Disord&lt;/abbr-1&gt;&lt;/alt-periodical&gt;&lt;pages&gt;123-123&lt;/pages&gt;&lt;volume&gt;20&lt;/volume&gt;&lt;number&gt;1&lt;/number&gt;&lt;keywords&gt;&lt;keyword&gt;Blood pressure control&lt;/keyword&gt;&lt;keyword&gt;Developing countries&lt;/keyword&gt;&lt;keyword&gt;Ghana&lt;/keyword&gt;&lt;keyword&gt;Hypertension&lt;/keyword&gt;&lt;keyword&gt;Pill burden&lt;/keyword&gt;&lt;/keywords&gt;&lt;dates&gt;&lt;year&gt;2020&lt;/year&gt;&lt;/dates&gt;&lt;publisher&gt;BioMed Central&lt;/publisher&gt;&lt;isbn&gt;1471-2261&lt;/isbn&gt;&lt;accession-num&gt;32156259&lt;/accession-num&gt;&lt;urls&gt;&lt;related-urls&gt;&lt;url&gt;https://pubmed.ncbi.nlm.nih.gov/32156259&lt;/url&gt;&lt;url&gt;https://www.ncbi.nlm.nih.gov/pmc/articles/PMC7065309/&lt;/url&gt;&lt;/related-urls&gt;&lt;/urls&gt;&lt;electronic-resource-num&gt;10.1186/s12872-020-01370-y&lt;/electronic-resource-num&gt;&lt;remote-database-name&gt;PubMed&lt;/remote-database-name&gt;&lt;language&gt;eng&lt;/language&gt;&lt;/record&gt;&lt;/Cite&gt;&lt;/EndNote&gt;</w:instrText>
      </w:r>
      <w:r w:rsidR="002F028A" w:rsidRPr="00000849">
        <w:rPr>
          <w:rFonts w:asciiTheme="minorHAnsi" w:hAnsiTheme="minorHAnsi" w:cstheme="minorHAnsi"/>
          <w:color w:val="383838"/>
        </w:rPr>
        <w:fldChar w:fldCharType="separate"/>
      </w:r>
      <w:r w:rsidR="002F028A" w:rsidRPr="00000849">
        <w:rPr>
          <w:rFonts w:asciiTheme="minorHAnsi" w:hAnsiTheme="minorHAnsi" w:cstheme="minorHAnsi"/>
          <w:noProof/>
          <w:color w:val="383838"/>
        </w:rPr>
        <w:t>(Okai et al., 2020)</w:t>
      </w:r>
      <w:r w:rsidR="002F028A" w:rsidRPr="00000849">
        <w:rPr>
          <w:rFonts w:asciiTheme="minorHAnsi" w:hAnsiTheme="minorHAnsi" w:cstheme="minorHAnsi"/>
          <w:color w:val="383838"/>
        </w:rPr>
        <w:fldChar w:fldCharType="end"/>
      </w:r>
      <w:r w:rsidR="002F028A" w:rsidRPr="00000849">
        <w:rPr>
          <w:rFonts w:asciiTheme="minorHAnsi" w:hAnsiTheme="minorHAnsi" w:cstheme="minorHAnsi"/>
          <w:color w:val="383838"/>
        </w:rPr>
        <w:t>.  The factors associated with uncontrolled hypertension were male sex, low education, 2-5-year duration since diagnosis, presence of comorbidity or dyslipidaemia and high pill burden (3-4 pills daily).  The commonest reasons for missed medication were forgetfulness, high pill burden and side effects of medication.</w:t>
      </w:r>
    </w:p>
    <w:p w14:paraId="6D07D9D5" w14:textId="156D3F0C" w:rsidR="008C408F" w:rsidRPr="00000849" w:rsidRDefault="008C408F" w:rsidP="00C645B5">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Health workers involved in a qualitative study in rural northern Ghana identified three categories of barriers to the adequate control of hypertension </w:t>
      </w:r>
      <w:r w:rsidRPr="00000849">
        <w:rPr>
          <w:rFonts w:asciiTheme="minorHAnsi" w:hAnsiTheme="minorHAnsi" w:cstheme="minorHAnsi"/>
          <w:color w:val="383838"/>
        </w:rPr>
        <w:fldChar w:fldCharType="begin">
          <w:fldData xml:space="preserve">PEVuZE5vdGU+PENpdGU+PEF1dGhvcj5OeWFhYmE8L0F1dGhvcj48WWVhcj4yMDIwPC9ZZWFyPjxS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</w:fldData>
        </w:fldChar>
      </w:r>
      <w:r w:rsidR="00AC2BE6">
        <w:rPr>
          <w:rFonts w:asciiTheme="minorHAnsi" w:hAnsiTheme="minorHAnsi" w:cstheme="minorHAnsi"/>
          <w:color w:val="383838"/>
        </w:rPr>
        <w:instrText xml:space="preserve"> ADDIN EN.CITE </w:instrText>
      </w:r>
      <w:r w:rsidR="00AC2BE6">
        <w:rPr>
          <w:rFonts w:asciiTheme="minorHAnsi" w:hAnsiTheme="minorHAnsi" w:cstheme="minorHAnsi"/>
          <w:color w:val="383838"/>
        </w:rPr>
        <w:fldChar w:fldCharType="begin">
          <w:fldData xml:space="preserve">PEVuZE5vdGU+PENpdGU+PEF1dGhvcj5OeWFhYmE8L0F1dGhvcj48WWVhcj4yMDIwPC9ZZWFyPjxS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</w:fldData>
        </w:fldChar>
      </w:r>
      <w:r w:rsidR="00AC2BE6">
        <w:rPr>
          <w:rFonts w:asciiTheme="minorHAnsi" w:hAnsiTheme="minorHAnsi" w:cstheme="minorHAnsi"/>
          <w:color w:val="383838"/>
        </w:rPr>
        <w:instrText xml:space="preserve"> ADDIN EN.CITE.DATA </w:instrText>
      </w:r>
      <w:r w:rsidR="00AC2BE6">
        <w:rPr>
          <w:rFonts w:asciiTheme="minorHAnsi" w:hAnsiTheme="minorHAnsi" w:cstheme="minorHAnsi"/>
          <w:color w:val="383838"/>
        </w:rPr>
      </w:r>
      <w:r w:rsidR="00AC2BE6">
        <w:rPr>
          <w:rFonts w:asciiTheme="minorHAnsi" w:hAnsiTheme="minorHAnsi" w:cstheme="minorHAnsi"/>
          <w:color w:val="383838"/>
        </w:rPr>
        <w:fldChar w:fldCharType="end"/>
      </w:r>
      <w:r w:rsidRPr="00000849">
        <w:rPr>
          <w:rFonts w:asciiTheme="minorHAnsi" w:hAnsiTheme="minorHAnsi" w:cstheme="minorHAnsi"/>
          <w:color w:val="383838"/>
        </w:rPr>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(Nyaaba et al., 2020)</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These were health professional barriers such as limited </w:t>
      </w:r>
      <w:r w:rsidRPr="00000849">
        <w:rPr>
          <w:rFonts w:asciiTheme="minorHAnsi" w:hAnsiTheme="minorHAnsi" w:cstheme="minorHAnsi"/>
        </w:rPr>
        <w:t xml:space="preserve">training and capacity for </w:t>
      </w:r>
      <w:r w:rsidRPr="00000849">
        <w:rPr>
          <w:rFonts w:asciiTheme="minorHAnsi" w:hAnsiTheme="minorHAnsi" w:cstheme="minorHAnsi"/>
          <w:lang w:val="en-US"/>
        </w:rPr>
        <w:t xml:space="preserve">managing </w:t>
      </w:r>
      <w:r w:rsidRPr="00000849">
        <w:rPr>
          <w:rFonts w:asciiTheme="minorHAnsi" w:hAnsiTheme="minorHAnsi" w:cstheme="minorHAnsi"/>
        </w:rPr>
        <w:t>HTN, difficulties in communicating about HTN in the local languages, weak referral systems</w:t>
      </w:r>
      <w:r w:rsidR="003A5CE4" w:rsidRPr="00000849">
        <w:rPr>
          <w:rFonts w:asciiTheme="minorHAnsi" w:hAnsiTheme="minorHAnsi" w:cstheme="minorHAnsi"/>
        </w:rPr>
        <w:t xml:space="preserve">, low staff morale </w:t>
      </w:r>
      <w:r w:rsidR="00575324" w:rsidRPr="00000849">
        <w:rPr>
          <w:rFonts w:asciiTheme="minorHAnsi" w:hAnsiTheme="minorHAnsi" w:cstheme="minorHAnsi"/>
        </w:rPr>
        <w:t xml:space="preserve">from </w:t>
      </w:r>
      <w:r w:rsidR="00EA23CE" w:rsidRPr="00000849">
        <w:rPr>
          <w:rFonts w:asciiTheme="minorHAnsi" w:hAnsiTheme="minorHAnsi" w:cstheme="minorHAnsi"/>
        </w:rPr>
        <w:t>managing heavy caseloads with little appreciation by patients</w:t>
      </w:r>
      <w:r w:rsidR="003A5CE4" w:rsidRPr="00000849">
        <w:rPr>
          <w:rFonts w:asciiTheme="minorHAnsi" w:hAnsiTheme="minorHAnsi" w:cstheme="minorHAnsi"/>
        </w:rPr>
        <w:t xml:space="preserve">; </w:t>
      </w:r>
      <w:r w:rsidRPr="00000849">
        <w:rPr>
          <w:rFonts w:asciiTheme="minorHAnsi" w:hAnsiTheme="minorHAnsi" w:cstheme="minorHAnsi"/>
        </w:rPr>
        <w:t xml:space="preserve"> </w:t>
      </w:r>
      <w:r w:rsidR="003A5CE4" w:rsidRPr="00000849">
        <w:rPr>
          <w:rFonts w:asciiTheme="minorHAnsi" w:hAnsiTheme="minorHAnsi" w:cstheme="minorHAnsi"/>
        </w:rPr>
        <w:t xml:space="preserve">health system barriers such as limited health personnel and specialists, inadequate infrastructure and equipment, drug shortages at health facilities sometimes due to late reimbursements from the NHIS; and </w:t>
      </w:r>
      <w:r w:rsidRPr="00000849">
        <w:rPr>
          <w:rFonts w:asciiTheme="minorHAnsi" w:hAnsiTheme="minorHAnsi" w:cstheme="minorHAnsi"/>
        </w:rPr>
        <w:t xml:space="preserve">patient-related barriers </w:t>
      </w:r>
      <w:r w:rsidR="003A5CE4" w:rsidRPr="00000849">
        <w:rPr>
          <w:rFonts w:asciiTheme="minorHAnsi" w:hAnsiTheme="minorHAnsi" w:cstheme="minorHAnsi"/>
        </w:rPr>
        <w:t>such as</w:t>
      </w:r>
      <w:r w:rsidRPr="00000849">
        <w:rPr>
          <w:rFonts w:asciiTheme="minorHAnsi" w:hAnsiTheme="minorHAnsi" w:cstheme="minorHAnsi"/>
        </w:rPr>
        <w:t xml:space="preserve"> non-</w:t>
      </w:r>
      <w:r w:rsidR="003A5CE4" w:rsidRPr="00000849">
        <w:rPr>
          <w:rFonts w:asciiTheme="minorHAnsi" w:hAnsiTheme="minorHAnsi" w:cstheme="minorHAnsi"/>
        </w:rPr>
        <w:t>compliance with professional advice on diet and medication</w:t>
      </w:r>
      <w:r w:rsidRPr="00000849">
        <w:rPr>
          <w:rFonts w:asciiTheme="minorHAnsi" w:hAnsiTheme="minorHAnsi" w:cstheme="minorHAnsi"/>
        </w:rPr>
        <w:t xml:space="preserve">, use of traditional </w:t>
      </w:r>
      <w:r w:rsidR="003A5CE4" w:rsidRPr="00000849">
        <w:rPr>
          <w:rFonts w:asciiTheme="minorHAnsi" w:hAnsiTheme="minorHAnsi" w:cstheme="minorHAnsi"/>
        </w:rPr>
        <w:t xml:space="preserve">and spiritual remedies facilitated by radio </w:t>
      </w:r>
      <w:r w:rsidR="003A5CE4" w:rsidRPr="00000849">
        <w:rPr>
          <w:rFonts w:asciiTheme="minorHAnsi" w:hAnsiTheme="minorHAnsi" w:cstheme="minorHAnsi"/>
        </w:rPr>
        <w:lastRenderedPageBreak/>
        <w:t>advertisements</w:t>
      </w:r>
      <w:r w:rsidRPr="00000849">
        <w:rPr>
          <w:rFonts w:asciiTheme="minorHAnsi" w:hAnsiTheme="minorHAnsi" w:cstheme="minorHAnsi"/>
        </w:rPr>
        <w:t xml:space="preserve">, sociocultural </w:t>
      </w:r>
      <w:r w:rsidR="003A5CE4" w:rsidRPr="00000849">
        <w:rPr>
          <w:rFonts w:asciiTheme="minorHAnsi" w:hAnsiTheme="minorHAnsi" w:cstheme="minorHAnsi"/>
        </w:rPr>
        <w:t>practices such as snuffing tobacco</w:t>
      </w:r>
      <w:r w:rsidR="00EA23CE" w:rsidRPr="00000849">
        <w:rPr>
          <w:rFonts w:asciiTheme="minorHAnsi" w:hAnsiTheme="minorHAnsi" w:cstheme="minorHAnsi"/>
        </w:rPr>
        <w:t>,</w:t>
      </w:r>
      <w:r w:rsidR="003A5CE4" w:rsidRPr="00000849">
        <w:rPr>
          <w:rFonts w:asciiTheme="minorHAnsi" w:hAnsiTheme="minorHAnsi" w:cstheme="minorHAnsi"/>
        </w:rPr>
        <w:t xml:space="preserve"> and consumption of local alcoholic drinks</w:t>
      </w:r>
      <w:r w:rsidRPr="00000849">
        <w:rPr>
          <w:rFonts w:asciiTheme="minorHAnsi" w:hAnsiTheme="minorHAnsi" w:cstheme="minorHAnsi"/>
        </w:rPr>
        <w:t>.</w:t>
      </w:r>
    </w:p>
    <w:p w14:paraId="283228E4" w14:textId="1AEBADBD" w:rsidR="00F67BF4" w:rsidRPr="00000849" w:rsidRDefault="00421244" w:rsidP="00421244">
      <w:pPr>
        <w:spacing w:after="0" w:line="480" w:lineRule="auto"/>
        <w:ind w:firstLine="720"/>
        <w:jc w:val="both"/>
        <w:rPr>
          <w:sz w:val="24"/>
          <w:szCs w:val="24"/>
        </w:rPr>
      </w:pPr>
      <w:r w:rsidRPr="00000849">
        <w:rPr>
          <w:sz w:val="24"/>
          <w:szCs w:val="24"/>
        </w:rPr>
        <w:t xml:space="preserve">The challenges with poor control of hypertension are observed even among health professionals in Ghana.  In one survey, only </w:t>
      </w:r>
      <w:r w:rsidR="00CD7B29">
        <w:rPr>
          <w:sz w:val="24"/>
          <w:szCs w:val="24"/>
        </w:rPr>
        <w:t>43.8</w:t>
      </w:r>
      <w:r w:rsidRPr="00000849">
        <w:rPr>
          <w:sz w:val="24"/>
          <w:szCs w:val="24"/>
        </w:rPr>
        <w:t xml:space="preserve">% of those with hypertension had been previously diagnosed </w:t>
      </w:r>
      <w:r w:rsidRPr="00000849">
        <w:rPr>
          <w:sz w:val="24"/>
          <w:szCs w:val="24"/>
        </w:rPr>
        <w:fldChar w:fldCharType="begin"/>
      </w:r>
      <w:r w:rsidR="0060706B" w:rsidRPr="00000849">
        <w:rPr>
          <w:sz w:val="24"/>
          <w:szCs w:val="24"/>
        </w:rPr>
        <w:instrText xml:space="preserve"> ADDIN EN.CITE &lt;EndNote&gt;&lt;Cite&gt;&lt;Author&gt;Aryeetey&lt;/Author&gt;&lt;Year&gt;2011&lt;/Year&gt;&lt;RecNum&gt;375&lt;/RecNum&gt;&lt;DisplayText&gt;(Aryeetey &amp;amp; Ansong, 2011)&lt;/DisplayText&gt;&lt;record&gt;&lt;rec-number&gt;375&lt;/rec-number&gt;&lt;foreign-keys&gt;&lt;key app="EN" db-id="5paetsfsntds24ev0rkprap12ppft2pvs2ds" timestamp="1400836925"&gt;375&lt;/key&gt;&lt;/foreign-keys&gt;&lt;ref-type name="Journal Article"&gt;17&lt;/ref-type&gt;&lt;contributors&gt;&lt;authors&gt;&lt;author&gt;Aryeetey, R&lt;/author&gt;&lt;author&gt;Ansong, J&lt;/author&gt;&lt;/authors&gt;&lt;/contributors&gt;&lt;titles&gt;&lt;title&gt;Overweight and hypertension among college of health sciences employees in Ghana&lt;/title&gt;&lt;secondary-title&gt;African Journal of Food, Agriculture, Nutrition and Development&lt;/secondary-title&gt;&lt;/titles&gt;&lt;periodical&gt;&lt;full-title&gt;African Journal of Food, Agriculture, Nutrition and Development&lt;/full-title&gt;&lt;abbr-1&gt;Afr J Food Agric Nut Dev&lt;/abbr-1&gt;&lt;/periodical&gt;&lt;pages&gt;5444-56&lt;/pages&gt;&lt;volume&gt;11&lt;/volume&gt;&lt;number&gt;6&lt;/number&gt;&lt;dates&gt;&lt;year&gt;2011&lt;/year&gt;&lt;/dates&gt;&lt;isbn&gt;1684-5374&lt;/isbn&gt;&lt;urls&gt;&lt;/urls&gt;&lt;/record&gt;&lt;/Cite&gt;&lt;/EndNote&gt;</w:instrText>
      </w:r>
      <w:r w:rsidRPr="00000849">
        <w:rPr>
          <w:sz w:val="24"/>
          <w:szCs w:val="24"/>
        </w:rPr>
        <w:fldChar w:fldCharType="separate"/>
      </w:r>
      <w:r w:rsidR="0060706B" w:rsidRPr="00000849">
        <w:rPr>
          <w:noProof/>
          <w:sz w:val="24"/>
          <w:szCs w:val="24"/>
        </w:rPr>
        <w:t>(Aryeetey &amp; Ansong, 2011)</w:t>
      </w:r>
      <w:r w:rsidRPr="00000849">
        <w:rPr>
          <w:sz w:val="24"/>
          <w:szCs w:val="24"/>
        </w:rPr>
        <w:fldChar w:fldCharType="end"/>
      </w:r>
      <w:r w:rsidRPr="00000849">
        <w:rPr>
          <w:sz w:val="24"/>
          <w:szCs w:val="24"/>
        </w:rPr>
        <w:t xml:space="preserve">.  Whereas all </w:t>
      </w:r>
      <w:r w:rsidR="00575324" w:rsidRPr="00000849">
        <w:rPr>
          <w:sz w:val="24"/>
          <w:szCs w:val="24"/>
        </w:rPr>
        <w:t xml:space="preserve">health professionals </w:t>
      </w:r>
      <w:r w:rsidR="00B3536F">
        <w:rPr>
          <w:sz w:val="24"/>
          <w:szCs w:val="24"/>
        </w:rPr>
        <w:t xml:space="preserve">living </w:t>
      </w:r>
      <w:r w:rsidR="00E70525" w:rsidRPr="00000849">
        <w:rPr>
          <w:sz w:val="24"/>
          <w:szCs w:val="24"/>
        </w:rPr>
        <w:t xml:space="preserve">with </w:t>
      </w:r>
      <w:r w:rsidR="00B3536F" w:rsidRPr="00000849">
        <w:rPr>
          <w:sz w:val="24"/>
          <w:szCs w:val="24"/>
        </w:rPr>
        <w:t xml:space="preserve">known </w:t>
      </w:r>
      <w:r w:rsidR="00E70525" w:rsidRPr="00000849">
        <w:rPr>
          <w:sz w:val="24"/>
          <w:szCs w:val="24"/>
        </w:rPr>
        <w:t>hypertension</w:t>
      </w:r>
      <w:r w:rsidRPr="00000849">
        <w:rPr>
          <w:sz w:val="24"/>
          <w:szCs w:val="24"/>
        </w:rPr>
        <w:t xml:space="preserve"> reported being on medication, none had their BP under control.</w:t>
      </w:r>
    </w:p>
    <w:p w14:paraId="2E4B8A1D" w14:textId="6D4FDCC1" w:rsidR="007D7980" w:rsidRPr="00000849" w:rsidRDefault="007D7980" w:rsidP="00DC5B05">
      <w:pPr>
        <w:spacing w:after="0" w:line="480" w:lineRule="auto"/>
        <w:ind w:firstLine="720"/>
        <w:jc w:val="both"/>
        <w:rPr>
          <w:sz w:val="24"/>
        </w:rPr>
      </w:pPr>
      <w:r w:rsidRPr="00000849">
        <w:rPr>
          <w:sz w:val="24"/>
        </w:rPr>
        <w:t>Another challenge is that progress tends to be slow.  In Mozambique, the level of awareness of hypertension after ten years (2005-2014/2015) was similar</w:t>
      </w:r>
      <w:r w:rsidR="00275A82" w:rsidRPr="00000849">
        <w:rPr>
          <w:sz w:val="24"/>
        </w:rPr>
        <w:t xml:space="preserve"> at 14.8%</w:t>
      </w:r>
      <w:r w:rsidR="00575324" w:rsidRPr="00000849">
        <w:rPr>
          <w:sz w:val="24"/>
        </w:rPr>
        <w:t xml:space="preserve"> </w:t>
      </w:r>
      <w:r w:rsidR="00275A82" w:rsidRPr="00000849">
        <w:rPr>
          <w:sz w:val="24"/>
        </w:rPr>
        <w:t>/</w:t>
      </w:r>
      <w:r w:rsidR="00575324" w:rsidRPr="00000849">
        <w:rPr>
          <w:sz w:val="24"/>
        </w:rPr>
        <w:t xml:space="preserve"> </w:t>
      </w:r>
      <w:r w:rsidR="00275A82" w:rsidRPr="00000849">
        <w:rPr>
          <w:sz w:val="24"/>
        </w:rPr>
        <w:t>14.5%</w:t>
      </w:r>
      <w:r w:rsidRPr="00000849">
        <w:rPr>
          <w:sz w:val="24"/>
        </w:rPr>
        <w:t xml:space="preserve"> </w:t>
      </w:r>
      <w:r w:rsidR="00275A82" w:rsidRPr="00000849">
        <w:rPr>
          <w:sz w:val="24"/>
        </w:rPr>
        <w:t xml:space="preserve">as was treatment rates among those aware that they have hypertension at </w:t>
      </w:r>
      <w:r w:rsidR="00D2380E" w:rsidRPr="00000849">
        <w:rPr>
          <w:sz w:val="24"/>
        </w:rPr>
        <w:t>51.9</w:t>
      </w:r>
      <w:r w:rsidR="00275A82" w:rsidRPr="00000849">
        <w:rPr>
          <w:sz w:val="24"/>
        </w:rPr>
        <w:t>%</w:t>
      </w:r>
      <w:r w:rsidR="00D2380E" w:rsidRPr="00000849">
        <w:rPr>
          <w:sz w:val="24"/>
        </w:rPr>
        <w:t xml:space="preserve"> </w:t>
      </w:r>
      <w:r w:rsidR="00275A82" w:rsidRPr="00000849">
        <w:rPr>
          <w:sz w:val="24"/>
        </w:rPr>
        <w:t xml:space="preserve">/ </w:t>
      </w:r>
      <w:r w:rsidR="00D2380E" w:rsidRPr="00000849">
        <w:rPr>
          <w:sz w:val="24"/>
        </w:rPr>
        <w:t>50.1%</w:t>
      </w:r>
      <w:r w:rsidR="00275A82" w:rsidRPr="00000849">
        <w:rPr>
          <w:sz w:val="24"/>
        </w:rPr>
        <w:t xml:space="preserve"> </w:t>
      </w:r>
      <w:r w:rsidR="00D2380E" w:rsidRPr="00000849">
        <w:rPr>
          <w:sz w:val="24"/>
        </w:rPr>
        <w:fldChar w:fldCharType="begin">
          <w:fldData xml:space="preserve">PEVuZE5vdGU+PENpdGU+PEF1dGhvcj5KZXNzZW48L0F1dGhvcj48WWVhcj4yMDE4PC9ZZWFyPjxS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</w:fldData>
        </w:fldChar>
      </w:r>
      <w:r w:rsidR="00D2380E" w:rsidRPr="00000849">
        <w:rPr>
          <w:sz w:val="24"/>
        </w:rPr>
        <w:instrText xml:space="preserve"> ADDIN EN.CITE </w:instrText>
      </w:r>
      <w:r w:rsidR="00D2380E" w:rsidRPr="00000849">
        <w:rPr>
          <w:sz w:val="24"/>
        </w:rPr>
        <w:fldChar w:fldCharType="begin">
          <w:fldData xml:space="preserve">PEVuZE5vdGU+PENpdGU+PEF1dGhvcj5KZXNzZW48L0F1dGhvcj48WWVhcj4yMDE4PC9ZZWFyPjxS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</w:fldData>
        </w:fldChar>
      </w:r>
      <w:r w:rsidR="00D2380E" w:rsidRPr="00000849">
        <w:rPr>
          <w:sz w:val="24"/>
        </w:rPr>
        <w:instrText xml:space="preserve"> ADDIN EN.CITE.DATA </w:instrText>
      </w:r>
      <w:r w:rsidR="00D2380E" w:rsidRPr="00000849">
        <w:rPr>
          <w:sz w:val="24"/>
        </w:rPr>
      </w:r>
      <w:r w:rsidR="00D2380E" w:rsidRPr="00000849">
        <w:rPr>
          <w:sz w:val="24"/>
        </w:rPr>
        <w:fldChar w:fldCharType="end"/>
      </w:r>
      <w:r w:rsidR="00D2380E" w:rsidRPr="00000849">
        <w:rPr>
          <w:sz w:val="24"/>
        </w:rPr>
      </w:r>
      <w:r w:rsidR="00D2380E" w:rsidRPr="00000849">
        <w:rPr>
          <w:sz w:val="24"/>
        </w:rPr>
        <w:fldChar w:fldCharType="separate"/>
      </w:r>
      <w:r w:rsidR="00D2380E" w:rsidRPr="00000849">
        <w:rPr>
          <w:noProof/>
          <w:sz w:val="24"/>
        </w:rPr>
        <w:t>(Jessen et al., 2018)</w:t>
      </w:r>
      <w:r w:rsidR="00D2380E" w:rsidRPr="00000849">
        <w:rPr>
          <w:sz w:val="24"/>
        </w:rPr>
        <w:fldChar w:fldCharType="end"/>
      </w:r>
      <w:r w:rsidR="00275A82" w:rsidRPr="00000849">
        <w:rPr>
          <w:sz w:val="24"/>
        </w:rPr>
        <w:t>.  Although BP control among those treated increased from 39.9% to 44.5% over the period, the difference was not statistically significant.</w:t>
      </w:r>
    </w:p>
    <w:p w14:paraId="4F175BB4" w14:textId="77777777" w:rsidR="007D7980" w:rsidRPr="00000849" w:rsidRDefault="007D7980" w:rsidP="00D2380E">
      <w:pPr>
        <w:spacing w:after="0" w:line="480" w:lineRule="auto"/>
        <w:jc w:val="both"/>
        <w:rPr>
          <w:sz w:val="24"/>
        </w:rPr>
      </w:pPr>
    </w:p>
    <w:p w14:paraId="38083CD8" w14:textId="7105BC51" w:rsidR="00BA21ED" w:rsidRPr="00000849" w:rsidRDefault="002006AA" w:rsidP="00A61BAB">
      <w:pPr>
        <w:pStyle w:val="Heading2"/>
      </w:pPr>
      <w:bookmarkStart w:id="123" w:name="_Toc51472154"/>
      <w:r w:rsidRPr="00000849">
        <w:t>6.</w:t>
      </w:r>
      <w:r w:rsidR="00083AAD" w:rsidRPr="00000849">
        <w:t>6</w:t>
      </w:r>
      <w:r w:rsidR="003E120D" w:rsidRPr="00000849">
        <w:tab/>
      </w:r>
      <w:r w:rsidR="00BA21ED" w:rsidRPr="00000849">
        <w:t>Clustering of risk factors</w:t>
      </w:r>
      <w:bookmarkEnd w:id="123"/>
    </w:p>
    <w:p w14:paraId="2F12F673" w14:textId="094EC632" w:rsidR="002C6410" w:rsidRPr="00000849" w:rsidRDefault="002C6410"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2B966560" w14:textId="44D21346" w:rsidR="000B0AF7" w:rsidRPr="00000849" w:rsidRDefault="007C5E12" w:rsidP="00DC5B05">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Hypertension tends to occur along with other chronic noncommunicable disease risk factors.  </w:t>
      </w:r>
      <w:r w:rsidR="00536F6B" w:rsidRPr="00000849">
        <w:rPr>
          <w:rFonts w:asciiTheme="minorHAnsi" w:hAnsiTheme="minorHAnsi" w:cstheme="minorHAnsi"/>
          <w:color w:val="383838"/>
        </w:rPr>
        <w:t>Most of</w:t>
      </w:r>
      <w:r w:rsidRPr="00000849">
        <w:rPr>
          <w:rFonts w:asciiTheme="minorHAnsi" w:hAnsiTheme="minorHAnsi" w:cstheme="minorHAnsi"/>
          <w:color w:val="383838"/>
        </w:rPr>
        <w:t xml:space="preserve"> </w:t>
      </w:r>
      <w:r w:rsidR="005B696F" w:rsidRPr="00000849">
        <w:rPr>
          <w:rFonts w:asciiTheme="minorHAnsi" w:hAnsiTheme="minorHAnsi" w:cstheme="minorHAnsi"/>
          <w:color w:val="383838"/>
        </w:rPr>
        <w:t xml:space="preserve">the SAGE Ghana </w:t>
      </w:r>
      <w:r w:rsidRPr="00000849">
        <w:rPr>
          <w:rFonts w:asciiTheme="minorHAnsi" w:hAnsiTheme="minorHAnsi" w:cstheme="minorHAnsi"/>
          <w:color w:val="383838"/>
        </w:rPr>
        <w:t>participants had two or more risk factors</w:t>
      </w:r>
      <w:r w:rsidR="005B696F" w:rsidRPr="00000849">
        <w:rPr>
          <w:rFonts w:asciiTheme="minorHAnsi" w:hAnsiTheme="minorHAnsi" w:cstheme="minorHAnsi"/>
          <w:color w:val="383838"/>
        </w:rPr>
        <w:t xml:space="preserve">. </w:t>
      </w:r>
      <w:r w:rsidR="00DC5B05" w:rsidRPr="00000849">
        <w:rPr>
          <w:rFonts w:asciiTheme="minorHAnsi" w:hAnsiTheme="minorHAnsi" w:cstheme="minorHAnsi"/>
          <w:color w:val="383838"/>
        </w:rPr>
        <w:t xml:space="preserve"> </w:t>
      </w:r>
      <w:r w:rsidR="000B0AF7" w:rsidRPr="00000849">
        <w:rPr>
          <w:rFonts w:asciiTheme="minorHAnsi" w:hAnsiTheme="minorHAnsi" w:cstheme="minorHAnsi"/>
          <w:color w:val="383838"/>
        </w:rPr>
        <w:t xml:space="preserve">The prevalence of multiple risk factors in other SAGE countries, notably India, Mexico, Russia and South Africa, was higher than that of Ghana </w:t>
      </w:r>
      <w:r w:rsidR="000B0AF7" w:rsidRPr="00000849">
        <w:rPr>
          <w:rFonts w:asciiTheme="minorHAnsi" w:hAnsiTheme="minorHAnsi" w:cstheme="minorHAnsi"/>
          <w:color w:val="383838"/>
        </w:rPr>
        <w:fldChar w:fldCharType="begin">
          <w:fldData xml:space="preserve">PEVuZE5vdGU+PENpdGU+PEF1dGhvcj5XdTwvQXV0aG9yPjxZZWFyPjIwMTU8L1llYXI+PFJlY051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PEVuZE5vdGU+PENpdGU+PEF1dGhvcj5XdTwvQXV0aG9yPjxZZWFyPjIwMTU8L1llYXI+PFJlY051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0B0AF7" w:rsidRPr="00000849">
        <w:rPr>
          <w:rFonts w:asciiTheme="minorHAnsi" w:hAnsiTheme="minorHAnsi" w:cstheme="minorHAnsi"/>
          <w:color w:val="383838"/>
        </w:rPr>
      </w:r>
      <w:r w:rsidR="000B0AF7" w:rsidRPr="00000849">
        <w:rPr>
          <w:rFonts w:asciiTheme="minorHAnsi" w:hAnsiTheme="minorHAnsi" w:cstheme="minorHAnsi"/>
          <w:color w:val="383838"/>
        </w:rPr>
        <w:fldChar w:fldCharType="separate"/>
      </w:r>
      <w:r w:rsidR="000B0AF7" w:rsidRPr="00000849">
        <w:rPr>
          <w:rFonts w:asciiTheme="minorHAnsi" w:hAnsiTheme="minorHAnsi" w:cstheme="minorHAnsi"/>
          <w:noProof/>
          <w:color w:val="383838"/>
        </w:rPr>
        <w:t>(Wu et al., 2015)</w:t>
      </w:r>
      <w:r w:rsidR="000B0AF7" w:rsidRPr="00000849">
        <w:rPr>
          <w:rFonts w:asciiTheme="minorHAnsi" w:hAnsiTheme="minorHAnsi" w:cstheme="minorHAnsi"/>
          <w:color w:val="383838"/>
        </w:rPr>
        <w:fldChar w:fldCharType="end"/>
      </w:r>
      <w:r w:rsidR="000B0AF7" w:rsidRPr="00000849">
        <w:rPr>
          <w:rFonts w:asciiTheme="minorHAnsi" w:hAnsiTheme="minorHAnsi" w:cstheme="minorHAnsi"/>
          <w:color w:val="383838"/>
        </w:rPr>
        <w:t>.</w:t>
      </w:r>
    </w:p>
    <w:p w14:paraId="21920AB6" w14:textId="5D5F7122" w:rsidR="00813FB8" w:rsidRPr="00000849" w:rsidRDefault="00DC5B05" w:rsidP="002950D1">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The findings are consistent with those of other studies in Africa.  In three rural sites in Malawi, Rwanda and Tanzania, o</w:t>
      </w:r>
      <w:r w:rsidR="00813FB8" w:rsidRPr="00000849">
        <w:rPr>
          <w:rFonts w:asciiTheme="minorHAnsi" w:hAnsiTheme="minorHAnsi" w:cstheme="minorHAnsi"/>
          <w:color w:val="383838"/>
        </w:rPr>
        <w:t xml:space="preserve">lder men and women aged </w:t>
      </w:r>
      <w:r w:rsidRPr="00000849">
        <w:rPr>
          <w:rFonts w:asciiTheme="minorHAnsi" w:hAnsiTheme="minorHAnsi" w:cstheme="minorHAnsi"/>
          <w:color w:val="383838"/>
        </w:rPr>
        <w:t>≥</w:t>
      </w:r>
      <w:r w:rsidR="00813FB8" w:rsidRPr="00000849">
        <w:rPr>
          <w:rFonts w:asciiTheme="minorHAnsi" w:hAnsiTheme="minorHAnsi" w:cstheme="minorHAnsi"/>
          <w:color w:val="383838"/>
        </w:rPr>
        <w:t xml:space="preserve">50 years </w:t>
      </w:r>
      <w:r w:rsidRPr="00000849">
        <w:rPr>
          <w:rFonts w:asciiTheme="minorHAnsi" w:hAnsiTheme="minorHAnsi" w:cstheme="minorHAnsi"/>
          <w:color w:val="383838"/>
        </w:rPr>
        <w:t>we</w:t>
      </w:r>
      <w:r w:rsidR="00813FB8" w:rsidRPr="00000849">
        <w:rPr>
          <w:rFonts w:asciiTheme="minorHAnsi" w:hAnsiTheme="minorHAnsi" w:cstheme="minorHAnsi"/>
          <w:color w:val="383838"/>
        </w:rPr>
        <w:t xml:space="preserve">re </w:t>
      </w:r>
      <w:r w:rsidR="00813FB8" w:rsidRPr="00000849">
        <w:rPr>
          <w:rFonts w:asciiTheme="minorHAnsi" w:hAnsiTheme="minorHAnsi" w:cstheme="minorHAnsi"/>
          <w:color w:val="383838"/>
        </w:rPr>
        <w:lastRenderedPageBreak/>
        <w:t xml:space="preserve">2.5 to 4 times as likely </w:t>
      </w:r>
      <w:r w:rsidRPr="00000849">
        <w:rPr>
          <w:rFonts w:asciiTheme="minorHAnsi" w:hAnsiTheme="minorHAnsi" w:cstheme="minorHAnsi"/>
          <w:color w:val="383838"/>
        </w:rPr>
        <w:t xml:space="preserve">as younger persons </w:t>
      </w:r>
      <w:r w:rsidR="00813FB8" w:rsidRPr="00000849">
        <w:rPr>
          <w:rFonts w:asciiTheme="minorHAnsi" w:hAnsiTheme="minorHAnsi" w:cstheme="minorHAnsi"/>
          <w:color w:val="383838"/>
        </w:rPr>
        <w:t xml:space="preserve">to have multiple risk factors (physical activity, smoking, alcohol intake, hypertension and overweight) </w:t>
      </w:r>
      <w:r w:rsidR="00813FB8" w:rsidRPr="00000849">
        <w:rPr>
          <w:rFonts w:asciiTheme="minorHAnsi" w:hAnsiTheme="minorHAnsi" w:cstheme="minorHAnsi"/>
          <w:color w:val="383838"/>
        </w:rPr>
        <w:fldChar w:fldCharType="begin">
          <w:fldData xml:space="preserve">PEVuZE5vdGU+PENpdGU+PEF1dGhvcj5OZWdpbjwvQXV0aG9yPjxZZWFyPjIwMTE8L1llYXI+PFJl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</w:fldData>
        </w:fldChar>
      </w:r>
      <w:r w:rsidR="00431DA0" w:rsidRPr="00000849">
        <w:rPr>
          <w:rFonts w:asciiTheme="minorHAnsi" w:hAnsiTheme="minorHAnsi" w:cstheme="minorHAnsi"/>
          <w:color w:val="383838"/>
        </w:rPr>
        <w:instrText xml:space="preserve"> ADDIN EN.CITE </w:instrText>
      </w:r>
      <w:r w:rsidR="00431DA0" w:rsidRPr="00000849">
        <w:rPr>
          <w:rFonts w:asciiTheme="minorHAnsi" w:hAnsiTheme="minorHAnsi" w:cstheme="minorHAnsi"/>
          <w:color w:val="383838"/>
        </w:rPr>
        <w:fldChar w:fldCharType="begin">
          <w:fldData xml:space="preserve">PEVuZE5vdGU+PENpdGU+PEF1dGhvcj5OZWdpbjwvQXV0aG9yPjxZZWFyPjIwMTE8L1llYXI+PFJl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813FB8" w:rsidRPr="00000849">
        <w:rPr>
          <w:rFonts w:asciiTheme="minorHAnsi" w:hAnsiTheme="minorHAnsi" w:cstheme="minorHAnsi"/>
          <w:color w:val="383838"/>
        </w:rPr>
      </w:r>
      <w:r w:rsidR="00813FB8"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(Negin et al., 2011)</w:t>
      </w:r>
      <w:r w:rsidR="00813FB8" w:rsidRPr="00000849">
        <w:rPr>
          <w:rFonts w:asciiTheme="minorHAnsi" w:hAnsiTheme="minorHAnsi" w:cstheme="minorHAnsi"/>
          <w:color w:val="383838"/>
        </w:rPr>
        <w:fldChar w:fldCharType="end"/>
      </w:r>
      <w:r w:rsidR="00813FB8" w:rsidRPr="00000849">
        <w:rPr>
          <w:rFonts w:asciiTheme="minorHAnsi" w:hAnsiTheme="minorHAnsi" w:cstheme="minorHAnsi"/>
          <w:color w:val="383838"/>
        </w:rPr>
        <w:t xml:space="preserve">.  </w:t>
      </w:r>
    </w:p>
    <w:p w14:paraId="472923A4" w14:textId="35ACAC7D" w:rsidR="008F7115" w:rsidRPr="00000849" w:rsidRDefault="008F7115" w:rsidP="00AE391A">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Multiple co</w:t>
      </w:r>
      <w:r w:rsidR="00472259" w:rsidRPr="00000849">
        <w:rPr>
          <w:rFonts w:asciiTheme="minorHAnsi" w:hAnsiTheme="minorHAnsi" w:cstheme="minorHAnsi"/>
          <w:color w:val="383838"/>
        </w:rPr>
        <w:t>n</w:t>
      </w:r>
      <w:r w:rsidRPr="00000849">
        <w:rPr>
          <w:rFonts w:asciiTheme="minorHAnsi" w:hAnsiTheme="minorHAnsi" w:cstheme="minorHAnsi"/>
          <w:color w:val="383838"/>
        </w:rPr>
        <w:t xml:space="preserve">current risk factors are also common in younger adults in Africa.  Among university workers in Ibadan, Nigeria, 67.4% reported only one risk behaviour while 29.9% reported multiple risk behaviours </w:t>
      </w:r>
      <w:r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&lt;EndNote&gt;&lt;Cite&gt;&lt;Author&gt;Ige&lt;/Author&gt;&lt;Year&gt;2013&lt;/Year&gt;&lt;RecNum&gt;336&lt;/RecNum&gt;&lt;DisplayText&gt;(Ige et al., 2013)&lt;/DisplayText&gt;&lt;record&gt;&lt;rec-number&gt;336&lt;/rec-number&gt;&lt;foreign-keys&gt;&lt;key app="EN" db-id="5paetsfsntds24ev0rkprap12ppft2pvs2ds" timestamp="1400318915"&gt;336&lt;/key&gt;&lt;/foreign-keys&gt;&lt;ref-type name="Journal Article"&gt;17&lt;/ref-type&gt;&lt;contributors&gt;&lt;authors&gt;&lt;author&gt;Ige, O.K.&lt;/author&gt;&lt;author&gt;Owoaje, E.T.&lt;/author&gt;&lt;author&gt;Adebiyi, O.A.&lt;/author&gt;&lt;/authors&gt;&lt;/contributors&gt;&lt;titles&gt;&lt;title&gt;Non communicable disease and risky behaviour in an urban university community Nigeria&lt;/title&gt;&lt;secondary-title&gt;Afr Health Sci.&lt;/secondary-title&gt;&lt;/titles&gt;&lt;periodical&gt;&lt;full-title&gt;Afr Health Sci.&lt;/full-title&gt;&lt;abbr-1&gt;Afr Health Sci&lt;/abbr-1&gt;&lt;/periodical&gt;&lt;pages&gt;62-67&lt;/pages&gt;&lt;volume&gt;13&lt;/volume&gt;&lt;number&gt;1&lt;/number&gt;&lt;dates&gt;&lt;year&gt;2013&lt;/year&gt;&lt;/dates&gt;&lt;isbn&gt;1680-6905&lt;/isbn&gt;&lt;urls&gt;&lt;/urls&gt;&lt;/record&gt;&lt;/Cite&gt;&lt;/EndNote&gt;</w:instrText>
      </w:r>
      <w:r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(Ige et al., 2013)</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1C70C5" w:rsidRPr="00000849">
        <w:rPr>
          <w:rFonts w:asciiTheme="minorHAnsi" w:hAnsiTheme="minorHAnsi" w:cstheme="minorHAnsi"/>
          <w:color w:val="383838"/>
        </w:rPr>
        <w:t xml:space="preserve">More recently, civil servants in Ibadan reported a mean of 3.01 risk factors, with </w:t>
      </w:r>
      <w:r w:rsidR="00AE391A" w:rsidRPr="00000849">
        <w:rPr>
          <w:rFonts w:asciiTheme="minorHAnsi" w:hAnsiTheme="minorHAnsi" w:cstheme="minorHAnsi"/>
          <w:color w:val="383838"/>
        </w:rPr>
        <w:t xml:space="preserve">80.4% having two-to-six risk factors </w:t>
      </w:r>
      <w:r w:rsidR="00AE391A" w:rsidRPr="00000849">
        <w:rPr>
          <w:rFonts w:asciiTheme="minorHAnsi" w:hAnsiTheme="minorHAnsi" w:cstheme="minorHAnsi"/>
          <w:color w:val="383838"/>
        </w:rPr>
        <w:fldChar w:fldCharType="begin"/>
      </w:r>
      <w:r w:rsidR="00AE391A" w:rsidRPr="00000849">
        <w:rPr>
          <w:rFonts w:asciiTheme="minorHAnsi" w:hAnsiTheme="minorHAnsi" w:cstheme="minorHAnsi"/>
          <w:color w:val="383838"/>
        </w:rPr>
        <w:instrText xml:space="preserve"> ADDIN EN.CITE &lt;EndNote&gt;&lt;Cite&gt;&lt;Author&gt;Olawuyi&lt;/Author&gt;&lt;Year&gt;2018&lt;/Year&gt;&lt;RecNum&gt;1028&lt;/RecNum&gt;&lt;DisplayText&gt;(Olawuyi &amp;amp; Adeoye, 2018)&lt;/DisplayText&gt;&lt;record&gt;&lt;rec-number&gt;1028&lt;/rec-number&gt;&lt;foreign-keys&gt;&lt;key app="EN" db-id="9tzf2rda8re2a9es5tuxart3swzx2zws2s02" timestamp="1576652547"&gt;1028&lt;/key&gt;&lt;/foreign-keys&gt;&lt;ref-type name="Journal Article"&gt;17&lt;/ref-type&gt;&lt;contributors&gt;&lt;authors&gt;&lt;author&gt;Olawuyi, Abisola T.&lt;/author&gt;&lt;author&gt;Adeoye, Ikeola A.&lt;/author&gt;&lt;/authors&gt;&lt;/contributors&gt;&lt;titles&gt;&lt;title&gt;The prevalence and associated factors of non-communicable disease risk factors among civil servants in Ibadan, Nigeria&lt;/title&gt;&lt;secondary-title&gt;PLOS ONE&lt;/secondary-title&gt;&lt;/titles&gt;&lt;periodical&gt;&lt;full-title&gt;PLoS One&lt;/full-title&gt;&lt;/periodical&gt;&lt;pages&gt;e0203587&lt;/pages&gt;&lt;volume&gt;13&lt;/volume&gt;&lt;number&gt;9&lt;/number&gt;&lt;dates&gt;&lt;year&gt;2018&lt;/year&gt;&lt;/dates&gt;&lt;publisher&gt;Public Library of Science&lt;/publisher&gt;&lt;urls&gt;&lt;related-urls&gt;&lt;url&gt;https://doi.org/10.1371/journal.pone.0203587&lt;/url&gt;&lt;/related-urls&gt;&lt;/urls&gt;&lt;electronic-resource-num&gt;10.1371/journal.pone.0203587&lt;/electronic-resource-num&gt;&lt;/record&gt;&lt;/Cite&gt;&lt;/EndNote&gt;</w:instrText>
      </w:r>
      <w:r w:rsidR="00AE391A" w:rsidRPr="00000849">
        <w:rPr>
          <w:rFonts w:asciiTheme="minorHAnsi" w:hAnsiTheme="minorHAnsi" w:cstheme="minorHAnsi"/>
          <w:color w:val="383838"/>
        </w:rPr>
        <w:fldChar w:fldCharType="separate"/>
      </w:r>
      <w:r w:rsidR="00AE391A" w:rsidRPr="00000849">
        <w:rPr>
          <w:rFonts w:asciiTheme="minorHAnsi" w:hAnsiTheme="minorHAnsi" w:cstheme="minorHAnsi"/>
          <w:noProof/>
          <w:color w:val="383838"/>
        </w:rPr>
        <w:t>(Olawuyi &amp; Adeoye, 2018)</w:t>
      </w:r>
      <w:r w:rsidR="00AE391A" w:rsidRPr="00000849">
        <w:rPr>
          <w:rFonts w:asciiTheme="minorHAnsi" w:hAnsiTheme="minorHAnsi" w:cstheme="minorHAnsi"/>
          <w:color w:val="383838"/>
        </w:rPr>
        <w:fldChar w:fldCharType="end"/>
      </w:r>
      <w:r w:rsidR="00AE391A" w:rsidRPr="00000849">
        <w:rPr>
          <w:rFonts w:asciiTheme="minorHAnsi" w:hAnsiTheme="minorHAnsi" w:cstheme="minorHAnsi"/>
          <w:color w:val="383838"/>
        </w:rPr>
        <w:t>.  The mean number of risk factors increased with increasing age, with those with aged 20-29 years having 2.13 factors compared with 3.45 factors in those aged ≥50 years.</w:t>
      </w:r>
    </w:p>
    <w:p w14:paraId="61CDCEC2" w14:textId="12E4885A" w:rsidR="00C331F3" w:rsidRPr="00000849" w:rsidRDefault="007A2305" w:rsidP="00AE391A">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Older adults also tend to have</w:t>
      </w:r>
      <w:r w:rsidR="00C331F3" w:rsidRPr="00000849">
        <w:rPr>
          <w:rFonts w:asciiTheme="minorHAnsi" w:hAnsiTheme="minorHAnsi" w:cstheme="minorHAnsi"/>
          <w:color w:val="383838"/>
        </w:rPr>
        <w:t xml:space="preserve"> multimorbidity.  In </w:t>
      </w:r>
      <w:r w:rsidRPr="00000849">
        <w:rPr>
          <w:rFonts w:asciiTheme="minorHAnsi" w:hAnsiTheme="minorHAnsi" w:cstheme="minorHAnsi"/>
          <w:color w:val="383838"/>
        </w:rPr>
        <w:t>Burkina Faso, 65% of adults aged years had hypertension, malnutrition, visual impairment or diabetes in different combinations</w:t>
      </w:r>
      <w:r w:rsidR="008872C2" w:rsidRPr="00000849">
        <w:rPr>
          <w:rFonts w:asciiTheme="minorHAnsi" w:hAnsiTheme="minorHAnsi" w:cstheme="minorHAnsi"/>
          <w:color w:val="383838"/>
        </w:rPr>
        <w:t xml:space="preserve"> </w:t>
      </w:r>
      <w:r w:rsidR="008872C2" w:rsidRPr="00000849">
        <w:rPr>
          <w:rFonts w:asciiTheme="minorHAnsi" w:hAnsiTheme="minorHAnsi" w:cstheme="minorHAnsi"/>
          <w:color w:val="383838"/>
        </w:rPr>
        <w:fldChar w:fldCharType="begin">
          <w:fldData xml:space="preserve">PEVuZE5vdGU+PENpdGU+PEF1dGhvcj5IaWVuPC9BdXRob3I+PFllYXI+MjAxNDwvWWVhcj48UmVj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==
</w:fldData>
        </w:fldChar>
      </w:r>
      <w:r w:rsidR="008872C2" w:rsidRPr="00000849">
        <w:rPr>
          <w:rFonts w:asciiTheme="minorHAnsi" w:hAnsiTheme="minorHAnsi" w:cstheme="minorHAnsi"/>
          <w:color w:val="383838"/>
        </w:rPr>
        <w:instrText xml:space="preserve"> ADDIN EN.CITE </w:instrText>
      </w:r>
      <w:r w:rsidR="008872C2" w:rsidRPr="00000849">
        <w:rPr>
          <w:rFonts w:asciiTheme="minorHAnsi" w:hAnsiTheme="minorHAnsi" w:cstheme="minorHAnsi"/>
          <w:color w:val="383838"/>
        </w:rPr>
        <w:fldChar w:fldCharType="begin">
          <w:fldData xml:space="preserve">PEVuZE5vdGU+PENpdGU+PEF1dGhvcj5IaWVuPC9BdXRob3I+PFllYXI+MjAxNDwvWWVhcj48UmVj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==
</w:fldData>
        </w:fldChar>
      </w:r>
      <w:r w:rsidR="008872C2" w:rsidRPr="00000849">
        <w:rPr>
          <w:rFonts w:asciiTheme="minorHAnsi" w:hAnsiTheme="minorHAnsi" w:cstheme="minorHAnsi"/>
          <w:color w:val="383838"/>
        </w:rPr>
        <w:instrText xml:space="preserve"> ADDIN EN.CITE.DATA </w:instrText>
      </w:r>
      <w:r w:rsidR="008872C2" w:rsidRPr="00000849">
        <w:rPr>
          <w:rFonts w:asciiTheme="minorHAnsi" w:hAnsiTheme="minorHAnsi" w:cstheme="minorHAnsi"/>
          <w:color w:val="383838"/>
        </w:rPr>
      </w:r>
      <w:r w:rsidR="008872C2" w:rsidRPr="00000849">
        <w:rPr>
          <w:rFonts w:asciiTheme="minorHAnsi" w:hAnsiTheme="minorHAnsi" w:cstheme="minorHAnsi"/>
          <w:color w:val="383838"/>
        </w:rPr>
        <w:fldChar w:fldCharType="end"/>
      </w:r>
      <w:r w:rsidR="008872C2" w:rsidRPr="00000849">
        <w:rPr>
          <w:rFonts w:asciiTheme="minorHAnsi" w:hAnsiTheme="minorHAnsi" w:cstheme="minorHAnsi"/>
          <w:color w:val="383838"/>
        </w:rPr>
      </w:r>
      <w:r w:rsidR="008872C2" w:rsidRPr="00000849">
        <w:rPr>
          <w:rFonts w:asciiTheme="minorHAnsi" w:hAnsiTheme="minorHAnsi" w:cstheme="minorHAnsi"/>
          <w:color w:val="383838"/>
        </w:rPr>
        <w:fldChar w:fldCharType="separate"/>
      </w:r>
      <w:r w:rsidR="008872C2" w:rsidRPr="00000849">
        <w:rPr>
          <w:rFonts w:asciiTheme="minorHAnsi" w:hAnsiTheme="minorHAnsi" w:cstheme="minorHAnsi"/>
          <w:noProof/>
          <w:color w:val="383838"/>
        </w:rPr>
        <w:t>(Hien et al., 2014)</w:t>
      </w:r>
      <w:r w:rsidR="008872C2"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B76000" w:rsidRPr="00000849">
        <w:rPr>
          <w:rFonts w:asciiTheme="minorHAnsi" w:hAnsiTheme="minorHAnsi" w:cstheme="minorHAnsi"/>
          <w:color w:val="383838"/>
        </w:rPr>
        <w:t xml:space="preserve">In SAGE Ghana W1, the prevalence of </w:t>
      </w:r>
      <w:r w:rsidR="008E07AC" w:rsidRPr="00000849">
        <w:rPr>
          <w:rFonts w:asciiTheme="minorHAnsi" w:hAnsiTheme="minorHAnsi" w:cstheme="minorHAnsi"/>
          <w:color w:val="383838"/>
        </w:rPr>
        <w:t xml:space="preserve">multimorbidity, defined as the presence of two or more of </w:t>
      </w:r>
      <w:r w:rsidR="00B76000" w:rsidRPr="00000849">
        <w:rPr>
          <w:rFonts w:asciiTheme="minorHAnsi" w:hAnsiTheme="minorHAnsi" w:cstheme="minorHAnsi"/>
          <w:color w:val="383838"/>
        </w:rPr>
        <w:t xml:space="preserve">eight chronic health conditions </w:t>
      </w:r>
      <w:r w:rsidR="008E07AC" w:rsidRPr="00000849">
        <w:rPr>
          <w:rFonts w:asciiTheme="minorHAnsi" w:hAnsiTheme="minorHAnsi" w:cstheme="minorHAnsi"/>
          <w:color w:val="383838"/>
        </w:rPr>
        <w:t>(</w:t>
      </w:r>
      <w:r w:rsidR="00B76000" w:rsidRPr="00000849">
        <w:rPr>
          <w:rFonts w:asciiTheme="minorHAnsi" w:hAnsiTheme="minorHAnsi" w:cstheme="minorHAnsi"/>
          <w:color w:val="383838"/>
        </w:rPr>
        <w:t>namely angina pectoris, arthritis, asthma, chronic lung</w:t>
      </w:r>
      <w:r w:rsidR="008E07AC" w:rsidRPr="00000849">
        <w:rPr>
          <w:rFonts w:asciiTheme="minorHAnsi" w:hAnsiTheme="minorHAnsi" w:cstheme="minorHAnsi"/>
          <w:color w:val="383838"/>
        </w:rPr>
        <w:t xml:space="preserve"> </w:t>
      </w:r>
      <w:r w:rsidR="00B76000" w:rsidRPr="00000849">
        <w:rPr>
          <w:rFonts w:asciiTheme="minorHAnsi" w:hAnsiTheme="minorHAnsi" w:cstheme="minorHAnsi"/>
          <w:color w:val="383838"/>
        </w:rPr>
        <w:t>disease, diabetes mellitus, hypertension, stroke, and low</w:t>
      </w:r>
      <w:r w:rsidR="008E07AC" w:rsidRPr="00000849">
        <w:rPr>
          <w:rFonts w:asciiTheme="minorHAnsi" w:hAnsiTheme="minorHAnsi" w:cstheme="minorHAnsi"/>
          <w:color w:val="383838"/>
        </w:rPr>
        <w:t xml:space="preserve"> </w:t>
      </w:r>
      <w:r w:rsidR="00B76000" w:rsidRPr="00000849">
        <w:rPr>
          <w:rFonts w:asciiTheme="minorHAnsi" w:hAnsiTheme="minorHAnsi" w:cstheme="minorHAnsi"/>
          <w:color w:val="383838"/>
        </w:rPr>
        <w:t>visual acuity</w:t>
      </w:r>
      <w:r w:rsidR="008E07AC" w:rsidRPr="00000849">
        <w:rPr>
          <w:rFonts w:asciiTheme="minorHAnsi" w:hAnsiTheme="minorHAnsi" w:cstheme="minorHAnsi"/>
          <w:color w:val="383838"/>
        </w:rPr>
        <w:t xml:space="preserve">), was 22.0% (95% CI 19.3% – 25.1%) </w:t>
      </w:r>
      <w:r w:rsidR="008E07AC" w:rsidRPr="00000849">
        <w:rPr>
          <w:rFonts w:asciiTheme="minorHAnsi" w:hAnsiTheme="minorHAnsi" w:cstheme="minorHAnsi"/>
          <w:color w:val="383838"/>
        </w:rPr>
        <w:fldChar w:fldCharType="begin"/>
      </w:r>
      <w:r w:rsidR="008E07AC" w:rsidRPr="00000849">
        <w:rPr>
          <w:rFonts w:asciiTheme="minorHAnsi" w:hAnsiTheme="minorHAnsi" w:cstheme="minorHAnsi"/>
          <w:color w:val="383838"/>
        </w:rPr>
        <w:instrText xml:space="preserve"> ADDIN EN.CITE &lt;EndNote&gt;&lt;Cite&gt;&lt;Author&gt;Arokiasamy&lt;/Author&gt;&lt;Year&gt;2015&lt;/Year&gt;&lt;RecNum&gt;414&lt;/RecNum&gt;&lt;DisplayText&gt;(Arokiasamy et al., 2015)&lt;/DisplayText&gt;&lt;record&gt;&lt;rec-number&gt;414&lt;/rec-number&gt;&lt;foreign-keys&gt;&lt;key app="EN" db-id="9tzf2rda8re2a9es5tuxart3swzx2zws2s02" timestamp="1486636808"&gt;414&lt;/key&gt;&lt;/foreign-keys&gt;&lt;ref-type name="Journal Article"&gt;17&lt;/ref-type&gt;&lt;contributors&gt;&lt;authors&gt;&lt;author&gt;Arokiasamy, Perianayagam&lt;/author&gt;&lt;author&gt;Uttamacharya, Uttamacharya&lt;/author&gt;&lt;author&gt;Jain, Kshipra&lt;/author&gt;&lt;author&gt;Biritwum, Richard Berko&lt;/author&gt;&lt;author&gt;Yawson, Alfred Edwin&lt;/author&gt;&lt;author&gt;Wu, Fan&lt;/author&gt;&lt;author&gt;Guo, Yanfei&lt;/author&gt;&lt;author&gt;Maximova, Tamara&lt;/author&gt;&lt;author&gt;Espinoza, Betty Manrique&lt;/author&gt;&lt;author&gt;Rodríguez, Aarón Salinas&lt;/author&gt;&lt;/authors&gt;&lt;/contributors&gt;&lt;titles&gt;&lt;title&gt;The impact of multimorbidity on adult physical and mental health in low-and middle-income countries: what does the study on global ageing and adult health (SAGE) reveal?&lt;/title&gt;&lt;secondary-title&gt;BMC Medicine&lt;/secondary-title&gt;&lt;/titles&gt;&lt;periodical&gt;&lt;full-title&gt;BMC Medicine&lt;/full-title&gt;&lt;abbr-1&gt;BMC Med&lt;/abbr-1&gt;&lt;/periodical&gt;&lt;pages&gt;178&lt;/pages&gt;&lt;volume&gt;13&lt;/volume&gt;&lt;number&gt;1&lt;/number&gt;&lt;dates&gt;&lt;year&gt;2015&lt;/year&gt;&lt;/dates&gt;&lt;isbn&gt;1741-7015&lt;/isbn&gt;&lt;urls&gt;&lt;/urls&gt;&lt;electronic-resource-num&gt;10.1186/s12916-015-0402-8&lt;/electronic-resource-num&gt;&lt;/record&gt;&lt;/Cite&gt;&lt;/EndNote&gt;</w:instrText>
      </w:r>
      <w:r w:rsidR="008E07AC" w:rsidRPr="00000849">
        <w:rPr>
          <w:rFonts w:asciiTheme="minorHAnsi" w:hAnsiTheme="minorHAnsi" w:cstheme="minorHAnsi"/>
          <w:color w:val="383838"/>
        </w:rPr>
        <w:fldChar w:fldCharType="separate"/>
      </w:r>
      <w:r w:rsidR="008E07AC" w:rsidRPr="00000849">
        <w:rPr>
          <w:rFonts w:asciiTheme="minorHAnsi" w:hAnsiTheme="minorHAnsi" w:cstheme="minorHAnsi"/>
          <w:noProof/>
          <w:color w:val="383838"/>
        </w:rPr>
        <w:t>(Arokiasamy et al., 2015)</w:t>
      </w:r>
      <w:r w:rsidR="008E07AC" w:rsidRPr="00000849">
        <w:rPr>
          <w:rFonts w:asciiTheme="minorHAnsi" w:hAnsiTheme="minorHAnsi" w:cstheme="minorHAnsi"/>
          <w:color w:val="383838"/>
        </w:rPr>
        <w:fldChar w:fldCharType="end"/>
      </w:r>
      <w:r w:rsidR="00B76000" w:rsidRPr="00000849">
        <w:rPr>
          <w:rFonts w:asciiTheme="minorHAnsi" w:hAnsiTheme="minorHAnsi" w:cstheme="minorHAnsi"/>
          <w:color w:val="383838"/>
        </w:rPr>
        <w:t>.</w:t>
      </w:r>
      <w:r w:rsidR="008E07AC" w:rsidRPr="00000849">
        <w:rPr>
          <w:rFonts w:asciiTheme="minorHAnsi" w:hAnsiTheme="minorHAnsi" w:cstheme="minorHAnsi"/>
          <w:color w:val="383838"/>
        </w:rPr>
        <w:t xml:space="preserve">  </w:t>
      </w:r>
      <w:r w:rsidR="008872C2" w:rsidRPr="00000849">
        <w:rPr>
          <w:rFonts w:asciiTheme="minorHAnsi" w:hAnsiTheme="minorHAnsi" w:cstheme="minorHAnsi"/>
          <w:color w:val="383838"/>
        </w:rPr>
        <w:t xml:space="preserve">The implications for the </w:t>
      </w:r>
      <w:r w:rsidR="00C22171" w:rsidRPr="00000849">
        <w:rPr>
          <w:rFonts w:asciiTheme="minorHAnsi" w:hAnsiTheme="minorHAnsi" w:cstheme="minorHAnsi"/>
          <w:color w:val="383838"/>
        </w:rPr>
        <w:t>multiple</w:t>
      </w:r>
      <w:r w:rsidR="008872C2" w:rsidRPr="00000849">
        <w:rPr>
          <w:rFonts w:asciiTheme="minorHAnsi" w:hAnsiTheme="minorHAnsi" w:cstheme="minorHAnsi"/>
          <w:color w:val="383838"/>
        </w:rPr>
        <w:t xml:space="preserve"> risk factors and</w:t>
      </w:r>
      <w:r w:rsidR="00C22171" w:rsidRPr="00000849">
        <w:rPr>
          <w:rFonts w:asciiTheme="minorHAnsi" w:hAnsiTheme="minorHAnsi" w:cstheme="minorHAnsi"/>
          <w:color w:val="383838"/>
        </w:rPr>
        <w:t xml:space="preserve"> multimorbidity are </w:t>
      </w:r>
      <w:r w:rsidR="00351237" w:rsidRPr="00000849">
        <w:rPr>
          <w:rFonts w:asciiTheme="minorHAnsi" w:hAnsiTheme="minorHAnsi" w:cstheme="minorHAnsi"/>
          <w:color w:val="383838"/>
        </w:rPr>
        <w:t xml:space="preserve">increased risk of </w:t>
      </w:r>
      <w:r w:rsidR="00C22171" w:rsidRPr="00000849">
        <w:rPr>
          <w:rFonts w:asciiTheme="minorHAnsi" w:hAnsiTheme="minorHAnsi" w:cstheme="minorHAnsi"/>
          <w:color w:val="383838"/>
        </w:rPr>
        <w:t>adverse outcomes</w:t>
      </w:r>
      <w:r w:rsidR="005A1B5F" w:rsidRPr="00000849">
        <w:rPr>
          <w:rFonts w:asciiTheme="minorHAnsi" w:hAnsiTheme="minorHAnsi" w:cstheme="minorHAnsi"/>
          <w:color w:val="383838"/>
        </w:rPr>
        <w:t xml:space="preserve"> such as stroke and heart failure</w:t>
      </w:r>
      <w:r w:rsidR="00C22171" w:rsidRPr="00000849">
        <w:rPr>
          <w:rFonts w:asciiTheme="minorHAnsi" w:hAnsiTheme="minorHAnsi" w:cstheme="minorHAnsi"/>
          <w:color w:val="383838"/>
        </w:rPr>
        <w:t>, challenges with compliance with multiple medications, increased need for monitoring</w:t>
      </w:r>
      <w:r w:rsidR="00E30824" w:rsidRPr="00000849">
        <w:rPr>
          <w:rFonts w:asciiTheme="minorHAnsi" w:hAnsiTheme="minorHAnsi" w:cstheme="minorHAnsi"/>
          <w:color w:val="383838"/>
        </w:rPr>
        <w:t>, greater financial burden</w:t>
      </w:r>
      <w:r w:rsidR="00C22171" w:rsidRPr="00000849">
        <w:rPr>
          <w:rFonts w:asciiTheme="minorHAnsi" w:hAnsiTheme="minorHAnsi" w:cstheme="minorHAnsi"/>
          <w:color w:val="383838"/>
        </w:rPr>
        <w:t xml:space="preserve"> and impaired quality of life</w:t>
      </w:r>
      <w:r w:rsidR="005A1B5F" w:rsidRPr="00000849">
        <w:rPr>
          <w:rFonts w:asciiTheme="minorHAnsi" w:hAnsiTheme="minorHAnsi" w:cstheme="minorHAnsi"/>
          <w:color w:val="383838"/>
        </w:rPr>
        <w:t xml:space="preserve"> </w:t>
      </w:r>
      <w:r w:rsidR="005A1B5F" w:rsidRPr="00000849">
        <w:rPr>
          <w:rFonts w:asciiTheme="minorHAnsi" w:hAnsiTheme="minorHAnsi" w:cstheme="minorHAnsi"/>
          <w:color w:val="383838"/>
        </w:rPr>
        <w:fldChar w:fldCharType="begin">
          <w:fldData xml:space="preserve">PEVuZE5vdGU+PENpdGU+PEF1dGhvcj5TYXJmbzwvQXV0aG9yPjxZZWFyPjIwMTg8L1llYXI+PFJl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</w:fldData>
        </w:fldChar>
      </w:r>
      <w:r w:rsidR="00431DA0" w:rsidRPr="00000849">
        <w:rPr>
          <w:rFonts w:asciiTheme="minorHAnsi" w:hAnsiTheme="minorHAnsi" w:cstheme="minorHAnsi"/>
          <w:color w:val="383838"/>
        </w:rPr>
        <w:instrText xml:space="preserve"> ADDIN EN.CITE </w:instrText>
      </w:r>
      <w:r w:rsidR="00431DA0" w:rsidRPr="00000849">
        <w:rPr>
          <w:rFonts w:asciiTheme="minorHAnsi" w:hAnsiTheme="minorHAnsi" w:cstheme="minorHAnsi"/>
          <w:color w:val="383838"/>
        </w:rPr>
        <w:fldChar w:fldCharType="begin">
          <w:fldData xml:space="preserve">PEVuZE5vdGU+PENpdGU+PEF1dGhvcj5TYXJmbzwvQXV0aG9yPjxZZWFyPjIwMTg8L1llYXI+PFJl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</w:fldData>
        </w:fldChar>
      </w:r>
      <w:r w:rsidR="00431DA0" w:rsidRPr="00000849">
        <w:rPr>
          <w:rFonts w:asciiTheme="minorHAnsi" w:hAnsiTheme="minorHAnsi" w:cstheme="minorHAnsi"/>
          <w:color w:val="383838"/>
        </w:rPr>
        <w:instrText xml:space="preserve"> ADDIN EN.CITE.DATA </w:instrText>
      </w:r>
      <w:r w:rsidR="00431DA0" w:rsidRPr="00000849">
        <w:rPr>
          <w:rFonts w:asciiTheme="minorHAnsi" w:hAnsiTheme="minorHAnsi" w:cstheme="minorHAnsi"/>
          <w:color w:val="383838"/>
        </w:rPr>
      </w:r>
      <w:r w:rsidR="00431DA0" w:rsidRPr="00000849">
        <w:rPr>
          <w:rFonts w:asciiTheme="minorHAnsi" w:hAnsiTheme="minorHAnsi" w:cstheme="minorHAnsi"/>
          <w:color w:val="383838"/>
        </w:rPr>
        <w:fldChar w:fldCharType="end"/>
      </w:r>
      <w:r w:rsidR="005A1B5F" w:rsidRPr="00000849">
        <w:rPr>
          <w:rFonts w:asciiTheme="minorHAnsi" w:hAnsiTheme="minorHAnsi" w:cstheme="minorHAnsi"/>
          <w:color w:val="383838"/>
        </w:rPr>
      </w:r>
      <w:r w:rsidR="005A1B5F"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(Lee et al., 2015; Morgan et al., 2018; Sarfo et al., 2018b)</w:t>
      </w:r>
      <w:r w:rsidR="005A1B5F" w:rsidRPr="00000849">
        <w:rPr>
          <w:rFonts w:asciiTheme="minorHAnsi" w:hAnsiTheme="minorHAnsi" w:cstheme="minorHAnsi"/>
          <w:color w:val="383838"/>
        </w:rPr>
        <w:fldChar w:fldCharType="end"/>
      </w:r>
      <w:r w:rsidR="00C22171" w:rsidRPr="00000849">
        <w:rPr>
          <w:rFonts w:asciiTheme="minorHAnsi" w:hAnsiTheme="minorHAnsi" w:cstheme="minorHAnsi"/>
          <w:color w:val="383838"/>
        </w:rPr>
        <w:t>.</w:t>
      </w:r>
      <w:r w:rsidR="00C331F3" w:rsidRPr="00000849">
        <w:rPr>
          <w:rFonts w:asciiTheme="minorHAnsi" w:hAnsiTheme="minorHAnsi" w:cstheme="minorHAnsi"/>
          <w:color w:val="383838"/>
        </w:rPr>
        <w:t xml:space="preserve"> </w:t>
      </w:r>
      <w:r w:rsidR="00C22171" w:rsidRPr="00000849">
        <w:rPr>
          <w:rFonts w:asciiTheme="minorHAnsi" w:hAnsiTheme="minorHAnsi" w:cstheme="minorHAnsi"/>
          <w:color w:val="383838"/>
        </w:rPr>
        <w:t xml:space="preserve"> </w:t>
      </w:r>
      <w:r w:rsidR="00472259" w:rsidRPr="00000849">
        <w:rPr>
          <w:rFonts w:asciiTheme="minorHAnsi" w:hAnsiTheme="minorHAnsi" w:cstheme="minorHAnsi"/>
          <w:color w:val="383838"/>
        </w:rPr>
        <w:t xml:space="preserve">Tackling multimorbidity </w:t>
      </w:r>
      <w:r w:rsidR="00C22171" w:rsidRPr="00000849">
        <w:rPr>
          <w:rFonts w:asciiTheme="minorHAnsi" w:hAnsiTheme="minorHAnsi" w:cstheme="minorHAnsi"/>
          <w:color w:val="383838"/>
        </w:rPr>
        <w:t>calls for integrated approach to care and prevention rather than individual risk factor or disease-based approaches.</w:t>
      </w:r>
    </w:p>
    <w:p w14:paraId="0585544D" w14:textId="77777777" w:rsidR="002C6410" w:rsidRPr="00000849" w:rsidRDefault="002C6410" w:rsidP="009F3E10">
      <w:pPr>
        <w:pStyle w:val="NormalWeb"/>
        <w:shd w:val="clear" w:color="auto" w:fill="FFFFFF"/>
        <w:spacing w:before="0" w:beforeAutospacing="0" w:after="165" w:afterAutospacing="0" w:line="480" w:lineRule="auto"/>
        <w:rPr>
          <w:rFonts w:asciiTheme="minorHAnsi" w:hAnsiTheme="minorHAnsi" w:cstheme="minorHAnsi"/>
          <w:color w:val="383838"/>
          <w:lang w:val="en-US"/>
        </w:rPr>
      </w:pPr>
    </w:p>
    <w:p w14:paraId="66FFBC20" w14:textId="6924A37F" w:rsidR="002C6410" w:rsidRPr="00000849" w:rsidRDefault="002006AA" w:rsidP="00A61BAB">
      <w:pPr>
        <w:pStyle w:val="Heading2"/>
      </w:pPr>
      <w:bookmarkStart w:id="124" w:name="_Toc51472155"/>
      <w:r w:rsidRPr="00000849">
        <w:lastRenderedPageBreak/>
        <w:t>6.</w:t>
      </w:r>
      <w:r w:rsidR="00083AAD" w:rsidRPr="00000849">
        <w:t>7</w:t>
      </w:r>
      <w:r w:rsidR="003E120D" w:rsidRPr="00000849">
        <w:tab/>
      </w:r>
      <w:r w:rsidR="002C6410" w:rsidRPr="00000849">
        <w:t xml:space="preserve">Strengths and </w:t>
      </w:r>
      <w:r w:rsidR="002950D1" w:rsidRPr="00000849">
        <w:t>l</w:t>
      </w:r>
      <w:r w:rsidR="002C6410" w:rsidRPr="00000849">
        <w:t xml:space="preserve">imitations of </w:t>
      </w:r>
      <w:r w:rsidR="002950D1" w:rsidRPr="00000849">
        <w:t>s</w:t>
      </w:r>
      <w:r w:rsidR="002C6410" w:rsidRPr="00000849">
        <w:t>tudy</w:t>
      </w:r>
      <w:bookmarkEnd w:id="124"/>
      <w:r w:rsidR="002C6410" w:rsidRPr="00000849">
        <w:t xml:space="preserve"> </w:t>
      </w:r>
    </w:p>
    <w:p w14:paraId="7BE113A1" w14:textId="6C38862A" w:rsidR="002C6410" w:rsidRPr="00000849" w:rsidRDefault="002C6410" w:rsidP="00D56309">
      <w:pPr>
        <w:pStyle w:val="NormalWeb"/>
        <w:shd w:val="clear" w:color="auto" w:fill="FFFFFF"/>
        <w:spacing w:before="0" w:beforeAutospacing="0" w:after="165" w:afterAutospacing="0" w:line="480" w:lineRule="auto"/>
        <w:jc w:val="both"/>
        <w:rPr>
          <w:rFonts w:asciiTheme="minorHAnsi" w:hAnsiTheme="minorHAnsi" w:cstheme="minorHAnsi"/>
          <w:color w:val="383838"/>
        </w:rPr>
      </w:pPr>
    </w:p>
    <w:p w14:paraId="4F7FEB4C" w14:textId="5E0A70FF" w:rsidR="002950D1" w:rsidRPr="00000849" w:rsidRDefault="00F30967" w:rsidP="00D56309">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The secondary data analys</w:t>
      </w:r>
      <w:r w:rsidR="008D4BED" w:rsidRPr="00000849">
        <w:rPr>
          <w:rFonts w:asciiTheme="minorHAnsi" w:hAnsiTheme="minorHAnsi" w:cstheme="minorHAnsi"/>
          <w:color w:val="383838"/>
        </w:rPr>
        <w:t xml:space="preserve">is has several strengths.  The SAGE </w:t>
      </w:r>
      <w:r w:rsidR="00665BD7" w:rsidRPr="00000849">
        <w:rPr>
          <w:rFonts w:asciiTheme="minorHAnsi" w:hAnsiTheme="minorHAnsi" w:cstheme="minorHAnsi"/>
          <w:color w:val="383838"/>
        </w:rPr>
        <w:t>study</w:t>
      </w:r>
      <w:r w:rsidR="008D4BED" w:rsidRPr="00000849">
        <w:rPr>
          <w:rFonts w:asciiTheme="minorHAnsi" w:hAnsiTheme="minorHAnsi" w:cstheme="minorHAnsi"/>
          <w:color w:val="383838"/>
        </w:rPr>
        <w:t xml:space="preserve"> is </w:t>
      </w:r>
      <w:r w:rsidR="00480769" w:rsidRPr="00000849">
        <w:rPr>
          <w:rFonts w:asciiTheme="minorHAnsi" w:hAnsiTheme="minorHAnsi" w:cstheme="minorHAnsi"/>
          <w:color w:val="383838"/>
        </w:rPr>
        <w:t xml:space="preserve">large, </w:t>
      </w:r>
      <w:r w:rsidR="008D4BED" w:rsidRPr="00000849">
        <w:rPr>
          <w:rFonts w:asciiTheme="minorHAnsi" w:hAnsiTheme="minorHAnsi" w:cstheme="minorHAnsi"/>
          <w:color w:val="383838"/>
        </w:rPr>
        <w:t xml:space="preserve">comprehensive, </w:t>
      </w:r>
      <w:r w:rsidR="0061732C" w:rsidRPr="00000849">
        <w:rPr>
          <w:rFonts w:asciiTheme="minorHAnsi" w:hAnsiTheme="minorHAnsi" w:cstheme="minorHAnsi"/>
          <w:color w:val="383838"/>
        </w:rPr>
        <w:t xml:space="preserve">national representative </w:t>
      </w:r>
      <w:r w:rsidR="00665BD7" w:rsidRPr="00000849">
        <w:rPr>
          <w:rFonts w:asciiTheme="minorHAnsi" w:hAnsiTheme="minorHAnsi" w:cstheme="minorHAnsi"/>
          <w:color w:val="383838"/>
        </w:rPr>
        <w:t xml:space="preserve">and uses a standardized data collection instrument to allow for international comparison and within-country comparison over time.  The study is </w:t>
      </w:r>
      <w:r w:rsidR="001A75C5" w:rsidRPr="00000849">
        <w:rPr>
          <w:rFonts w:asciiTheme="minorHAnsi" w:hAnsiTheme="minorHAnsi" w:cstheme="minorHAnsi"/>
          <w:color w:val="383838"/>
        </w:rPr>
        <w:t xml:space="preserve">believed to be </w:t>
      </w:r>
      <w:r w:rsidR="00665BD7" w:rsidRPr="00000849">
        <w:rPr>
          <w:rFonts w:asciiTheme="minorHAnsi" w:hAnsiTheme="minorHAnsi" w:cstheme="minorHAnsi"/>
          <w:color w:val="383838"/>
        </w:rPr>
        <w:t xml:space="preserve">the first reported nationwide study of hypertension </w:t>
      </w:r>
      <w:r w:rsidR="001A75C5" w:rsidRPr="00000849">
        <w:rPr>
          <w:rFonts w:asciiTheme="minorHAnsi" w:hAnsiTheme="minorHAnsi" w:cstheme="minorHAnsi"/>
          <w:color w:val="383838"/>
        </w:rPr>
        <w:t xml:space="preserve">involving longitudinal data analysis </w:t>
      </w:r>
      <w:r w:rsidR="00665BD7" w:rsidRPr="00000849">
        <w:rPr>
          <w:rFonts w:asciiTheme="minorHAnsi" w:hAnsiTheme="minorHAnsi" w:cstheme="minorHAnsi"/>
          <w:color w:val="383838"/>
        </w:rPr>
        <w:t>in a cohort of older adults in Ghana.</w:t>
      </w:r>
      <w:r w:rsidR="00242E6A" w:rsidRPr="00000849">
        <w:rPr>
          <w:rFonts w:asciiTheme="minorHAnsi" w:hAnsiTheme="minorHAnsi" w:cstheme="minorHAnsi"/>
          <w:color w:val="383838"/>
        </w:rPr>
        <w:t xml:space="preserve">  A bibliometric analysis of studies on ageing in Ghana from the 1950s to 2016 highlighted the absence of longitudinal studies </w:t>
      </w:r>
      <w:r w:rsidR="00242E6A" w:rsidRPr="00000849">
        <w:rPr>
          <w:rFonts w:asciiTheme="minorHAnsi" w:hAnsiTheme="minorHAnsi" w:cstheme="minorHAnsi"/>
          <w:color w:val="383838"/>
        </w:rPr>
        <w:fldChar w:fldCharType="begin"/>
      </w:r>
      <w:r w:rsidR="00242E6A" w:rsidRPr="00000849">
        <w:rPr>
          <w:rFonts w:asciiTheme="minorHAnsi" w:hAnsiTheme="minorHAnsi" w:cstheme="minorHAnsi"/>
          <w:color w:val="383838"/>
        </w:rPr>
        <w:instrText xml:space="preserve"> ADDIN EN.CITE &lt;EndNote&gt;&lt;Cite&gt;&lt;Author&gt;Aikins&lt;/Author&gt;&lt;Year&gt;2016&lt;/Year&gt;&lt;RecNum&gt;640&lt;/RecNum&gt;&lt;DisplayText&gt;(Aikins et al., 2016)&lt;/DisplayText&gt;&lt;record&gt;&lt;rec-number&gt;640&lt;/rec-number&gt;&lt;foreign-keys&gt;&lt;key app="EN" db-id="9tzf2rda8re2a9es5tuxart3swzx2zws2s02" timestamp="1496880923"&gt;640&lt;/key&gt;&lt;/foreign-keys&gt;&lt;ref-type name="Journal Article"&gt;17&lt;/ref-type&gt;&lt;contributors&gt;&lt;authors&gt;&lt;author&gt;Aikins, Ama de-Graft&lt;/author&gt;&lt;author&gt;Kushitor, Mawuli&lt;/author&gt;&lt;author&gt;Sanuade, Olutobi&lt;/author&gt;&lt;author&gt;Dakey, Samuel&lt;/author&gt;&lt;author&gt;Dovie, Delali&lt;/author&gt;&lt;author&gt;Kwabena-Adade, Joana&lt;/author&gt;&lt;/authors&gt;&lt;/contributors&gt;&lt;titles&gt;&lt;title&gt;Research On Aging in Ghana from the 1950s To 2016: A Bibliography and Commentary&lt;/title&gt;&lt;secondary-title&gt;Ghana Studies&lt;/secondary-title&gt;&lt;/titles&gt;&lt;periodical&gt;&lt;full-title&gt;Ghana Studies&lt;/full-title&gt;&lt;/periodical&gt;&lt;pages&gt;173-189&lt;/pages&gt;&lt;volume&gt;19&lt;/volume&gt;&lt;number&gt;1&lt;/number&gt;&lt;dates&gt;&lt;year&gt;2016&lt;/year&gt;&lt;/dates&gt;&lt;isbn&gt;2333-7168&lt;/isbn&gt;&lt;urls&gt;&lt;/urls&gt;&lt;/record&gt;&lt;/Cite&gt;&lt;/EndNote&gt;</w:instrText>
      </w:r>
      <w:r w:rsidR="00242E6A" w:rsidRPr="00000849">
        <w:rPr>
          <w:rFonts w:asciiTheme="minorHAnsi" w:hAnsiTheme="minorHAnsi" w:cstheme="minorHAnsi"/>
          <w:color w:val="383838"/>
        </w:rPr>
        <w:fldChar w:fldCharType="separate"/>
      </w:r>
      <w:r w:rsidR="00242E6A" w:rsidRPr="00000849">
        <w:rPr>
          <w:rFonts w:asciiTheme="minorHAnsi" w:hAnsiTheme="minorHAnsi" w:cstheme="minorHAnsi"/>
          <w:noProof/>
          <w:color w:val="383838"/>
        </w:rPr>
        <w:t>(Aikins et al., 2016)</w:t>
      </w:r>
      <w:r w:rsidR="00242E6A" w:rsidRPr="00000849">
        <w:rPr>
          <w:rFonts w:asciiTheme="minorHAnsi" w:hAnsiTheme="minorHAnsi" w:cstheme="minorHAnsi"/>
          <w:color w:val="383838"/>
        </w:rPr>
        <w:fldChar w:fldCharType="end"/>
      </w:r>
      <w:r w:rsidR="00242E6A" w:rsidRPr="00000849">
        <w:rPr>
          <w:rFonts w:asciiTheme="minorHAnsi" w:hAnsiTheme="minorHAnsi" w:cstheme="minorHAnsi"/>
          <w:color w:val="383838"/>
        </w:rPr>
        <w:t xml:space="preserve">. </w:t>
      </w:r>
      <w:r w:rsidR="001A75C5" w:rsidRPr="00000849">
        <w:rPr>
          <w:rFonts w:asciiTheme="minorHAnsi" w:hAnsiTheme="minorHAnsi" w:cstheme="minorHAnsi"/>
          <w:color w:val="383838"/>
        </w:rPr>
        <w:t xml:space="preserve"> The current study </w:t>
      </w:r>
      <w:r w:rsidR="00242E6A" w:rsidRPr="00000849">
        <w:rPr>
          <w:rFonts w:asciiTheme="minorHAnsi" w:hAnsiTheme="minorHAnsi" w:cstheme="minorHAnsi"/>
          <w:color w:val="383838"/>
        </w:rPr>
        <w:t>add</w:t>
      </w:r>
      <w:r w:rsidR="001A75C5" w:rsidRPr="00000849">
        <w:rPr>
          <w:rFonts w:asciiTheme="minorHAnsi" w:hAnsiTheme="minorHAnsi" w:cstheme="minorHAnsi"/>
          <w:color w:val="383838"/>
        </w:rPr>
        <w:t>s</w:t>
      </w:r>
      <w:r w:rsidR="00242E6A" w:rsidRPr="00000849">
        <w:rPr>
          <w:rFonts w:asciiTheme="minorHAnsi" w:hAnsiTheme="minorHAnsi" w:cstheme="minorHAnsi"/>
          <w:color w:val="383838"/>
        </w:rPr>
        <w:t xml:space="preserve"> to the understanding of the health experiences of older adults over time</w:t>
      </w:r>
      <w:r w:rsidR="001A75C5" w:rsidRPr="00000849">
        <w:rPr>
          <w:rFonts w:asciiTheme="minorHAnsi" w:hAnsiTheme="minorHAnsi" w:cstheme="minorHAnsi"/>
          <w:color w:val="383838"/>
        </w:rPr>
        <w:t xml:space="preserve"> in Ghana.</w:t>
      </w:r>
    </w:p>
    <w:p w14:paraId="555B0836" w14:textId="0E2BD82B" w:rsidR="00472259" w:rsidRPr="00000849" w:rsidRDefault="00665BD7" w:rsidP="0027719F">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The quality control measures during data collection </w:t>
      </w:r>
      <w:r w:rsidR="00472259" w:rsidRPr="00000849">
        <w:rPr>
          <w:rFonts w:asciiTheme="minorHAnsi" w:hAnsiTheme="minorHAnsi" w:cstheme="minorHAnsi"/>
          <w:color w:val="383838"/>
        </w:rPr>
        <w:t xml:space="preserve">in the primary studies </w:t>
      </w:r>
      <w:r w:rsidRPr="00000849">
        <w:rPr>
          <w:rFonts w:asciiTheme="minorHAnsi" w:hAnsiTheme="minorHAnsi" w:cstheme="minorHAnsi"/>
          <w:color w:val="383838"/>
        </w:rPr>
        <w:t>were appropriate and involved training, retraining, and re-interviews of a sample of the subjects</w:t>
      </w:r>
      <w:r w:rsidR="00D775CF" w:rsidRPr="00000849">
        <w:rPr>
          <w:rFonts w:asciiTheme="minorHAnsi" w:hAnsiTheme="minorHAnsi" w:cstheme="minorHAnsi"/>
          <w:color w:val="383838"/>
        </w:rPr>
        <w:t xml:space="preserve"> </w:t>
      </w:r>
      <w:r w:rsidR="00D775CF" w:rsidRPr="00000849">
        <w:rPr>
          <w:rFonts w:asciiTheme="minorHAnsi" w:hAnsiTheme="minorHAnsi" w:cstheme="minorHAnsi"/>
          <w:color w:val="383838"/>
        </w:rPr>
        <w:fldChar w:fldCharType="begin"/>
      </w:r>
      <w:r w:rsidR="00D775CF" w:rsidRPr="00000849">
        <w:rPr>
          <w:rFonts w:asciiTheme="minorHAnsi" w:hAnsiTheme="minorHAnsi" w:cstheme="minorHAnsi"/>
          <w:color w:val="383838"/>
        </w:rPr>
        <w:instrText xml:space="preserve"> ADDIN EN.CITE &lt;EndNote&gt;&lt;Cite&gt;&lt;Author&gt;Biritwum&lt;/Author&gt;&lt;Year&gt;2013&lt;/Year&gt;&lt;RecNum&gt;6&lt;/RecNum&gt;&lt;DisplayText&gt;(Biritwum et al., 2013)&lt;/DisplayText&gt;&lt;record&gt;&lt;rec-number&gt;6&lt;/rec-number&gt;&lt;foreign-keys&gt;&lt;key app="EN" db-id="9tzf2rda8re2a9es5tuxart3swzx2zws2s02" timestamp="1463391711"&gt;6&lt;/key&gt;&lt;/foreign-keys&gt;&lt;ref-type name="Journal Article"&gt;17&lt;/ref-type&gt;&lt;contributors&gt;&lt;authors&gt;&lt;author&gt;Biritwum, Richard B&lt;/author&gt;&lt;author&gt;Mensah, George&lt;/author&gt;&lt;author&gt;Minicuci, Nadia&lt;/author&gt;&lt;author&gt;Yawson, Alfred E&lt;/author&gt;&lt;author&gt;Naidoo, Nirmala&lt;/author&gt;&lt;author&gt;Chatterji, Somnath&lt;/author&gt;&lt;author&gt;Kowal, Paul&lt;/author&gt;&lt;/authors&gt;&lt;/contributors&gt;&lt;titles&gt;&lt;title&gt;Household characteristics for older adults and study background from SAGE Ghana Wave 1&lt;/title&gt;&lt;secondary-title&gt;Global Health Action&lt;/secondary-title&gt;&lt;/titles&gt;&lt;periodical&gt;&lt;full-title&gt;Global Health Action&lt;/full-title&gt;&lt;abbr-1&gt;Glob Health Action&lt;/abbr-1&gt;&lt;/periodical&gt;&lt;pages&gt;20096&lt;/pages&gt;&lt;volume&gt;6&lt;/volume&gt;&lt;dates&gt;&lt;year&gt;2013&lt;/year&gt;&lt;/dates&gt;&lt;isbn&gt;1654-9880&lt;/isbn&gt;&lt;urls&gt;&lt;/urls&gt;&lt;electronic-resource-num&gt;20096 - http://dx.doi.org/10.3402/gha.v6i0.20096&lt;/electronic-resource-num&gt;&lt;/record&gt;&lt;/Cite&gt;&lt;/EndNote&gt;</w:instrText>
      </w:r>
      <w:r w:rsidR="00D775CF" w:rsidRPr="00000849">
        <w:rPr>
          <w:rFonts w:asciiTheme="minorHAnsi" w:hAnsiTheme="minorHAnsi" w:cstheme="minorHAnsi"/>
          <w:color w:val="383838"/>
        </w:rPr>
        <w:fldChar w:fldCharType="separate"/>
      </w:r>
      <w:r w:rsidR="00D775CF" w:rsidRPr="00000849">
        <w:rPr>
          <w:rFonts w:asciiTheme="minorHAnsi" w:hAnsiTheme="minorHAnsi" w:cstheme="minorHAnsi"/>
          <w:noProof/>
          <w:color w:val="383838"/>
        </w:rPr>
        <w:t>(Biritwum et al., 2013)</w:t>
      </w:r>
      <w:r w:rsidR="00D775CF"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The use of geo-codes helped to improve the identification of households involved in the earlier </w:t>
      </w:r>
      <w:r w:rsidR="00351237" w:rsidRPr="00000849">
        <w:rPr>
          <w:rFonts w:asciiTheme="minorHAnsi" w:hAnsiTheme="minorHAnsi" w:cstheme="minorHAnsi"/>
          <w:color w:val="383838"/>
        </w:rPr>
        <w:t xml:space="preserve">W1 </w:t>
      </w:r>
      <w:r w:rsidRPr="00000849">
        <w:rPr>
          <w:rFonts w:asciiTheme="minorHAnsi" w:hAnsiTheme="minorHAnsi" w:cstheme="minorHAnsi"/>
          <w:color w:val="383838"/>
        </w:rPr>
        <w:t>cohort</w:t>
      </w:r>
      <w:r w:rsidR="00351237" w:rsidRPr="00000849">
        <w:rPr>
          <w:rFonts w:asciiTheme="minorHAnsi" w:hAnsiTheme="minorHAnsi" w:cstheme="minorHAnsi"/>
          <w:color w:val="383838"/>
        </w:rPr>
        <w:t xml:space="preserve"> study</w:t>
      </w:r>
      <w:r w:rsidRPr="00000849">
        <w:rPr>
          <w:rFonts w:asciiTheme="minorHAnsi" w:hAnsiTheme="minorHAnsi" w:cstheme="minorHAnsi"/>
          <w:color w:val="383838"/>
        </w:rPr>
        <w:t>.</w:t>
      </w:r>
      <w:r w:rsidR="0027719F" w:rsidRPr="00000849">
        <w:rPr>
          <w:rFonts w:asciiTheme="minorHAnsi" w:hAnsiTheme="minorHAnsi" w:cstheme="minorHAnsi"/>
          <w:color w:val="383838"/>
        </w:rPr>
        <w:t xml:space="preserve">  The blood pressure and anthropometric measurement</w:t>
      </w:r>
      <w:r w:rsidR="00472259" w:rsidRPr="00000849">
        <w:rPr>
          <w:rFonts w:asciiTheme="minorHAnsi" w:hAnsiTheme="minorHAnsi" w:cstheme="minorHAnsi"/>
          <w:color w:val="383838"/>
        </w:rPr>
        <w:t xml:space="preserve"> protocol</w:t>
      </w:r>
      <w:r w:rsidR="0027719F" w:rsidRPr="00000849">
        <w:rPr>
          <w:rFonts w:asciiTheme="minorHAnsi" w:hAnsiTheme="minorHAnsi" w:cstheme="minorHAnsi"/>
          <w:color w:val="383838"/>
        </w:rPr>
        <w:t xml:space="preserve">s followed </w:t>
      </w:r>
      <w:r w:rsidR="000304A5" w:rsidRPr="00000849">
        <w:rPr>
          <w:rFonts w:asciiTheme="minorHAnsi" w:hAnsiTheme="minorHAnsi" w:cstheme="minorHAnsi"/>
          <w:color w:val="383838"/>
        </w:rPr>
        <w:t>international guidelines</w:t>
      </w:r>
      <w:r w:rsidR="004D504F" w:rsidRPr="00000849">
        <w:rPr>
          <w:rFonts w:asciiTheme="minorHAnsi" w:hAnsiTheme="minorHAnsi" w:cstheme="minorHAnsi"/>
          <w:color w:val="383838"/>
        </w:rPr>
        <w:t xml:space="preserve">.  </w:t>
      </w:r>
    </w:p>
    <w:p w14:paraId="5202F0A0" w14:textId="6C5D94C2" w:rsidR="00577D8A" w:rsidRPr="00000849" w:rsidRDefault="00472259" w:rsidP="004D504F">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In the secondary data analyses, the definitions of variables conformed to international guidelines</w:t>
      </w:r>
      <w:r w:rsidR="001F0293" w:rsidRPr="00000849">
        <w:rPr>
          <w:rFonts w:asciiTheme="minorHAnsi" w:hAnsiTheme="minorHAnsi" w:cstheme="minorHAnsi"/>
          <w:color w:val="383838"/>
        </w:rPr>
        <w:t xml:space="preserve"> </w:t>
      </w:r>
      <w:r w:rsidR="001F0293" w:rsidRPr="00000849">
        <w:rPr>
          <w:rFonts w:asciiTheme="minorHAnsi" w:hAnsiTheme="minorHAnsi" w:cstheme="minorHAnsi"/>
          <w:color w:val="383838"/>
        </w:rPr>
        <w:fldChar w:fldCharType="begin"/>
      </w:r>
      <w:r w:rsidR="00A12309">
        <w:rPr>
          <w:rFonts w:asciiTheme="minorHAnsi" w:hAnsiTheme="minorHAnsi" w:cstheme="minorHAnsi"/>
          <w:color w:val="383838"/>
        </w:rPr>
        <w:instrText xml:space="preserve"> ADDIN EN.CITE &lt;EndNote&gt;&lt;Cite&gt;&lt;Author&gt;WHO&lt;/Author&gt;&lt;Year&gt;2008&lt;/Year&gt;&lt;RecNum&gt;19&lt;/RecNum&gt;&lt;DisplayText&gt;(WHO, 2008)&lt;/DisplayText&gt;&lt;record&gt;&lt;rec-number&gt;19&lt;/rec-number&gt;&lt;foreign-keys&gt;&lt;key app="EN" db-id="9tzf2rda8re2a9es5tuxart3swzx2zws2s02" timestamp="1463400106"&gt;19&lt;/key&gt;&lt;/foreign-keys&gt;&lt;ref-type name="Electronic Article"&gt;43&lt;/ref-type&gt;&lt;contributors&gt;&lt;authors&gt;&lt;author&gt;WHO,&lt;/author&gt;&lt;/authors&gt;&lt;/contributors&gt;&lt;titles&gt;&lt;title&gt;WHO STEPS Surveillance Manual&lt;/title&gt;&lt;/titles&gt;&lt;dates&gt;&lt;year&gt;2008&lt;/year&gt;&lt;pub-dates&gt;&lt;date&gt;16 May 2016&lt;/date&gt;&lt;/pub-dates&gt;&lt;/dates&gt;&lt;pub-location&gt;Geneva&lt;/pub-location&gt;&lt;publisher&gt;World Health Organization&lt;/publisher&gt;&lt;urls&gt;&lt;related-urls&gt;&lt;url&gt;http://www.who.int/chp/steps/manual/en/&lt;/url&gt;&lt;/related-urls&gt;&lt;/urls&gt;&lt;custom1&gt;2016&lt;/custom1&gt;&lt;custom2&gt;16 May&lt;/custom2&gt;&lt;/record&gt;&lt;/Cite&gt;&lt;/EndNote&gt;</w:instrText>
      </w:r>
      <w:r w:rsidR="001F0293" w:rsidRPr="00000849">
        <w:rPr>
          <w:rFonts w:asciiTheme="minorHAnsi" w:hAnsiTheme="minorHAnsi" w:cstheme="minorHAnsi"/>
          <w:color w:val="383838"/>
        </w:rPr>
        <w:fldChar w:fldCharType="separate"/>
      </w:r>
      <w:r w:rsidR="00A12309">
        <w:rPr>
          <w:rFonts w:asciiTheme="minorHAnsi" w:hAnsiTheme="minorHAnsi" w:cstheme="minorHAnsi"/>
          <w:noProof/>
          <w:color w:val="383838"/>
        </w:rPr>
        <w:t>(WHO, 2008)</w:t>
      </w:r>
      <w:r w:rsidR="001F0293"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r w:rsidR="004D504F" w:rsidRPr="00000849">
        <w:rPr>
          <w:rFonts w:asciiTheme="minorHAnsi" w:hAnsiTheme="minorHAnsi" w:cstheme="minorHAnsi"/>
          <w:color w:val="383838"/>
        </w:rPr>
        <w:t>Implausible values were removed from the analyses.</w:t>
      </w:r>
      <w:r w:rsidRPr="00000849">
        <w:rPr>
          <w:rFonts w:asciiTheme="minorHAnsi" w:hAnsiTheme="minorHAnsi" w:cstheme="minorHAnsi"/>
          <w:color w:val="383838"/>
        </w:rPr>
        <w:t xml:space="preserve">  Unique identification numbers were used to merge the datasets.  </w:t>
      </w:r>
      <w:r w:rsidR="00596073" w:rsidRPr="00000849">
        <w:rPr>
          <w:rFonts w:asciiTheme="minorHAnsi" w:hAnsiTheme="minorHAnsi" w:cstheme="minorHAnsi"/>
          <w:color w:val="383838"/>
        </w:rPr>
        <w:t xml:space="preserve">Sample weighting aimed to compensate for the unequal sampling probabilities.  </w:t>
      </w:r>
      <w:r w:rsidR="004D504F" w:rsidRPr="00000849">
        <w:rPr>
          <w:rFonts w:asciiTheme="minorHAnsi" w:hAnsiTheme="minorHAnsi" w:cstheme="minorHAnsi"/>
          <w:color w:val="383838"/>
        </w:rPr>
        <w:t>The a</w:t>
      </w:r>
      <w:r w:rsidR="000304A5" w:rsidRPr="00000849">
        <w:rPr>
          <w:rFonts w:asciiTheme="minorHAnsi" w:hAnsiTheme="minorHAnsi" w:cstheme="minorHAnsi"/>
          <w:color w:val="383838"/>
        </w:rPr>
        <w:t>nalyses</w:t>
      </w:r>
      <w:r w:rsidR="00D93758" w:rsidRPr="00000849">
        <w:rPr>
          <w:rFonts w:asciiTheme="minorHAnsi" w:hAnsiTheme="minorHAnsi" w:cstheme="minorHAnsi"/>
          <w:color w:val="383838"/>
        </w:rPr>
        <w:t xml:space="preserve"> involved a series of regression model that were </w:t>
      </w:r>
      <w:r w:rsidR="000304A5" w:rsidRPr="00000849">
        <w:rPr>
          <w:rFonts w:asciiTheme="minorHAnsi" w:hAnsiTheme="minorHAnsi" w:cstheme="minorHAnsi"/>
          <w:color w:val="383838"/>
        </w:rPr>
        <w:t>systematic</w:t>
      </w:r>
      <w:r w:rsidR="00D93758" w:rsidRPr="00000849">
        <w:rPr>
          <w:rFonts w:asciiTheme="minorHAnsi" w:hAnsiTheme="minorHAnsi" w:cstheme="minorHAnsi"/>
          <w:color w:val="383838"/>
        </w:rPr>
        <w:t>ally built up</w:t>
      </w:r>
      <w:r w:rsidR="001034E6" w:rsidRPr="00000849">
        <w:rPr>
          <w:rFonts w:asciiTheme="minorHAnsi" w:hAnsiTheme="minorHAnsi" w:cstheme="minorHAnsi"/>
          <w:color w:val="383838"/>
        </w:rPr>
        <w:t xml:space="preserve"> from single level univariable through to multilevel multivariable logistic models.  The relevant model diagnostics including the fit of the models were regularly reported. </w:t>
      </w:r>
      <w:r w:rsidR="00BA3615" w:rsidRPr="00000849">
        <w:rPr>
          <w:rFonts w:asciiTheme="minorHAnsi" w:hAnsiTheme="minorHAnsi" w:cstheme="minorHAnsi"/>
          <w:color w:val="383838"/>
        </w:rPr>
        <w:t xml:space="preserve"> </w:t>
      </w:r>
      <w:r w:rsidR="002E2580" w:rsidRPr="00000849">
        <w:rPr>
          <w:rFonts w:asciiTheme="minorHAnsi" w:hAnsiTheme="minorHAnsi" w:cstheme="minorHAnsi"/>
          <w:color w:val="383838"/>
        </w:rPr>
        <w:t xml:space="preserve">Statistical </w:t>
      </w:r>
      <w:r w:rsidR="002E2580" w:rsidRPr="00000849">
        <w:rPr>
          <w:rFonts w:asciiTheme="minorHAnsi" w:hAnsiTheme="minorHAnsi" w:cstheme="minorHAnsi"/>
          <w:color w:val="383838"/>
        </w:rPr>
        <w:lastRenderedPageBreak/>
        <w:t>tests confirmed the superiority of the multilevel models to the single level models</w:t>
      </w:r>
      <w:r w:rsidR="001F0293" w:rsidRPr="00000849">
        <w:rPr>
          <w:rFonts w:asciiTheme="minorHAnsi" w:hAnsiTheme="minorHAnsi" w:cstheme="minorHAnsi"/>
          <w:color w:val="383838"/>
        </w:rPr>
        <w:t xml:space="preserve"> </w:t>
      </w:r>
      <w:r w:rsidR="001F0293" w:rsidRPr="00000849">
        <w:rPr>
          <w:rFonts w:asciiTheme="minorHAnsi" w:hAnsiTheme="minorHAnsi" w:cstheme="minorHAnsi"/>
          <w:color w:val="383838"/>
        </w:rPr>
        <w:fldChar w:fldCharType="begin"/>
      </w:r>
      <w:r w:rsidR="001F0293" w:rsidRPr="00000849">
        <w:rPr>
          <w:rFonts w:asciiTheme="minorHAnsi" w:hAnsiTheme="minorHAnsi" w:cstheme="minorHAnsi"/>
          <w:color w:val="383838"/>
        </w:rPr>
        <w:instrText xml:space="preserve"> ADDIN EN.CITE &lt;EndNote&gt;&lt;Cite&gt;&lt;Author&gt;Steele&lt;/Author&gt;&lt;Year&gt;2009&lt;/Year&gt;&lt;RecNum&gt;1150&lt;/RecNum&gt;&lt;DisplayText&gt;(Steele, 2009)&lt;/DisplayText&gt;&lt;record&gt;&lt;rec-number&gt;1150&lt;/rec-number&gt;&lt;foreign-keys&gt;&lt;key app="EN" db-id="9tzf2rda8re2a9es5tuxart3swzx2zws2s02" timestamp="1582608864"&gt;1150&lt;/key&gt;&lt;/foreign-keys&gt;&lt;ref-type name="Report"&gt;27&lt;/ref-type&gt;&lt;contributors&gt;&lt;authors&gt;&lt;author&gt;Steele, Fiona&lt;/author&gt;&lt;/authors&gt;&lt;/contributors&gt;&lt;titles&gt;&lt;title&gt;Multilevel models for binary responses concepts&lt;/title&gt;&lt;secondary-title&gt;Multilevel models for binary responses&lt;/secondary-title&gt;&lt;/titles&gt;&lt;dates&gt;&lt;year&gt;2009&lt;/year&gt;&lt;/dates&gt;&lt;pub-location&gt;Bristol, UK&lt;/pub-location&gt;&lt;publisher&gt;Center for Multilevel Modelling, University of Bristol&lt;/publisher&gt;&lt;urls&gt;&lt;related-urls&gt;&lt;url&gt;https://www.bristol.ac.uk/media-library/sites/cmm/migrated/documents/multi-br-print.pdf&lt;/url&gt;&lt;/related-urls&gt;&lt;/urls&gt;&lt;/record&gt;&lt;/Cite&gt;&lt;/EndNote&gt;</w:instrText>
      </w:r>
      <w:r w:rsidR="001F0293" w:rsidRPr="00000849">
        <w:rPr>
          <w:rFonts w:asciiTheme="minorHAnsi" w:hAnsiTheme="minorHAnsi" w:cstheme="minorHAnsi"/>
          <w:color w:val="383838"/>
        </w:rPr>
        <w:fldChar w:fldCharType="separate"/>
      </w:r>
      <w:r w:rsidR="001F0293" w:rsidRPr="00000849">
        <w:rPr>
          <w:rFonts w:asciiTheme="minorHAnsi" w:hAnsiTheme="minorHAnsi" w:cstheme="minorHAnsi"/>
          <w:noProof/>
          <w:color w:val="383838"/>
        </w:rPr>
        <w:t>(Steele, 2009)</w:t>
      </w:r>
      <w:r w:rsidR="001F0293" w:rsidRPr="00000849">
        <w:rPr>
          <w:rFonts w:asciiTheme="minorHAnsi" w:hAnsiTheme="minorHAnsi" w:cstheme="minorHAnsi"/>
          <w:color w:val="383838"/>
        </w:rPr>
        <w:fldChar w:fldCharType="end"/>
      </w:r>
      <w:r w:rsidR="002E2580" w:rsidRPr="00000849">
        <w:rPr>
          <w:rFonts w:asciiTheme="minorHAnsi" w:hAnsiTheme="minorHAnsi" w:cstheme="minorHAnsi"/>
          <w:color w:val="383838"/>
        </w:rPr>
        <w:t xml:space="preserve">.  </w:t>
      </w:r>
    </w:p>
    <w:p w14:paraId="2C1BA3FE" w14:textId="3D01D52F" w:rsidR="000352D1" w:rsidRPr="00000849" w:rsidRDefault="000352D1" w:rsidP="004D504F">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Most studies on determinants of hypertension ignore the hierarchical structure of their data in their analysis, leading to inaccurate standard errors.  In a systematic review of 16 publications on the determinants of hypertension in older adults in Africa</w:t>
      </w:r>
      <w:r w:rsidR="003C08CC" w:rsidRPr="00000849">
        <w:rPr>
          <w:rFonts w:asciiTheme="minorHAnsi" w:hAnsiTheme="minorHAnsi" w:cstheme="minorHAnsi"/>
          <w:color w:val="383838"/>
        </w:rPr>
        <w:t xml:space="preserve"> </w:t>
      </w:r>
      <w:r w:rsidR="003C08C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TnVtPjk3NDwvUmVjTnVtPjxEaXNwbGF5VGV4dD4oQm9zdSBldCBhbC4sIDIwMTlhKTwvRGlzcGxh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3C08CC" w:rsidRPr="00000849">
        <w:rPr>
          <w:rFonts w:asciiTheme="minorHAnsi" w:hAnsiTheme="minorHAnsi" w:cstheme="minorHAnsi"/>
          <w:color w:val="383838"/>
        </w:rPr>
      </w:r>
      <w:r w:rsidR="003C08CC" w:rsidRPr="00000849">
        <w:rPr>
          <w:rFonts w:asciiTheme="minorHAnsi" w:hAnsiTheme="minorHAnsi" w:cstheme="minorHAnsi"/>
          <w:color w:val="383838"/>
        </w:rPr>
        <w:fldChar w:fldCharType="separate"/>
      </w:r>
      <w:r w:rsidR="003C08CC" w:rsidRPr="00000849">
        <w:rPr>
          <w:rFonts w:asciiTheme="minorHAnsi" w:hAnsiTheme="minorHAnsi" w:cstheme="minorHAnsi"/>
          <w:noProof/>
          <w:color w:val="383838"/>
        </w:rPr>
        <w:t>(Bosu et al., 2019a)</w:t>
      </w:r>
      <w:r w:rsidR="003C08CC"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only one employed a multilevel analysis </w:t>
      </w:r>
      <w:r w:rsidR="003C08CC" w:rsidRPr="00000849">
        <w:rPr>
          <w:rFonts w:asciiTheme="minorHAnsi" w:hAnsiTheme="minorHAnsi" w:cstheme="minorHAnsi"/>
          <w:color w:val="383838"/>
        </w:rPr>
        <w:fldChar w:fldCharType="begin">
          <w:fldData xml:space="preserve">PEVuZE5vdGU+PENpdGU+PEF1dGhvcj5Cb2F0ZW5nPC9BdXRob3I+PFllYXI+MjAxNzwvWWVhcj48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PEVuZE5vdGU+PENpdGU+PEF1dGhvcj5Cb2F0ZW5nPC9BdXRob3I+PFllYXI+MjAxNzwvWWVhcj48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3C08CC" w:rsidRPr="00000849">
        <w:rPr>
          <w:rFonts w:asciiTheme="minorHAnsi" w:hAnsiTheme="minorHAnsi" w:cstheme="minorHAnsi"/>
          <w:color w:val="383838"/>
        </w:rPr>
      </w:r>
      <w:r w:rsidR="003C08CC" w:rsidRPr="00000849">
        <w:rPr>
          <w:rFonts w:asciiTheme="minorHAnsi" w:hAnsiTheme="minorHAnsi" w:cstheme="minorHAnsi"/>
          <w:color w:val="383838"/>
        </w:rPr>
        <w:fldChar w:fldCharType="separate"/>
      </w:r>
      <w:r w:rsidR="003C08CC" w:rsidRPr="00000849">
        <w:rPr>
          <w:rFonts w:asciiTheme="minorHAnsi" w:hAnsiTheme="minorHAnsi" w:cstheme="minorHAnsi"/>
          <w:noProof/>
          <w:color w:val="383838"/>
        </w:rPr>
        <w:t>(Boateng et al., 2017)</w:t>
      </w:r>
      <w:r w:rsidR="003C08CC" w:rsidRPr="00000849">
        <w:rPr>
          <w:rFonts w:asciiTheme="minorHAnsi" w:hAnsiTheme="minorHAnsi" w:cstheme="minorHAnsi"/>
          <w:color w:val="383838"/>
        </w:rPr>
        <w:fldChar w:fldCharType="end"/>
      </w:r>
      <w:r w:rsidRPr="00000849">
        <w:rPr>
          <w:rFonts w:asciiTheme="minorHAnsi" w:hAnsiTheme="minorHAnsi" w:cstheme="minorHAnsi"/>
          <w:color w:val="383838"/>
        </w:rPr>
        <w:t>.</w:t>
      </w:r>
      <w:r w:rsidR="003C08CC" w:rsidRPr="00000849">
        <w:rPr>
          <w:rFonts w:asciiTheme="minorHAnsi" w:hAnsiTheme="minorHAnsi" w:cstheme="minorHAnsi"/>
          <w:color w:val="383838"/>
        </w:rPr>
        <w:t xml:space="preserve">  The current analysis therefore fills the gap in providing more accurate </w:t>
      </w:r>
      <w:r w:rsidR="00A603A2" w:rsidRPr="00000849">
        <w:rPr>
          <w:rFonts w:asciiTheme="minorHAnsi" w:hAnsiTheme="minorHAnsi" w:cstheme="minorHAnsi"/>
          <w:color w:val="383838"/>
        </w:rPr>
        <w:t>parameter estimates</w:t>
      </w:r>
      <w:r w:rsidR="003C08CC" w:rsidRPr="00000849">
        <w:rPr>
          <w:rFonts w:asciiTheme="minorHAnsi" w:hAnsiTheme="minorHAnsi" w:cstheme="minorHAnsi"/>
          <w:color w:val="383838"/>
        </w:rPr>
        <w:t xml:space="preserve">.  </w:t>
      </w:r>
      <w:r w:rsidR="00A603A2" w:rsidRPr="00000849">
        <w:rPr>
          <w:rFonts w:asciiTheme="minorHAnsi" w:hAnsiTheme="minorHAnsi" w:cstheme="minorHAnsi"/>
          <w:color w:val="383838"/>
        </w:rPr>
        <w:t xml:space="preserve">The multilevel analysis enabled the proportion of the total variation in hypertension in W1 and W2 respectively due to unobserved household and enumeration area level factors to be quantified.  </w:t>
      </w:r>
      <w:r w:rsidR="0060305F" w:rsidRPr="00000849">
        <w:rPr>
          <w:rFonts w:asciiTheme="minorHAnsi" w:hAnsiTheme="minorHAnsi" w:cstheme="minorHAnsi"/>
          <w:color w:val="383838"/>
        </w:rPr>
        <w:t xml:space="preserve">It also fills another identified gap from the systematic review by including lifestyle explanatory variables such as physical activity, overweight/obesity, fruit and vegetable intake, tobacco and alcohol consumption in the statistical models.  </w:t>
      </w:r>
      <w:r w:rsidR="00A603A2" w:rsidRPr="00000849">
        <w:rPr>
          <w:rFonts w:asciiTheme="minorHAnsi" w:hAnsiTheme="minorHAnsi" w:cstheme="minorHAnsi"/>
          <w:color w:val="383838"/>
        </w:rPr>
        <w:t>The explanatory variables were comprehensive and consistent with those from the theoretical and conceptual frameworks.</w:t>
      </w:r>
    </w:p>
    <w:p w14:paraId="4EF112DB" w14:textId="7CF65E04" w:rsidR="00D533AD" w:rsidRPr="00000849" w:rsidRDefault="001034E6" w:rsidP="001034E6">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The findings were largely consistent with those of other studies</w:t>
      </w:r>
      <w:r w:rsidR="008A0A69" w:rsidRPr="00000849">
        <w:rPr>
          <w:rFonts w:asciiTheme="minorHAnsi" w:hAnsiTheme="minorHAnsi" w:cstheme="minorHAnsi"/>
          <w:color w:val="383838"/>
        </w:rPr>
        <w:t>, particularly those from the recent systematic reviews undertaken by this candidate</w:t>
      </w:r>
      <w:r w:rsidR="001F0293" w:rsidRPr="00000849">
        <w:rPr>
          <w:rFonts w:asciiTheme="minorHAnsi" w:hAnsiTheme="minorHAnsi" w:cstheme="minorHAnsi"/>
          <w:color w:val="383838"/>
        </w:rPr>
        <w:t xml:space="preserve"> </w:t>
      </w:r>
      <w:r w:rsidR="001F0293"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TnVtPjk3NDwvUmVjTnVtPjxEaXNwbGF5VGV4dD4oQm9zdSBldCBhbC4sIDIwMTlhOyBCb3N1IGV0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PEVuZE5vdGU+PENpdGU+PEF1dGhvcj5Cb3N1PC9BdXRob3I+PFllYXI+MjAxOTwvWWVhcj48UmVj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1F0293" w:rsidRPr="00000849">
        <w:rPr>
          <w:rFonts w:asciiTheme="minorHAnsi" w:hAnsiTheme="minorHAnsi" w:cstheme="minorHAnsi"/>
          <w:color w:val="383838"/>
        </w:rPr>
      </w:r>
      <w:r w:rsidR="001F0293" w:rsidRPr="00000849">
        <w:rPr>
          <w:rFonts w:asciiTheme="minorHAnsi" w:hAnsiTheme="minorHAnsi" w:cstheme="minorHAnsi"/>
          <w:color w:val="383838"/>
        </w:rPr>
        <w:fldChar w:fldCharType="separate"/>
      </w:r>
      <w:r w:rsidR="001F0293" w:rsidRPr="00000849">
        <w:rPr>
          <w:rFonts w:asciiTheme="minorHAnsi" w:hAnsiTheme="minorHAnsi" w:cstheme="minorHAnsi"/>
          <w:noProof/>
          <w:color w:val="383838"/>
        </w:rPr>
        <w:t>(Bosu et al., 2019a; Bosu et al., 2019b)</w:t>
      </w:r>
      <w:r w:rsidR="001F0293" w:rsidRPr="00000849">
        <w:rPr>
          <w:rFonts w:asciiTheme="minorHAnsi" w:hAnsiTheme="minorHAnsi" w:cstheme="minorHAnsi"/>
          <w:color w:val="383838"/>
        </w:rPr>
        <w:fldChar w:fldCharType="end"/>
      </w:r>
      <w:r w:rsidRPr="00000849">
        <w:rPr>
          <w:rFonts w:asciiTheme="minorHAnsi" w:hAnsiTheme="minorHAnsi" w:cstheme="minorHAnsi"/>
          <w:color w:val="383838"/>
        </w:rPr>
        <w:t>.  Ordered relationships tended to follow a d</w:t>
      </w:r>
      <w:r w:rsidR="00FF3723" w:rsidRPr="00000849">
        <w:rPr>
          <w:rFonts w:asciiTheme="minorHAnsi" w:hAnsiTheme="minorHAnsi" w:cstheme="minorHAnsi"/>
          <w:color w:val="383838"/>
        </w:rPr>
        <w:t>ose-response effect</w:t>
      </w:r>
      <w:r w:rsidRPr="00000849">
        <w:rPr>
          <w:rFonts w:asciiTheme="minorHAnsi" w:hAnsiTheme="minorHAnsi" w:cstheme="minorHAnsi"/>
          <w:color w:val="383838"/>
        </w:rPr>
        <w:t xml:space="preserve">, thereby enhancing the </w:t>
      </w:r>
      <w:r w:rsidR="00BF50DA" w:rsidRPr="00000849">
        <w:rPr>
          <w:rFonts w:asciiTheme="minorHAnsi" w:hAnsiTheme="minorHAnsi" w:cstheme="minorHAnsi"/>
          <w:color w:val="383838"/>
        </w:rPr>
        <w:t>credibility of</w:t>
      </w:r>
      <w:r w:rsidRPr="00000849">
        <w:rPr>
          <w:rFonts w:asciiTheme="minorHAnsi" w:hAnsiTheme="minorHAnsi" w:cstheme="minorHAnsi"/>
          <w:color w:val="383838"/>
        </w:rPr>
        <w:t xml:space="preserve"> the results.  </w:t>
      </w:r>
    </w:p>
    <w:p w14:paraId="29E5CD4F" w14:textId="3F711ED4" w:rsidR="0046404A" w:rsidRPr="00000849" w:rsidRDefault="0046404A" w:rsidP="003973DC">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The leve</w:t>
      </w:r>
      <w:r w:rsidR="001B02E3" w:rsidRPr="00000849">
        <w:rPr>
          <w:rFonts w:asciiTheme="minorHAnsi" w:hAnsiTheme="minorHAnsi" w:cstheme="minorHAnsi"/>
          <w:color w:val="383838"/>
        </w:rPr>
        <w:t>l of non-m</w:t>
      </w:r>
      <w:r w:rsidRPr="00000849">
        <w:rPr>
          <w:rFonts w:asciiTheme="minorHAnsi" w:hAnsiTheme="minorHAnsi" w:cstheme="minorHAnsi"/>
          <w:color w:val="383838"/>
        </w:rPr>
        <w:t xml:space="preserve">issing data </w:t>
      </w:r>
      <w:r w:rsidR="00377EA3" w:rsidRPr="00000849">
        <w:rPr>
          <w:rFonts w:asciiTheme="minorHAnsi" w:hAnsiTheme="minorHAnsi" w:cstheme="minorHAnsi"/>
          <w:color w:val="383838"/>
        </w:rPr>
        <w:t xml:space="preserve">with respect to participants with complete plausible values in the models was 90.9% in W1 and 81.5% in W1.  </w:t>
      </w:r>
      <w:r w:rsidR="001B02E3" w:rsidRPr="00000849">
        <w:rPr>
          <w:rFonts w:asciiTheme="minorHAnsi" w:hAnsiTheme="minorHAnsi" w:cstheme="minorHAnsi"/>
          <w:color w:val="383838"/>
        </w:rPr>
        <w:t xml:space="preserve">Owing to the large number of explanatory variables, this level of missingness may be acceptable.  </w:t>
      </w:r>
      <w:r w:rsidR="003973DC" w:rsidRPr="00000849">
        <w:rPr>
          <w:rFonts w:asciiTheme="minorHAnsi" w:hAnsiTheme="minorHAnsi" w:cstheme="minorHAnsi"/>
          <w:color w:val="383838"/>
        </w:rPr>
        <w:t xml:space="preserve">The missingness pattern </w:t>
      </w:r>
      <w:r w:rsidR="00BF50DA" w:rsidRPr="00000849">
        <w:rPr>
          <w:rFonts w:asciiTheme="minorHAnsi" w:hAnsiTheme="minorHAnsi" w:cstheme="minorHAnsi"/>
          <w:color w:val="383838"/>
        </w:rPr>
        <w:t>is</w:t>
      </w:r>
      <w:r w:rsidR="003973DC" w:rsidRPr="00000849">
        <w:rPr>
          <w:rFonts w:asciiTheme="minorHAnsi" w:hAnsiTheme="minorHAnsi" w:cstheme="minorHAnsi"/>
          <w:color w:val="383838"/>
        </w:rPr>
        <w:t xml:space="preserve"> likely</w:t>
      </w:r>
      <w:r w:rsidR="008F1869" w:rsidRPr="00000849">
        <w:rPr>
          <w:rFonts w:asciiTheme="minorHAnsi" w:hAnsiTheme="minorHAnsi" w:cstheme="minorHAnsi"/>
          <w:color w:val="383838"/>
        </w:rPr>
        <w:t xml:space="preserve"> to be</w:t>
      </w:r>
      <w:r w:rsidR="003973DC" w:rsidRPr="00000849">
        <w:rPr>
          <w:rFonts w:asciiTheme="minorHAnsi" w:hAnsiTheme="minorHAnsi" w:cstheme="minorHAnsi"/>
          <w:color w:val="383838"/>
        </w:rPr>
        <w:t xml:space="preserve"> random with no obvious reason to suspect that it </w:t>
      </w:r>
      <w:r w:rsidR="007F2B79" w:rsidRPr="00000849">
        <w:rPr>
          <w:rFonts w:asciiTheme="minorHAnsi" w:hAnsiTheme="minorHAnsi" w:cstheme="minorHAnsi"/>
          <w:color w:val="383838"/>
        </w:rPr>
        <w:t>was systematically</w:t>
      </w:r>
      <w:r w:rsidR="003973DC" w:rsidRPr="00000849">
        <w:rPr>
          <w:rFonts w:asciiTheme="minorHAnsi" w:hAnsiTheme="minorHAnsi" w:cstheme="minorHAnsi"/>
          <w:color w:val="383838"/>
        </w:rPr>
        <w:t xml:space="preserve"> related to the outcome variable</w:t>
      </w:r>
      <w:r w:rsidR="00D775CF" w:rsidRPr="00000849">
        <w:rPr>
          <w:rFonts w:asciiTheme="minorHAnsi" w:hAnsiTheme="minorHAnsi" w:cstheme="minorHAnsi"/>
          <w:color w:val="383838"/>
        </w:rPr>
        <w:t>, hypertension</w:t>
      </w:r>
      <w:r w:rsidR="003973DC" w:rsidRPr="00000849">
        <w:rPr>
          <w:rFonts w:asciiTheme="minorHAnsi" w:hAnsiTheme="minorHAnsi" w:cstheme="minorHAnsi"/>
          <w:color w:val="383838"/>
        </w:rPr>
        <w:t xml:space="preserve">.  </w:t>
      </w:r>
      <w:r w:rsidR="009E4F93" w:rsidRPr="00000849">
        <w:rPr>
          <w:rFonts w:asciiTheme="minorHAnsi" w:hAnsiTheme="minorHAnsi" w:cstheme="minorHAnsi"/>
          <w:color w:val="383838"/>
        </w:rPr>
        <w:t xml:space="preserve">If the missing data </w:t>
      </w:r>
      <w:r w:rsidR="009E4F93" w:rsidRPr="00000849">
        <w:rPr>
          <w:rFonts w:asciiTheme="minorHAnsi" w:hAnsiTheme="minorHAnsi" w:cstheme="minorHAnsi"/>
          <w:color w:val="383838"/>
        </w:rPr>
        <w:lastRenderedPageBreak/>
        <w:t xml:space="preserve">mechanism is not random, then the model will yield biased estimates </w:t>
      </w:r>
      <w:r w:rsidR="001B7223" w:rsidRPr="00000849">
        <w:rPr>
          <w:rFonts w:asciiTheme="minorHAnsi" w:hAnsiTheme="minorHAnsi" w:cstheme="minorHAnsi"/>
          <w:color w:val="383838"/>
        </w:rPr>
        <w:fldChar w:fldCharType="begin"/>
      </w:r>
      <w:r w:rsidR="00FF0A89" w:rsidRPr="00000849">
        <w:rPr>
          <w:rFonts w:asciiTheme="minorHAnsi" w:hAnsiTheme="minorHAnsi" w:cstheme="minorHAnsi"/>
          <w:color w:val="383838"/>
        </w:rPr>
        <w:instrText xml:space="preserve"> ADDIN EN.CITE &lt;EndNote&gt;&lt;Cite&gt;&lt;Author&gt;Laird&lt;/Author&gt;&lt;Year&gt;2013&lt;/Year&gt;&lt;RecNum&gt;1692&lt;/RecNum&gt;&lt;DisplayText&gt;(Laird &amp;amp; Fitzmaurice, 2013)&lt;/DisplayText&gt;&lt;record&gt;&lt;rec-number&gt;1692&lt;/rec-number&gt;&lt;foreign-keys&gt;&lt;key app="EN" db-id="9tzf2rda8re2a9es5tuxart3swzx2zws2s02" timestamp="1598853177"&gt;1692&lt;/key&gt;&lt;/foreign-keys&gt;&lt;ref-type name="Electronic Book Section"&gt;60&lt;/ref-type&gt;&lt;contributors&gt;&lt;authors&gt;&lt;author&gt;Laird, Nan M.&lt;/author&gt;&lt;author&gt;Fitzmaurice, Garrett M.&lt;/author&gt;&lt;/authors&gt;&lt;secondary-authors&gt;&lt;author&gt;Scott, Marc A.&lt;/author&gt;&lt;author&gt;Simonoff, Jeffrey S.&lt;/author&gt;&lt;author&gt;Marx, Brian D.&lt;/author&gt;&lt;/secondary-authors&gt;&lt;/contributors&gt;&lt;titles&gt;&lt;title&gt;Longitudinal data modeling&lt;/title&gt;&lt;secondary-title&gt;The SAGE Handbook of Multilevel Modeling&lt;/secondary-title&gt;&lt;/titles&gt;&lt;pages&gt;141-160&lt;/pages&gt;&lt;number&gt;9&lt;/number&gt;&lt;dates&gt;&lt;year&gt;2013&lt;/year&gt;&lt;pub-dates&gt;&lt;date&gt;2020/08/31&lt;/date&gt;&lt;/pub-dates&gt;&lt;/dates&gt;&lt;pub-location&gt;London&lt;/pub-location&gt;&lt;publisher&gt;SAGE Publications Ltd&lt;/publisher&gt;&lt;urls&gt;&lt;related-urls&gt;&lt;url&gt;https://methods.sagepub.com/book/the-sage-handbook-of-multilevel-modeling&lt;/url&gt;&lt;/related-urls&gt;&lt;/urls&gt;&lt;custom1&gt;Longitudinal Data Modeling&lt;/custom1&gt;&lt;custom2&gt;pages 141-160&lt;/custom2&gt;&lt;electronic-resource-num&gt;10.4135/9781446247600&lt;/electronic-resource-num&gt;&lt;/record&gt;&lt;/Cite&gt;&lt;/EndNote&gt;</w:instrText>
      </w:r>
      <w:r w:rsidR="001B7223" w:rsidRPr="00000849">
        <w:rPr>
          <w:rFonts w:asciiTheme="minorHAnsi" w:hAnsiTheme="minorHAnsi" w:cstheme="minorHAnsi"/>
          <w:color w:val="383838"/>
        </w:rPr>
        <w:fldChar w:fldCharType="separate"/>
      </w:r>
      <w:r w:rsidR="001B7223" w:rsidRPr="00000849">
        <w:rPr>
          <w:rFonts w:asciiTheme="minorHAnsi" w:hAnsiTheme="minorHAnsi" w:cstheme="minorHAnsi"/>
          <w:noProof/>
          <w:color w:val="383838"/>
        </w:rPr>
        <w:t>(Laird &amp; Fitzmaurice, 2013)</w:t>
      </w:r>
      <w:r w:rsidR="001B7223" w:rsidRPr="00000849">
        <w:rPr>
          <w:rFonts w:asciiTheme="minorHAnsi" w:hAnsiTheme="minorHAnsi" w:cstheme="minorHAnsi"/>
          <w:color w:val="383838"/>
        </w:rPr>
        <w:fldChar w:fldCharType="end"/>
      </w:r>
      <w:r w:rsidR="009E4F93" w:rsidRPr="00000849">
        <w:rPr>
          <w:rFonts w:asciiTheme="minorHAnsi" w:hAnsiTheme="minorHAnsi" w:cstheme="minorHAnsi"/>
          <w:color w:val="383838"/>
        </w:rPr>
        <w:t>.</w:t>
      </w:r>
    </w:p>
    <w:p w14:paraId="1959CD6C" w14:textId="71B8848D" w:rsidR="000B7F34" w:rsidRPr="00000849" w:rsidRDefault="00E77ED2" w:rsidP="003973DC">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These strengths, notwithstanding, the study also had some weaknesses.  </w:t>
      </w:r>
      <w:r w:rsidR="00596073" w:rsidRPr="00000849">
        <w:rPr>
          <w:rFonts w:asciiTheme="minorHAnsi" w:hAnsiTheme="minorHAnsi" w:cstheme="minorHAnsi"/>
          <w:color w:val="383838"/>
        </w:rPr>
        <w:t>In relation to the theoretical framework, s</w:t>
      </w:r>
      <w:r w:rsidR="000B7F34" w:rsidRPr="00000849">
        <w:rPr>
          <w:rFonts w:asciiTheme="minorHAnsi" w:hAnsiTheme="minorHAnsi" w:cstheme="minorHAnsi"/>
          <w:color w:val="383838"/>
        </w:rPr>
        <w:t>everal of the criticisms against the Rowe and Kahn model of successful ageing earlier discussed</w:t>
      </w:r>
      <w:r w:rsidRPr="00000849">
        <w:rPr>
          <w:rFonts w:asciiTheme="minorHAnsi" w:hAnsiTheme="minorHAnsi" w:cstheme="minorHAnsi"/>
          <w:color w:val="383838"/>
        </w:rPr>
        <w:t xml:space="preserve"> in section 3.5,</w:t>
      </w:r>
      <w:r w:rsidR="000B7F34" w:rsidRPr="00000849">
        <w:rPr>
          <w:rFonts w:asciiTheme="minorHAnsi" w:hAnsiTheme="minorHAnsi" w:cstheme="minorHAnsi"/>
          <w:color w:val="383838"/>
        </w:rPr>
        <w:t xml:space="preserve"> appl</w:t>
      </w:r>
      <w:r w:rsidRPr="00000849">
        <w:rPr>
          <w:rFonts w:asciiTheme="minorHAnsi" w:hAnsiTheme="minorHAnsi" w:cstheme="minorHAnsi"/>
          <w:color w:val="383838"/>
        </w:rPr>
        <w:t>ied</w:t>
      </w:r>
      <w:r w:rsidR="000B7F34" w:rsidRPr="00000849">
        <w:rPr>
          <w:rFonts w:asciiTheme="minorHAnsi" w:hAnsiTheme="minorHAnsi" w:cstheme="minorHAnsi"/>
          <w:color w:val="383838"/>
        </w:rPr>
        <w:t xml:space="preserve"> to the current SAGE data analysis</w:t>
      </w:r>
      <w:r w:rsidR="008F1869" w:rsidRPr="00000849">
        <w:rPr>
          <w:rFonts w:asciiTheme="minorHAnsi" w:hAnsiTheme="minorHAnsi" w:cstheme="minorHAnsi"/>
          <w:color w:val="383838"/>
        </w:rPr>
        <w:t xml:space="preserve"> </w:t>
      </w:r>
      <w:r w:rsidR="008F1869" w:rsidRPr="00000849">
        <w:rPr>
          <w:rFonts w:asciiTheme="minorHAnsi" w:hAnsiTheme="minorHAnsi" w:cstheme="minorHAnsi"/>
          <w:color w:val="383838"/>
        </w:rPr>
        <w:fldChar w:fldCharType="begin"/>
      </w:r>
      <w:r w:rsidR="008F1869" w:rsidRPr="00000849">
        <w:rPr>
          <w:rFonts w:asciiTheme="minorHAnsi" w:hAnsiTheme="minorHAnsi" w:cstheme="minorHAnsi"/>
          <w:color w:val="383838"/>
        </w:rPr>
        <w:instrText xml:space="preserve"> ADDIN EN.CITE &lt;EndNote&gt;&lt;Cite&gt;&lt;Author&gt;Martinson&lt;/Author&gt;&lt;Year&gt;2015&lt;/Year&gt;&lt;RecNum&gt;750&lt;/RecNum&gt;&lt;DisplayText&gt;(Martinson &amp;amp; Berridge, 2015)&lt;/DisplayText&gt;&lt;record&gt;&lt;rec-number&gt;750&lt;/rec-number&gt;&lt;foreign-keys&gt;&lt;key app="EN" db-id="9tzf2rda8re2a9es5tuxart3swzx2zws2s02" timestamp="1502840087"&gt;750&lt;/key&gt;&lt;/foreign-keys&gt;&lt;ref-type name="Journal Article"&gt;17&lt;/ref-type&gt;&lt;contributors&gt;&lt;authors&gt;&lt;author&gt;Martinson, Marty&lt;/author&gt;&lt;author&gt;Berridge, Clara&lt;/author&gt;&lt;/authors&gt;&lt;/contributors&gt;&lt;titles&gt;&lt;title&gt;Successful Aging and Its Discontents: A Systematic Review of the Social Gerontology Literature&lt;/title&gt;&lt;secondary-title&gt;The Gerontologist&lt;/secondary-title&gt;&lt;/titles&gt;&lt;periodical&gt;&lt;full-title&gt;The Gerontologist&lt;/full-title&gt;&lt;abbr-1&gt;Gerontologist&lt;/abbr-1&gt;&lt;/periodical&gt;&lt;pages&gt;58-69&lt;/pages&gt;&lt;volume&gt;55&lt;/volume&gt;&lt;number&gt;1&lt;/number&gt;&lt;dates&gt;&lt;year&gt;2015&lt;/year&gt;&lt;/dates&gt;&lt;isbn&gt;0016-9013&lt;/isbn&gt;&lt;urls&gt;&lt;related-urls&gt;&lt;url&gt;http://dx.doi.org/10.1093/geront/gnu037&lt;/url&gt;&lt;/related-urls&gt;&lt;/urls&gt;&lt;electronic-resource-num&gt;10.1093/geront/gnu037&lt;/electronic-resource-num&gt;&lt;/record&gt;&lt;/Cite&gt;&lt;/EndNote&gt;</w:instrText>
      </w:r>
      <w:r w:rsidR="008F1869" w:rsidRPr="00000849">
        <w:rPr>
          <w:rFonts w:asciiTheme="minorHAnsi" w:hAnsiTheme="minorHAnsi" w:cstheme="minorHAnsi"/>
          <w:color w:val="383838"/>
        </w:rPr>
        <w:fldChar w:fldCharType="separate"/>
      </w:r>
      <w:r w:rsidR="008F1869" w:rsidRPr="00000849">
        <w:rPr>
          <w:rFonts w:asciiTheme="minorHAnsi" w:hAnsiTheme="minorHAnsi" w:cstheme="minorHAnsi"/>
          <w:noProof/>
          <w:color w:val="383838"/>
        </w:rPr>
        <w:t>(Martinson &amp; Berridge, 2015)</w:t>
      </w:r>
      <w:r w:rsidR="008F1869" w:rsidRPr="00000849">
        <w:rPr>
          <w:rFonts w:asciiTheme="minorHAnsi" w:hAnsiTheme="minorHAnsi" w:cstheme="minorHAnsi"/>
          <w:color w:val="383838"/>
        </w:rPr>
        <w:fldChar w:fldCharType="end"/>
      </w:r>
      <w:r w:rsidR="000B7F34" w:rsidRPr="00000849">
        <w:rPr>
          <w:rFonts w:asciiTheme="minorHAnsi" w:hAnsiTheme="minorHAnsi" w:cstheme="minorHAnsi"/>
          <w:color w:val="383838"/>
        </w:rPr>
        <w:t xml:space="preserve">.  These include the dominant focus on the individual in influencing the occurrence and pattern of hypertension, and the limited consideration of </w:t>
      </w:r>
      <w:r w:rsidR="008F1869" w:rsidRPr="00000849">
        <w:rPr>
          <w:rFonts w:asciiTheme="minorHAnsi" w:hAnsiTheme="minorHAnsi" w:cstheme="minorHAnsi"/>
          <w:color w:val="383838"/>
        </w:rPr>
        <w:t xml:space="preserve">cognitive function and </w:t>
      </w:r>
      <w:r w:rsidR="000B7F34" w:rsidRPr="00000849">
        <w:rPr>
          <w:rFonts w:asciiTheme="minorHAnsi" w:hAnsiTheme="minorHAnsi" w:cstheme="minorHAnsi"/>
          <w:color w:val="383838"/>
        </w:rPr>
        <w:t xml:space="preserve">psycho-social factors.  </w:t>
      </w:r>
      <w:r w:rsidRPr="00000849">
        <w:rPr>
          <w:rFonts w:asciiTheme="minorHAnsi" w:hAnsiTheme="minorHAnsi" w:cstheme="minorHAnsi"/>
          <w:color w:val="383838"/>
        </w:rPr>
        <w:t xml:space="preserve">The presence of hypertension and risk factors served as a proxy for ‘successful ageing’, which may have been an oversimplification of this complex concept with multiple definitions </w:t>
      </w:r>
      <w:r w:rsidRPr="00000849">
        <w:rPr>
          <w:rFonts w:asciiTheme="minorHAnsi" w:hAnsiTheme="minorHAnsi" w:cstheme="minorHAnsi"/>
          <w:color w:val="383838"/>
        </w:rPr>
        <w:fldChar w:fldCharType="begin"/>
      </w:r>
      <w:r w:rsidRPr="00000849">
        <w:rPr>
          <w:rFonts w:asciiTheme="minorHAnsi" w:hAnsiTheme="minorHAnsi" w:cstheme="minorHAnsi"/>
          <w:color w:val="383838"/>
        </w:rPr>
        <w:instrText xml:space="preserve"> ADDIN EN.CITE &lt;EndNote&gt;&lt;Cite&gt;&lt;Author&gt;Depp&lt;/Author&gt;&lt;Year&gt;2006&lt;/Year&gt;&lt;RecNum&gt;86&lt;/RecNum&gt;&lt;DisplayText&gt;(Depp &amp;amp; Jeste, 2006; Dillaway &amp;amp; Byrnes, 2009)&lt;/DisplayText&gt;&lt;record&gt;&lt;rec-number&gt;86&lt;/rec-number&gt;&lt;foreign-keys&gt;&lt;key app="EN" db-id="9tzf2rda8re2a9es5tuxart3swzx2zws2s02" timestamp="1466323747"&gt;86&lt;/key&gt;&lt;/foreign-keys&gt;&lt;ref-type name="Journal Article"&gt;17&lt;/ref-type&gt;&lt;contributors&gt;&lt;authors&gt;&lt;author&gt;Depp, Colin A&lt;/author&gt;&lt;author&gt;Jeste, Dilip V&lt;/author&gt;&lt;/authors&gt;&lt;/contributors&gt;&lt;titles&gt;&lt;title&gt;Definitions and predictors of successful aging: a comprehensive review of larger quantitative studies&lt;/title&gt;&lt;secondary-title&gt;The American Journal of Geriatric Psychiatry&lt;/secondary-title&gt;&lt;/titles&gt;&lt;periodical&gt;&lt;full-title&gt;The American Journal of Geriatric Psychiatry&lt;/full-title&gt;&lt;/periodical&gt;&lt;pages&gt;6-20&lt;/pages&gt;&lt;volume&gt;14&lt;/volume&gt;&lt;number&gt;1&lt;/number&gt;&lt;dates&gt;&lt;year&gt;2006&lt;/year&gt;&lt;/dates&gt;&lt;isbn&gt;1064-7481&lt;/isbn&gt;&lt;urls&gt;&lt;/urls&gt;&lt;/record&gt;&lt;/Cite&gt;&lt;Cite&gt;&lt;Author&gt;Dillaway&lt;/Author&gt;&lt;Year&gt;2009&lt;/Year&gt;&lt;RecNum&gt;753&lt;/RecNum&gt;&lt;record&gt;&lt;rec-number&gt;753&lt;/rec-number&gt;&lt;foreign-keys&gt;&lt;key app="EN" db-id="9tzf2rda8re2a9es5tuxart3swzx2zws2s02" timestamp="1502846474"&gt;753&lt;/key&gt;&lt;/foreign-keys&gt;&lt;ref-type name="Journal Article"&gt;17&lt;/ref-type&gt;&lt;contributors&gt;&lt;authors&gt;&lt;author&gt;Dillaway, Heather E.&lt;/author&gt;&lt;author&gt;Byrnes, Mary&lt;/author&gt;&lt;/authors&gt;&lt;/contributors&gt;&lt;titles&gt;&lt;title&gt;Reconsidering Successful Aging: A Call for Renewed and Expanded Academic Critiques and Conceptualizations&lt;/title&gt;&lt;secondary-title&gt;Journal of Applied Gerontology&lt;/secondary-title&gt;&lt;/titles&gt;&lt;periodical&gt;&lt;full-title&gt;Journal of Applied Gerontology&lt;/full-title&gt;&lt;/periodical&gt;&lt;pages&gt;702-722&lt;/pages&gt;&lt;volume&gt;28&lt;/volume&gt;&lt;number&gt;6&lt;/number&gt;&lt;dates&gt;&lt;year&gt;2009&lt;/year&gt;&lt;pub-dates&gt;&lt;date&gt;2009/12/01&lt;/date&gt;&lt;/pub-dates&gt;&lt;/dates&gt;&lt;publisher&gt;SAGE Publications Inc&lt;/publisher&gt;&lt;isbn&gt;0733-4648&lt;/isbn&gt;&lt;urls&gt;&lt;related-urls&gt;&lt;url&gt;http://dx.doi.org/10.1177/0733464809333882&lt;/url&gt;&lt;/related-urls&gt;&lt;/urls&gt;&lt;electronic-resource-num&gt;10.1177/0733464809333882&lt;/electronic-resource-num&gt;&lt;access-date&gt;2017/08/15&lt;/access-date&gt;&lt;/record&gt;&lt;/Cite&gt;&lt;/EndNote&gt;</w:instrText>
      </w:r>
      <w:r w:rsidRPr="00000849">
        <w:rPr>
          <w:rFonts w:asciiTheme="minorHAnsi" w:hAnsiTheme="minorHAnsi" w:cstheme="minorHAnsi"/>
          <w:color w:val="383838"/>
        </w:rPr>
        <w:fldChar w:fldCharType="separate"/>
      </w:r>
      <w:r w:rsidRPr="00000849">
        <w:rPr>
          <w:rFonts w:asciiTheme="minorHAnsi" w:hAnsiTheme="minorHAnsi" w:cstheme="minorHAnsi"/>
          <w:noProof/>
          <w:color w:val="383838"/>
        </w:rPr>
        <w:t>(Depp &amp; Jeste, 2006; Dillaway &amp; Byrnes, 2009)</w:t>
      </w:r>
      <w:r w:rsidRPr="00000849">
        <w:rPr>
          <w:rFonts w:asciiTheme="minorHAnsi" w:hAnsiTheme="minorHAnsi" w:cstheme="minorHAnsi"/>
          <w:color w:val="383838"/>
        </w:rPr>
        <w:fldChar w:fldCharType="end"/>
      </w:r>
      <w:r w:rsidRPr="00000849">
        <w:rPr>
          <w:rFonts w:asciiTheme="minorHAnsi" w:hAnsiTheme="minorHAnsi" w:cstheme="minorHAnsi"/>
          <w:color w:val="383838"/>
        </w:rPr>
        <w:t xml:space="preserve">.  </w:t>
      </w:r>
    </w:p>
    <w:p w14:paraId="04BAF8EF" w14:textId="6E133B12" w:rsidR="002C6410" w:rsidRPr="00000849" w:rsidRDefault="008F1869" w:rsidP="00FF088F">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Other study</w:t>
      </w:r>
      <w:r w:rsidR="00FF088F" w:rsidRPr="00000849">
        <w:rPr>
          <w:rFonts w:asciiTheme="minorHAnsi" w:hAnsiTheme="minorHAnsi" w:cstheme="minorHAnsi"/>
          <w:color w:val="383838"/>
        </w:rPr>
        <w:t xml:space="preserve"> </w:t>
      </w:r>
      <w:r w:rsidR="002C6410" w:rsidRPr="00000849">
        <w:rPr>
          <w:rFonts w:asciiTheme="minorHAnsi" w:hAnsiTheme="minorHAnsi" w:cstheme="minorHAnsi"/>
          <w:color w:val="383838"/>
        </w:rPr>
        <w:t>limitations include</w:t>
      </w:r>
      <w:r w:rsidR="00FF088F" w:rsidRPr="00000849">
        <w:rPr>
          <w:rFonts w:asciiTheme="minorHAnsi" w:hAnsiTheme="minorHAnsi" w:cstheme="minorHAnsi"/>
          <w:color w:val="383838"/>
        </w:rPr>
        <w:t>d</w:t>
      </w:r>
      <w:r w:rsidR="002C6410" w:rsidRPr="00000849">
        <w:rPr>
          <w:rFonts w:asciiTheme="minorHAnsi" w:hAnsiTheme="minorHAnsi" w:cstheme="minorHAnsi"/>
          <w:color w:val="383838"/>
        </w:rPr>
        <w:t xml:space="preserve"> participant attrition (</w:t>
      </w:r>
      <w:r w:rsidR="00596073" w:rsidRPr="00000849">
        <w:rPr>
          <w:rFonts w:asciiTheme="minorHAnsi" w:hAnsiTheme="minorHAnsi" w:cstheme="minorHAnsi"/>
          <w:color w:val="383838"/>
        </w:rPr>
        <w:t xml:space="preserve">from </w:t>
      </w:r>
      <w:r w:rsidR="002C6410" w:rsidRPr="00000849">
        <w:rPr>
          <w:rFonts w:asciiTheme="minorHAnsi" w:hAnsiTheme="minorHAnsi" w:cstheme="minorHAnsi"/>
          <w:color w:val="383838"/>
        </w:rPr>
        <w:t>Wave 1 to Wave 2), inability to validate self-reported responses, the measurement of BP at a single visit</w:t>
      </w:r>
      <w:r w:rsidR="00FF088F" w:rsidRPr="00000849">
        <w:rPr>
          <w:rFonts w:asciiTheme="minorHAnsi" w:hAnsiTheme="minorHAnsi" w:cstheme="minorHAnsi"/>
          <w:color w:val="383838"/>
        </w:rPr>
        <w:t xml:space="preserve"> and insufficient number of time points to allow for more appropriate longitudinal analyses.</w:t>
      </w:r>
      <w:r w:rsidR="00B26868" w:rsidRPr="00000849">
        <w:rPr>
          <w:rFonts w:asciiTheme="minorHAnsi" w:hAnsiTheme="minorHAnsi" w:cstheme="minorHAnsi"/>
          <w:color w:val="383838"/>
        </w:rPr>
        <w:t xml:space="preserve">  The low proportion </w:t>
      </w:r>
      <w:r w:rsidR="00D775CF" w:rsidRPr="00000849">
        <w:rPr>
          <w:rFonts w:asciiTheme="minorHAnsi" w:hAnsiTheme="minorHAnsi" w:cstheme="minorHAnsi"/>
          <w:color w:val="383838"/>
        </w:rPr>
        <w:t xml:space="preserve">(42%) </w:t>
      </w:r>
      <w:r w:rsidR="00B26868" w:rsidRPr="00000849">
        <w:rPr>
          <w:rFonts w:asciiTheme="minorHAnsi" w:hAnsiTheme="minorHAnsi" w:cstheme="minorHAnsi"/>
          <w:color w:val="383838"/>
        </w:rPr>
        <w:t xml:space="preserve">of W1 cohort who participated in W2 </w:t>
      </w:r>
      <w:r w:rsidR="001C251C" w:rsidRPr="00000849">
        <w:rPr>
          <w:rFonts w:asciiTheme="minorHAnsi" w:hAnsiTheme="minorHAnsi" w:cstheme="minorHAnsi"/>
          <w:color w:val="383838"/>
        </w:rPr>
        <w:t>provides less opportunity to study individual level changes in</w:t>
      </w:r>
      <w:r w:rsidR="00B26868" w:rsidRPr="00000849">
        <w:rPr>
          <w:rFonts w:asciiTheme="minorHAnsi" w:hAnsiTheme="minorHAnsi" w:cstheme="minorHAnsi"/>
          <w:color w:val="383838"/>
        </w:rPr>
        <w:t xml:space="preserve"> the prevalence of hypertension over time than if there was a larger cohort participation in the two waves.  </w:t>
      </w:r>
      <w:r w:rsidR="001B02E3" w:rsidRPr="00000849">
        <w:rPr>
          <w:rFonts w:asciiTheme="minorHAnsi" w:hAnsiTheme="minorHAnsi" w:cstheme="minorHAnsi"/>
          <w:color w:val="383838"/>
        </w:rPr>
        <w:t>Attrition was mostly related to relocation of participants for various reasons, some supposedly personal and others statutory</w:t>
      </w:r>
      <w:r w:rsidR="003973DC" w:rsidRPr="00000849">
        <w:rPr>
          <w:rFonts w:asciiTheme="minorHAnsi" w:hAnsiTheme="minorHAnsi" w:cstheme="minorHAnsi"/>
          <w:color w:val="383838"/>
        </w:rPr>
        <w:t xml:space="preserve"> (e.g. national development structures)</w:t>
      </w:r>
      <w:r w:rsidR="001B02E3" w:rsidRPr="00000849">
        <w:rPr>
          <w:rFonts w:asciiTheme="minorHAnsi" w:hAnsiTheme="minorHAnsi" w:cstheme="minorHAnsi"/>
          <w:color w:val="383838"/>
        </w:rPr>
        <w:t xml:space="preserve">.  </w:t>
      </w:r>
    </w:p>
    <w:p w14:paraId="77408720" w14:textId="3489CAB1" w:rsidR="002C6410" w:rsidRPr="00000849" w:rsidRDefault="00B26868" w:rsidP="00B26868">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The responses on behaviour and lifestyle – for example, alcohol use and smoking - may be influenced by social, cultural and religious norms.  The recall capacity of subjects in the sample will </w:t>
      </w:r>
      <w:r w:rsidR="000305B0" w:rsidRPr="00000849">
        <w:rPr>
          <w:rFonts w:asciiTheme="minorHAnsi" w:hAnsiTheme="minorHAnsi" w:cstheme="minorHAnsi"/>
          <w:color w:val="383838"/>
        </w:rPr>
        <w:t>reduce with increasing</w:t>
      </w:r>
      <w:r w:rsidRPr="00000849">
        <w:rPr>
          <w:rFonts w:asciiTheme="minorHAnsi" w:hAnsiTheme="minorHAnsi" w:cstheme="minorHAnsi"/>
          <w:color w:val="383838"/>
        </w:rPr>
        <w:t xml:space="preserve"> age </w:t>
      </w:r>
      <w:r w:rsidR="000305B0" w:rsidRPr="00000849">
        <w:rPr>
          <w:rFonts w:asciiTheme="minorHAnsi" w:hAnsiTheme="minorHAnsi" w:cstheme="minorHAnsi"/>
          <w:color w:val="383838"/>
        </w:rPr>
        <w:t xml:space="preserve">of the </w:t>
      </w:r>
      <w:r w:rsidRPr="00000849">
        <w:rPr>
          <w:rFonts w:asciiTheme="minorHAnsi" w:hAnsiTheme="minorHAnsi" w:cstheme="minorHAnsi"/>
          <w:color w:val="383838"/>
        </w:rPr>
        <w:t>subjects.  The</w:t>
      </w:r>
      <w:r w:rsidR="002C6410" w:rsidRPr="00000849">
        <w:rPr>
          <w:rFonts w:asciiTheme="minorHAnsi" w:hAnsiTheme="minorHAnsi" w:cstheme="minorHAnsi"/>
          <w:color w:val="383838"/>
        </w:rPr>
        <w:t xml:space="preserve"> high levels of illiteracy in the sample studied</w:t>
      </w:r>
      <w:r w:rsidRPr="00000849">
        <w:rPr>
          <w:rFonts w:asciiTheme="minorHAnsi" w:hAnsiTheme="minorHAnsi" w:cstheme="minorHAnsi"/>
          <w:color w:val="383838"/>
        </w:rPr>
        <w:t xml:space="preserve"> could </w:t>
      </w:r>
      <w:r w:rsidR="00BF50DA" w:rsidRPr="00000849">
        <w:rPr>
          <w:rFonts w:asciiTheme="minorHAnsi" w:hAnsiTheme="minorHAnsi" w:cstheme="minorHAnsi"/>
          <w:color w:val="383838"/>
        </w:rPr>
        <w:t>have</w:t>
      </w:r>
      <w:r w:rsidR="002C6410" w:rsidRPr="00000849">
        <w:rPr>
          <w:rFonts w:asciiTheme="minorHAnsi" w:hAnsiTheme="minorHAnsi" w:cstheme="minorHAnsi"/>
          <w:color w:val="383838"/>
        </w:rPr>
        <w:t xml:space="preserve"> </w:t>
      </w:r>
      <w:r w:rsidRPr="00000849">
        <w:rPr>
          <w:rFonts w:asciiTheme="minorHAnsi" w:hAnsiTheme="minorHAnsi" w:cstheme="minorHAnsi"/>
          <w:color w:val="383838"/>
        </w:rPr>
        <w:t xml:space="preserve">negatively affected </w:t>
      </w:r>
      <w:r w:rsidR="002C6410" w:rsidRPr="00000849">
        <w:rPr>
          <w:rFonts w:asciiTheme="minorHAnsi" w:hAnsiTheme="minorHAnsi" w:cstheme="minorHAnsi"/>
          <w:color w:val="383838"/>
        </w:rPr>
        <w:t xml:space="preserve">the </w:t>
      </w:r>
      <w:r w:rsidRPr="00000849">
        <w:rPr>
          <w:rFonts w:asciiTheme="minorHAnsi" w:hAnsiTheme="minorHAnsi" w:cstheme="minorHAnsi"/>
          <w:color w:val="383838"/>
        </w:rPr>
        <w:t xml:space="preserve">ability of </w:t>
      </w:r>
      <w:r w:rsidRPr="00000849">
        <w:rPr>
          <w:rFonts w:asciiTheme="minorHAnsi" w:hAnsiTheme="minorHAnsi" w:cstheme="minorHAnsi"/>
          <w:color w:val="383838"/>
        </w:rPr>
        <w:lastRenderedPageBreak/>
        <w:t>subjects t</w:t>
      </w:r>
      <w:r w:rsidR="002C6410" w:rsidRPr="00000849">
        <w:rPr>
          <w:rFonts w:asciiTheme="minorHAnsi" w:hAnsiTheme="minorHAnsi" w:cstheme="minorHAnsi"/>
          <w:color w:val="383838"/>
        </w:rPr>
        <w:t>o correctly report previous diagnosis of hypertension</w:t>
      </w:r>
      <w:r w:rsidRPr="00000849">
        <w:rPr>
          <w:rFonts w:asciiTheme="minorHAnsi" w:hAnsiTheme="minorHAnsi" w:cstheme="minorHAnsi"/>
          <w:color w:val="383838"/>
        </w:rPr>
        <w:t xml:space="preserve">.  </w:t>
      </w:r>
      <w:r w:rsidR="00250892" w:rsidRPr="00000849">
        <w:rPr>
          <w:rFonts w:asciiTheme="minorHAnsi" w:hAnsiTheme="minorHAnsi" w:cstheme="minorHAnsi"/>
          <w:color w:val="383838"/>
        </w:rPr>
        <w:t>The l</w:t>
      </w:r>
      <w:r w:rsidR="000D36B6" w:rsidRPr="00000849">
        <w:rPr>
          <w:rFonts w:asciiTheme="minorHAnsi" w:hAnsiTheme="minorHAnsi" w:cstheme="minorHAnsi"/>
          <w:color w:val="383838"/>
        </w:rPr>
        <w:t xml:space="preserve">iteracy levels were higher among W1 than among W2 participants.  On the other hand, W1 participants were also older than W2 participants.  </w:t>
      </w:r>
      <w:r w:rsidR="006C4AA0" w:rsidRPr="00000849">
        <w:rPr>
          <w:rFonts w:asciiTheme="minorHAnsi" w:hAnsiTheme="minorHAnsi" w:cstheme="minorHAnsi"/>
          <w:color w:val="383838"/>
        </w:rPr>
        <w:t xml:space="preserve">If participants in one wave, for whatever reason, systematically recalled a previous diagnosis of hypertension better than those in another wave, this will overestimate the prevalence of hypertension in the former group.  </w:t>
      </w:r>
      <w:r w:rsidR="00BE023E" w:rsidRPr="00000849">
        <w:rPr>
          <w:rFonts w:asciiTheme="minorHAnsi" w:hAnsiTheme="minorHAnsi" w:cstheme="minorHAnsi"/>
          <w:color w:val="383838"/>
        </w:rPr>
        <w:t>In reality, it is impossible to predict the impact of recall bias on the validity of measurements between the two study waves</w:t>
      </w:r>
      <w:r w:rsidRPr="00000849">
        <w:rPr>
          <w:rFonts w:asciiTheme="minorHAnsi" w:hAnsiTheme="minorHAnsi" w:cstheme="minorHAnsi"/>
          <w:color w:val="383838"/>
        </w:rPr>
        <w:t>.</w:t>
      </w:r>
      <w:r w:rsidR="00250892" w:rsidRPr="00000849">
        <w:rPr>
          <w:rFonts w:asciiTheme="minorHAnsi" w:hAnsiTheme="minorHAnsi" w:cstheme="minorHAnsi"/>
          <w:color w:val="383838"/>
        </w:rPr>
        <w:t xml:space="preserve">  In order to reduce the problems of recall bias, object</w:t>
      </w:r>
      <w:r w:rsidR="00BE023E" w:rsidRPr="00000849">
        <w:rPr>
          <w:rFonts w:asciiTheme="minorHAnsi" w:hAnsiTheme="minorHAnsi" w:cstheme="minorHAnsi"/>
          <w:color w:val="383838"/>
        </w:rPr>
        <w:t>ive measurements such as blood pressure and anthropometric measurements were taken.</w:t>
      </w:r>
    </w:p>
    <w:p w14:paraId="53F840FB" w14:textId="237D9A91" w:rsidR="00977021" w:rsidRPr="00000849" w:rsidRDefault="00BF50DA" w:rsidP="00B26868">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Although</w:t>
      </w:r>
      <w:r w:rsidR="00977021" w:rsidRPr="00000849">
        <w:rPr>
          <w:rFonts w:asciiTheme="minorHAnsi" w:hAnsiTheme="minorHAnsi" w:cstheme="minorHAnsi"/>
          <w:color w:val="383838"/>
        </w:rPr>
        <w:t xml:space="preserve"> a large number of co-variates were assessed in the models, </w:t>
      </w:r>
      <w:r w:rsidR="00616764" w:rsidRPr="00000849">
        <w:rPr>
          <w:rFonts w:asciiTheme="minorHAnsi" w:hAnsiTheme="minorHAnsi" w:cstheme="minorHAnsi"/>
          <w:color w:val="383838"/>
        </w:rPr>
        <w:t xml:space="preserve">it is still possible that important observed or unobserved co-variates were missed.  For example, </w:t>
      </w:r>
      <w:r w:rsidR="00977021" w:rsidRPr="00000849">
        <w:rPr>
          <w:rFonts w:asciiTheme="minorHAnsi" w:hAnsiTheme="minorHAnsi" w:cstheme="minorHAnsi"/>
          <w:color w:val="383838"/>
        </w:rPr>
        <w:t xml:space="preserve">the study did not include variables relating to the social and functional engagement, important elements of successful ageing in the Rowe and Kahn model </w:t>
      </w:r>
      <w:r w:rsidR="00977021" w:rsidRPr="00000849">
        <w:rPr>
          <w:rFonts w:asciiTheme="minorHAnsi" w:hAnsiTheme="minorHAnsi" w:cstheme="minorHAnsi"/>
          <w:color w:val="383838"/>
        </w:rPr>
        <w:fldChar w:fldCharType="begin"/>
      </w:r>
      <w:r w:rsidR="0060706B" w:rsidRPr="00000849">
        <w:rPr>
          <w:rFonts w:asciiTheme="minorHAnsi" w:hAnsiTheme="minorHAnsi" w:cstheme="minorHAnsi"/>
          <w:color w:val="383838"/>
        </w:rPr>
        <w:instrText xml:space="preserve"> ADDIN EN.CITE &lt;EndNote&gt;&lt;Cite&gt;&lt;Author&gt;Rowe&lt;/Author&gt;&lt;Year&gt;1997&lt;/Year&gt;&lt;RecNum&gt;24&lt;/RecNum&gt;&lt;DisplayText&gt;(Rowe &amp;amp; Kahn, 1997)&lt;/DisplayText&gt;&lt;record&gt;&lt;rec-number&gt;24&lt;/rec-number&gt;&lt;foreign-keys&gt;&lt;key app="EN" db-id="9tzf2rda8re2a9es5tuxart3swzx2zws2s02" timestamp="1463942467"&gt;24&lt;/key&gt;&lt;/foreign-keys&gt;&lt;ref-type name="Journal Article"&gt;17&lt;/ref-type&gt;&lt;contributors&gt;&lt;authors&gt;&lt;author&gt;Rowe, John W&lt;/author&gt;&lt;author&gt;Kahn, Robert L&lt;/author&gt;&lt;/authors&gt;&lt;/contributors&gt;&lt;titles&gt;&lt;title&gt;Successful aging&lt;/title&gt;&lt;secondary-title&gt;The Gerontologist&lt;/secondary-title&gt;&lt;/titles&gt;&lt;periodical&gt;&lt;full-title&gt;The Gerontologist&lt;/full-title&gt;&lt;abbr-1&gt;Gerontologist&lt;/abbr-1&gt;&lt;/periodical&gt;&lt;pages&gt;433-440&lt;/pages&gt;&lt;volume&gt;37&lt;/volume&gt;&lt;number&gt;4&lt;/number&gt;&lt;dates&gt;&lt;year&gt;1997&lt;/year&gt;&lt;/dates&gt;&lt;isbn&gt;0016-9013&lt;/isbn&gt;&lt;urls&gt;&lt;/urls&gt;&lt;/record&gt;&lt;/Cite&gt;&lt;/EndNote&gt;</w:instrText>
      </w:r>
      <w:r w:rsidR="00977021" w:rsidRPr="00000849">
        <w:rPr>
          <w:rFonts w:asciiTheme="minorHAnsi" w:hAnsiTheme="minorHAnsi" w:cstheme="minorHAnsi"/>
          <w:color w:val="383838"/>
        </w:rPr>
        <w:fldChar w:fldCharType="separate"/>
      </w:r>
      <w:r w:rsidR="0060706B" w:rsidRPr="00000849">
        <w:rPr>
          <w:rFonts w:asciiTheme="minorHAnsi" w:hAnsiTheme="minorHAnsi" w:cstheme="minorHAnsi"/>
          <w:noProof/>
          <w:color w:val="383838"/>
        </w:rPr>
        <w:t>(Rowe &amp; Kahn, 1997)</w:t>
      </w:r>
      <w:r w:rsidR="00977021" w:rsidRPr="00000849">
        <w:rPr>
          <w:rFonts w:asciiTheme="minorHAnsi" w:hAnsiTheme="minorHAnsi" w:cstheme="minorHAnsi"/>
          <w:color w:val="383838"/>
        </w:rPr>
        <w:fldChar w:fldCharType="end"/>
      </w:r>
      <w:r w:rsidR="00977021" w:rsidRPr="00000849">
        <w:rPr>
          <w:rFonts w:asciiTheme="minorHAnsi" w:hAnsiTheme="minorHAnsi" w:cstheme="minorHAnsi"/>
          <w:color w:val="383838"/>
        </w:rPr>
        <w:t xml:space="preserve">. </w:t>
      </w:r>
      <w:r w:rsidR="0015565A" w:rsidRPr="00000849">
        <w:rPr>
          <w:rFonts w:asciiTheme="minorHAnsi" w:hAnsiTheme="minorHAnsi" w:cstheme="minorHAnsi"/>
          <w:color w:val="383838"/>
        </w:rPr>
        <w:t xml:space="preserve"> Social interaction, particularly strong family support systems, friendship and community networks are important contributors to the quality of life of older adults in Ghana </w:t>
      </w:r>
      <w:r w:rsidR="0015565A" w:rsidRPr="00000849">
        <w:rPr>
          <w:rFonts w:asciiTheme="minorHAnsi" w:hAnsiTheme="minorHAnsi" w:cstheme="minorHAnsi"/>
          <w:color w:val="383838"/>
        </w:rPr>
        <w:fldChar w:fldCharType="begin"/>
      </w:r>
      <w:r w:rsidR="0015565A" w:rsidRPr="00000849">
        <w:rPr>
          <w:rFonts w:asciiTheme="minorHAnsi" w:hAnsiTheme="minorHAnsi" w:cstheme="minorHAnsi"/>
          <w:color w:val="383838"/>
        </w:rPr>
        <w:instrText xml:space="preserve"> ADDIN EN.CITE &lt;EndNote&gt;&lt;Cite&gt;&lt;Author&gt;Doh&lt;/Author&gt;&lt;Year&gt;2017&lt;/Year&gt;&lt;RecNum&gt;1128&lt;/RecNum&gt;&lt;DisplayText&gt;(Doh, 2017)&lt;/DisplayText&gt;&lt;record&gt;&lt;rec-number&gt;1128&lt;/rec-number&gt;&lt;foreign-keys&gt;&lt;key app="EN" db-id="9tzf2rda8re2a9es5tuxart3swzx2zws2s02" timestamp="1579594671"&gt;1128&lt;/key&gt;&lt;/foreign-keys&gt;&lt;ref-type name="Thesis"&gt;32&lt;/ref-type&gt;&lt;contributors&gt;&lt;authors&gt;&lt;author&gt;Doh, Daniel&lt;/author&gt;&lt;/authors&gt;&lt;/contributors&gt;&lt;titles&gt;&lt;title&gt;Towards active ageing: A comparative study ofexperiences of older Ghanaians in Australia and Ghana&lt;/title&gt;&lt;secondary-title&gt;School of Arts and Humanities&lt;/secondary-title&gt;&lt;/titles&gt;&lt;volume&gt;PhD&lt;/volume&gt;&lt;dates&gt;&lt;year&gt;2017&lt;/year&gt;&lt;/dates&gt;&lt;pub-location&gt;Joondalup, WA, Australia&lt;/pub-location&gt;&lt;publisher&gt;Edith Cowan University&lt;/publisher&gt;&lt;urls&gt;&lt;related-urls&gt;&lt;url&gt;https://ro.ecu.edu.au/cgi/viewcontent.cgi?referer=https://scholar.google.com/&amp;amp;httpsredir=1&amp;amp;article=3012&amp;amp;context=theses&lt;/url&gt;&lt;/related-urls&gt;&lt;/urls&gt;&lt;/record&gt;&lt;/Cite&gt;&lt;/EndNote&gt;</w:instrText>
      </w:r>
      <w:r w:rsidR="0015565A" w:rsidRPr="00000849">
        <w:rPr>
          <w:rFonts w:asciiTheme="minorHAnsi" w:hAnsiTheme="minorHAnsi" w:cstheme="minorHAnsi"/>
          <w:color w:val="383838"/>
        </w:rPr>
        <w:fldChar w:fldCharType="separate"/>
      </w:r>
      <w:r w:rsidR="0015565A" w:rsidRPr="00000849">
        <w:rPr>
          <w:rFonts w:asciiTheme="minorHAnsi" w:hAnsiTheme="minorHAnsi" w:cstheme="minorHAnsi"/>
          <w:noProof/>
          <w:color w:val="383838"/>
        </w:rPr>
        <w:t>(Doh, 2017)</w:t>
      </w:r>
      <w:r w:rsidR="0015565A" w:rsidRPr="00000849">
        <w:rPr>
          <w:rFonts w:asciiTheme="minorHAnsi" w:hAnsiTheme="minorHAnsi" w:cstheme="minorHAnsi"/>
          <w:color w:val="383838"/>
        </w:rPr>
        <w:fldChar w:fldCharType="end"/>
      </w:r>
      <w:r w:rsidR="0015565A" w:rsidRPr="00000849">
        <w:rPr>
          <w:rFonts w:asciiTheme="minorHAnsi" w:hAnsiTheme="minorHAnsi" w:cstheme="minorHAnsi"/>
          <w:color w:val="383838"/>
        </w:rPr>
        <w:t xml:space="preserve">.  Social support and </w:t>
      </w:r>
      <w:r w:rsidR="00616764" w:rsidRPr="00000849">
        <w:rPr>
          <w:rFonts w:asciiTheme="minorHAnsi" w:hAnsiTheme="minorHAnsi" w:cstheme="minorHAnsi"/>
          <w:color w:val="383838"/>
        </w:rPr>
        <w:t>engagement</w:t>
      </w:r>
      <w:r w:rsidR="0015565A" w:rsidRPr="00000849">
        <w:rPr>
          <w:rFonts w:asciiTheme="minorHAnsi" w:hAnsiTheme="minorHAnsi" w:cstheme="minorHAnsi"/>
          <w:color w:val="383838"/>
        </w:rPr>
        <w:t xml:space="preserve"> are also associated with health service utilization of older adults in Ghana </w:t>
      </w:r>
      <w:r w:rsidR="0015565A" w:rsidRPr="00000849">
        <w:rPr>
          <w:rFonts w:asciiTheme="minorHAnsi" w:hAnsiTheme="minorHAnsi" w:cstheme="minorHAnsi"/>
          <w:color w:val="383838"/>
        </w:rPr>
        <w:fldChar w:fldCharType="begin"/>
      </w:r>
      <w:r w:rsidR="00431DA0" w:rsidRPr="00000849">
        <w:rPr>
          <w:rFonts w:asciiTheme="minorHAnsi" w:hAnsiTheme="minorHAnsi" w:cstheme="minorHAnsi"/>
          <w:color w:val="383838"/>
        </w:rPr>
        <w:instrText xml:space="preserve"> ADDIN EN.CITE &lt;EndNote&gt;&lt;Cite&gt;&lt;Author&gt;Gyasi&lt;/Author&gt;&lt;Year&gt;2018&lt;/Year&gt;&lt;RecNum&gt;1129&lt;/RecNum&gt;&lt;DisplayText&gt;(Gyasi et al., 2018)&lt;/DisplayText&gt;&lt;record&gt;&lt;rec-number&gt;1129&lt;/rec-number&gt;&lt;foreign-keys&gt;&lt;key app="EN" db-id="9tzf2rda8re2a9es5tuxart3swzx2zws2s02" timestamp="1579619001"&gt;1129&lt;/key&gt;&lt;/foreign-keys&gt;&lt;ref-type name="Journal Article"&gt;17&lt;/ref-type&gt;&lt;contributors&gt;&lt;authors&gt;&lt;author&gt;Gyasi, Razak M&lt;/author&gt;&lt;author&gt;Phillips, David R&lt;/author&gt;&lt;author&gt;Amoah, Padmore Adusei&lt;/author&gt;&lt;/authors&gt;&lt;/contributors&gt;&lt;titles&gt;&lt;title&gt;Multidimensional social support and health services utilization among noninstitutionalized older persons in Ghana&lt;/title&gt;&lt;secondary-title&gt;Journal of Aging and Health&lt;/secondary-title&gt;&lt;/titles&gt;&lt;periodical&gt;&lt;full-title&gt;Journal of Aging and Health&lt;/full-title&gt;&lt;abbr-1&gt;Journal of Aging and Health&lt;/abbr-1&gt;&lt;/periodical&gt;&lt;pages&gt;898264318816217&lt;/pages&gt;&lt;dates&gt;&lt;year&gt;2018&lt;/year&gt;&lt;/dates&gt;&lt;isbn&gt;0898-2643&lt;/isbn&gt;&lt;work-type&gt;Epub ahead of print&lt;/work-type&gt;&lt;urls&gt;&lt;/urls&gt;&lt;electronic-resource-num&gt;10.1177/0898264318816217&lt;/electronic-resource-num&gt;&lt;/record&gt;&lt;/Cite&gt;&lt;/EndNote&gt;</w:instrText>
      </w:r>
      <w:r w:rsidR="0015565A" w:rsidRPr="00000849">
        <w:rPr>
          <w:rFonts w:asciiTheme="minorHAnsi" w:hAnsiTheme="minorHAnsi" w:cstheme="minorHAnsi"/>
          <w:color w:val="383838"/>
        </w:rPr>
        <w:fldChar w:fldCharType="separate"/>
      </w:r>
      <w:r w:rsidR="00431DA0" w:rsidRPr="00000849">
        <w:rPr>
          <w:rFonts w:asciiTheme="minorHAnsi" w:hAnsiTheme="minorHAnsi" w:cstheme="minorHAnsi"/>
          <w:noProof/>
          <w:color w:val="383838"/>
        </w:rPr>
        <w:t>(Gyasi et al., 2018)</w:t>
      </w:r>
      <w:r w:rsidR="0015565A" w:rsidRPr="00000849">
        <w:rPr>
          <w:rFonts w:asciiTheme="minorHAnsi" w:hAnsiTheme="minorHAnsi" w:cstheme="minorHAnsi"/>
          <w:color w:val="383838"/>
        </w:rPr>
        <w:fldChar w:fldCharType="end"/>
      </w:r>
      <w:r w:rsidR="0015565A" w:rsidRPr="00000849">
        <w:rPr>
          <w:rFonts w:asciiTheme="minorHAnsi" w:hAnsiTheme="minorHAnsi" w:cstheme="minorHAnsi"/>
          <w:color w:val="383838"/>
        </w:rPr>
        <w:t>.</w:t>
      </w:r>
      <w:r w:rsidR="00260C0E" w:rsidRPr="00000849">
        <w:rPr>
          <w:rFonts w:asciiTheme="minorHAnsi" w:hAnsiTheme="minorHAnsi" w:cstheme="minorHAnsi"/>
          <w:color w:val="383838"/>
        </w:rPr>
        <w:t xml:space="preserve">  Including variables relating to social engagement in the statistical models </w:t>
      </w:r>
      <w:r w:rsidR="00DF6BA2" w:rsidRPr="00000849">
        <w:rPr>
          <w:rFonts w:asciiTheme="minorHAnsi" w:hAnsiTheme="minorHAnsi" w:cstheme="minorHAnsi"/>
          <w:color w:val="383838"/>
        </w:rPr>
        <w:t>might</w:t>
      </w:r>
      <w:r w:rsidR="00260C0E" w:rsidRPr="00000849">
        <w:rPr>
          <w:rFonts w:asciiTheme="minorHAnsi" w:hAnsiTheme="minorHAnsi" w:cstheme="minorHAnsi"/>
          <w:color w:val="383838"/>
        </w:rPr>
        <w:t xml:space="preserve"> have re</w:t>
      </w:r>
      <w:r w:rsidR="00DF6BA2" w:rsidRPr="00000849">
        <w:rPr>
          <w:rFonts w:asciiTheme="minorHAnsi" w:hAnsiTheme="minorHAnsi" w:cstheme="minorHAnsi"/>
          <w:color w:val="383838"/>
        </w:rPr>
        <w:t>duced the proportion of unexplained variation in hypertension in the study waves.</w:t>
      </w:r>
    </w:p>
    <w:p w14:paraId="496EBC84" w14:textId="2428E8C2" w:rsidR="00A410C2" w:rsidRPr="00000849" w:rsidRDefault="00B26868" w:rsidP="00977021">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As earlier discussed, the </w:t>
      </w:r>
      <w:r w:rsidR="002C6410" w:rsidRPr="00000849">
        <w:rPr>
          <w:rFonts w:asciiTheme="minorHAnsi" w:hAnsiTheme="minorHAnsi" w:cstheme="minorHAnsi"/>
          <w:color w:val="383838"/>
        </w:rPr>
        <w:t xml:space="preserve">measurement of BP </w:t>
      </w:r>
      <w:r w:rsidRPr="00000849">
        <w:rPr>
          <w:rFonts w:asciiTheme="minorHAnsi" w:hAnsiTheme="minorHAnsi" w:cstheme="minorHAnsi"/>
          <w:color w:val="383838"/>
        </w:rPr>
        <w:t xml:space="preserve">at single visit tends to </w:t>
      </w:r>
      <w:r w:rsidR="002C6410" w:rsidRPr="00000849">
        <w:rPr>
          <w:rFonts w:asciiTheme="minorHAnsi" w:hAnsiTheme="minorHAnsi" w:cstheme="minorHAnsi"/>
          <w:color w:val="383838"/>
        </w:rPr>
        <w:t xml:space="preserve">overestimate the true </w:t>
      </w:r>
      <w:r w:rsidR="00DB4F35" w:rsidRPr="00000849">
        <w:rPr>
          <w:rFonts w:asciiTheme="minorHAnsi" w:hAnsiTheme="minorHAnsi" w:cstheme="minorHAnsi"/>
          <w:color w:val="383838"/>
        </w:rPr>
        <w:t>prevalence of hypertension</w:t>
      </w:r>
      <w:r w:rsidRPr="00000849">
        <w:rPr>
          <w:rFonts w:asciiTheme="minorHAnsi" w:hAnsiTheme="minorHAnsi" w:cstheme="minorHAnsi"/>
          <w:color w:val="383838"/>
        </w:rPr>
        <w:t xml:space="preserve"> (when compared to measurement at multiple visits)</w:t>
      </w:r>
      <w:r w:rsidR="002C6410" w:rsidRPr="00000849">
        <w:rPr>
          <w:rFonts w:asciiTheme="minorHAnsi" w:hAnsiTheme="minorHAnsi" w:cstheme="minorHAnsi"/>
          <w:color w:val="383838"/>
        </w:rPr>
        <w:t xml:space="preserve"> owing to the regression to the mean </w:t>
      </w:r>
      <w:r w:rsidR="00B40340" w:rsidRPr="00000849">
        <w:rPr>
          <w:rFonts w:asciiTheme="minorHAnsi" w:hAnsiTheme="minorHAnsi" w:cstheme="minorHAnsi"/>
          <w:color w:val="383838"/>
        </w:rPr>
        <w:fldChar w:fldCharType="begin">
          <w:fldData xml:space="preserve">PEVuZE5vdGU+PENpdGU+PEF1dGhvcj5LYXplPC9BdXRob3I+PFllYXI+MjAxNzwvWWVhcj48UmVj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==
</w:fldData>
        </w:fldChar>
      </w:r>
      <w:r w:rsidR="003E660C" w:rsidRPr="00000849">
        <w:rPr>
          <w:rFonts w:asciiTheme="minorHAnsi" w:hAnsiTheme="minorHAnsi" w:cstheme="minorHAnsi"/>
          <w:color w:val="383838"/>
        </w:rPr>
        <w:instrText xml:space="preserve"> ADDIN EN.CITE </w:instrText>
      </w:r>
      <w:r w:rsidR="003E660C" w:rsidRPr="00000849">
        <w:rPr>
          <w:rFonts w:asciiTheme="minorHAnsi" w:hAnsiTheme="minorHAnsi" w:cstheme="minorHAnsi"/>
          <w:color w:val="383838"/>
        </w:rPr>
        <w:fldChar w:fldCharType="begin">
          <w:fldData xml:space="preserve">PEVuZE5vdGU+PENpdGU+PEF1dGhvcj5LYXplPC9BdXRob3I+PFllYXI+MjAxNzwvWWVhcj48UmVj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==
</w:fldData>
        </w:fldChar>
      </w:r>
      <w:r w:rsidR="003E660C" w:rsidRPr="00000849">
        <w:rPr>
          <w:rFonts w:asciiTheme="minorHAnsi" w:hAnsiTheme="minorHAnsi" w:cstheme="minorHAnsi"/>
          <w:color w:val="383838"/>
        </w:rPr>
        <w:instrText xml:space="preserve"> ADDIN EN.CITE.DATA </w:instrText>
      </w:r>
      <w:r w:rsidR="003E660C" w:rsidRPr="00000849">
        <w:rPr>
          <w:rFonts w:asciiTheme="minorHAnsi" w:hAnsiTheme="minorHAnsi" w:cstheme="minorHAnsi"/>
          <w:color w:val="383838"/>
        </w:rPr>
      </w:r>
      <w:r w:rsidR="003E660C" w:rsidRPr="00000849">
        <w:rPr>
          <w:rFonts w:asciiTheme="minorHAnsi" w:hAnsiTheme="minorHAnsi" w:cstheme="minorHAnsi"/>
          <w:color w:val="383838"/>
        </w:rPr>
        <w:fldChar w:fldCharType="end"/>
      </w:r>
      <w:r w:rsidR="00B40340" w:rsidRPr="00000849">
        <w:rPr>
          <w:rFonts w:asciiTheme="minorHAnsi" w:hAnsiTheme="minorHAnsi" w:cstheme="minorHAnsi"/>
          <w:color w:val="383838"/>
        </w:rPr>
      </w:r>
      <w:r w:rsidR="00B40340" w:rsidRPr="00000849">
        <w:rPr>
          <w:rFonts w:asciiTheme="minorHAnsi" w:hAnsiTheme="minorHAnsi" w:cstheme="minorHAnsi"/>
          <w:color w:val="383838"/>
        </w:rPr>
        <w:fldChar w:fldCharType="separate"/>
      </w:r>
      <w:r w:rsidR="008118A0" w:rsidRPr="00000849">
        <w:rPr>
          <w:rFonts w:asciiTheme="minorHAnsi" w:hAnsiTheme="minorHAnsi" w:cstheme="minorHAnsi"/>
          <w:noProof/>
          <w:color w:val="383838"/>
        </w:rPr>
        <w:t>(Dewhurst et al., 2013; Kaze et al., 2017; O'Brien et al., 2003)</w:t>
      </w:r>
      <w:r w:rsidR="00B40340" w:rsidRPr="00000849">
        <w:rPr>
          <w:rFonts w:asciiTheme="minorHAnsi" w:hAnsiTheme="minorHAnsi" w:cstheme="minorHAnsi"/>
          <w:color w:val="383838"/>
        </w:rPr>
        <w:fldChar w:fldCharType="end"/>
      </w:r>
      <w:r w:rsidR="008118A0" w:rsidRPr="00000849">
        <w:rPr>
          <w:rFonts w:asciiTheme="minorHAnsi" w:hAnsiTheme="minorHAnsi" w:cstheme="minorHAnsi"/>
          <w:color w:val="383838"/>
        </w:rPr>
        <w:t>.</w:t>
      </w:r>
      <w:r w:rsidR="00A410C2" w:rsidRPr="00000849">
        <w:rPr>
          <w:rFonts w:asciiTheme="minorHAnsi" w:hAnsiTheme="minorHAnsi" w:cstheme="minorHAnsi"/>
          <w:color w:val="383838"/>
        </w:rPr>
        <w:t xml:space="preserve">  </w:t>
      </w:r>
      <w:r w:rsidR="00DB4F35" w:rsidRPr="00000849">
        <w:rPr>
          <w:rFonts w:asciiTheme="minorHAnsi" w:hAnsiTheme="minorHAnsi" w:cstheme="minorHAnsi"/>
          <w:color w:val="383838"/>
        </w:rPr>
        <w:t xml:space="preserve">This could be a reason for the decline in the prevalence </w:t>
      </w:r>
      <w:r w:rsidR="00DB4F35" w:rsidRPr="00000849">
        <w:rPr>
          <w:rFonts w:asciiTheme="minorHAnsi" w:hAnsiTheme="minorHAnsi" w:cstheme="minorHAnsi"/>
          <w:color w:val="383838"/>
        </w:rPr>
        <w:lastRenderedPageBreak/>
        <w:t xml:space="preserve">of hypertension between the two waves.  </w:t>
      </w:r>
      <w:r w:rsidR="00EB5A46" w:rsidRPr="00000849">
        <w:rPr>
          <w:rFonts w:asciiTheme="minorHAnsi" w:hAnsiTheme="minorHAnsi" w:cstheme="minorHAnsi"/>
          <w:color w:val="383838"/>
        </w:rPr>
        <w:t xml:space="preserve">A decline in hypertension has been observed in other longitudinal studies in Ghana and in the SAGE South Africa study.  </w:t>
      </w:r>
      <w:r w:rsidR="00DB4F35" w:rsidRPr="00000849">
        <w:rPr>
          <w:rFonts w:asciiTheme="minorHAnsi" w:hAnsiTheme="minorHAnsi" w:cstheme="minorHAnsi"/>
          <w:color w:val="383838"/>
        </w:rPr>
        <w:t>However, the situation is not entirely clear.  Accordingly, the SAGE Team at WHO has cautioned that the W2 hypertension data</w:t>
      </w:r>
      <w:r w:rsidR="00D4501B" w:rsidRPr="00000849">
        <w:rPr>
          <w:rFonts w:asciiTheme="minorHAnsi" w:hAnsiTheme="minorHAnsi" w:cstheme="minorHAnsi"/>
          <w:color w:val="383838"/>
        </w:rPr>
        <w:t xml:space="preserve"> should</w:t>
      </w:r>
      <w:r w:rsidR="00DB4F35" w:rsidRPr="00000849">
        <w:rPr>
          <w:rFonts w:asciiTheme="minorHAnsi" w:hAnsiTheme="minorHAnsi" w:cstheme="minorHAnsi"/>
          <w:color w:val="383838"/>
        </w:rPr>
        <w:t xml:space="preserve"> be considered provisional</w:t>
      </w:r>
      <w:r w:rsidR="00DF6BA2" w:rsidRPr="00000849">
        <w:rPr>
          <w:rFonts w:asciiTheme="minorHAnsi" w:hAnsiTheme="minorHAnsi" w:cstheme="minorHAnsi"/>
          <w:color w:val="383838"/>
        </w:rPr>
        <w:t xml:space="preserve"> </w:t>
      </w:r>
      <w:r w:rsidR="0048066E" w:rsidRPr="00000849">
        <w:rPr>
          <w:rFonts w:asciiTheme="minorHAnsi" w:hAnsiTheme="minorHAnsi" w:cstheme="minorHAnsi"/>
          <w:color w:val="383838"/>
        </w:rPr>
        <w:t>until</w:t>
      </w:r>
      <w:r w:rsidR="00DF6BA2" w:rsidRPr="00000849">
        <w:rPr>
          <w:rFonts w:asciiTheme="minorHAnsi" w:hAnsiTheme="minorHAnsi" w:cstheme="minorHAnsi"/>
          <w:color w:val="383838"/>
        </w:rPr>
        <w:t xml:space="preserve"> it addresses </w:t>
      </w:r>
      <w:r w:rsidR="0048066E" w:rsidRPr="00000849">
        <w:rPr>
          <w:rFonts w:asciiTheme="minorHAnsi" w:hAnsiTheme="minorHAnsi" w:cstheme="minorHAnsi"/>
          <w:color w:val="383838"/>
        </w:rPr>
        <w:t>“</w:t>
      </w:r>
      <w:r w:rsidR="00DF6BA2" w:rsidRPr="00000849">
        <w:rPr>
          <w:rFonts w:asciiTheme="minorHAnsi" w:hAnsiTheme="minorHAnsi" w:cstheme="minorHAnsi"/>
          <w:color w:val="383838"/>
        </w:rPr>
        <w:t>issues with the SAGE Ghana Waves 2 and 3 data</w:t>
      </w:r>
      <w:r w:rsidR="0048066E" w:rsidRPr="00000849">
        <w:rPr>
          <w:rFonts w:asciiTheme="minorHAnsi" w:hAnsiTheme="minorHAnsi" w:cstheme="minorHAnsi"/>
          <w:color w:val="383838"/>
        </w:rPr>
        <w:t>”</w:t>
      </w:r>
      <w:r w:rsidR="00DF6BA2" w:rsidRPr="00000849">
        <w:rPr>
          <w:rFonts w:asciiTheme="minorHAnsi" w:hAnsiTheme="minorHAnsi" w:cstheme="minorHAnsi"/>
          <w:color w:val="383838"/>
        </w:rPr>
        <w:t xml:space="preserve"> before releasing them fully in the public domain </w:t>
      </w:r>
      <w:r w:rsidR="0048066E" w:rsidRPr="00000849">
        <w:rPr>
          <w:rFonts w:asciiTheme="minorHAnsi" w:hAnsiTheme="minorHAnsi" w:cstheme="minorHAnsi"/>
          <w:color w:val="383838"/>
        </w:rPr>
        <w:fldChar w:fldCharType="begin"/>
      </w:r>
      <w:r w:rsidR="002D22BB" w:rsidRPr="00000849">
        <w:rPr>
          <w:rFonts w:asciiTheme="minorHAnsi" w:hAnsiTheme="minorHAnsi" w:cstheme="minorHAnsi"/>
          <w:color w:val="383838"/>
        </w:rPr>
        <w:instrText xml:space="preserve"> ADDIN EN.CITE &lt;EndNote&gt;&lt;Cite&gt;&lt;Author&gt;Kowal&lt;/Author&gt;&lt;Year&gt;2019&lt;/Year&gt;&lt;RecNum&gt;1667&lt;/RecNum&gt;&lt;Prefix&gt;personal communication`, &lt;/Prefix&gt;&lt;DisplayText&gt;(personal communication, Kowal, 2019)&lt;/DisplayText&gt;&lt;record&gt;&lt;rec-number&gt;1667&lt;/rec-number&gt;&lt;foreign-keys&gt;&lt;key app="EN" db-id="9tzf2rda8re2a9es5tuxart3swzx2zws2s02" timestamp="1597599745"&gt;1667&lt;/key&gt;&lt;/foreign-keys&gt;&lt;ref-type name="Personal Communication"&gt;26&lt;/ref-type&gt;&lt;contributors&gt;&lt;authors&gt;&lt;author&gt;Kowal, P.&lt;/author&gt;&lt;/authors&gt;&lt;secondary-authors&gt;&lt;author&gt;Bosu, William K&lt;/author&gt;&lt;/secondary-authors&gt;&lt;/contributors&gt;&lt;titles&gt;&lt;title&gt;Draft report on hypertension on SAGE Ghana data&lt;/title&gt;&lt;/titles&gt;&lt;number&gt;personal communication, 28 September 2019&lt;/number&gt;&lt;dates&gt;&lt;year&gt;2019&lt;/year&gt;&lt;/dates&gt;&lt;publisher&gt;SAGE WHO&lt;/publisher&gt;&lt;work-type&gt;Email message&lt;/work-type&gt;&lt;urls&gt;&lt;/urls&gt;&lt;custom1&gt;paul.r.kowal@gmail.com&lt;/custom1&gt;&lt;custom2&gt;billybosu@gmail.com&lt;/custom2&gt;&lt;access-date&gt;28 September 2019&lt;/access-date&gt;&lt;/record&gt;&lt;/Cite&gt;&lt;/EndNote&gt;</w:instrText>
      </w:r>
      <w:r w:rsidR="0048066E" w:rsidRPr="00000849">
        <w:rPr>
          <w:rFonts w:asciiTheme="minorHAnsi" w:hAnsiTheme="minorHAnsi" w:cstheme="minorHAnsi"/>
          <w:color w:val="383838"/>
        </w:rPr>
        <w:fldChar w:fldCharType="separate"/>
      </w:r>
      <w:r w:rsidR="00EB5A46" w:rsidRPr="00000849">
        <w:rPr>
          <w:rFonts w:asciiTheme="minorHAnsi" w:hAnsiTheme="minorHAnsi" w:cstheme="minorHAnsi"/>
          <w:noProof/>
          <w:color w:val="383838"/>
        </w:rPr>
        <w:t>(personal communication, Kowal, 2019)</w:t>
      </w:r>
      <w:r w:rsidR="0048066E" w:rsidRPr="00000849">
        <w:rPr>
          <w:rFonts w:asciiTheme="minorHAnsi" w:hAnsiTheme="minorHAnsi" w:cstheme="minorHAnsi"/>
          <w:color w:val="383838"/>
        </w:rPr>
        <w:fldChar w:fldCharType="end"/>
      </w:r>
      <w:r w:rsidR="00DB4F35" w:rsidRPr="00000849">
        <w:rPr>
          <w:rFonts w:asciiTheme="minorHAnsi" w:hAnsiTheme="minorHAnsi" w:cstheme="minorHAnsi"/>
          <w:color w:val="383838"/>
        </w:rPr>
        <w:t xml:space="preserve">. </w:t>
      </w:r>
      <w:r w:rsidR="0029047B">
        <w:rPr>
          <w:rFonts w:asciiTheme="minorHAnsi" w:hAnsiTheme="minorHAnsi" w:cstheme="minorHAnsi"/>
          <w:color w:val="383838"/>
        </w:rPr>
        <w:t xml:space="preserve"> Nonetheless, SAGE Ghana W2 hypertension studies have been published </w:t>
      </w:r>
      <w:r w:rsidR="0029047B">
        <w:rPr>
          <w:rFonts w:asciiTheme="minorHAnsi" w:hAnsiTheme="minorHAnsi" w:cstheme="minorHAnsi"/>
          <w:color w:val="383838"/>
        </w:rPr>
        <w:fldChar w:fldCharType="begin">
          <w:fldData xml:space="preserve">PEVuZE5vdGU+PENpdGU+PEF1dGhvcj5UZXR0ZWg8L0F1dGhvcj48WWVhcj4yMDIwPC9ZZWFyPjxS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</w:fldData>
        </w:fldChar>
      </w:r>
      <w:r w:rsidR="0029047B">
        <w:rPr>
          <w:rFonts w:asciiTheme="minorHAnsi" w:hAnsiTheme="minorHAnsi" w:cstheme="minorHAnsi"/>
          <w:color w:val="383838"/>
        </w:rPr>
        <w:instrText xml:space="preserve"> ADDIN EN.CITE </w:instrText>
      </w:r>
      <w:r w:rsidR="0029047B">
        <w:rPr>
          <w:rFonts w:asciiTheme="minorHAnsi" w:hAnsiTheme="minorHAnsi" w:cstheme="minorHAnsi"/>
          <w:color w:val="383838"/>
        </w:rPr>
        <w:fldChar w:fldCharType="begin">
          <w:fldData xml:space="preserve">PEVuZE5vdGU+PENpdGU+PEF1dGhvcj5UZXR0ZWg8L0F1dGhvcj48WWVhcj4yMDIwPC9ZZWFyPjxS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</w:fldData>
        </w:fldChar>
      </w:r>
      <w:r w:rsidR="0029047B">
        <w:rPr>
          <w:rFonts w:asciiTheme="minorHAnsi" w:hAnsiTheme="minorHAnsi" w:cstheme="minorHAnsi"/>
          <w:color w:val="383838"/>
        </w:rPr>
        <w:instrText xml:space="preserve"> ADDIN EN.CITE.DATA </w:instrText>
      </w:r>
      <w:r w:rsidR="0029047B">
        <w:rPr>
          <w:rFonts w:asciiTheme="minorHAnsi" w:hAnsiTheme="minorHAnsi" w:cstheme="minorHAnsi"/>
          <w:color w:val="383838"/>
        </w:rPr>
      </w:r>
      <w:r w:rsidR="0029047B">
        <w:rPr>
          <w:rFonts w:asciiTheme="minorHAnsi" w:hAnsiTheme="minorHAnsi" w:cstheme="minorHAnsi"/>
          <w:color w:val="383838"/>
        </w:rPr>
        <w:fldChar w:fldCharType="end"/>
      </w:r>
      <w:r w:rsidR="0029047B">
        <w:rPr>
          <w:rFonts w:asciiTheme="minorHAnsi" w:hAnsiTheme="minorHAnsi" w:cstheme="minorHAnsi"/>
          <w:color w:val="383838"/>
        </w:rPr>
      </w:r>
      <w:r w:rsidR="0029047B">
        <w:rPr>
          <w:rFonts w:asciiTheme="minorHAnsi" w:hAnsiTheme="minorHAnsi" w:cstheme="minorHAnsi"/>
          <w:color w:val="383838"/>
        </w:rPr>
        <w:fldChar w:fldCharType="separate"/>
      </w:r>
      <w:r w:rsidR="0029047B">
        <w:rPr>
          <w:rFonts w:asciiTheme="minorHAnsi" w:hAnsiTheme="minorHAnsi" w:cstheme="minorHAnsi"/>
          <w:noProof/>
          <w:color w:val="383838"/>
        </w:rPr>
        <w:t>(Tetteh et al., 2020; Ware et al., 2017)</w:t>
      </w:r>
      <w:r w:rsidR="0029047B">
        <w:rPr>
          <w:rFonts w:asciiTheme="minorHAnsi" w:hAnsiTheme="minorHAnsi" w:cstheme="minorHAnsi"/>
          <w:color w:val="383838"/>
        </w:rPr>
        <w:fldChar w:fldCharType="end"/>
      </w:r>
      <w:r w:rsidR="0029047B">
        <w:rPr>
          <w:rFonts w:asciiTheme="minorHAnsi" w:hAnsiTheme="minorHAnsi" w:cstheme="minorHAnsi"/>
          <w:color w:val="383838"/>
        </w:rPr>
        <w:t>.</w:t>
      </w:r>
    </w:p>
    <w:p w14:paraId="122D33FB" w14:textId="127BFE4D" w:rsidR="00480769" w:rsidRPr="00000849" w:rsidRDefault="00FF0A89" w:rsidP="00A410C2">
      <w:pPr>
        <w:pStyle w:val="Default"/>
        <w:spacing w:after="200" w:line="480" w:lineRule="auto"/>
        <w:ind w:firstLine="720"/>
        <w:jc w:val="both"/>
        <w:rPr>
          <w:szCs w:val="22"/>
        </w:rPr>
      </w:pPr>
      <w:r w:rsidRPr="00000849">
        <w:rPr>
          <w:szCs w:val="22"/>
        </w:rPr>
        <w:t xml:space="preserve">There is some debate about the number of studies required for a longitudinal study.  It has been suggested that two waves of a study do not constitute a longitudinal study </w:t>
      </w:r>
      <w:r w:rsidRPr="00000849">
        <w:rPr>
          <w:szCs w:val="22"/>
        </w:rPr>
        <w:fldChar w:fldCharType="begin"/>
      </w:r>
      <w:r w:rsidR="008E07AC" w:rsidRPr="00000849">
        <w:rPr>
          <w:szCs w:val="22"/>
        </w:rPr>
        <w:instrText xml:space="preserve"> ADDIN EN.CITE &lt;EndNote&gt;&lt;Cite&gt;&lt;Author&gt;Ployhart&lt;/Author&gt;&lt;Year&gt;2015&lt;/Year&gt;&lt;RecNum&gt;1694&lt;/RecNum&gt;&lt;DisplayText&gt;(Ployhart &amp;amp; MacKenzie, 2015)&lt;/DisplayText&gt;&lt;record&gt;&lt;rec-number&gt;1694&lt;/rec-number&gt;&lt;foreign-keys&gt;&lt;key app="EN" db-id="9tzf2rda8re2a9es5tuxart3swzx2zws2s02" timestamp="1598856372"&gt;1694&lt;/key&gt;&lt;/foreign-keys&gt;&lt;ref-type name="Electronic Book Section"&gt;60&lt;/ref-type&gt;&lt;contributors&gt;&lt;authors&gt;&lt;author&gt;Ployhart, R&lt;/author&gt;&lt;author&gt;MacKenzie, W&lt;/author&gt;&lt;/authors&gt;&lt;secondary-authors&gt;&lt;author&gt;Lance, ‎Charles E. &lt;/author&gt;&lt;author&gt;Vandenberg, Robert J.&lt;/author&gt;&lt;/secondary-authors&gt;&lt;/contributors&gt;&lt;titles&gt;&lt;title&gt;Two waves of measurement do not a longitudinal study make&lt;/title&gt;&lt;secondary-title&gt;More statistical and methodological myths and urban legends&lt;/secondary-title&gt;&lt;/titles&gt;&lt;pages&gt;85-99&lt;/pages&gt;&lt;number&gt;4&lt;/number&gt;&lt;dates&gt;&lt;year&gt;2015&lt;/year&gt;&lt;/dates&gt;&lt;pub-location&gt;New York&lt;/pub-location&gt;&lt;publisher&gt;Routledge&lt;/publisher&gt;&lt;urls&gt;&lt;related-urls&gt;&lt;url&gt;https://books.google.com/books?hl=en&amp;amp;lr=&amp;amp;id=pAccBQAAQBAJ&amp;amp;oi=fnd&amp;amp;pg=PA85&amp;amp;dq=Two+waves+of+measurement+do+not+a+longitudinal+study+make&amp;amp;ots=i_S1kNuymS&amp;amp;sig=hV4ltx-nVuG1fkPE0LzbUdqzKII&amp;amp;redir_esc=y#v=onepage&amp;amp;q=Two%20waves%20of%20measurement%20do%20not%20a%20longitudinal%20study%20make&amp;amp;f=false&lt;/url&gt;&lt;/related-urls&gt;&lt;/urls&gt;&lt;/record&gt;&lt;/Cite&gt;&lt;/EndNote&gt;</w:instrText>
      </w:r>
      <w:r w:rsidRPr="00000849">
        <w:rPr>
          <w:szCs w:val="22"/>
        </w:rPr>
        <w:fldChar w:fldCharType="separate"/>
      </w:r>
      <w:r w:rsidR="008E07AC" w:rsidRPr="00000849">
        <w:rPr>
          <w:noProof/>
          <w:szCs w:val="22"/>
        </w:rPr>
        <w:t>(Ployhart &amp; MacKenzie, 2015)</w:t>
      </w:r>
      <w:r w:rsidRPr="00000849">
        <w:rPr>
          <w:szCs w:val="22"/>
        </w:rPr>
        <w:fldChar w:fldCharType="end"/>
      </w:r>
      <w:r w:rsidRPr="00000849">
        <w:rPr>
          <w:szCs w:val="22"/>
        </w:rPr>
        <w:t xml:space="preserve">.  </w:t>
      </w:r>
      <w:r w:rsidR="00EA7DED" w:rsidRPr="00000849">
        <w:rPr>
          <w:szCs w:val="22"/>
        </w:rPr>
        <w:t>M</w:t>
      </w:r>
      <w:r w:rsidR="003B189D" w:rsidRPr="00000849">
        <w:rPr>
          <w:szCs w:val="22"/>
        </w:rPr>
        <w:t>easurements</w:t>
      </w:r>
      <w:r w:rsidR="00480769" w:rsidRPr="00000849">
        <w:rPr>
          <w:szCs w:val="22"/>
        </w:rPr>
        <w:t xml:space="preserve"> at more than two time points </w:t>
      </w:r>
      <w:r w:rsidRPr="00000849">
        <w:rPr>
          <w:szCs w:val="22"/>
        </w:rPr>
        <w:t>are</w:t>
      </w:r>
      <w:r w:rsidR="00480769" w:rsidRPr="00000849">
        <w:rPr>
          <w:szCs w:val="22"/>
        </w:rPr>
        <w:t xml:space="preserve"> desirable </w:t>
      </w:r>
      <w:r w:rsidR="00EA7DED" w:rsidRPr="00000849">
        <w:rPr>
          <w:szCs w:val="22"/>
        </w:rPr>
        <w:t xml:space="preserve">in longitudinal analysis </w:t>
      </w:r>
      <w:r w:rsidR="00480769" w:rsidRPr="00000849">
        <w:rPr>
          <w:szCs w:val="22"/>
        </w:rPr>
        <w:fldChar w:fldCharType="begin"/>
      </w:r>
      <w:r w:rsidR="00480769" w:rsidRPr="00000849">
        <w:rPr>
          <w:szCs w:val="22"/>
        </w:rPr>
        <w:instrText xml:space="preserve"> ADDIN EN.CITE &lt;EndNote&gt;&lt;Cite&gt;&lt;Author&gt;Bryk&lt;/Author&gt;&lt;Year&gt;1987&lt;/Year&gt;&lt;RecNum&gt;110&lt;/RecNum&gt;&lt;DisplayText&gt;(Bryk &amp;amp; Raudenbush, 1987)&lt;/DisplayText&gt;&lt;record&gt;&lt;rec-number&gt;110&lt;/rec-number&gt;&lt;foreign-keys&gt;&lt;key app="EN" db-id="9tzf2rda8re2a9es5tuxart3swzx2zws2s02" timestamp="1467089693"&gt;110&lt;/key&gt;&lt;/foreign-keys&gt;&lt;ref-type name="Journal Article"&gt;17&lt;/ref-type&gt;&lt;contributors&gt;&lt;authors&gt;&lt;author&gt;Bryk, Anthony S&lt;/author&gt;&lt;author&gt;Raudenbush, Stephen W&lt;/author&gt;&lt;/authors&gt;&lt;/contributors&gt;&lt;titles&gt;&lt;title&gt;Application of hierarchical linear models to assessing change&lt;/title&gt;&lt;secondary-title&gt;Psychological Bulletin&lt;/secondary-title&gt;&lt;/titles&gt;&lt;periodical&gt;&lt;full-title&gt;Psychological Bulletin&lt;/full-title&gt;&lt;/periodical&gt;&lt;pages&gt;147-158&lt;/pages&gt;&lt;volume&gt;101&lt;/volume&gt;&lt;number&gt;1&lt;/number&gt;&lt;dates&gt;&lt;year&gt;1987&lt;/year&gt;&lt;/dates&gt;&lt;isbn&gt;1939-1455&lt;/isbn&gt;&lt;urls&gt;&lt;/urls&gt;&lt;/record&gt;&lt;/Cite&gt;&lt;/EndNote&gt;</w:instrText>
      </w:r>
      <w:r w:rsidR="00480769" w:rsidRPr="00000849">
        <w:rPr>
          <w:szCs w:val="22"/>
        </w:rPr>
        <w:fldChar w:fldCharType="separate"/>
      </w:r>
      <w:r w:rsidR="00480769" w:rsidRPr="00000849">
        <w:rPr>
          <w:noProof/>
          <w:szCs w:val="22"/>
        </w:rPr>
        <w:t>(Bryk &amp; Raudenbush, 1987)</w:t>
      </w:r>
      <w:r w:rsidR="00480769" w:rsidRPr="00000849">
        <w:rPr>
          <w:szCs w:val="22"/>
        </w:rPr>
        <w:fldChar w:fldCharType="end"/>
      </w:r>
      <w:r w:rsidRPr="00000849">
        <w:rPr>
          <w:szCs w:val="22"/>
        </w:rPr>
        <w:t>.  Nonetheless</w:t>
      </w:r>
      <w:r w:rsidR="003B189D" w:rsidRPr="00000849">
        <w:rPr>
          <w:szCs w:val="22"/>
        </w:rPr>
        <w:t xml:space="preserve">, </w:t>
      </w:r>
      <w:r w:rsidR="00EA7DED" w:rsidRPr="00000849">
        <w:rPr>
          <w:szCs w:val="22"/>
        </w:rPr>
        <w:t xml:space="preserve">longitudinal analysis </w:t>
      </w:r>
      <w:r w:rsidR="003B189D" w:rsidRPr="00000849">
        <w:rPr>
          <w:szCs w:val="22"/>
        </w:rPr>
        <w:t xml:space="preserve">has also been applied in studies at two time points </w:t>
      </w:r>
      <w:r w:rsidR="003B189D" w:rsidRPr="00000849">
        <w:rPr>
          <w:szCs w:val="22"/>
        </w:rPr>
        <w:fldChar w:fldCharType="begin">
          <w:fldData xml:space="preserve">PEVuZE5vdGU+PENpdGU+PEF1dGhvcj5LdXRuZXktTGVlPC9BdXRob3I+PFllYXI+MjAxMzwvWWVh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</w:fldData>
        </w:fldChar>
      </w:r>
      <w:r w:rsidR="00431DA0" w:rsidRPr="00000849">
        <w:rPr>
          <w:szCs w:val="22"/>
        </w:rPr>
        <w:instrText xml:space="preserve"> ADDIN EN.CITE </w:instrText>
      </w:r>
      <w:r w:rsidR="00431DA0" w:rsidRPr="00000849">
        <w:rPr>
          <w:szCs w:val="22"/>
        </w:rPr>
        <w:fldChar w:fldCharType="begin">
          <w:fldData xml:space="preserve">PEVuZE5vdGU+PENpdGU+PEF1dGhvcj5LdXRuZXktTGVlPC9BdXRob3I+PFllYXI+MjAxMzwvWWVh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</w:fldData>
        </w:fldChar>
      </w:r>
      <w:r w:rsidR="00431DA0" w:rsidRPr="00000849">
        <w:rPr>
          <w:szCs w:val="22"/>
        </w:rPr>
        <w:instrText xml:space="preserve"> ADDIN EN.CITE.DATA </w:instrText>
      </w:r>
      <w:r w:rsidR="00431DA0" w:rsidRPr="00000849">
        <w:rPr>
          <w:szCs w:val="22"/>
        </w:rPr>
      </w:r>
      <w:r w:rsidR="00431DA0" w:rsidRPr="00000849">
        <w:rPr>
          <w:szCs w:val="22"/>
        </w:rPr>
        <w:fldChar w:fldCharType="end"/>
      </w:r>
      <w:r w:rsidR="003B189D" w:rsidRPr="00000849">
        <w:rPr>
          <w:szCs w:val="22"/>
        </w:rPr>
      </w:r>
      <w:r w:rsidR="003B189D" w:rsidRPr="00000849">
        <w:rPr>
          <w:szCs w:val="22"/>
        </w:rPr>
        <w:fldChar w:fldCharType="separate"/>
      </w:r>
      <w:r w:rsidR="00431DA0" w:rsidRPr="00000849">
        <w:rPr>
          <w:noProof/>
          <w:szCs w:val="22"/>
        </w:rPr>
        <w:t>(Kutney-Lee et al., 2013; Vaisanen &amp; Jones, 2015)</w:t>
      </w:r>
      <w:r w:rsidR="003B189D" w:rsidRPr="00000849">
        <w:rPr>
          <w:szCs w:val="22"/>
        </w:rPr>
        <w:fldChar w:fldCharType="end"/>
      </w:r>
      <w:r w:rsidR="00480769" w:rsidRPr="00000849">
        <w:rPr>
          <w:szCs w:val="22"/>
        </w:rPr>
        <w:t>.</w:t>
      </w:r>
      <w:r w:rsidR="003B189D" w:rsidRPr="00000849">
        <w:rPr>
          <w:szCs w:val="22"/>
        </w:rPr>
        <w:t xml:space="preserve">  </w:t>
      </w:r>
      <w:r w:rsidR="0048066E" w:rsidRPr="00000849">
        <w:rPr>
          <w:szCs w:val="22"/>
        </w:rPr>
        <w:t xml:space="preserve">Two time points </w:t>
      </w:r>
      <w:r w:rsidR="001520F4" w:rsidRPr="00000849">
        <w:rPr>
          <w:szCs w:val="22"/>
        </w:rPr>
        <w:t>may be</w:t>
      </w:r>
      <w:r w:rsidR="0048066E" w:rsidRPr="00000849">
        <w:rPr>
          <w:szCs w:val="22"/>
        </w:rPr>
        <w:t xml:space="preserve"> insufficient to determine trends in the prevalence of hypertension</w:t>
      </w:r>
      <w:r w:rsidR="00EA7DED" w:rsidRPr="00000849">
        <w:rPr>
          <w:szCs w:val="22"/>
        </w:rPr>
        <w:t>, particularly</w:t>
      </w:r>
      <w:r w:rsidR="00290D25" w:rsidRPr="00000849">
        <w:rPr>
          <w:szCs w:val="22"/>
        </w:rPr>
        <w:t xml:space="preserve"> if they are widely separated in time</w:t>
      </w:r>
      <w:r w:rsidR="0048066E" w:rsidRPr="00000849">
        <w:rPr>
          <w:szCs w:val="22"/>
        </w:rPr>
        <w:t xml:space="preserve">.  </w:t>
      </w:r>
      <w:r w:rsidR="007F2B79" w:rsidRPr="00000849">
        <w:rPr>
          <w:szCs w:val="22"/>
        </w:rPr>
        <w:t>Th</w:t>
      </w:r>
      <w:r w:rsidR="00D4501B" w:rsidRPr="00000849">
        <w:rPr>
          <w:szCs w:val="22"/>
        </w:rPr>
        <w:t>at said, th</w:t>
      </w:r>
      <w:r w:rsidR="007F2B79" w:rsidRPr="00000849">
        <w:rPr>
          <w:szCs w:val="22"/>
        </w:rPr>
        <w:t xml:space="preserve">e prevalence of hypertension, a chronic condition, does not change rapidly </w:t>
      </w:r>
      <w:r w:rsidR="0048066E" w:rsidRPr="00000849">
        <w:rPr>
          <w:szCs w:val="22"/>
        </w:rPr>
        <w:t xml:space="preserve">over time </w:t>
      </w:r>
      <w:r w:rsidR="00D4501B" w:rsidRPr="00000849">
        <w:rPr>
          <w:szCs w:val="22"/>
        </w:rPr>
        <w:t>and so explains why</w:t>
      </w:r>
      <w:r w:rsidR="007F2B79" w:rsidRPr="00000849">
        <w:rPr>
          <w:szCs w:val="22"/>
        </w:rPr>
        <w:t xml:space="preserve"> WHO recommends </w:t>
      </w:r>
      <w:r w:rsidR="00D4501B" w:rsidRPr="00000849">
        <w:rPr>
          <w:szCs w:val="22"/>
        </w:rPr>
        <w:t>a three-to-five year periodicity for NCD</w:t>
      </w:r>
      <w:r w:rsidR="007F2B79" w:rsidRPr="00000849">
        <w:rPr>
          <w:szCs w:val="22"/>
        </w:rPr>
        <w:t xml:space="preserve"> risk factor surveys </w:t>
      </w:r>
      <w:r w:rsidR="0053615B" w:rsidRPr="00000849">
        <w:rPr>
          <w:szCs w:val="22"/>
        </w:rPr>
        <w:fldChar w:fldCharType="begin"/>
      </w:r>
      <w:r w:rsidR="0053615B" w:rsidRPr="00000849">
        <w:rPr>
          <w:szCs w:val="22"/>
        </w:rPr>
        <w:instrText xml:space="preserve"> ADDIN EN.CITE &lt;EndNote&gt;&lt;Cite&gt;&lt;Author&gt;Riley&lt;/Author&gt;&lt;Year&gt;2016&lt;/Year&gt;&lt;RecNum&gt;155&lt;/RecNum&gt;&lt;DisplayText&gt;(Riley et al., 2016)&lt;/DisplayText&gt;&lt;record&gt;&lt;rec-number&gt;155&lt;/rec-number&gt;&lt;foreign-keys&gt;&lt;key app="EN" db-id="9tzf2rda8re2a9es5tuxart3swzx2zws2s02" timestamp="1479878595"&gt;155&lt;/key&gt;&lt;/foreign-keys&gt;&lt;ref-type name="Journal Article"&gt;17&lt;/ref-type&gt;&lt;contributors&gt;&lt;authors&gt;&lt;author&gt;Riley, Leanne&lt;/author&gt;&lt;author&gt;Guthold, Regina&lt;/author&gt;&lt;author&gt;Cowan, Melanie&lt;/author&gt;&lt;author&gt;Savin, Stefan&lt;/author&gt;&lt;author&gt;Bhatti, Lubna&lt;/author&gt;&lt;author&gt;Armstrong, Timothy&lt;/author&gt;&lt;author&gt;Bonita, Ruth&lt;/author&gt;&lt;/authors&gt;&lt;/contributors&gt;&lt;titles&gt;&lt;title&gt;The World Health Organization STEPwise approach to noncommunicable disease risk-factor surveillance: methods, challenges, and opportunities&lt;/title&gt;&lt;secondary-title&gt;American Journal of Public Health&lt;/secondary-title&gt;&lt;/titles&gt;&lt;periodical&gt;&lt;full-title&gt;American Journal of Public Health&lt;/full-title&gt;&lt;abbr-1&gt;American Journal of Public Health&lt;/abbr-1&gt;&lt;/periodical&gt;&lt;pages&gt;74-78&lt;/pages&gt;&lt;volume&gt;106&lt;/volume&gt;&lt;number&gt;1&lt;/number&gt;&lt;dates&gt;&lt;year&gt;2016&lt;/year&gt;&lt;/dates&gt;&lt;isbn&gt;1541-0048&lt;/isbn&gt;&lt;urls&gt;&lt;/urls&gt;&lt;/record&gt;&lt;/Cite&gt;&lt;/EndNote&gt;</w:instrText>
      </w:r>
      <w:r w:rsidR="0053615B" w:rsidRPr="00000849">
        <w:rPr>
          <w:szCs w:val="22"/>
        </w:rPr>
        <w:fldChar w:fldCharType="separate"/>
      </w:r>
      <w:r w:rsidR="0053615B" w:rsidRPr="00000849">
        <w:rPr>
          <w:noProof/>
          <w:szCs w:val="22"/>
        </w:rPr>
        <w:t>(Riley et al., 2016)</w:t>
      </w:r>
      <w:r w:rsidR="0053615B" w:rsidRPr="00000849">
        <w:rPr>
          <w:szCs w:val="22"/>
        </w:rPr>
        <w:fldChar w:fldCharType="end"/>
      </w:r>
      <w:r w:rsidR="007F2B79" w:rsidRPr="00000849">
        <w:rPr>
          <w:szCs w:val="22"/>
        </w:rPr>
        <w:t xml:space="preserve">.  </w:t>
      </w:r>
    </w:p>
    <w:p w14:paraId="77326C1C" w14:textId="0C71AB8C" w:rsidR="00103768" w:rsidRPr="00000849" w:rsidRDefault="00A410C2" w:rsidP="00A410C2">
      <w:pPr>
        <w:pStyle w:val="NormalWeb"/>
        <w:shd w:val="clear" w:color="auto" w:fill="FFFFFF"/>
        <w:spacing w:before="0" w:beforeAutospacing="0" w:after="165" w:afterAutospacing="0" w:line="480" w:lineRule="auto"/>
        <w:ind w:firstLine="720"/>
        <w:jc w:val="both"/>
        <w:rPr>
          <w:rFonts w:asciiTheme="minorHAnsi" w:hAnsiTheme="minorHAnsi" w:cstheme="minorHAnsi"/>
          <w:color w:val="383838"/>
        </w:rPr>
      </w:pPr>
      <w:r w:rsidRPr="00000849">
        <w:rPr>
          <w:rFonts w:asciiTheme="minorHAnsi" w:hAnsiTheme="minorHAnsi" w:cstheme="minorHAnsi"/>
          <w:color w:val="383838"/>
        </w:rPr>
        <w:t xml:space="preserve">Overall, the study adds to the body of knowledge of the determinants of hypertension </w:t>
      </w:r>
      <w:r w:rsidR="008237BA" w:rsidRPr="00000849">
        <w:rPr>
          <w:rFonts w:asciiTheme="minorHAnsi" w:hAnsiTheme="minorHAnsi" w:cstheme="minorHAnsi"/>
          <w:color w:val="383838"/>
        </w:rPr>
        <w:t>over two study waves</w:t>
      </w:r>
      <w:r w:rsidRPr="00000849">
        <w:rPr>
          <w:rFonts w:asciiTheme="minorHAnsi" w:hAnsiTheme="minorHAnsi" w:cstheme="minorHAnsi"/>
          <w:color w:val="383838"/>
        </w:rPr>
        <w:t xml:space="preserve"> in older adults in Ghana.  Further analyses of the third wave SAGE Ghana completed in 2019 will provide a better understanding of the pattern of hypertension in this group.</w:t>
      </w:r>
    </w:p>
    <w:p w14:paraId="5E211FF0" w14:textId="036C793B" w:rsidR="00A56997" w:rsidRPr="00000849" w:rsidRDefault="00A56997"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73737591" w14:textId="6544872B" w:rsidR="003E120D" w:rsidRPr="00000849" w:rsidRDefault="003E120D" w:rsidP="009F3E10">
      <w:pPr>
        <w:pStyle w:val="NormalWeb"/>
        <w:shd w:val="clear" w:color="auto" w:fill="FFFFFF"/>
        <w:spacing w:before="0" w:beforeAutospacing="0" w:after="165" w:afterAutospacing="0" w:line="480" w:lineRule="auto"/>
        <w:rPr>
          <w:rFonts w:asciiTheme="minorHAnsi" w:hAnsiTheme="minorHAnsi" w:cstheme="minorHAnsi"/>
          <w:color w:val="383838"/>
        </w:rPr>
      </w:pPr>
    </w:p>
    <w:p w14:paraId="10E540B0" w14:textId="77777777" w:rsidR="003E120D" w:rsidRPr="00000849" w:rsidRDefault="003E120D" w:rsidP="009F3E10">
      <w:pPr>
        <w:pStyle w:val="NormalWeb"/>
        <w:shd w:val="clear" w:color="auto" w:fill="FFFFFF"/>
        <w:spacing w:before="0" w:beforeAutospacing="0" w:after="165" w:afterAutospacing="0" w:line="480" w:lineRule="auto"/>
        <w:rPr>
          <w:rFonts w:asciiTheme="minorHAnsi" w:hAnsiTheme="minorHAnsi" w:cstheme="minorHAnsi"/>
          <w:color w:val="383838"/>
        </w:rPr>
        <w:sectPr w:rsidR="003E120D" w:rsidRPr="00000849" w:rsidSect="00007E47">
          <w:pgSz w:w="11906" w:h="16838"/>
          <w:pgMar w:top="1440" w:right="1440" w:bottom="1440" w:left="2155" w:header="708" w:footer="708" w:gutter="0"/>
          <w:cols w:space="708"/>
          <w:docGrid w:linePitch="360"/>
        </w:sectPr>
      </w:pPr>
    </w:p>
    <w:p w14:paraId="3B999557" w14:textId="6CEC9508" w:rsidR="00A56997" w:rsidRPr="00000849" w:rsidRDefault="00A56997">
      <w:pPr>
        <w:pStyle w:val="Heading1"/>
      </w:pPr>
      <w:bookmarkStart w:id="125" w:name="_Toc51472156"/>
      <w:r w:rsidRPr="00000849">
        <w:lastRenderedPageBreak/>
        <w:t xml:space="preserve">Chapter </w:t>
      </w:r>
      <w:r w:rsidR="002006AA" w:rsidRPr="00000849">
        <w:t>7</w:t>
      </w:r>
      <w:r w:rsidRPr="00000849">
        <w:t>: Conclusions and Recommendations</w:t>
      </w:r>
      <w:bookmarkEnd w:id="125"/>
      <w:r w:rsidRPr="00000849">
        <w:t xml:space="preserve"> </w:t>
      </w:r>
    </w:p>
    <w:p w14:paraId="418B09A1" w14:textId="7402A541" w:rsidR="00E802F6" w:rsidRPr="00000849" w:rsidRDefault="00E802F6" w:rsidP="004953B6">
      <w:pPr>
        <w:pStyle w:val="NormalWeb"/>
        <w:shd w:val="clear" w:color="auto" w:fill="FFFFFF"/>
        <w:spacing w:before="0" w:beforeAutospacing="0" w:after="165" w:afterAutospacing="0"/>
        <w:rPr>
          <w:rFonts w:asciiTheme="minorHAnsi" w:hAnsiTheme="minorHAnsi" w:cstheme="minorHAnsi"/>
          <w:color w:val="383838"/>
        </w:rPr>
      </w:pPr>
    </w:p>
    <w:p w14:paraId="73174B12" w14:textId="6A0B4C30" w:rsidR="00E802F6" w:rsidRPr="00000849" w:rsidRDefault="002006AA" w:rsidP="00A61BAB">
      <w:pPr>
        <w:pStyle w:val="Heading2"/>
      </w:pPr>
      <w:bookmarkStart w:id="126" w:name="_Toc51472157"/>
      <w:r w:rsidRPr="00000849">
        <w:t>7.</w:t>
      </w:r>
      <w:r w:rsidR="00E802F6" w:rsidRPr="00000849">
        <w:t>1</w:t>
      </w:r>
      <w:r w:rsidR="00E802F6" w:rsidRPr="00000849">
        <w:tab/>
        <w:t>Conclusions</w:t>
      </w:r>
      <w:bookmarkEnd w:id="126"/>
      <w:r w:rsidR="00E802F6" w:rsidRPr="00000849">
        <w:t xml:space="preserve"> </w:t>
      </w:r>
    </w:p>
    <w:p w14:paraId="248A9232" w14:textId="77777777" w:rsidR="00E802F6" w:rsidRPr="00000849" w:rsidRDefault="00E802F6" w:rsidP="00E802F6">
      <w:pPr>
        <w:pStyle w:val="NormalWeb"/>
        <w:shd w:val="clear" w:color="auto" w:fill="FFFFFF"/>
        <w:spacing w:before="0" w:beforeAutospacing="0" w:after="165" w:afterAutospacing="0" w:line="480" w:lineRule="auto"/>
        <w:rPr>
          <w:rFonts w:asciiTheme="minorHAnsi" w:hAnsiTheme="minorHAnsi" w:cstheme="minorHAnsi"/>
          <w:color w:val="383838"/>
        </w:rPr>
      </w:pPr>
    </w:p>
    <w:p w14:paraId="70792286" w14:textId="7D9F41A7" w:rsidR="0011226C" w:rsidRPr="00000849" w:rsidRDefault="00E802F6" w:rsidP="0036792E">
      <w:pPr>
        <w:pStyle w:val="NormalWeb"/>
        <w:shd w:val="clear" w:color="auto" w:fill="FFFFFF"/>
        <w:spacing w:before="0" w:beforeAutospacing="0" w:after="165" w:afterAutospacing="0" w:line="480" w:lineRule="auto"/>
        <w:jc w:val="both"/>
        <w:rPr>
          <w:rFonts w:asciiTheme="minorHAnsi" w:hAnsiTheme="minorHAnsi" w:cstheme="minorHAnsi"/>
          <w:color w:val="383838"/>
        </w:rPr>
      </w:pPr>
      <w:r w:rsidRPr="00000849">
        <w:rPr>
          <w:rFonts w:asciiTheme="minorHAnsi" w:hAnsiTheme="minorHAnsi" w:cstheme="minorHAnsi"/>
          <w:color w:val="383838"/>
        </w:rPr>
        <w:t xml:space="preserve">In </w:t>
      </w:r>
      <w:r w:rsidR="006C5716" w:rsidRPr="00000849">
        <w:rPr>
          <w:rFonts w:asciiTheme="minorHAnsi" w:hAnsiTheme="minorHAnsi" w:cstheme="minorHAnsi"/>
          <w:color w:val="383838"/>
        </w:rPr>
        <w:t xml:space="preserve">line </w:t>
      </w:r>
      <w:r w:rsidR="00BA5C44" w:rsidRPr="00000849">
        <w:rPr>
          <w:rFonts w:asciiTheme="minorHAnsi" w:hAnsiTheme="minorHAnsi" w:cstheme="minorHAnsi"/>
          <w:color w:val="383838"/>
        </w:rPr>
        <w:t>with</w:t>
      </w:r>
      <w:r w:rsidRPr="00000849">
        <w:rPr>
          <w:rFonts w:asciiTheme="minorHAnsi" w:hAnsiTheme="minorHAnsi" w:cstheme="minorHAnsi"/>
          <w:color w:val="383838"/>
        </w:rPr>
        <w:t xml:space="preserve"> the study objectives, t</w:t>
      </w:r>
      <w:r w:rsidR="004F38F3" w:rsidRPr="00000849">
        <w:rPr>
          <w:rFonts w:asciiTheme="minorHAnsi" w:hAnsiTheme="minorHAnsi" w:cstheme="minorHAnsi"/>
          <w:color w:val="383838"/>
        </w:rPr>
        <w:t xml:space="preserve">he following conclusions can be </w:t>
      </w:r>
      <w:r w:rsidR="006C5716" w:rsidRPr="00000849">
        <w:rPr>
          <w:rFonts w:asciiTheme="minorHAnsi" w:hAnsiTheme="minorHAnsi" w:cstheme="minorHAnsi"/>
          <w:color w:val="383838"/>
        </w:rPr>
        <w:t xml:space="preserve">drawn </w:t>
      </w:r>
      <w:r w:rsidR="004F38F3" w:rsidRPr="00000849">
        <w:rPr>
          <w:rFonts w:asciiTheme="minorHAnsi" w:hAnsiTheme="minorHAnsi" w:cstheme="minorHAnsi"/>
          <w:color w:val="383838"/>
        </w:rPr>
        <w:t xml:space="preserve">from the </w:t>
      </w:r>
      <w:r w:rsidR="006C5716" w:rsidRPr="00000849">
        <w:rPr>
          <w:rFonts w:asciiTheme="minorHAnsi" w:hAnsiTheme="minorHAnsi" w:cstheme="minorHAnsi"/>
          <w:color w:val="383838"/>
        </w:rPr>
        <w:t>results</w:t>
      </w:r>
      <w:r w:rsidR="004F38F3" w:rsidRPr="00000849">
        <w:rPr>
          <w:rFonts w:asciiTheme="minorHAnsi" w:hAnsiTheme="minorHAnsi" w:cstheme="minorHAnsi"/>
          <w:color w:val="383838"/>
        </w:rPr>
        <w:t>:</w:t>
      </w:r>
    </w:p>
    <w:p w14:paraId="265086AB" w14:textId="7A4B282F" w:rsidR="00DF65D8" w:rsidRPr="00000849" w:rsidRDefault="00DF65D8" w:rsidP="00E802F6">
      <w:pPr>
        <w:pStyle w:val="NoSpacing"/>
        <w:spacing w:after="200" w:line="480" w:lineRule="auto"/>
        <w:jc w:val="both"/>
        <w:rPr>
          <w:rFonts w:asciiTheme="minorHAnsi" w:hAnsiTheme="minorHAnsi" w:cstheme="minorHAnsi"/>
          <w:sz w:val="24"/>
          <w:szCs w:val="24"/>
        </w:rPr>
      </w:pPr>
    </w:p>
    <w:p w14:paraId="4A73B444" w14:textId="75B73022" w:rsidR="004F38F3" w:rsidRPr="00000849" w:rsidRDefault="000E641D" w:rsidP="001F58BF">
      <w:pPr>
        <w:pStyle w:val="NoSpacing"/>
        <w:numPr>
          <w:ilvl w:val="0"/>
          <w:numId w:val="23"/>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The prevalence of hypertension among o</w:t>
      </w:r>
      <w:r w:rsidR="001F58BF" w:rsidRPr="00000849">
        <w:rPr>
          <w:rFonts w:asciiTheme="minorHAnsi" w:hAnsiTheme="minorHAnsi" w:cstheme="minorHAnsi"/>
          <w:sz w:val="24"/>
          <w:szCs w:val="24"/>
        </w:rPr>
        <w:t xml:space="preserve">lder adults in Ghana </w:t>
      </w:r>
      <w:r w:rsidRPr="00000849">
        <w:rPr>
          <w:rFonts w:asciiTheme="minorHAnsi" w:hAnsiTheme="minorHAnsi" w:cstheme="minorHAnsi"/>
          <w:sz w:val="24"/>
          <w:szCs w:val="24"/>
        </w:rPr>
        <w:t>is</w:t>
      </w:r>
      <w:r w:rsidR="001F58BF" w:rsidRPr="00000849">
        <w:rPr>
          <w:rFonts w:asciiTheme="minorHAnsi" w:hAnsiTheme="minorHAnsi" w:cstheme="minorHAnsi"/>
          <w:sz w:val="24"/>
          <w:szCs w:val="24"/>
        </w:rPr>
        <w:t xml:space="preserve"> high</w:t>
      </w:r>
      <w:r w:rsidRPr="00000849">
        <w:rPr>
          <w:rFonts w:asciiTheme="minorHAnsi" w:hAnsiTheme="minorHAnsi" w:cstheme="minorHAnsi"/>
          <w:sz w:val="24"/>
          <w:szCs w:val="24"/>
        </w:rPr>
        <w:t xml:space="preserve">, being 57.0% in Wave 1 and 35.1% in W2.  Among those with hypertension, 25.4% and 12.5% of W1 and W2 participants had </w:t>
      </w:r>
      <w:r w:rsidR="001F58BF" w:rsidRPr="00000849">
        <w:rPr>
          <w:rFonts w:asciiTheme="minorHAnsi" w:hAnsiTheme="minorHAnsi" w:cstheme="minorHAnsi"/>
          <w:sz w:val="24"/>
          <w:szCs w:val="24"/>
        </w:rPr>
        <w:t>severe hypertension</w:t>
      </w:r>
      <w:r w:rsidRPr="00000849">
        <w:rPr>
          <w:rFonts w:asciiTheme="minorHAnsi" w:hAnsiTheme="minorHAnsi" w:cstheme="minorHAnsi"/>
          <w:sz w:val="24"/>
          <w:szCs w:val="24"/>
        </w:rPr>
        <w:t xml:space="preserve"> with BP&gt;180/110 mmHg</w:t>
      </w:r>
      <w:r w:rsidR="001F58BF" w:rsidRPr="00000849">
        <w:rPr>
          <w:rFonts w:asciiTheme="minorHAnsi" w:hAnsiTheme="minorHAnsi" w:cstheme="minorHAnsi"/>
          <w:sz w:val="24"/>
          <w:szCs w:val="24"/>
        </w:rPr>
        <w:t>.</w:t>
      </w:r>
    </w:p>
    <w:p w14:paraId="244EA3F1" w14:textId="1F570662" w:rsidR="001F58BF" w:rsidRPr="00000849" w:rsidRDefault="001F58BF" w:rsidP="001F58BF">
      <w:pPr>
        <w:pStyle w:val="NoSpacing"/>
        <w:numPr>
          <w:ilvl w:val="0"/>
          <w:numId w:val="23"/>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Th</w:t>
      </w:r>
      <w:r w:rsidR="000E641D" w:rsidRPr="00000849">
        <w:rPr>
          <w:rFonts w:asciiTheme="minorHAnsi" w:hAnsiTheme="minorHAnsi" w:cstheme="minorHAnsi"/>
          <w:sz w:val="24"/>
          <w:szCs w:val="24"/>
        </w:rPr>
        <w:t>us, th</w:t>
      </w:r>
      <w:r w:rsidRPr="00000849">
        <w:rPr>
          <w:rFonts w:asciiTheme="minorHAnsi" w:hAnsiTheme="minorHAnsi" w:cstheme="minorHAnsi"/>
          <w:sz w:val="24"/>
          <w:szCs w:val="24"/>
        </w:rPr>
        <w:t>e prevalence of hypertension in older adults in Ghana declined by about 39% between 2007 and 2015</w:t>
      </w:r>
    </w:p>
    <w:p w14:paraId="76957A15" w14:textId="5BD36E57" w:rsidR="001F58BF" w:rsidRPr="00000849" w:rsidRDefault="001F58BF" w:rsidP="001F58BF">
      <w:pPr>
        <w:pStyle w:val="NoSpacing"/>
        <w:numPr>
          <w:ilvl w:val="0"/>
          <w:numId w:val="23"/>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 xml:space="preserve">The determinants of hypertension, or of severe hypertension in each study wave and </w:t>
      </w:r>
      <w:r w:rsidR="00261C53" w:rsidRPr="00000849">
        <w:rPr>
          <w:rFonts w:asciiTheme="minorHAnsi" w:hAnsiTheme="minorHAnsi" w:cstheme="minorHAnsi"/>
          <w:sz w:val="24"/>
          <w:szCs w:val="24"/>
        </w:rPr>
        <w:t>over the two study waves</w:t>
      </w:r>
      <w:r w:rsidRPr="00000849">
        <w:rPr>
          <w:rFonts w:asciiTheme="minorHAnsi" w:hAnsiTheme="minorHAnsi" w:cstheme="minorHAnsi"/>
          <w:sz w:val="24"/>
          <w:szCs w:val="24"/>
        </w:rPr>
        <w:t xml:space="preserve"> are similar.  Residence in the GAR, overweight/obesity and being unmarried </w:t>
      </w:r>
      <w:r w:rsidR="000E641D" w:rsidRPr="00000849">
        <w:rPr>
          <w:rFonts w:asciiTheme="minorHAnsi" w:hAnsiTheme="minorHAnsi" w:cstheme="minorHAnsi"/>
          <w:sz w:val="24"/>
          <w:szCs w:val="24"/>
        </w:rPr>
        <w:t xml:space="preserve">or having previously </w:t>
      </w:r>
      <w:r w:rsidRPr="00000849">
        <w:rPr>
          <w:rFonts w:asciiTheme="minorHAnsi" w:hAnsiTheme="minorHAnsi" w:cstheme="minorHAnsi"/>
          <w:sz w:val="24"/>
          <w:szCs w:val="24"/>
        </w:rPr>
        <w:t>are consistent determinants positively associated with hypertension.  In contrast, having worked recently appears to be protective.</w:t>
      </w:r>
    </w:p>
    <w:p w14:paraId="23DFBC4A" w14:textId="2CD05193" w:rsidR="001F58BF" w:rsidRPr="00000849" w:rsidRDefault="001F58BF" w:rsidP="001F58BF">
      <w:pPr>
        <w:pStyle w:val="NoSpacing"/>
        <w:numPr>
          <w:ilvl w:val="0"/>
          <w:numId w:val="23"/>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 xml:space="preserve">There is a low level of awareness of hypertension among those who have hypertension.  </w:t>
      </w:r>
      <w:r w:rsidR="00EF3AC2" w:rsidRPr="00000849">
        <w:rPr>
          <w:rFonts w:asciiTheme="minorHAnsi" w:hAnsiTheme="minorHAnsi" w:cstheme="minorHAnsi"/>
          <w:sz w:val="24"/>
          <w:szCs w:val="24"/>
        </w:rPr>
        <w:t xml:space="preserve">About three-quarters of </w:t>
      </w:r>
      <w:r w:rsidRPr="00000849">
        <w:rPr>
          <w:rFonts w:asciiTheme="minorHAnsi" w:hAnsiTheme="minorHAnsi" w:cstheme="minorHAnsi"/>
          <w:sz w:val="24"/>
          <w:szCs w:val="24"/>
        </w:rPr>
        <w:t xml:space="preserve">cases of hypertension </w:t>
      </w:r>
      <w:r w:rsidR="00EF3AC2" w:rsidRPr="00000849">
        <w:rPr>
          <w:rFonts w:asciiTheme="minorHAnsi" w:hAnsiTheme="minorHAnsi" w:cstheme="minorHAnsi"/>
          <w:sz w:val="24"/>
          <w:szCs w:val="24"/>
        </w:rPr>
        <w:t xml:space="preserve">in older adults is </w:t>
      </w:r>
      <w:r w:rsidRPr="00000849">
        <w:rPr>
          <w:rFonts w:asciiTheme="minorHAnsi" w:hAnsiTheme="minorHAnsi" w:cstheme="minorHAnsi"/>
          <w:sz w:val="24"/>
          <w:szCs w:val="24"/>
        </w:rPr>
        <w:t>undiagnosed and less than 5% is optimally controlled.</w:t>
      </w:r>
    </w:p>
    <w:p w14:paraId="5F86B9CB" w14:textId="0BA0965B" w:rsidR="002D6A19" w:rsidRPr="00000849" w:rsidRDefault="002D6A19" w:rsidP="001F58BF">
      <w:pPr>
        <w:pStyle w:val="NoSpacing"/>
        <w:numPr>
          <w:ilvl w:val="0"/>
          <w:numId w:val="23"/>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lastRenderedPageBreak/>
        <w:t xml:space="preserve">Older adults in Ghana have an average of 2.5 </w:t>
      </w:r>
      <w:r w:rsidR="007B4FA1" w:rsidRPr="00000849">
        <w:rPr>
          <w:rFonts w:asciiTheme="minorHAnsi" w:hAnsiTheme="minorHAnsi" w:cstheme="minorHAnsi"/>
          <w:sz w:val="24"/>
          <w:szCs w:val="24"/>
        </w:rPr>
        <w:t xml:space="preserve">concurrent NCD </w:t>
      </w:r>
      <w:r w:rsidR="00E802F6" w:rsidRPr="00000849">
        <w:rPr>
          <w:rFonts w:asciiTheme="minorHAnsi" w:hAnsiTheme="minorHAnsi" w:cstheme="minorHAnsi"/>
          <w:sz w:val="24"/>
          <w:szCs w:val="24"/>
        </w:rPr>
        <w:t>risk factors</w:t>
      </w:r>
      <w:r w:rsidR="00EF3AC2" w:rsidRPr="00000849">
        <w:rPr>
          <w:rFonts w:asciiTheme="minorHAnsi" w:hAnsiTheme="minorHAnsi" w:cstheme="minorHAnsi"/>
          <w:sz w:val="24"/>
          <w:szCs w:val="24"/>
        </w:rPr>
        <w:t>, 10%-18% have four or more risk factors.</w:t>
      </w:r>
      <w:r w:rsidR="00E802F6" w:rsidRPr="00000849">
        <w:rPr>
          <w:rFonts w:asciiTheme="minorHAnsi" w:hAnsiTheme="minorHAnsi" w:cstheme="minorHAnsi"/>
          <w:sz w:val="24"/>
          <w:szCs w:val="24"/>
        </w:rPr>
        <w:t xml:space="preserve"> </w:t>
      </w:r>
    </w:p>
    <w:p w14:paraId="2F4C10D6" w14:textId="77777777" w:rsidR="00DF65D8" w:rsidRPr="00000849" w:rsidRDefault="00DF65D8" w:rsidP="004953B6">
      <w:pPr>
        <w:pStyle w:val="NormalWeb"/>
        <w:shd w:val="clear" w:color="auto" w:fill="FFFFFF"/>
        <w:spacing w:before="0" w:beforeAutospacing="0" w:after="165" w:afterAutospacing="0"/>
        <w:rPr>
          <w:rFonts w:asciiTheme="minorHAnsi" w:hAnsiTheme="minorHAnsi" w:cstheme="minorHAnsi"/>
          <w:color w:val="383838"/>
        </w:rPr>
      </w:pPr>
    </w:p>
    <w:p w14:paraId="6619B337" w14:textId="39B13851" w:rsidR="006A25C2" w:rsidRPr="00000849" w:rsidRDefault="002006AA" w:rsidP="00A61BAB">
      <w:pPr>
        <w:pStyle w:val="Heading2"/>
      </w:pPr>
      <w:bookmarkStart w:id="127" w:name="_Toc51472158"/>
      <w:r w:rsidRPr="00000849">
        <w:t>7.</w:t>
      </w:r>
      <w:r w:rsidR="00D13755" w:rsidRPr="00000849">
        <w:t>2</w:t>
      </w:r>
      <w:r w:rsidR="006A25C2" w:rsidRPr="00000849">
        <w:tab/>
        <w:t>Recommendations</w:t>
      </w:r>
      <w:bookmarkEnd w:id="127"/>
      <w:r w:rsidR="006A25C2" w:rsidRPr="00000849">
        <w:t xml:space="preserve"> </w:t>
      </w:r>
    </w:p>
    <w:p w14:paraId="02FD36BA" w14:textId="77777777" w:rsidR="006A25C2" w:rsidRPr="00000849" w:rsidRDefault="006A25C2" w:rsidP="006A25C2">
      <w:pPr>
        <w:widowControl w:val="0"/>
        <w:spacing w:line="480" w:lineRule="auto"/>
        <w:jc w:val="both"/>
        <w:rPr>
          <w:rFonts w:cstheme="minorHAnsi"/>
          <w:sz w:val="24"/>
          <w:szCs w:val="24"/>
        </w:rPr>
      </w:pPr>
    </w:p>
    <w:p w14:paraId="472926B5" w14:textId="5E7434CC" w:rsidR="006A25C2" w:rsidRPr="00000849" w:rsidRDefault="00D13755" w:rsidP="006A25C2">
      <w:pPr>
        <w:widowControl w:val="0"/>
        <w:spacing w:line="480" w:lineRule="auto"/>
        <w:jc w:val="both"/>
        <w:rPr>
          <w:rFonts w:cstheme="minorHAnsi"/>
          <w:sz w:val="24"/>
          <w:szCs w:val="24"/>
        </w:rPr>
      </w:pPr>
      <w:r w:rsidRPr="00000849">
        <w:rPr>
          <w:rFonts w:cstheme="minorHAnsi"/>
          <w:sz w:val="24"/>
          <w:szCs w:val="24"/>
        </w:rPr>
        <w:t>Implementing the</w:t>
      </w:r>
      <w:r w:rsidR="00E802F6" w:rsidRPr="00000849">
        <w:rPr>
          <w:rFonts w:cstheme="minorHAnsi"/>
          <w:sz w:val="24"/>
          <w:szCs w:val="24"/>
        </w:rPr>
        <w:t xml:space="preserve"> following recommendations</w:t>
      </w:r>
      <w:r w:rsidR="00722B53" w:rsidRPr="00000849">
        <w:rPr>
          <w:rFonts w:cstheme="minorHAnsi"/>
          <w:sz w:val="24"/>
          <w:szCs w:val="24"/>
        </w:rPr>
        <w:t>, derived from the study findings,</w:t>
      </w:r>
      <w:r w:rsidR="00E802F6" w:rsidRPr="00000849">
        <w:rPr>
          <w:rFonts w:cstheme="minorHAnsi"/>
          <w:sz w:val="24"/>
          <w:szCs w:val="24"/>
        </w:rPr>
        <w:t xml:space="preserve"> </w:t>
      </w:r>
      <w:r w:rsidR="00722B53" w:rsidRPr="00000849">
        <w:rPr>
          <w:rFonts w:cstheme="minorHAnsi"/>
          <w:sz w:val="24"/>
          <w:szCs w:val="24"/>
        </w:rPr>
        <w:t>c</w:t>
      </w:r>
      <w:r w:rsidR="00E802F6" w:rsidRPr="00000849">
        <w:rPr>
          <w:rFonts w:cstheme="minorHAnsi"/>
          <w:sz w:val="24"/>
          <w:szCs w:val="24"/>
        </w:rPr>
        <w:t xml:space="preserve">ould contribute in </w:t>
      </w:r>
      <w:r w:rsidR="00BA5C44" w:rsidRPr="00000849">
        <w:rPr>
          <w:rFonts w:cstheme="minorHAnsi"/>
          <w:sz w:val="24"/>
          <w:szCs w:val="24"/>
        </w:rPr>
        <w:t xml:space="preserve">improving the </w:t>
      </w:r>
      <w:r w:rsidR="007817BC" w:rsidRPr="00000849">
        <w:rPr>
          <w:rFonts w:cstheme="minorHAnsi"/>
          <w:sz w:val="24"/>
          <w:szCs w:val="24"/>
        </w:rPr>
        <w:t>prevention and care of hypertension in older adults in Ghana</w:t>
      </w:r>
      <w:r w:rsidR="00E802F6" w:rsidRPr="00000849">
        <w:rPr>
          <w:rFonts w:cstheme="minorHAnsi"/>
          <w:sz w:val="24"/>
          <w:szCs w:val="24"/>
        </w:rPr>
        <w:t>:</w:t>
      </w:r>
    </w:p>
    <w:p w14:paraId="77C269F5" w14:textId="65A1223F" w:rsidR="00E802F6" w:rsidRPr="00000849" w:rsidRDefault="00E802F6" w:rsidP="006A25C2">
      <w:pPr>
        <w:widowControl w:val="0"/>
        <w:spacing w:line="480" w:lineRule="auto"/>
        <w:jc w:val="both"/>
        <w:rPr>
          <w:rFonts w:cstheme="minorHAnsi"/>
          <w:sz w:val="24"/>
          <w:szCs w:val="24"/>
        </w:rPr>
      </w:pPr>
    </w:p>
    <w:p w14:paraId="71ABBD13" w14:textId="38AD860B" w:rsidR="00B45AEC" w:rsidRPr="00000849" w:rsidRDefault="00B45AEC" w:rsidP="00443BB7">
      <w:pPr>
        <w:pStyle w:val="NoSpacing"/>
        <w:numPr>
          <w:ilvl w:val="0"/>
          <w:numId w:val="24"/>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 xml:space="preserve">Increase priority to the </w:t>
      </w:r>
      <w:r w:rsidR="000C23A4" w:rsidRPr="00000849">
        <w:rPr>
          <w:rFonts w:asciiTheme="minorHAnsi" w:hAnsiTheme="minorHAnsi" w:cstheme="minorHAnsi"/>
          <w:sz w:val="24"/>
          <w:szCs w:val="24"/>
        </w:rPr>
        <w:t xml:space="preserve">cardiovascular </w:t>
      </w:r>
      <w:r w:rsidRPr="00000849">
        <w:rPr>
          <w:rFonts w:asciiTheme="minorHAnsi" w:hAnsiTheme="minorHAnsi" w:cstheme="minorHAnsi"/>
          <w:sz w:val="24"/>
          <w:szCs w:val="24"/>
        </w:rPr>
        <w:t>health o</w:t>
      </w:r>
      <w:r w:rsidR="007B4FA1" w:rsidRPr="00000849">
        <w:rPr>
          <w:rFonts w:asciiTheme="minorHAnsi" w:hAnsiTheme="minorHAnsi" w:cstheme="minorHAnsi"/>
          <w:sz w:val="24"/>
          <w:szCs w:val="24"/>
        </w:rPr>
        <w:t>f</w:t>
      </w:r>
      <w:r w:rsidRPr="00000849">
        <w:rPr>
          <w:rFonts w:asciiTheme="minorHAnsi" w:hAnsiTheme="minorHAnsi" w:cstheme="minorHAnsi"/>
          <w:sz w:val="24"/>
          <w:szCs w:val="24"/>
        </w:rPr>
        <w:t xml:space="preserve"> older adults</w:t>
      </w:r>
    </w:p>
    <w:p w14:paraId="68B8EA82" w14:textId="288B8D66" w:rsidR="00B45AEC" w:rsidRPr="00000849" w:rsidRDefault="003C0F5F" w:rsidP="00443BB7">
      <w:pPr>
        <w:pStyle w:val="NoSpacing"/>
        <w:numPr>
          <w:ilvl w:val="0"/>
          <w:numId w:val="24"/>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Gain a better understanding of the trends</w:t>
      </w:r>
      <w:r w:rsidR="00C328FC" w:rsidRPr="00000849">
        <w:rPr>
          <w:rFonts w:asciiTheme="minorHAnsi" w:hAnsiTheme="minorHAnsi" w:cstheme="minorHAnsi"/>
          <w:sz w:val="24"/>
          <w:szCs w:val="24"/>
        </w:rPr>
        <w:t>,</w:t>
      </w:r>
      <w:r w:rsidR="00443BB7" w:rsidRPr="00000849">
        <w:rPr>
          <w:rFonts w:asciiTheme="minorHAnsi" w:hAnsiTheme="minorHAnsi" w:cstheme="minorHAnsi"/>
          <w:sz w:val="24"/>
          <w:szCs w:val="24"/>
        </w:rPr>
        <w:t xml:space="preserve"> determinants</w:t>
      </w:r>
      <w:r w:rsidR="00C328FC" w:rsidRPr="00000849">
        <w:rPr>
          <w:rFonts w:asciiTheme="minorHAnsi" w:hAnsiTheme="minorHAnsi" w:cstheme="minorHAnsi"/>
          <w:sz w:val="24"/>
          <w:szCs w:val="24"/>
        </w:rPr>
        <w:t xml:space="preserve"> and control</w:t>
      </w:r>
      <w:r w:rsidR="00443BB7" w:rsidRPr="00000849">
        <w:rPr>
          <w:rFonts w:asciiTheme="minorHAnsi" w:hAnsiTheme="minorHAnsi" w:cstheme="minorHAnsi"/>
          <w:sz w:val="24"/>
          <w:szCs w:val="24"/>
        </w:rPr>
        <w:t xml:space="preserve"> of</w:t>
      </w:r>
      <w:r w:rsidRPr="00000849">
        <w:rPr>
          <w:rFonts w:asciiTheme="minorHAnsi" w:hAnsiTheme="minorHAnsi" w:cstheme="minorHAnsi"/>
          <w:sz w:val="24"/>
          <w:szCs w:val="24"/>
        </w:rPr>
        <w:t xml:space="preserve"> hypertension in older adults</w:t>
      </w:r>
    </w:p>
    <w:p w14:paraId="2C327DC2" w14:textId="6D3D531A" w:rsidR="003C0F5F" w:rsidRPr="00000849" w:rsidRDefault="003C0F5F" w:rsidP="00443BB7">
      <w:pPr>
        <w:pStyle w:val="NoSpacing"/>
        <w:numPr>
          <w:ilvl w:val="0"/>
          <w:numId w:val="24"/>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 xml:space="preserve">Tackle the factors that favour the </w:t>
      </w:r>
      <w:r w:rsidR="00D62DDE" w:rsidRPr="00000849">
        <w:rPr>
          <w:rFonts w:asciiTheme="minorHAnsi" w:hAnsiTheme="minorHAnsi" w:cstheme="minorHAnsi"/>
          <w:sz w:val="24"/>
          <w:szCs w:val="24"/>
        </w:rPr>
        <w:t>occurrence</w:t>
      </w:r>
      <w:r w:rsidRPr="00000849">
        <w:rPr>
          <w:rFonts w:asciiTheme="minorHAnsi" w:hAnsiTheme="minorHAnsi" w:cstheme="minorHAnsi"/>
          <w:sz w:val="24"/>
          <w:szCs w:val="24"/>
        </w:rPr>
        <w:t xml:space="preserve"> and progression of hypertension</w:t>
      </w:r>
    </w:p>
    <w:p w14:paraId="47E74662" w14:textId="77777777" w:rsidR="00443BB7" w:rsidRPr="00000849" w:rsidRDefault="003C0F5F" w:rsidP="00443BB7">
      <w:pPr>
        <w:pStyle w:val="NoSpacing"/>
        <w:numPr>
          <w:ilvl w:val="0"/>
          <w:numId w:val="24"/>
        </w:numPr>
        <w:spacing w:after="200" w:line="480" w:lineRule="auto"/>
        <w:jc w:val="both"/>
        <w:rPr>
          <w:rFonts w:asciiTheme="minorHAnsi" w:hAnsiTheme="minorHAnsi" w:cstheme="minorHAnsi"/>
          <w:sz w:val="24"/>
          <w:szCs w:val="24"/>
        </w:rPr>
      </w:pPr>
      <w:r w:rsidRPr="00000849">
        <w:rPr>
          <w:rFonts w:asciiTheme="minorHAnsi" w:hAnsiTheme="minorHAnsi" w:cstheme="minorHAnsi"/>
          <w:sz w:val="24"/>
          <w:szCs w:val="24"/>
        </w:rPr>
        <w:t>Improve the</w:t>
      </w:r>
      <w:r w:rsidR="00D70E7B" w:rsidRPr="00000849">
        <w:rPr>
          <w:rFonts w:asciiTheme="minorHAnsi" w:hAnsiTheme="minorHAnsi" w:cstheme="minorHAnsi"/>
          <w:sz w:val="24"/>
          <w:szCs w:val="24"/>
        </w:rPr>
        <w:t xml:space="preserve"> awareness, detection and control of hypertension </w:t>
      </w:r>
    </w:p>
    <w:p w14:paraId="554E8B6C" w14:textId="7C66C8C0" w:rsidR="003C0F5F" w:rsidRPr="00000849" w:rsidRDefault="003C0F5F" w:rsidP="006A25C2">
      <w:pPr>
        <w:widowControl w:val="0"/>
        <w:spacing w:line="480" w:lineRule="auto"/>
        <w:jc w:val="both"/>
        <w:rPr>
          <w:rFonts w:cstheme="minorHAnsi"/>
          <w:sz w:val="24"/>
          <w:szCs w:val="24"/>
        </w:rPr>
      </w:pPr>
    </w:p>
    <w:p w14:paraId="0E306663" w14:textId="34F3AB83" w:rsidR="006C5716" w:rsidRPr="00000849" w:rsidRDefault="006C5716" w:rsidP="006A25C2">
      <w:pPr>
        <w:widowControl w:val="0"/>
        <w:spacing w:line="480" w:lineRule="auto"/>
        <w:jc w:val="both"/>
        <w:rPr>
          <w:rFonts w:cstheme="minorHAnsi"/>
          <w:sz w:val="24"/>
          <w:szCs w:val="24"/>
        </w:rPr>
      </w:pPr>
      <w:r w:rsidRPr="00000849">
        <w:rPr>
          <w:rFonts w:cstheme="minorHAnsi"/>
          <w:sz w:val="24"/>
          <w:szCs w:val="24"/>
        </w:rPr>
        <w:t>These recommendations are discussed under those for policy, practice and research.</w:t>
      </w:r>
    </w:p>
    <w:p w14:paraId="5576715A" w14:textId="77777777" w:rsidR="006C5716" w:rsidRPr="00000849" w:rsidRDefault="006C5716" w:rsidP="006A25C2">
      <w:pPr>
        <w:widowControl w:val="0"/>
        <w:spacing w:line="480" w:lineRule="auto"/>
        <w:jc w:val="both"/>
        <w:rPr>
          <w:rFonts w:cstheme="minorHAnsi"/>
          <w:sz w:val="24"/>
          <w:szCs w:val="24"/>
        </w:rPr>
      </w:pPr>
    </w:p>
    <w:p w14:paraId="28F204C1" w14:textId="41ED3C1E" w:rsidR="00E802F6" w:rsidRPr="00000849" w:rsidRDefault="002006AA" w:rsidP="004E2350">
      <w:pPr>
        <w:pStyle w:val="Heading3"/>
      </w:pPr>
      <w:bookmarkStart w:id="128" w:name="_Toc51472159"/>
      <w:r w:rsidRPr="00000849">
        <w:lastRenderedPageBreak/>
        <w:t>7.</w:t>
      </w:r>
      <w:r w:rsidR="00443BB7" w:rsidRPr="00000849">
        <w:t>2.1</w:t>
      </w:r>
      <w:r w:rsidR="00443BB7" w:rsidRPr="00000849">
        <w:tab/>
      </w:r>
      <w:r w:rsidR="007E52CD" w:rsidRPr="00000849">
        <w:t>Recommendations for policy</w:t>
      </w:r>
      <w:bookmarkEnd w:id="128"/>
    </w:p>
    <w:p w14:paraId="506588C9" w14:textId="77777777" w:rsidR="00443BB7" w:rsidRPr="00000849" w:rsidRDefault="00443BB7" w:rsidP="00484646">
      <w:pPr>
        <w:keepNext/>
        <w:keepLines/>
        <w:widowControl w:val="0"/>
        <w:spacing w:line="480" w:lineRule="auto"/>
        <w:jc w:val="both"/>
        <w:rPr>
          <w:rFonts w:cstheme="minorHAnsi"/>
          <w:sz w:val="24"/>
          <w:szCs w:val="24"/>
        </w:rPr>
      </w:pPr>
    </w:p>
    <w:p w14:paraId="005550BF" w14:textId="0CDF143F" w:rsidR="00834178" w:rsidRPr="00000849" w:rsidRDefault="001639E4" w:rsidP="00484646">
      <w:pPr>
        <w:keepNext/>
        <w:keepLines/>
        <w:widowControl w:val="0"/>
        <w:spacing w:line="480" w:lineRule="auto"/>
        <w:jc w:val="both"/>
        <w:rPr>
          <w:rFonts w:cstheme="minorHAnsi"/>
          <w:sz w:val="24"/>
          <w:szCs w:val="24"/>
        </w:rPr>
      </w:pPr>
      <w:r w:rsidRPr="00000849">
        <w:rPr>
          <w:rFonts w:cstheme="minorHAnsi"/>
          <w:sz w:val="24"/>
          <w:szCs w:val="24"/>
        </w:rPr>
        <w:t>In view of the significant burden of hypertension and the multiple risk factors identified in the current analyses, t</w:t>
      </w:r>
      <w:r w:rsidR="003B009D" w:rsidRPr="00000849">
        <w:rPr>
          <w:rFonts w:cstheme="minorHAnsi"/>
          <w:sz w:val="24"/>
          <w:szCs w:val="24"/>
        </w:rPr>
        <w:t>he</w:t>
      </w:r>
      <w:r w:rsidRPr="00000849">
        <w:rPr>
          <w:rFonts w:cstheme="minorHAnsi"/>
          <w:sz w:val="24"/>
          <w:szCs w:val="24"/>
        </w:rPr>
        <w:t xml:space="preserve">re is an urgent need for legislation to back the national ageing policy that was developed in 2010 and launched in 2011 </w:t>
      </w:r>
      <w:r w:rsidRPr="00000849">
        <w:rPr>
          <w:rFonts w:cstheme="minorHAnsi"/>
          <w:sz w:val="24"/>
          <w:szCs w:val="24"/>
        </w:rPr>
        <w:fldChar w:fldCharType="begin"/>
      </w:r>
      <w:r w:rsidR="00E4120F" w:rsidRPr="00000849">
        <w:rPr>
          <w:rFonts w:cstheme="minorHAnsi"/>
          <w:sz w:val="24"/>
          <w:szCs w:val="24"/>
        </w:rPr>
        <w:instrText xml:space="preserve"> ADDIN EN.CITE &lt;EndNote&gt;&lt;Cite&gt;&lt;Author&gt;GOG&lt;/Author&gt;&lt;Year&gt;2010&lt;/Year&gt;&lt;RecNum&gt;4&lt;/RecNum&gt;&lt;DisplayText&gt;(GOG, 2010)&lt;/DisplayText&gt;&lt;record&gt;&lt;rec-number&gt;4&lt;/rec-number&gt;&lt;foreign-keys&gt;&lt;key app="EN" db-id="9tzf2rda8re2a9es5tuxart3swzx2zws2s02" timestamp="1463390960"&gt;4&lt;/key&gt;&lt;/foreign-keys&gt;&lt;ref-type name="Report"&gt;27&lt;/ref-type&gt;&lt;contributors&gt;&lt;authors&gt;&lt;author&gt;GOG,&lt;/author&gt;&lt;/authors&gt;&lt;/contributors&gt;&lt;titles&gt;&lt;title&gt;National Ageing Policy: ageing with security and dignity&lt;/title&gt;&lt;/titles&gt;&lt;dates&gt;&lt;year&gt;2010&lt;/year&gt;&lt;/dates&gt;&lt;pub-location&gt;Accra&lt;/pub-location&gt;&lt;publisher&gt;Ministry of Employment and Social Welfare, GOG&lt;/publisher&gt;&lt;urls&gt;&lt;related-urls&gt;&lt;url&gt;https://s3.amazonaws.com/ndpc-static/pubication/Ageing+Policy_July+2010.pdf&lt;/url&gt;&lt;/related-urls&gt;&lt;/urls&gt;&lt;/record&gt;&lt;/Cite&gt;&lt;/EndNote&gt;</w:instrText>
      </w:r>
      <w:r w:rsidRPr="00000849">
        <w:rPr>
          <w:rFonts w:cstheme="minorHAnsi"/>
          <w:sz w:val="24"/>
          <w:szCs w:val="24"/>
        </w:rPr>
        <w:fldChar w:fldCharType="separate"/>
      </w:r>
      <w:r w:rsidR="00E4120F" w:rsidRPr="00000849">
        <w:rPr>
          <w:rFonts w:cstheme="minorHAnsi"/>
          <w:noProof/>
          <w:sz w:val="24"/>
          <w:szCs w:val="24"/>
        </w:rPr>
        <w:t>(GOG, 2010)</w:t>
      </w:r>
      <w:r w:rsidRPr="00000849">
        <w:rPr>
          <w:rFonts w:cstheme="minorHAnsi"/>
          <w:sz w:val="24"/>
          <w:szCs w:val="24"/>
        </w:rPr>
        <w:fldChar w:fldCharType="end"/>
      </w:r>
      <w:r w:rsidRPr="00000849">
        <w:rPr>
          <w:rFonts w:cstheme="minorHAnsi"/>
          <w:sz w:val="24"/>
          <w:szCs w:val="24"/>
        </w:rPr>
        <w:t xml:space="preserve">.  Various professional groups have called for the passage of this legislation that will allow for the establishment of a National </w:t>
      </w:r>
      <w:r w:rsidR="00AD754F" w:rsidRPr="00000849">
        <w:rPr>
          <w:rFonts w:cstheme="minorHAnsi"/>
          <w:sz w:val="24"/>
          <w:szCs w:val="24"/>
        </w:rPr>
        <w:t xml:space="preserve">Ageing </w:t>
      </w:r>
      <w:r w:rsidRPr="00000849">
        <w:rPr>
          <w:rFonts w:cstheme="minorHAnsi"/>
          <w:sz w:val="24"/>
          <w:szCs w:val="24"/>
        </w:rPr>
        <w:t xml:space="preserve">Council with the responsibility of ensuring the social, health and economic interests of older adults are prioritised in the national developmental agenda </w:t>
      </w:r>
      <w:r w:rsidRPr="00000849">
        <w:rPr>
          <w:rFonts w:cstheme="minorHAnsi"/>
          <w:sz w:val="24"/>
          <w:szCs w:val="24"/>
        </w:rPr>
        <w:fldChar w:fldCharType="begin"/>
      </w:r>
      <w:r w:rsidRPr="00000849">
        <w:rPr>
          <w:rFonts w:cstheme="minorHAnsi"/>
          <w:sz w:val="24"/>
          <w:szCs w:val="24"/>
        </w:rPr>
        <w:instrText xml:space="preserve"> ADDIN EN.CITE &lt;EndNote&gt;&lt;Cite&gt;&lt;Author&gt;Krugu&lt;/Author&gt;&lt;Year&gt;2014&lt;/Year&gt;&lt;RecNum&gt;1037&lt;/RecNum&gt;&lt;DisplayText&gt;(Krugu, 2014)&lt;/DisplayText&gt;&lt;record&gt;&lt;rec-number&gt;1037&lt;/rec-number&gt;&lt;foreign-keys&gt;&lt;key app="EN" db-id="9tzf2rda8re2a9es5tuxart3swzx2zws2s02" timestamp="1576918322"&gt;1037&lt;/key&gt;&lt;/foreign-keys&gt;&lt;ref-type name="Electronic Article"&gt;43&lt;/ref-type&gt;&lt;contributors&gt;&lt;authors&gt;&lt;author&gt;Krugu, John&lt;/author&gt;&lt;/authors&gt;&lt;/contributors&gt;&lt;titles&gt;&lt;title&gt;Health of the elderly and policy implications in Ghana.  Recommendations from a meeting on Health of the elderly and policy implications in Ghana organized by the Ghana Public Health Association&lt;/title&gt;&lt;secondary-title&gt;Ghanaweb&lt;/secondary-title&gt;&lt;/titles&gt;&lt;volume&gt;Article 327185&lt;/volume&gt;&lt;section&gt;23 September 2014&lt;/section&gt;&lt;dates&gt;&lt;year&gt;2014&lt;/year&gt;&lt;pub-dates&gt;&lt;date&gt;21 December 2019&lt;/date&gt;&lt;/pub-dates&gt;&lt;/dates&gt;&lt;pub-location&gt;Amsterdam&lt;/pub-location&gt;&lt;publisher&gt;AfricaWeb Publishing B.V.&lt;/publisher&gt;&lt;urls&gt;&lt;related-urls&gt;&lt;url&gt;https://www.ghanaweb.com/GhanaHomePage/NewsArchive/Health-of-the-elderly-and-policy-implications-in-Ghana-327185&lt;/url&gt;&lt;/related-urls&gt;&lt;/urls&gt;&lt;/record&gt;&lt;/Cite&gt;&lt;/EndNote&gt;</w:instrText>
      </w:r>
      <w:r w:rsidRPr="00000849">
        <w:rPr>
          <w:rFonts w:cstheme="minorHAnsi"/>
          <w:sz w:val="24"/>
          <w:szCs w:val="24"/>
        </w:rPr>
        <w:fldChar w:fldCharType="separate"/>
      </w:r>
      <w:r w:rsidRPr="00000849">
        <w:rPr>
          <w:rFonts w:cstheme="minorHAnsi"/>
          <w:noProof/>
          <w:sz w:val="24"/>
          <w:szCs w:val="24"/>
        </w:rPr>
        <w:t>(Krugu, 2014)</w:t>
      </w:r>
      <w:r w:rsidRPr="00000849">
        <w:rPr>
          <w:rFonts w:cstheme="minorHAnsi"/>
          <w:sz w:val="24"/>
          <w:szCs w:val="24"/>
        </w:rPr>
        <w:fldChar w:fldCharType="end"/>
      </w:r>
      <w:r w:rsidRPr="00000849">
        <w:rPr>
          <w:rFonts w:cstheme="minorHAnsi"/>
          <w:sz w:val="24"/>
          <w:szCs w:val="24"/>
        </w:rPr>
        <w:t>.</w:t>
      </w:r>
      <w:r w:rsidR="00CE36A3" w:rsidRPr="00000849">
        <w:rPr>
          <w:rFonts w:cstheme="minorHAnsi"/>
          <w:sz w:val="24"/>
          <w:szCs w:val="24"/>
        </w:rPr>
        <w:t xml:space="preserve">  </w:t>
      </w:r>
    </w:p>
    <w:p w14:paraId="1725AE6A" w14:textId="5E74EB0C" w:rsidR="001639E4" w:rsidRPr="00000849" w:rsidRDefault="00CF3030" w:rsidP="00834178">
      <w:pPr>
        <w:widowControl w:val="0"/>
        <w:spacing w:line="480" w:lineRule="auto"/>
        <w:ind w:firstLine="720"/>
        <w:jc w:val="both"/>
        <w:rPr>
          <w:rFonts w:cstheme="minorHAnsi"/>
          <w:sz w:val="24"/>
          <w:szCs w:val="24"/>
        </w:rPr>
      </w:pPr>
      <w:r w:rsidRPr="00000849">
        <w:rPr>
          <w:rFonts w:cstheme="minorHAnsi"/>
          <w:sz w:val="24"/>
          <w:szCs w:val="24"/>
        </w:rPr>
        <w:t xml:space="preserve">In </w:t>
      </w:r>
      <w:r w:rsidR="00CE36A3" w:rsidRPr="00000849">
        <w:rPr>
          <w:rFonts w:cstheme="minorHAnsi"/>
          <w:sz w:val="24"/>
          <w:szCs w:val="24"/>
        </w:rPr>
        <w:t xml:space="preserve">2016, the Minister for Gender, Children and Social Protection </w:t>
      </w:r>
      <w:r w:rsidR="005348A9" w:rsidRPr="00000849">
        <w:rPr>
          <w:rFonts w:cstheme="minorHAnsi"/>
          <w:sz w:val="24"/>
          <w:szCs w:val="24"/>
        </w:rPr>
        <w:t xml:space="preserve">(MoGCSP) </w:t>
      </w:r>
      <w:r w:rsidR="00CE36A3" w:rsidRPr="00000849">
        <w:rPr>
          <w:rFonts w:cstheme="minorHAnsi"/>
          <w:sz w:val="24"/>
          <w:szCs w:val="24"/>
        </w:rPr>
        <w:t xml:space="preserve">announced that the Government of Ghana </w:t>
      </w:r>
      <w:r w:rsidR="004B0D1D" w:rsidRPr="00000849">
        <w:rPr>
          <w:rFonts w:cstheme="minorHAnsi"/>
          <w:sz w:val="24"/>
          <w:szCs w:val="24"/>
        </w:rPr>
        <w:t xml:space="preserve">had finalized the </w:t>
      </w:r>
      <w:r w:rsidR="005F33D0">
        <w:rPr>
          <w:rFonts w:cstheme="minorHAnsi"/>
          <w:sz w:val="24"/>
          <w:szCs w:val="24"/>
        </w:rPr>
        <w:t>Ageing</w:t>
      </w:r>
      <w:r w:rsidR="00CE36A3" w:rsidRPr="00000849">
        <w:rPr>
          <w:rFonts w:cstheme="minorHAnsi"/>
          <w:sz w:val="24"/>
          <w:szCs w:val="24"/>
        </w:rPr>
        <w:t xml:space="preserve"> Bill </w:t>
      </w:r>
      <w:r w:rsidR="004B0D1D" w:rsidRPr="00000849">
        <w:rPr>
          <w:rFonts w:cstheme="minorHAnsi"/>
          <w:sz w:val="24"/>
          <w:szCs w:val="24"/>
        </w:rPr>
        <w:t xml:space="preserve">which was </w:t>
      </w:r>
      <w:r w:rsidR="00CE36A3" w:rsidRPr="00000849">
        <w:rPr>
          <w:rFonts w:cstheme="minorHAnsi"/>
          <w:sz w:val="24"/>
          <w:szCs w:val="24"/>
        </w:rPr>
        <w:t xml:space="preserve">to </w:t>
      </w:r>
      <w:r w:rsidR="004B0D1D" w:rsidRPr="00000849">
        <w:rPr>
          <w:rFonts w:cstheme="minorHAnsi"/>
          <w:sz w:val="24"/>
          <w:szCs w:val="24"/>
        </w:rPr>
        <w:t xml:space="preserve">be presented to </w:t>
      </w:r>
      <w:r w:rsidR="00CE36A3" w:rsidRPr="00000849">
        <w:rPr>
          <w:rFonts w:cstheme="minorHAnsi"/>
          <w:sz w:val="24"/>
          <w:szCs w:val="24"/>
        </w:rPr>
        <w:t xml:space="preserve">Parliament that year </w:t>
      </w:r>
      <w:r w:rsidR="00CE36A3" w:rsidRPr="00000849">
        <w:rPr>
          <w:rFonts w:cstheme="minorHAnsi"/>
          <w:sz w:val="24"/>
          <w:szCs w:val="24"/>
        </w:rPr>
        <w:fldChar w:fldCharType="begin"/>
      </w:r>
      <w:r w:rsidR="009F79A1" w:rsidRPr="00000849">
        <w:rPr>
          <w:rFonts w:cstheme="minorHAnsi"/>
          <w:sz w:val="24"/>
          <w:szCs w:val="24"/>
        </w:rPr>
        <w:instrText xml:space="preserve"> ADDIN EN.CITE &lt;EndNote&gt;&lt;Cite&gt;&lt;Author&gt;Ghana News Agency&lt;/Author&gt;&lt;Year&gt;2016&lt;/Year&gt;&lt;RecNum&gt;1040&lt;/RecNum&gt;&lt;DisplayText&gt;(Ghana News Agency, 2016)&lt;/DisplayText&gt;&lt;record&gt;&lt;rec-number&gt;1040&lt;/rec-number&gt;&lt;foreign-keys&gt;&lt;key app="EN" db-id="9tzf2rda8re2a9es5tuxart3swzx2zws2s02" timestamp="1576923289"&gt;1040&lt;/key&gt;&lt;/foreign-keys&gt;&lt;ref-type name="Web Page"&gt;12&lt;/ref-type&gt;&lt;contributors&gt;&lt;authors&gt;&lt;author&gt;Ghana News Agency,&lt;/author&gt;&lt;/authors&gt;&lt;/contributors&gt;&lt;titles&gt;&lt;title&gt;Government to establish Aged Fund&lt;/title&gt;&lt;/titles&gt;&lt;volume&gt;2019&lt;/volume&gt;&lt;number&gt;22 April&lt;/number&gt;&lt;dates&gt;&lt;year&gt;2016&lt;/year&gt;&lt;/dates&gt;&lt;pub-location&gt;Accra&lt;/pub-location&gt;&lt;publisher&gt;Government of Ghana&lt;/publisher&gt;&lt;urls&gt;&lt;related-urls&gt;&lt;url&gt;http://www.ghana.gov.gh/index.php/media-center/news/2311-government&lt;/url&gt;&lt;/related-urls&gt;&lt;/urls&gt;&lt;custom1&gt;2019&lt;/custom1&gt;&lt;custom2&gt;22 April&lt;/custom2&gt;&lt;/record&gt;&lt;/Cite&gt;&lt;/EndNote&gt;</w:instrText>
      </w:r>
      <w:r w:rsidR="00CE36A3" w:rsidRPr="00000849">
        <w:rPr>
          <w:rFonts w:cstheme="minorHAnsi"/>
          <w:sz w:val="24"/>
          <w:szCs w:val="24"/>
        </w:rPr>
        <w:fldChar w:fldCharType="separate"/>
      </w:r>
      <w:r w:rsidR="00CE36A3" w:rsidRPr="00000849">
        <w:rPr>
          <w:rFonts w:cstheme="minorHAnsi"/>
          <w:noProof/>
          <w:sz w:val="24"/>
          <w:szCs w:val="24"/>
        </w:rPr>
        <w:t>(Ghana News Agency, 2016)</w:t>
      </w:r>
      <w:r w:rsidR="00CE36A3" w:rsidRPr="00000849">
        <w:rPr>
          <w:rFonts w:cstheme="minorHAnsi"/>
          <w:sz w:val="24"/>
          <w:szCs w:val="24"/>
        </w:rPr>
        <w:fldChar w:fldCharType="end"/>
      </w:r>
      <w:r w:rsidR="00CE36A3" w:rsidRPr="00000849">
        <w:rPr>
          <w:rFonts w:cstheme="minorHAnsi"/>
          <w:sz w:val="24"/>
          <w:szCs w:val="24"/>
        </w:rPr>
        <w:t xml:space="preserve">.  The Bill </w:t>
      </w:r>
      <w:r w:rsidR="004B0D1D" w:rsidRPr="00000849">
        <w:rPr>
          <w:rFonts w:cstheme="minorHAnsi"/>
          <w:sz w:val="24"/>
          <w:szCs w:val="24"/>
        </w:rPr>
        <w:t xml:space="preserve">allows for the creation of an Aged Fund, a major </w:t>
      </w:r>
      <w:r w:rsidR="0038388D" w:rsidRPr="00000849">
        <w:rPr>
          <w:rFonts w:cstheme="minorHAnsi"/>
          <w:sz w:val="24"/>
          <w:szCs w:val="24"/>
        </w:rPr>
        <w:t>social safety net for older adults in the country</w:t>
      </w:r>
      <w:r w:rsidR="00AD754F" w:rsidRPr="00000849">
        <w:rPr>
          <w:rFonts w:cstheme="minorHAnsi"/>
          <w:sz w:val="24"/>
          <w:szCs w:val="24"/>
        </w:rPr>
        <w:t xml:space="preserve"> as well the incorporation of ageing programmes into decentralized local government plans</w:t>
      </w:r>
      <w:r w:rsidR="004B0D1D" w:rsidRPr="00000849">
        <w:rPr>
          <w:rFonts w:cstheme="minorHAnsi"/>
          <w:sz w:val="24"/>
          <w:szCs w:val="24"/>
        </w:rPr>
        <w:t xml:space="preserve">.  </w:t>
      </w:r>
      <w:r w:rsidR="00FF148D" w:rsidRPr="00000849">
        <w:rPr>
          <w:rFonts w:cstheme="minorHAnsi"/>
          <w:sz w:val="24"/>
          <w:szCs w:val="24"/>
        </w:rPr>
        <w:t xml:space="preserve">She announced that </w:t>
      </w:r>
      <w:r w:rsidR="00AD754F" w:rsidRPr="00000849">
        <w:rPr>
          <w:rFonts w:cstheme="minorHAnsi"/>
          <w:sz w:val="24"/>
          <w:szCs w:val="24"/>
        </w:rPr>
        <w:t xml:space="preserve">a National Ageing Council had been inaugurated.  </w:t>
      </w:r>
      <w:r w:rsidR="004B0D1D" w:rsidRPr="00000849">
        <w:rPr>
          <w:rFonts w:cstheme="minorHAnsi"/>
          <w:sz w:val="24"/>
          <w:szCs w:val="24"/>
        </w:rPr>
        <w:t>Unfortunately, progress with the passage of the bill has stalled</w:t>
      </w:r>
      <w:r w:rsidR="00AD754F" w:rsidRPr="00000849">
        <w:rPr>
          <w:rFonts w:cstheme="minorHAnsi"/>
          <w:sz w:val="24"/>
          <w:szCs w:val="24"/>
        </w:rPr>
        <w:t xml:space="preserve"> and it is not clear that the said Council is functional</w:t>
      </w:r>
      <w:r w:rsidR="004B0D1D" w:rsidRPr="00000849">
        <w:rPr>
          <w:rFonts w:cstheme="minorHAnsi"/>
          <w:sz w:val="24"/>
          <w:szCs w:val="24"/>
        </w:rPr>
        <w:t xml:space="preserve">.  It is </w:t>
      </w:r>
      <w:r w:rsidR="00E47CDD" w:rsidRPr="00000849">
        <w:rPr>
          <w:rFonts w:cstheme="minorHAnsi"/>
          <w:sz w:val="24"/>
          <w:szCs w:val="24"/>
        </w:rPr>
        <w:t xml:space="preserve">therefore imperative that </w:t>
      </w:r>
      <w:r w:rsidR="00261C53" w:rsidRPr="00000849">
        <w:rPr>
          <w:rFonts w:cstheme="minorHAnsi"/>
          <w:sz w:val="24"/>
          <w:szCs w:val="24"/>
        </w:rPr>
        <w:t>Non-Governmental Organisations (</w:t>
      </w:r>
      <w:r w:rsidR="00E47CDD" w:rsidRPr="00000849">
        <w:rPr>
          <w:rFonts w:cstheme="minorHAnsi"/>
          <w:sz w:val="24"/>
          <w:szCs w:val="24"/>
        </w:rPr>
        <w:t>NGOs</w:t>
      </w:r>
      <w:r w:rsidR="00261C53" w:rsidRPr="00000849">
        <w:rPr>
          <w:rFonts w:cstheme="minorHAnsi"/>
          <w:sz w:val="24"/>
          <w:szCs w:val="24"/>
        </w:rPr>
        <w:t>)</w:t>
      </w:r>
      <w:r w:rsidR="00E47CDD" w:rsidRPr="00000849">
        <w:rPr>
          <w:rFonts w:cstheme="minorHAnsi"/>
          <w:sz w:val="24"/>
          <w:szCs w:val="24"/>
        </w:rPr>
        <w:t>, civil society and professional groups are empowered to hold the government into account</w:t>
      </w:r>
      <w:r w:rsidR="00834178" w:rsidRPr="00000849">
        <w:rPr>
          <w:rFonts w:cstheme="minorHAnsi"/>
          <w:sz w:val="24"/>
          <w:szCs w:val="24"/>
        </w:rPr>
        <w:t xml:space="preserve"> in developing this legislative tool</w:t>
      </w:r>
      <w:r w:rsidR="00E47CDD" w:rsidRPr="00000849">
        <w:rPr>
          <w:rFonts w:cstheme="minorHAnsi"/>
          <w:sz w:val="24"/>
          <w:szCs w:val="24"/>
        </w:rPr>
        <w:t>.</w:t>
      </w:r>
    </w:p>
    <w:p w14:paraId="31DA7054" w14:textId="35861D9A" w:rsidR="00E802F6" w:rsidRPr="00000849" w:rsidRDefault="00243F79" w:rsidP="00243F79">
      <w:pPr>
        <w:widowControl w:val="0"/>
        <w:spacing w:line="480" w:lineRule="auto"/>
        <w:ind w:firstLine="720"/>
        <w:jc w:val="both"/>
        <w:rPr>
          <w:rFonts w:cstheme="minorHAnsi"/>
          <w:sz w:val="24"/>
          <w:szCs w:val="24"/>
        </w:rPr>
      </w:pPr>
      <w:r w:rsidRPr="00000849">
        <w:rPr>
          <w:rFonts w:cstheme="minorHAnsi"/>
          <w:sz w:val="24"/>
          <w:szCs w:val="24"/>
        </w:rPr>
        <w:t xml:space="preserve">While waiting for the bill to be passed, the Ministry of Health / Ghana Health Service </w:t>
      </w:r>
      <w:r w:rsidR="002C0428" w:rsidRPr="00000849">
        <w:rPr>
          <w:rFonts w:cstheme="minorHAnsi"/>
          <w:sz w:val="24"/>
          <w:szCs w:val="24"/>
        </w:rPr>
        <w:t>c</w:t>
      </w:r>
      <w:r w:rsidRPr="00000849">
        <w:rPr>
          <w:rFonts w:cstheme="minorHAnsi"/>
          <w:sz w:val="24"/>
          <w:szCs w:val="24"/>
        </w:rPr>
        <w:t>ould develop</w:t>
      </w:r>
      <w:r w:rsidR="00784E5C" w:rsidRPr="00000849">
        <w:rPr>
          <w:rFonts w:cstheme="minorHAnsi"/>
          <w:sz w:val="24"/>
          <w:szCs w:val="24"/>
        </w:rPr>
        <w:t xml:space="preserve"> its health and nutrition policy implementation plan based on the national ageing policy.  </w:t>
      </w:r>
      <w:r w:rsidR="00BD6B46" w:rsidRPr="00000849">
        <w:rPr>
          <w:rFonts w:cstheme="minorHAnsi"/>
          <w:sz w:val="24"/>
          <w:szCs w:val="24"/>
        </w:rPr>
        <w:t xml:space="preserve">The </w:t>
      </w:r>
      <w:r w:rsidR="0045759F" w:rsidRPr="00000849">
        <w:rPr>
          <w:rFonts w:cstheme="minorHAnsi"/>
          <w:sz w:val="24"/>
          <w:szCs w:val="24"/>
        </w:rPr>
        <w:t xml:space="preserve">establishment of Ageing Desks at all Ministries in Ghana will </w:t>
      </w:r>
      <w:r w:rsidR="00F77CD4" w:rsidRPr="00000849">
        <w:rPr>
          <w:rFonts w:cstheme="minorHAnsi"/>
          <w:sz w:val="24"/>
          <w:szCs w:val="24"/>
        </w:rPr>
        <w:t xml:space="preserve">help to </w:t>
      </w:r>
      <w:r w:rsidR="0045759F" w:rsidRPr="00000849">
        <w:rPr>
          <w:rFonts w:cstheme="minorHAnsi"/>
          <w:sz w:val="24"/>
          <w:szCs w:val="24"/>
        </w:rPr>
        <w:t>champion ageing programmes in public sector plans.</w:t>
      </w:r>
      <w:r w:rsidR="005731CF" w:rsidRPr="00000849">
        <w:rPr>
          <w:rFonts w:cstheme="minorHAnsi"/>
          <w:sz w:val="24"/>
          <w:szCs w:val="24"/>
        </w:rPr>
        <w:t xml:space="preserve">  There is also </w:t>
      </w:r>
      <w:r w:rsidR="005731CF" w:rsidRPr="00000849">
        <w:rPr>
          <w:rFonts w:cstheme="minorHAnsi"/>
          <w:sz w:val="24"/>
          <w:szCs w:val="24"/>
        </w:rPr>
        <w:lastRenderedPageBreak/>
        <w:t xml:space="preserve">the need for the national authorities to appoint high-level </w:t>
      </w:r>
      <w:r w:rsidR="00F80427" w:rsidRPr="00000849">
        <w:rPr>
          <w:rFonts w:cstheme="minorHAnsi"/>
          <w:sz w:val="24"/>
          <w:szCs w:val="24"/>
        </w:rPr>
        <w:t>champions to advocate for priority to ageing at the highest level.</w:t>
      </w:r>
    </w:p>
    <w:p w14:paraId="29F5C011" w14:textId="71FFFF94" w:rsidR="00F80427" w:rsidRPr="00000849" w:rsidRDefault="00F861D4" w:rsidP="00286270">
      <w:pPr>
        <w:spacing w:line="480" w:lineRule="auto"/>
        <w:ind w:firstLine="567"/>
        <w:jc w:val="both"/>
        <w:rPr>
          <w:rFonts w:cstheme="minorHAnsi"/>
          <w:sz w:val="24"/>
          <w:szCs w:val="24"/>
        </w:rPr>
      </w:pPr>
      <w:r w:rsidRPr="00000849">
        <w:rPr>
          <w:sz w:val="24"/>
          <w:szCs w:val="24"/>
        </w:rPr>
        <w:t>Currently, the Ministry of Health collaborates with its Development Partners to organize an annual review of the health sector based on its five-year health sector programme of work.  These reviews do not systematically monitor the health of older persons, albeit the prevalence of adult hypertension is monitored</w:t>
      </w:r>
      <w:r w:rsidR="00CA1360" w:rsidRPr="00000849">
        <w:rPr>
          <w:sz w:val="24"/>
          <w:szCs w:val="24"/>
        </w:rPr>
        <w:t xml:space="preserve"> </w:t>
      </w:r>
      <w:r w:rsidR="00CA1360" w:rsidRPr="00000849">
        <w:rPr>
          <w:sz w:val="24"/>
          <w:szCs w:val="24"/>
        </w:rPr>
        <w:fldChar w:fldCharType="begin"/>
      </w:r>
      <w:r w:rsidR="00E4120F" w:rsidRPr="00000849">
        <w:rPr>
          <w:sz w:val="24"/>
          <w:szCs w:val="24"/>
        </w:rPr>
        <w:instrText xml:space="preserve"> ADDIN EN.CITE &lt;EndNote&gt;&lt;Cite&gt;&lt;Author&gt;MOH Ghana&lt;/Author&gt;&lt;Year&gt;2018&lt;/Year&gt;&lt;RecNum&gt;1099&lt;/RecNum&gt;&lt;DisplayText&gt;(MOH Ghana, 2018)&lt;/DisplayText&gt;&lt;record&gt;&lt;rec-number&gt;1099&lt;/rec-number&gt;&lt;foreign-keys&gt;&lt;key app="EN" db-id="9tzf2rda8re2a9es5tuxart3swzx2zws2s02" timestamp="1579235218"&gt;1099&lt;/key&gt;&lt;/foreign-keys&gt;&lt;ref-type name="Report"&gt;27&lt;/ref-type&gt;&lt;contributors&gt;&lt;authors&gt;&lt;author&gt;MOH Ghana,&lt;/author&gt;&lt;/authors&gt;&lt;/contributors&gt;&lt;titles&gt;&lt;title&gt;Holistic assessment of 2017 health sector programme of work&lt;/title&gt;&lt;/titles&gt;&lt;dates&gt;&lt;year&gt;2018&lt;/year&gt;&lt;/dates&gt;&lt;pub-location&gt;Accra&lt;/pub-location&gt;&lt;publisher&gt;MOH&lt;/publisher&gt;&lt;urls&gt;&lt;related-urls&gt;&lt;url&gt;http://www.moh.gov.gh/wp-content/uploads/2018/09/2017-Holistic-Assessment-Report_Final_09.08.2018.pdf&lt;/url&gt;&lt;/related-urls&gt;&lt;/urls&gt;&lt;/record&gt;&lt;/Cite&gt;&lt;/EndNote&gt;</w:instrText>
      </w:r>
      <w:r w:rsidR="00CA1360" w:rsidRPr="00000849">
        <w:rPr>
          <w:sz w:val="24"/>
          <w:szCs w:val="24"/>
        </w:rPr>
        <w:fldChar w:fldCharType="separate"/>
      </w:r>
      <w:r w:rsidR="00E4120F" w:rsidRPr="00000849">
        <w:rPr>
          <w:noProof/>
          <w:sz w:val="24"/>
          <w:szCs w:val="24"/>
        </w:rPr>
        <w:t>(MOH Ghana, 2018)</w:t>
      </w:r>
      <w:r w:rsidR="00CA1360" w:rsidRPr="00000849">
        <w:rPr>
          <w:sz w:val="24"/>
          <w:szCs w:val="24"/>
        </w:rPr>
        <w:fldChar w:fldCharType="end"/>
      </w:r>
      <w:r w:rsidRPr="00000849">
        <w:rPr>
          <w:sz w:val="24"/>
          <w:szCs w:val="24"/>
        </w:rPr>
        <w:t>.  It will</w:t>
      </w:r>
      <w:r w:rsidR="0073488E" w:rsidRPr="00000849">
        <w:rPr>
          <w:sz w:val="24"/>
          <w:szCs w:val="24"/>
        </w:rPr>
        <w:t>,</w:t>
      </w:r>
      <w:r w:rsidRPr="00000849">
        <w:rPr>
          <w:sz w:val="24"/>
          <w:szCs w:val="24"/>
        </w:rPr>
        <w:t xml:space="preserve"> therefore</w:t>
      </w:r>
      <w:r w:rsidR="0073488E" w:rsidRPr="00000849">
        <w:rPr>
          <w:sz w:val="24"/>
          <w:szCs w:val="24"/>
        </w:rPr>
        <w:t>,</w:t>
      </w:r>
      <w:r w:rsidRPr="00000849">
        <w:rPr>
          <w:sz w:val="24"/>
          <w:szCs w:val="24"/>
        </w:rPr>
        <w:t xml:space="preserve"> be useful to include an indicator</w:t>
      </w:r>
      <w:r w:rsidR="00A44C0E" w:rsidRPr="00000849">
        <w:rPr>
          <w:sz w:val="24"/>
          <w:szCs w:val="24"/>
        </w:rPr>
        <w:t xml:space="preserve"> from routine data sources</w:t>
      </w:r>
      <w:r w:rsidRPr="00000849">
        <w:rPr>
          <w:sz w:val="24"/>
          <w:szCs w:val="24"/>
        </w:rPr>
        <w:t xml:space="preserve"> </w:t>
      </w:r>
      <w:r w:rsidR="00A44C0E" w:rsidRPr="00000849">
        <w:rPr>
          <w:sz w:val="24"/>
          <w:szCs w:val="24"/>
        </w:rPr>
        <w:t>on the delivery of services to older adults (such as number of facilities providing dedicated services for older adults)</w:t>
      </w:r>
      <w:r w:rsidR="00CA1360" w:rsidRPr="00000849">
        <w:rPr>
          <w:sz w:val="24"/>
          <w:szCs w:val="24"/>
        </w:rPr>
        <w:t xml:space="preserve"> </w:t>
      </w:r>
      <w:r w:rsidR="00A44C0E" w:rsidRPr="00000849">
        <w:rPr>
          <w:sz w:val="24"/>
          <w:szCs w:val="24"/>
        </w:rPr>
        <w:t>or th</w:t>
      </w:r>
      <w:r w:rsidR="00286270" w:rsidRPr="00000849">
        <w:rPr>
          <w:sz w:val="24"/>
          <w:szCs w:val="24"/>
        </w:rPr>
        <w:t xml:space="preserve">e outcome of those on medical admission.  </w:t>
      </w:r>
    </w:p>
    <w:p w14:paraId="7548A234" w14:textId="27BCAA67" w:rsidR="00087885" w:rsidRPr="00000849" w:rsidRDefault="00087885" w:rsidP="002D22BB">
      <w:pPr>
        <w:widowControl w:val="0"/>
        <w:spacing w:line="480" w:lineRule="auto"/>
        <w:ind w:firstLine="567"/>
        <w:jc w:val="both"/>
        <w:rPr>
          <w:rFonts w:cstheme="minorHAnsi"/>
          <w:sz w:val="24"/>
          <w:szCs w:val="24"/>
        </w:rPr>
      </w:pPr>
      <w:r w:rsidRPr="00000849">
        <w:rPr>
          <w:rFonts w:cstheme="minorHAnsi"/>
          <w:sz w:val="24"/>
          <w:szCs w:val="24"/>
        </w:rPr>
        <w:t>Modifying the current policy on the NHIS could help to improve the awareness of hypertension and its effective control in older adults in Ghana.  Legally, t</w:t>
      </w:r>
      <w:r w:rsidR="002D22BB" w:rsidRPr="00000849">
        <w:rPr>
          <w:rFonts w:cstheme="minorHAnsi"/>
          <w:sz w:val="24"/>
          <w:szCs w:val="24"/>
        </w:rPr>
        <w:t>he NHIS exempts people older than 70 years</w:t>
      </w:r>
      <w:r w:rsidRPr="00000849">
        <w:rPr>
          <w:rFonts w:cstheme="minorHAnsi"/>
          <w:sz w:val="24"/>
          <w:szCs w:val="24"/>
        </w:rPr>
        <w:t xml:space="preserve"> from paying any subscription fees</w:t>
      </w:r>
      <w:r w:rsidR="002D22BB" w:rsidRPr="00000849">
        <w:rPr>
          <w:rFonts w:cstheme="minorHAnsi"/>
          <w:sz w:val="24"/>
          <w:szCs w:val="24"/>
        </w:rPr>
        <w:t xml:space="preserve">.  </w:t>
      </w:r>
      <w:r w:rsidRPr="00000849">
        <w:rPr>
          <w:rFonts w:cstheme="minorHAnsi"/>
          <w:sz w:val="24"/>
          <w:szCs w:val="24"/>
        </w:rPr>
        <w:t>However, the age threshold for exemption could be reviewed</w:t>
      </w:r>
      <w:r w:rsidR="00E6203D" w:rsidRPr="00000849">
        <w:rPr>
          <w:rFonts w:cstheme="minorHAnsi"/>
          <w:sz w:val="24"/>
          <w:szCs w:val="24"/>
        </w:rPr>
        <w:t xml:space="preserve"> downward</w:t>
      </w:r>
      <w:r w:rsidRPr="00000849">
        <w:rPr>
          <w:rFonts w:cstheme="minorHAnsi"/>
          <w:sz w:val="24"/>
          <w:szCs w:val="24"/>
        </w:rPr>
        <w:t xml:space="preserve"> to 60 0r 65 years.  </w:t>
      </w:r>
      <w:r w:rsidR="00C17655" w:rsidRPr="00000849">
        <w:rPr>
          <w:rFonts w:cstheme="minorHAnsi"/>
          <w:sz w:val="24"/>
          <w:szCs w:val="24"/>
        </w:rPr>
        <w:t xml:space="preserve">Most of the older adults age 60-69 years in Ghana, having worked in the informal sector, lack pensions on retirement and face financial barriers in subscribing to the NHIS </w:t>
      </w:r>
      <w:r w:rsidR="00C17655" w:rsidRPr="00000849">
        <w:rPr>
          <w:rFonts w:cstheme="minorHAnsi"/>
          <w:sz w:val="24"/>
          <w:szCs w:val="24"/>
        </w:rPr>
        <w:fldChar w:fldCharType="begin"/>
      </w:r>
      <w:r w:rsidR="00C17655" w:rsidRPr="00000849">
        <w:rPr>
          <w:rFonts w:cstheme="minorHAnsi"/>
          <w:sz w:val="24"/>
          <w:szCs w:val="24"/>
        </w:rPr>
        <w:instrText xml:space="preserve"> ADDIN EN.CITE &lt;EndNote&gt;&lt;Cite&gt;&lt;Author&gt;Kpessa-Whyte&lt;/Author&gt;&lt;Year&gt;2018&lt;/Year&gt;&lt;RecNum&gt;1670&lt;/RecNum&gt;&lt;DisplayText&gt;(Kpessa-Whyte, 2018)&lt;/DisplayText&gt;&lt;record&gt;&lt;rec-number&gt;1670&lt;/rec-number&gt;&lt;foreign-keys&gt;&lt;key app="EN" db-id="9tzf2rda8re2a9es5tuxart3swzx2zws2s02" timestamp="1597628343"&gt;1670&lt;/key&gt;&lt;/foreign-keys&gt;&lt;ref-type name="Journal Article"&gt;17&lt;/ref-type&gt;&lt;contributors&gt;&lt;authors&gt;&lt;author&gt;Kpessa-Whyte, Michael&lt;/author&gt;&lt;/authors&gt;&lt;/contributors&gt;&lt;titles&gt;&lt;title&gt;Aging and Demographic Transition in Ghana: State of the Elderly and Emerging Issues&lt;/title&gt;&lt;secondary-title&gt;The Gerontologist&lt;/secondary-title&gt;&lt;/titles&gt;&lt;periodical&gt;&lt;full-title&gt;The Gerontologist&lt;/full-title&gt;&lt;abbr-1&gt;Gerontologist&lt;/abbr-1&gt;&lt;/periodical&gt;&lt;pages&gt;403-408&lt;/pages&gt;&lt;volume&gt;58&lt;/volume&gt;&lt;number&gt;3&lt;/number&gt;&lt;dates&gt;&lt;year&gt;2018&lt;/year&gt;&lt;/dates&gt;&lt;isbn&gt;0016-9013&lt;/isbn&gt;&lt;urls&gt;&lt;related-urls&gt;&lt;url&gt;https://doi.org/10.1093/geront/gnx205&lt;/url&gt;&lt;/related-urls&gt;&lt;/urls&gt;&lt;electronic-resource-num&gt;10.1093/geront/gnx205&lt;/electronic-resource-num&gt;&lt;access-date&gt;8/17/2020&lt;/access-date&gt;&lt;/record&gt;&lt;/Cite&gt;&lt;/EndNote&gt;</w:instrText>
      </w:r>
      <w:r w:rsidR="00C17655" w:rsidRPr="00000849">
        <w:rPr>
          <w:rFonts w:cstheme="minorHAnsi"/>
          <w:sz w:val="24"/>
          <w:szCs w:val="24"/>
        </w:rPr>
        <w:fldChar w:fldCharType="separate"/>
      </w:r>
      <w:r w:rsidR="00C17655" w:rsidRPr="00000849">
        <w:rPr>
          <w:rFonts w:cstheme="minorHAnsi"/>
          <w:noProof/>
          <w:sz w:val="24"/>
          <w:szCs w:val="24"/>
        </w:rPr>
        <w:t>(Kpessa-Whyte, 2018)</w:t>
      </w:r>
      <w:r w:rsidR="00C17655" w:rsidRPr="00000849">
        <w:rPr>
          <w:rFonts w:cstheme="minorHAnsi"/>
          <w:sz w:val="24"/>
          <w:szCs w:val="24"/>
        </w:rPr>
        <w:fldChar w:fldCharType="end"/>
      </w:r>
      <w:r w:rsidR="00C17655" w:rsidRPr="00000849">
        <w:rPr>
          <w:rFonts w:cstheme="minorHAnsi"/>
          <w:sz w:val="24"/>
          <w:szCs w:val="24"/>
        </w:rPr>
        <w:t xml:space="preserve">.  Moreover, </w:t>
      </w:r>
      <w:r w:rsidR="00A57E85">
        <w:rPr>
          <w:rFonts w:cstheme="minorHAnsi"/>
          <w:sz w:val="24"/>
          <w:szCs w:val="24"/>
        </w:rPr>
        <w:t>i</w:t>
      </w:r>
      <w:r w:rsidRPr="00000849">
        <w:rPr>
          <w:rFonts w:cstheme="minorHAnsi"/>
          <w:sz w:val="24"/>
          <w:szCs w:val="24"/>
        </w:rPr>
        <w:t xml:space="preserve">n the current study, the prevalence of hypertension in subjects aged 50-64 years was still high (56.5% in W1, 31.0% in W2).  </w:t>
      </w:r>
      <w:r w:rsidR="00D163A4" w:rsidRPr="00000849">
        <w:rPr>
          <w:rFonts w:cstheme="minorHAnsi"/>
          <w:sz w:val="24"/>
          <w:szCs w:val="24"/>
        </w:rPr>
        <w:t>Older adults in Ghana who had</w:t>
      </w:r>
      <w:r w:rsidRPr="00000849">
        <w:rPr>
          <w:rFonts w:cstheme="minorHAnsi"/>
          <w:sz w:val="24"/>
          <w:szCs w:val="24"/>
        </w:rPr>
        <w:t xml:space="preserve"> health insurance ha</w:t>
      </w:r>
      <w:r w:rsidR="00D163A4" w:rsidRPr="00000849">
        <w:rPr>
          <w:rFonts w:cstheme="minorHAnsi"/>
          <w:sz w:val="24"/>
          <w:szCs w:val="24"/>
        </w:rPr>
        <w:t>ve</w:t>
      </w:r>
      <w:r w:rsidRPr="00000849">
        <w:rPr>
          <w:rFonts w:cstheme="minorHAnsi"/>
          <w:sz w:val="24"/>
          <w:szCs w:val="24"/>
        </w:rPr>
        <w:t xml:space="preserve"> been shown to </w:t>
      </w:r>
      <w:r w:rsidR="00D163A4" w:rsidRPr="00000849">
        <w:rPr>
          <w:rFonts w:cstheme="minorHAnsi"/>
          <w:sz w:val="24"/>
          <w:szCs w:val="24"/>
        </w:rPr>
        <w:t>report a 33% greater awareness of having hypertension than those who are uninsured, after controlling for potential confounders</w:t>
      </w:r>
      <w:r w:rsidR="00CD7B29">
        <w:rPr>
          <w:rFonts w:cstheme="minorHAnsi"/>
          <w:sz w:val="24"/>
          <w:szCs w:val="24"/>
        </w:rPr>
        <w:t xml:space="preserve"> </w:t>
      </w:r>
      <w:r w:rsidR="00CD7B29">
        <w:rPr>
          <w:rFonts w:cstheme="minorHAnsi"/>
          <w:sz w:val="24"/>
          <w:szCs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rFonts w:cstheme="minorHAnsi"/>
          <w:sz w:val="24"/>
          <w:szCs w:val="24"/>
        </w:rPr>
        <w:instrText xml:space="preserve"> ADDIN EN.CITE </w:instrText>
      </w:r>
      <w:r w:rsidR="00AC2BE6">
        <w:rPr>
          <w:rFonts w:cstheme="minorHAnsi"/>
          <w:sz w:val="24"/>
          <w:szCs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rFonts w:cstheme="minorHAnsi"/>
          <w:sz w:val="24"/>
          <w:szCs w:val="24"/>
        </w:rPr>
        <w:instrText xml:space="preserve"> ADDIN EN.CITE.DATA </w:instrText>
      </w:r>
      <w:r w:rsidR="00AC2BE6">
        <w:rPr>
          <w:rFonts w:cstheme="minorHAnsi"/>
          <w:sz w:val="24"/>
          <w:szCs w:val="24"/>
        </w:rPr>
      </w:r>
      <w:r w:rsidR="00AC2BE6">
        <w:rPr>
          <w:rFonts w:cstheme="minorHAnsi"/>
          <w:sz w:val="24"/>
          <w:szCs w:val="24"/>
        </w:rPr>
        <w:fldChar w:fldCharType="end"/>
      </w:r>
      <w:r w:rsidR="00CD7B29">
        <w:rPr>
          <w:rFonts w:cstheme="minorHAnsi"/>
          <w:sz w:val="24"/>
          <w:szCs w:val="24"/>
        </w:rPr>
      </w:r>
      <w:r w:rsidR="00CD7B29">
        <w:rPr>
          <w:rFonts w:cstheme="minorHAnsi"/>
          <w:sz w:val="24"/>
          <w:szCs w:val="24"/>
        </w:rPr>
        <w:fldChar w:fldCharType="separate"/>
      </w:r>
      <w:r w:rsidR="00CD7B29">
        <w:rPr>
          <w:rFonts w:cstheme="minorHAnsi"/>
          <w:noProof/>
          <w:sz w:val="24"/>
          <w:szCs w:val="24"/>
        </w:rPr>
        <w:t>(Lloyd-Sherlock et al., 2014)</w:t>
      </w:r>
      <w:r w:rsidR="00CD7B29">
        <w:rPr>
          <w:rFonts w:cstheme="minorHAnsi"/>
          <w:sz w:val="24"/>
          <w:szCs w:val="24"/>
        </w:rPr>
        <w:fldChar w:fldCharType="end"/>
      </w:r>
      <w:r w:rsidR="00D163A4" w:rsidRPr="00000849">
        <w:rPr>
          <w:rFonts w:cstheme="minorHAnsi"/>
          <w:sz w:val="24"/>
          <w:szCs w:val="24"/>
        </w:rPr>
        <w:t>.  Health insurance has also been associated with better control of blood pressure among older adults with hypertension in Ghana, but the association, unlike that in India and Mexico, was not statistically significant</w:t>
      </w:r>
      <w:r w:rsidR="00CD7B29">
        <w:rPr>
          <w:rFonts w:cstheme="minorHAnsi"/>
          <w:sz w:val="24"/>
          <w:szCs w:val="24"/>
        </w:rPr>
        <w:t xml:space="preserve"> </w:t>
      </w:r>
      <w:r w:rsidR="00CD7B29">
        <w:rPr>
          <w:rFonts w:cstheme="minorHAnsi"/>
          <w:sz w:val="24"/>
          <w:szCs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rFonts w:cstheme="minorHAnsi"/>
          <w:sz w:val="24"/>
          <w:szCs w:val="24"/>
        </w:rPr>
        <w:instrText xml:space="preserve"> ADDIN EN.CITE </w:instrText>
      </w:r>
      <w:r w:rsidR="00AC2BE6">
        <w:rPr>
          <w:rFonts w:cstheme="minorHAnsi"/>
          <w:sz w:val="24"/>
          <w:szCs w:val="24"/>
        </w:rPr>
        <w:fldChar w:fldCharType="begin">
          <w:fldData xml:space="preserve">PEVuZE5vdGU+PENpdGU+PEF1dGhvcj5MbG95ZC1TaGVybG9jazwvQXV0aG9yPjxZZWFyPjIwMTQ8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</w:fldData>
        </w:fldChar>
      </w:r>
      <w:r w:rsidR="00AC2BE6">
        <w:rPr>
          <w:rFonts w:cstheme="minorHAnsi"/>
          <w:sz w:val="24"/>
          <w:szCs w:val="24"/>
        </w:rPr>
        <w:instrText xml:space="preserve"> ADDIN EN.CITE.DATA </w:instrText>
      </w:r>
      <w:r w:rsidR="00AC2BE6">
        <w:rPr>
          <w:rFonts w:cstheme="minorHAnsi"/>
          <w:sz w:val="24"/>
          <w:szCs w:val="24"/>
        </w:rPr>
      </w:r>
      <w:r w:rsidR="00AC2BE6">
        <w:rPr>
          <w:rFonts w:cstheme="minorHAnsi"/>
          <w:sz w:val="24"/>
          <w:szCs w:val="24"/>
        </w:rPr>
        <w:fldChar w:fldCharType="end"/>
      </w:r>
      <w:r w:rsidR="00CD7B29">
        <w:rPr>
          <w:rFonts w:cstheme="minorHAnsi"/>
          <w:sz w:val="24"/>
          <w:szCs w:val="24"/>
        </w:rPr>
      </w:r>
      <w:r w:rsidR="00CD7B29">
        <w:rPr>
          <w:rFonts w:cstheme="minorHAnsi"/>
          <w:sz w:val="24"/>
          <w:szCs w:val="24"/>
        </w:rPr>
        <w:fldChar w:fldCharType="separate"/>
      </w:r>
      <w:r w:rsidR="00CD7B29">
        <w:rPr>
          <w:rFonts w:cstheme="minorHAnsi"/>
          <w:noProof/>
          <w:sz w:val="24"/>
          <w:szCs w:val="24"/>
        </w:rPr>
        <w:t>(Lloyd-Sherlock et al., 2014)</w:t>
      </w:r>
      <w:r w:rsidR="00CD7B29">
        <w:rPr>
          <w:rFonts w:cstheme="minorHAnsi"/>
          <w:sz w:val="24"/>
          <w:szCs w:val="24"/>
        </w:rPr>
        <w:fldChar w:fldCharType="end"/>
      </w:r>
      <w:r w:rsidR="00D163A4" w:rsidRPr="00000849">
        <w:rPr>
          <w:rFonts w:cstheme="minorHAnsi"/>
          <w:sz w:val="24"/>
          <w:szCs w:val="24"/>
        </w:rPr>
        <w:t>.</w:t>
      </w:r>
    </w:p>
    <w:p w14:paraId="1CE6827D" w14:textId="1E6AE816" w:rsidR="002D22BB" w:rsidRPr="00000849" w:rsidRDefault="00EB77DB" w:rsidP="002D22BB">
      <w:pPr>
        <w:widowControl w:val="0"/>
        <w:spacing w:line="480" w:lineRule="auto"/>
        <w:ind w:firstLine="567"/>
        <w:jc w:val="both"/>
        <w:rPr>
          <w:rFonts w:cstheme="minorHAnsi"/>
          <w:sz w:val="24"/>
          <w:szCs w:val="24"/>
        </w:rPr>
      </w:pPr>
      <w:r w:rsidRPr="00000849">
        <w:rPr>
          <w:rFonts w:cstheme="minorHAnsi"/>
          <w:sz w:val="24"/>
          <w:szCs w:val="24"/>
        </w:rPr>
        <w:lastRenderedPageBreak/>
        <w:t xml:space="preserve">Admittedly, </w:t>
      </w:r>
      <w:r w:rsidR="002D22BB" w:rsidRPr="00000849">
        <w:rPr>
          <w:rFonts w:cstheme="minorHAnsi"/>
          <w:sz w:val="24"/>
          <w:szCs w:val="24"/>
        </w:rPr>
        <w:t xml:space="preserve">the Government of Ghana and </w:t>
      </w:r>
      <w:r w:rsidRPr="00000849">
        <w:rPr>
          <w:rFonts w:cstheme="minorHAnsi"/>
          <w:sz w:val="24"/>
          <w:szCs w:val="24"/>
        </w:rPr>
        <w:t xml:space="preserve">some </w:t>
      </w:r>
      <w:r w:rsidR="002D22BB" w:rsidRPr="00000849">
        <w:rPr>
          <w:rFonts w:cstheme="minorHAnsi"/>
          <w:sz w:val="24"/>
          <w:szCs w:val="24"/>
        </w:rPr>
        <w:t xml:space="preserve">NGOs </w:t>
      </w:r>
      <w:r w:rsidRPr="00000849">
        <w:rPr>
          <w:rFonts w:cstheme="minorHAnsi"/>
          <w:sz w:val="24"/>
          <w:szCs w:val="24"/>
        </w:rPr>
        <w:t xml:space="preserve">have embarked on various initiatives </w:t>
      </w:r>
      <w:r w:rsidR="002D22BB" w:rsidRPr="00000849">
        <w:rPr>
          <w:rFonts w:cstheme="minorHAnsi"/>
          <w:sz w:val="24"/>
          <w:szCs w:val="24"/>
        </w:rPr>
        <w:t xml:space="preserve">to freely register adults aged ≥65 years on the NHIS </w:t>
      </w:r>
      <w:r w:rsidR="002D22BB" w:rsidRPr="00000849">
        <w:rPr>
          <w:rFonts w:cstheme="minorHAnsi"/>
          <w:sz w:val="24"/>
          <w:szCs w:val="24"/>
        </w:rPr>
        <w:fldChar w:fldCharType="begin"/>
      </w:r>
      <w:r w:rsidR="002D22BB" w:rsidRPr="00000849">
        <w:rPr>
          <w:rFonts w:cstheme="minorHAnsi"/>
          <w:sz w:val="24"/>
          <w:szCs w:val="24"/>
        </w:rPr>
        <w:instrText xml:space="preserve"> ADDIN EN.CITE &lt;EndNote&gt;&lt;Cite&gt;&lt;Author&gt;MoGCSP Ghana&lt;/Author&gt;&lt;Year&gt;2019&lt;/Year&gt;&lt;RecNum&gt;1043&lt;/RecNum&gt;&lt;DisplayText&gt;(MoGCSP Ghana, 2019)&lt;/DisplayText&gt;&lt;record&gt;&lt;rec-number&gt;1043&lt;/rec-number&gt;&lt;foreign-keys&gt;&lt;key app="EN" db-id="9tzf2rda8re2a9es5tuxart3swzx2zws2s02" timestamp="1576947574"&gt;1043&lt;/key&gt;&lt;/foreign-keys&gt;&lt;ref-type name="Electronic Article"&gt;43&lt;/ref-type&gt;&lt;contributors&gt;&lt;authors&gt;&lt;author&gt;MoGCSP Ghana,&lt;/author&gt;&lt;/authors&gt;&lt;/contributors&gt;&lt;titles&gt;&lt;title&gt;Programmes and interventions for the aged (Ghana)&lt;/title&gt;&lt;/titles&gt;&lt;volume&gt;2019&lt;/volume&gt;&lt;number&gt;21 December&lt;/number&gt;&lt;dates&gt;&lt;year&gt;2019&lt;/year&gt;&lt;/dates&gt;&lt;pub-location&gt;Accra&lt;/pub-location&gt;&lt;publisher&gt;Government of Ghana&lt;/publisher&gt;&lt;urls&gt;&lt;related-urls&gt;&lt;url&gt;http://mogcsp.gov.gh/index.php/projects/programmes-and-interventions-for-the-aged-ghana/&lt;/url&gt;&lt;/related-urls&gt;&lt;/urls&gt;&lt;custom1&gt;2019&lt;/custom1&gt;&lt;custom2&gt;21 December&lt;/custom2&gt;&lt;/record&gt;&lt;/Cite&gt;&lt;/EndNote&gt;</w:instrText>
      </w:r>
      <w:r w:rsidR="002D22BB" w:rsidRPr="00000849">
        <w:rPr>
          <w:rFonts w:cstheme="minorHAnsi"/>
          <w:sz w:val="24"/>
          <w:szCs w:val="24"/>
        </w:rPr>
        <w:fldChar w:fldCharType="separate"/>
      </w:r>
      <w:r w:rsidR="002D22BB" w:rsidRPr="00000849">
        <w:rPr>
          <w:rFonts w:cstheme="minorHAnsi"/>
          <w:noProof/>
          <w:sz w:val="24"/>
          <w:szCs w:val="24"/>
        </w:rPr>
        <w:t>(MoGCSP Ghana, 2019)</w:t>
      </w:r>
      <w:r w:rsidR="002D22BB" w:rsidRPr="00000849">
        <w:rPr>
          <w:rFonts w:cstheme="minorHAnsi"/>
          <w:sz w:val="24"/>
          <w:szCs w:val="24"/>
        </w:rPr>
        <w:fldChar w:fldCharType="end"/>
      </w:r>
      <w:r w:rsidR="002D22BB" w:rsidRPr="00000849">
        <w:rPr>
          <w:rFonts w:cstheme="minorHAnsi"/>
          <w:sz w:val="24"/>
          <w:szCs w:val="24"/>
        </w:rPr>
        <w:t xml:space="preserve">.  The Government reports that over 11,000 such older adults have been freely registered on the National Health Insurance Scheme since 2014.  Increased enrolment and renewal is </w:t>
      </w:r>
      <w:r w:rsidRPr="00000849">
        <w:rPr>
          <w:rFonts w:cstheme="minorHAnsi"/>
          <w:sz w:val="24"/>
          <w:szCs w:val="24"/>
        </w:rPr>
        <w:t xml:space="preserve">now </w:t>
      </w:r>
      <w:r w:rsidR="002D22BB" w:rsidRPr="00000849">
        <w:rPr>
          <w:rFonts w:cstheme="minorHAnsi"/>
          <w:sz w:val="24"/>
          <w:szCs w:val="24"/>
        </w:rPr>
        <w:t>being made possible through the use of mobile technology in Ghana</w:t>
      </w:r>
      <w:r w:rsidRPr="00000849">
        <w:rPr>
          <w:rFonts w:cstheme="minorHAnsi"/>
          <w:sz w:val="24"/>
          <w:szCs w:val="24"/>
        </w:rPr>
        <w:t xml:space="preserve"> </w:t>
      </w:r>
      <w:r w:rsidRPr="00000849">
        <w:rPr>
          <w:rFonts w:cstheme="minorHAnsi"/>
          <w:sz w:val="24"/>
          <w:szCs w:val="24"/>
        </w:rPr>
        <w:fldChar w:fldCharType="begin"/>
      </w:r>
      <w:r w:rsidR="00E4120F" w:rsidRPr="00000849">
        <w:rPr>
          <w:rFonts w:cstheme="minorHAnsi"/>
          <w:sz w:val="24"/>
          <w:szCs w:val="24"/>
        </w:rPr>
        <w:instrText xml:space="preserve"> ADDIN EN.CITE &lt;EndNote&gt;&lt;Cite&gt;&lt;Author&gt;Ministry of Health Ghana&lt;/Author&gt;&lt;Year&gt;2018&lt;/Year&gt;&lt;RecNum&gt;1668&lt;/RecNum&gt;&lt;DisplayText&gt;(Ministry of Health Ghana, 2018)&lt;/DisplayText&gt;&lt;record&gt;&lt;rec-number&gt;1668&lt;/rec-number&gt;&lt;foreign-keys&gt;&lt;key app="EN" db-id="9tzf2rda8re2a9es5tuxart3swzx2zws2s02" timestamp="1597622547"&gt;1668&lt;/key&gt;&lt;/foreign-keys&gt;&lt;ref-type name="Report"&gt;27&lt;/ref-type&gt;&lt;contributors&gt;&lt;authors&gt;&lt;author&gt;Ministry of Health Ghana,&lt;/author&gt;&lt;/authors&gt;&lt;/contributors&gt;&lt;titles&gt;&lt;title&gt;NHIS guide to mobile renewal&lt;/title&gt;&lt;/titles&gt;&lt;volume&gt;2020&lt;/volume&gt;&lt;number&gt;17 August&lt;/number&gt;&lt;dates&gt;&lt;year&gt;2018&lt;/year&gt;&lt;/dates&gt;&lt;pub-location&gt;Accra&lt;/pub-location&gt;&lt;publisher&gt;National Health Insurance Authority&lt;/publisher&gt;&lt;urls&gt;&lt;related-urls&gt;&lt;url&gt;https://www.google.com/url?client=internal-element-cse&amp;amp;cx=010311583774679127395:grfp2yhj90w&amp;amp;q=http://www.nhis.gov.gh/files/NHIS%2520Mobile_Renewal_Information_Pack_and_Guide.pdf&amp;amp;sa=U&amp;amp;ved=2ahUKEwiF9YzZ9qDrAhUD-aQKHeJABoMQFjAHegQIBhAB&amp;amp;usg=AOvVaw3OI_2zq8GaBm5Wfxiyx5km&lt;/url&gt;&lt;/related-urls&gt;&lt;/urls&gt;&lt;/record&gt;&lt;/Cite&gt;&lt;/EndNote&gt;</w:instrText>
      </w:r>
      <w:r w:rsidRPr="00000849">
        <w:rPr>
          <w:rFonts w:cstheme="minorHAnsi"/>
          <w:sz w:val="24"/>
          <w:szCs w:val="24"/>
        </w:rPr>
        <w:fldChar w:fldCharType="separate"/>
      </w:r>
      <w:r w:rsidR="00E4120F" w:rsidRPr="00000849">
        <w:rPr>
          <w:rFonts w:cstheme="minorHAnsi"/>
          <w:noProof/>
          <w:sz w:val="24"/>
          <w:szCs w:val="24"/>
        </w:rPr>
        <w:t>(Ministry of Health Ghana, 2018)</w:t>
      </w:r>
      <w:r w:rsidRPr="00000849">
        <w:rPr>
          <w:rFonts w:cstheme="minorHAnsi"/>
          <w:sz w:val="24"/>
          <w:szCs w:val="24"/>
        </w:rPr>
        <w:fldChar w:fldCharType="end"/>
      </w:r>
      <w:r w:rsidR="002D22BB" w:rsidRPr="00000849">
        <w:rPr>
          <w:rFonts w:cstheme="minorHAnsi"/>
          <w:sz w:val="24"/>
          <w:szCs w:val="24"/>
        </w:rPr>
        <w:t xml:space="preserve">.  </w:t>
      </w:r>
      <w:r w:rsidR="00914643" w:rsidRPr="00000849">
        <w:rPr>
          <w:rFonts w:cstheme="minorHAnsi"/>
          <w:sz w:val="24"/>
          <w:szCs w:val="24"/>
        </w:rPr>
        <w:t>However, t</w:t>
      </w:r>
      <w:r w:rsidR="002D22BB" w:rsidRPr="00000849">
        <w:rPr>
          <w:rFonts w:cstheme="minorHAnsi"/>
          <w:sz w:val="24"/>
          <w:szCs w:val="24"/>
        </w:rPr>
        <w:t xml:space="preserve">he benefits package of the NHIS should be reviewed to take care of the special </w:t>
      </w:r>
      <w:r w:rsidR="00A57E85">
        <w:rPr>
          <w:rFonts w:cstheme="minorHAnsi"/>
          <w:sz w:val="24"/>
          <w:szCs w:val="24"/>
        </w:rPr>
        <w:t xml:space="preserve">needs </w:t>
      </w:r>
      <w:r w:rsidR="002D22BB" w:rsidRPr="00000849">
        <w:rPr>
          <w:rFonts w:cstheme="minorHAnsi"/>
          <w:sz w:val="24"/>
          <w:szCs w:val="24"/>
        </w:rPr>
        <w:t xml:space="preserve">of older adults.  The Government also provides a 50% rebate on public transport to any destination in Ghana for those registered on a social welfare </w:t>
      </w:r>
      <w:r w:rsidR="002D22BB" w:rsidRPr="00000849">
        <w:rPr>
          <w:rFonts w:cstheme="minorHAnsi"/>
          <w:i/>
          <w:sz w:val="24"/>
          <w:szCs w:val="24"/>
        </w:rPr>
        <w:t>Eban</w:t>
      </w:r>
      <w:r w:rsidR="002D22BB" w:rsidRPr="00000849">
        <w:rPr>
          <w:rFonts w:cstheme="minorHAnsi"/>
          <w:sz w:val="24"/>
          <w:szCs w:val="24"/>
        </w:rPr>
        <w:t xml:space="preserve"> card launched in 2015.  The coverage of such social protection measures </w:t>
      </w:r>
      <w:r w:rsidR="00914643" w:rsidRPr="00000849">
        <w:rPr>
          <w:rFonts w:cstheme="minorHAnsi"/>
          <w:sz w:val="24"/>
          <w:szCs w:val="24"/>
        </w:rPr>
        <w:t>c</w:t>
      </w:r>
      <w:r w:rsidR="002D22BB" w:rsidRPr="00000849">
        <w:rPr>
          <w:rFonts w:cstheme="minorHAnsi"/>
          <w:sz w:val="24"/>
          <w:szCs w:val="24"/>
        </w:rPr>
        <w:t xml:space="preserve">ould be expanded to provide better opportunities for older adults to access care.  </w:t>
      </w:r>
    </w:p>
    <w:p w14:paraId="664269EC" w14:textId="77777777" w:rsidR="002D22BB" w:rsidRPr="00000849" w:rsidRDefault="002D22BB" w:rsidP="006A25C2">
      <w:pPr>
        <w:widowControl w:val="0"/>
        <w:spacing w:line="480" w:lineRule="auto"/>
        <w:jc w:val="both"/>
        <w:rPr>
          <w:rFonts w:cstheme="minorHAnsi"/>
          <w:sz w:val="24"/>
          <w:szCs w:val="24"/>
        </w:rPr>
      </w:pPr>
    </w:p>
    <w:p w14:paraId="54757310" w14:textId="70922BB8" w:rsidR="00F80427" w:rsidRPr="00000849" w:rsidRDefault="002006AA" w:rsidP="004E2350">
      <w:pPr>
        <w:pStyle w:val="Heading3"/>
      </w:pPr>
      <w:bookmarkStart w:id="129" w:name="_Toc51472160"/>
      <w:r w:rsidRPr="00000849">
        <w:t>7.</w:t>
      </w:r>
      <w:r w:rsidR="002417E8" w:rsidRPr="00000849">
        <w:t>2.2</w:t>
      </w:r>
      <w:r w:rsidR="002417E8" w:rsidRPr="00000849">
        <w:tab/>
      </w:r>
      <w:r w:rsidR="00373ECD" w:rsidRPr="00000849">
        <w:t xml:space="preserve">Recommendations for </w:t>
      </w:r>
      <w:r w:rsidR="007F3508" w:rsidRPr="00000849">
        <w:t>research</w:t>
      </w:r>
      <w:bookmarkEnd w:id="129"/>
    </w:p>
    <w:p w14:paraId="06CEBED8" w14:textId="38F8755B" w:rsidR="00F80427" w:rsidRPr="00000849" w:rsidRDefault="00F80427" w:rsidP="006A25C2">
      <w:pPr>
        <w:widowControl w:val="0"/>
        <w:spacing w:line="480" w:lineRule="auto"/>
        <w:jc w:val="both"/>
        <w:rPr>
          <w:rFonts w:cstheme="minorHAnsi"/>
          <w:sz w:val="24"/>
          <w:szCs w:val="24"/>
        </w:rPr>
      </w:pPr>
    </w:p>
    <w:p w14:paraId="7C649CF7" w14:textId="6082D147" w:rsidR="00C04223" w:rsidRPr="00000849" w:rsidRDefault="00C04223" w:rsidP="00C04223">
      <w:pPr>
        <w:widowControl w:val="0"/>
        <w:spacing w:line="480" w:lineRule="auto"/>
        <w:jc w:val="both"/>
        <w:rPr>
          <w:rFonts w:cstheme="minorHAnsi"/>
          <w:sz w:val="24"/>
          <w:szCs w:val="24"/>
        </w:rPr>
      </w:pPr>
      <w:r w:rsidRPr="00000849">
        <w:rPr>
          <w:rFonts w:cstheme="minorHAnsi"/>
          <w:sz w:val="24"/>
          <w:szCs w:val="24"/>
        </w:rPr>
        <w:t xml:space="preserve">The decline in the prevalence of hypertension over the two study waves could not be easily explained.  The analysis of the SAGE Ghana Wave 3 whose data collection was completed in 2019 will enable the trends in the prevalence of hypertension to be more clearly established.  </w:t>
      </w:r>
      <w:r w:rsidR="00D06105" w:rsidRPr="00000849">
        <w:rPr>
          <w:rFonts w:cstheme="minorHAnsi"/>
          <w:sz w:val="24"/>
          <w:szCs w:val="24"/>
        </w:rPr>
        <w:t>It could also identify other determinants beyond those included in the models that could explain the variation in the prevalence of hypertension over time.</w:t>
      </w:r>
    </w:p>
    <w:p w14:paraId="71AAEA7E" w14:textId="525A1CDD" w:rsidR="00A36B3B" w:rsidRPr="00000849" w:rsidRDefault="003A7570" w:rsidP="00A36B3B">
      <w:pPr>
        <w:widowControl w:val="0"/>
        <w:spacing w:line="480" w:lineRule="auto"/>
        <w:ind w:firstLine="720"/>
        <w:jc w:val="both"/>
        <w:rPr>
          <w:rFonts w:cstheme="minorHAnsi"/>
          <w:color w:val="383838"/>
          <w:sz w:val="24"/>
          <w:szCs w:val="24"/>
        </w:rPr>
      </w:pPr>
      <w:r w:rsidRPr="00000849">
        <w:rPr>
          <w:rFonts w:cstheme="minorHAnsi"/>
          <w:sz w:val="24"/>
          <w:szCs w:val="24"/>
        </w:rPr>
        <w:t>As earlier proposed, revising the BP measurement protocol from a single visit assessment to multiple visits</w:t>
      </w:r>
      <w:r w:rsidR="003714BC" w:rsidRPr="00000849">
        <w:rPr>
          <w:rFonts w:cstheme="minorHAnsi"/>
          <w:sz w:val="24"/>
          <w:szCs w:val="24"/>
        </w:rPr>
        <w:t xml:space="preserve"> in future surveys</w:t>
      </w:r>
      <w:r w:rsidRPr="00000849">
        <w:rPr>
          <w:rFonts w:cstheme="minorHAnsi"/>
          <w:sz w:val="24"/>
          <w:szCs w:val="24"/>
        </w:rPr>
        <w:t xml:space="preserve"> will allow for a more accurate diagnosis </w:t>
      </w:r>
      <w:r w:rsidRPr="00000849">
        <w:rPr>
          <w:rFonts w:cstheme="minorHAnsi"/>
          <w:sz w:val="24"/>
          <w:szCs w:val="24"/>
        </w:rPr>
        <w:lastRenderedPageBreak/>
        <w:t>of hypertension.  It will enable investigators to determine by how much single-visit assessment overestimates the true prevalence of hypertension.</w:t>
      </w:r>
      <w:r w:rsidR="00A36B3B" w:rsidRPr="00000849">
        <w:rPr>
          <w:rFonts w:cstheme="minorHAnsi"/>
          <w:sz w:val="24"/>
          <w:szCs w:val="24"/>
        </w:rPr>
        <w:t xml:space="preserve"> </w:t>
      </w:r>
      <w:r w:rsidR="00A36B3B" w:rsidRPr="00000849">
        <w:rPr>
          <w:rFonts w:cstheme="minorHAnsi"/>
          <w:color w:val="383838"/>
          <w:sz w:val="24"/>
          <w:szCs w:val="24"/>
        </w:rPr>
        <w:t xml:space="preserve"> However, multiple measurements of a study that is national in coverage may be both costly and inconvenient for participants and researchers.  </w:t>
      </w:r>
    </w:p>
    <w:p w14:paraId="62422997" w14:textId="3D695776" w:rsidR="003A7570" w:rsidRPr="00000849" w:rsidRDefault="00FD1220" w:rsidP="00151987">
      <w:pPr>
        <w:widowControl w:val="0"/>
        <w:spacing w:line="480" w:lineRule="auto"/>
        <w:ind w:firstLine="720"/>
        <w:jc w:val="both"/>
        <w:rPr>
          <w:rFonts w:cstheme="minorHAnsi"/>
          <w:sz w:val="24"/>
          <w:szCs w:val="24"/>
        </w:rPr>
      </w:pPr>
      <w:r w:rsidRPr="00000849">
        <w:rPr>
          <w:rFonts w:cstheme="minorHAnsi"/>
          <w:sz w:val="24"/>
          <w:szCs w:val="24"/>
        </w:rPr>
        <w:t xml:space="preserve">It emerged from the analyses that there was scant </w:t>
      </w:r>
      <w:r w:rsidR="00151987" w:rsidRPr="00000849">
        <w:rPr>
          <w:rFonts w:cstheme="minorHAnsi"/>
          <w:sz w:val="24"/>
          <w:szCs w:val="24"/>
        </w:rPr>
        <w:t xml:space="preserve">research on the relationship between marital status and hypertension in Africa.  </w:t>
      </w:r>
      <w:r w:rsidR="00114374" w:rsidRPr="00000849">
        <w:rPr>
          <w:rFonts w:cstheme="minorHAnsi"/>
          <w:sz w:val="24"/>
          <w:szCs w:val="24"/>
        </w:rPr>
        <w:t>Further research in Ghana could better elucidate this relationship, including information on confounders such as the number of previous marriages, polygamy, duration of marriages and reasons for the termination or non-marriage.</w:t>
      </w:r>
    </w:p>
    <w:p w14:paraId="42055D4C" w14:textId="0F6CEDC4" w:rsidR="00C37505" w:rsidRPr="00000849" w:rsidRDefault="00C37505" w:rsidP="000A7CF9">
      <w:pPr>
        <w:widowControl w:val="0"/>
        <w:spacing w:line="480" w:lineRule="auto"/>
        <w:ind w:firstLine="567"/>
        <w:jc w:val="both"/>
        <w:rPr>
          <w:rFonts w:cstheme="minorHAnsi"/>
          <w:sz w:val="24"/>
          <w:szCs w:val="24"/>
        </w:rPr>
      </w:pPr>
      <w:r w:rsidRPr="00000849">
        <w:rPr>
          <w:rFonts w:cstheme="minorHAnsi"/>
          <w:sz w:val="24"/>
          <w:szCs w:val="24"/>
        </w:rPr>
        <w:t>Research is needed on how to improve awareness, detection and control of hypertension in Ghana, taking into account the peculiar quality of life challenges of older adults and their cultural context.</w:t>
      </w:r>
      <w:r w:rsidR="000A7CF9" w:rsidRPr="00000849">
        <w:rPr>
          <w:rFonts w:cstheme="minorHAnsi"/>
          <w:sz w:val="24"/>
          <w:szCs w:val="24"/>
        </w:rPr>
        <w:t xml:space="preserve">  In this regard, the establishment of the Centre for Ageing Studies at the University of Ghana </w:t>
      </w:r>
      <w:r w:rsidR="00914643" w:rsidRPr="00000849">
        <w:rPr>
          <w:rFonts w:cstheme="minorHAnsi"/>
          <w:sz w:val="24"/>
          <w:szCs w:val="24"/>
        </w:rPr>
        <w:t xml:space="preserve">in 2016 </w:t>
      </w:r>
      <w:r w:rsidR="000A7CF9" w:rsidRPr="00000849">
        <w:rPr>
          <w:rFonts w:cstheme="minorHAnsi"/>
          <w:sz w:val="24"/>
          <w:szCs w:val="24"/>
        </w:rPr>
        <w:t>to promote ageing related research and education is commendable</w:t>
      </w:r>
      <w:r w:rsidR="00914643" w:rsidRPr="00000849">
        <w:rPr>
          <w:rFonts w:cstheme="minorHAnsi"/>
          <w:sz w:val="24"/>
          <w:szCs w:val="24"/>
        </w:rPr>
        <w:t xml:space="preserve"> </w:t>
      </w:r>
      <w:r w:rsidR="00914643" w:rsidRPr="00000849">
        <w:rPr>
          <w:rFonts w:cstheme="minorHAnsi"/>
          <w:sz w:val="24"/>
          <w:szCs w:val="24"/>
        </w:rPr>
        <w:fldChar w:fldCharType="begin"/>
      </w:r>
      <w:r w:rsidR="00914643" w:rsidRPr="00000849">
        <w:rPr>
          <w:rFonts w:cstheme="minorHAnsi"/>
          <w:sz w:val="24"/>
          <w:szCs w:val="24"/>
        </w:rPr>
        <w:instrText xml:space="preserve"> ADDIN EN.CITE &lt;EndNote&gt;&lt;Cite&gt;&lt;Author&gt;University of Ghana&lt;/Author&gt;&lt;Year&gt;2016&lt;/Year&gt;&lt;RecNum&gt;1669&lt;/RecNum&gt;&lt;DisplayText&gt;(University of Ghana, 2016)&lt;/DisplayText&gt;&lt;record&gt;&lt;rec-number&gt;1669&lt;/rec-number&gt;&lt;foreign-keys&gt;&lt;key app="EN" db-id="9tzf2rda8re2a9es5tuxart3swzx2zws2s02" timestamp="1597627494"&gt;1669&lt;/key&gt;&lt;/foreign-keys&gt;&lt;ref-type name="Web Page"&gt;12&lt;/ref-type&gt;&lt;contributors&gt;&lt;authors&gt;&lt;author&gt;University of Ghana,&lt;/author&gt;&lt;/authors&gt;&lt;/contributors&gt;&lt;titles&gt;&lt;title&gt;Centre for Aging Studies established at the University of Ghana&lt;/title&gt;&lt;/titles&gt;&lt;volume&gt;2020&lt;/volume&gt;&lt;number&gt;17 August&lt;/number&gt;&lt;dates&gt;&lt;year&gt;2016&lt;/year&gt;&lt;/dates&gt;&lt;pub-location&gt;Accra&lt;/pub-location&gt;&lt;publisher&gt;University of Ghana&lt;/publisher&gt;&lt;urls&gt;&lt;related-urls&gt;&lt;url&gt;https://www.ug.edu.gh/cfas/news/centre-aging-studies-established-university-ghana&lt;/url&gt;&lt;/related-urls&gt;&lt;/urls&gt;&lt;/record&gt;&lt;/Cite&gt;&lt;/EndNote&gt;</w:instrText>
      </w:r>
      <w:r w:rsidR="00914643" w:rsidRPr="00000849">
        <w:rPr>
          <w:rFonts w:cstheme="minorHAnsi"/>
          <w:sz w:val="24"/>
          <w:szCs w:val="24"/>
        </w:rPr>
        <w:fldChar w:fldCharType="separate"/>
      </w:r>
      <w:r w:rsidR="00914643" w:rsidRPr="00000849">
        <w:rPr>
          <w:rFonts w:cstheme="minorHAnsi"/>
          <w:noProof/>
          <w:sz w:val="24"/>
          <w:szCs w:val="24"/>
        </w:rPr>
        <w:t>(University of Ghana, 2016)</w:t>
      </w:r>
      <w:r w:rsidR="00914643" w:rsidRPr="00000849">
        <w:rPr>
          <w:rFonts w:cstheme="minorHAnsi"/>
          <w:sz w:val="24"/>
          <w:szCs w:val="24"/>
        </w:rPr>
        <w:fldChar w:fldCharType="end"/>
      </w:r>
      <w:r w:rsidR="000A7CF9" w:rsidRPr="00000849">
        <w:rPr>
          <w:rFonts w:cstheme="minorHAnsi"/>
          <w:sz w:val="24"/>
          <w:szCs w:val="24"/>
        </w:rPr>
        <w:t>.</w:t>
      </w:r>
    </w:p>
    <w:p w14:paraId="6758226A" w14:textId="77777777" w:rsidR="00B6465A" w:rsidRPr="00000849" w:rsidRDefault="00B6465A" w:rsidP="000A7CF9">
      <w:pPr>
        <w:widowControl w:val="0"/>
        <w:spacing w:line="480" w:lineRule="auto"/>
        <w:ind w:firstLine="567"/>
        <w:jc w:val="both"/>
        <w:rPr>
          <w:rFonts w:cstheme="minorHAnsi"/>
          <w:sz w:val="24"/>
          <w:szCs w:val="24"/>
        </w:rPr>
      </w:pPr>
    </w:p>
    <w:p w14:paraId="01410E55" w14:textId="72321CE8" w:rsidR="002417E8" w:rsidRPr="00000849" w:rsidRDefault="002006AA" w:rsidP="004E2350">
      <w:pPr>
        <w:pStyle w:val="Heading3"/>
      </w:pPr>
      <w:bookmarkStart w:id="130" w:name="_Toc51472161"/>
      <w:r w:rsidRPr="00000849">
        <w:t>7.</w:t>
      </w:r>
      <w:r w:rsidR="00114374" w:rsidRPr="00000849">
        <w:t>2.3</w:t>
      </w:r>
      <w:r w:rsidR="00114374" w:rsidRPr="00000849">
        <w:tab/>
      </w:r>
      <w:r w:rsidR="00373ECD" w:rsidRPr="00000849">
        <w:t xml:space="preserve">Recommendations for </w:t>
      </w:r>
      <w:r w:rsidR="007F3508" w:rsidRPr="00000849">
        <w:t>practice</w:t>
      </w:r>
      <w:bookmarkEnd w:id="130"/>
    </w:p>
    <w:p w14:paraId="2F0626DF" w14:textId="1A0E084A" w:rsidR="002417E8" w:rsidRPr="00000849" w:rsidRDefault="002417E8" w:rsidP="006A25C2">
      <w:pPr>
        <w:widowControl w:val="0"/>
        <w:spacing w:line="480" w:lineRule="auto"/>
        <w:jc w:val="both"/>
        <w:rPr>
          <w:rFonts w:cstheme="minorHAnsi"/>
          <w:sz w:val="24"/>
          <w:szCs w:val="24"/>
        </w:rPr>
      </w:pPr>
    </w:p>
    <w:p w14:paraId="2760B91B" w14:textId="39D794D5" w:rsidR="002417E8" w:rsidRPr="00000849" w:rsidRDefault="0079311F" w:rsidP="003714BC">
      <w:pPr>
        <w:widowControl w:val="0"/>
        <w:spacing w:line="480" w:lineRule="auto"/>
        <w:jc w:val="both"/>
        <w:rPr>
          <w:rFonts w:cstheme="minorHAnsi"/>
          <w:sz w:val="24"/>
          <w:szCs w:val="24"/>
        </w:rPr>
      </w:pPr>
      <w:r w:rsidRPr="00000849">
        <w:rPr>
          <w:rFonts w:cstheme="minorHAnsi"/>
          <w:sz w:val="24"/>
          <w:szCs w:val="24"/>
        </w:rPr>
        <w:t xml:space="preserve">Since blood pressure increases with age across the lifespan, WHO </w:t>
      </w:r>
      <w:r w:rsidR="00114374" w:rsidRPr="00000849">
        <w:rPr>
          <w:rFonts w:cstheme="minorHAnsi"/>
          <w:sz w:val="24"/>
          <w:szCs w:val="24"/>
        </w:rPr>
        <w:t xml:space="preserve">recommends a life-course approach to the prevention and control of CVDs </w:t>
      </w:r>
      <w:r w:rsidR="009F79A1" w:rsidRPr="00000849">
        <w:rPr>
          <w:rFonts w:cstheme="minorHAnsi"/>
          <w:sz w:val="24"/>
          <w:szCs w:val="24"/>
        </w:rPr>
        <w:t>in which actions are taken early</w:t>
      </w:r>
      <w:r w:rsidR="00535A29" w:rsidRPr="00000849">
        <w:rPr>
          <w:rFonts w:cstheme="minorHAnsi"/>
          <w:sz w:val="24"/>
          <w:szCs w:val="24"/>
        </w:rPr>
        <w:t>,</w:t>
      </w:r>
      <w:r w:rsidR="009F79A1" w:rsidRPr="00000849">
        <w:rPr>
          <w:rFonts w:cstheme="minorHAnsi"/>
          <w:sz w:val="24"/>
          <w:szCs w:val="24"/>
        </w:rPr>
        <w:t xml:space="preserve"> appropriately to transitions in life</w:t>
      </w:r>
      <w:r w:rsidR="00535A29" w:rsidRPr="00000849">
        <w:rPr>
          <w:rFonts w:cstheme="minorHAnsi"/>
          <w:sz w:val="24"/>
          <w:szCs w:val="24"/>
        </w:rPr>
        <w:t>,</w:t>
      </w:r>
      <w:r w:rsidR="009F79A1" w:rsidRPr="00000849">
        <w:rPr>
          <w:rFonts w:cstheme="minorHAnsi"/>
          <w:sz w:val="24"/>
          <w:szCs w:val="24"/>
        </w:rPr>
        <w:t xml:space="preserve"> and together as the whole of society </w:t>
      </w:r>
      <w:r w:rsidR="009F79A1" w:rsidRPr="00000849">
        <w:rPr>
          <w:rFonts w:cstheme="minorHAnsi"/>
          <w:sz w:val="24"/>
          <w:szCs w:val="24"/>
        </w:rPr>
        <w:fldChar w:fldCharType="begin">
          <w:fldData xml:space="preserve">PEVuZE5vdGU+PENpdGU+PEF1dGhvcj5PbHNlbjwvQXV0aG9yPjxZZWFyPjIwMTY8L1llYXI+PFJl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</w:fldData>
        </w:fldChar>
      </w:r>
      <w:r w:rsidR="00DC6CE8" w:rsidRPr="00000849">
        <w:rPr>
          <w:rFonts w:cstheme="minorHAnsi"/>
          <w:sz w:val="24"/>
          <w:szCs w:val="24"/>
        </w:rPr>
        <w:instrText xml:space="preserve"> ADDIN EN.CITE </w:instrText>
      </w:r>
      <w:r w:rsidR="00DC6CE8" w:rsidRPr="00000849">
        <w:rPr>
          <w:rFonts w:cstheme="minorHAnsi"/>
          <w:sz w:val="24"/>
          <w:szCs w:val="24"/>
        </w:rPr>
        <w:fldChar w:fldCharType="begin">
          <w:fldData xml:space="preserve">PEVuZE5vdGU+PENpdGU+PEF1dGhvcj5PbHNlbjwvQXV0aG9yPjxZZWFyPjIwMTY8L1llYXI+PFJl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</w:fldData>
        </w:fldChar>
      </w:r>
      <w:r w:rsidR="00DC6CE8" w:rsidRPr="00000849">
        <w:rPr>
          <w:rFonts w:cstheme="minorHAnsi"/>
          <w:sz w:val="24"/>
          <w:szCs w:val="24"/>
        </w:rPr>
        <w:instrText xml:space="preserve"> ADDIN EN.CITE.DATA </w:instrText>
      </w:r>
      <w:r w:rsidR="00DC6CE8" w:rsidRPr="00000849">
        <w:rPr>
          <w:rFonts w:cstheme="minorHAnsi"/>
          <w:sz w:val="24"/>
          <w:szCs w:val="24"/>
        </w:rPr>
      </w:r>
      <w:r w:rsidR="00DC6CE8" w:rsidRPr="00000849">
        <w:rPr>
          <w:rFonts w:cstheme="minorHAnsi"/>
          <w:sz w:val="24"/>
          <w:szCs w:val="24"/>
        </w:rPr>
        <w:fldChar w:fldCharType="end"/>
      </w:r>
      <w:r w:rsidR="009F79A1" w:rsidRPr="00000849">
        <w:rPr>
          <w:rFonts w:cstheme="minorHAnsi"/>
          <w:sz w:val="24"/>
          <w:szCs w:val="24"/>
        </w:rPr>
      </w:r>
      <w:r w:rsidR="009F79A1" w:rsidRPr="00000849">
        <w:rPr>
          <w:rFonts w:cstheme="minorHAnsi"/>
          <w:sz w:val="24"/>
          <w:szCs w:val="24"/>
        </w:rPr>
        <w:fldChar w:fldCharType="separate"/>
      </w:r>
      <w:r w:rsidRPr="00000849">
        <w:rPr>
          <w:rFonts w:cstheme="minorHAnsi"/>
          <w:noProof/>
          <w:sz w:val="24"/>
          <w:szCs w:val="24"/>
        </w:rPr>
        <w:t>(Aboderin et al., 2001; Olsen et al., 2016; Pinto, 2007; WHO, 2015a)</w:t>
      </w:r>
      <w:r w:rsidR="009F79A1" w:rsidRPr="00000849">
        <w:rPr>
          <w:rFonts w:cstheme="minorHAnsi"/>
          <w:sz w:val="24"/>
          <w:szCs w:val="24"/>
        </w:rPr>
        <w:fldChar w:fldCharType="end"/>
      </w:r>
      <w:r w:rsidR="009F79A1" w:rsidRPr="00000849">
        <w:rPr>
          <w:rFonts w:cstheme="minorHAnsi"/>
          <w:sz w:val="24"/>
          <w:szCs w:val="24"/>
        </w:rPr>
        <w:t>.</w:t>
      </w:r>
      <w:r w:rsidR="00114374" w:rsidRPr="00000849">
        <w:rPr>
          <w:rFonts w:cstheme="minorHAnsi"/>
          <w:sz w:val="24"/>
          <w:szCs w:val="24"/>
        </w:rPr>
        <w:t xml:space="preserve">  It</w:t>
      </w:r>
      <w:r w:rsidR="00B141A0" w:rsidRPr="00000849">
        <w:rPr>
          <w:rFonts w:cstheme="minorHAnsi"/>
          <w:sz w:val="24"/>
          <w:szCs w:val="24"/>
        </w:rPr>
        <w:t xml:space="preserve"> </w:t>
      </w:r>
      <w:r w:rsidR="00290D25" w:rsidRPr="00000849">
        <w:rPr>
          <w:rFonts w:cstheme="minorHAnsi"/>
          <w:sz w:val="24"/>
          <w:szCs w:val="24"/>
        </w:rPr>
        <w:t>is</w:t>
      </w:r>
      <w:r w:rsidR="00B141A0" w:rsidRPr="00000849">
        <w:rPr>
          <w:rFonts w:cstheme="minorHAnsi"/>
          <w:sz w:val="24"/>
          <w:szCs w:val="24"/>
        </w:rPr>
        <w:t xml:space="preserve"> ill-advised to wait until old age before embarking on health promotion activities</w:t>
      </w:r>
      <w:r w:rsidR="00CC36F1" w:rsidRPr="00000849">
        <w:rPr>
          <w:rFonts w:cstheme="minorHAnsi"/>
          <w:sz w:val="24"/>
          <w:szCs w:val="24"/>
        </w:rPr>
        <w:t>.</w:t>
      </w:r>
    </w:p>
    <w:p w14:paraId="19ECF912" w14:textId="32B90690" w:rsidR="007D4A59" w:rsidRPr="00000849" w:rsidRDefault="00017123" w:rsidP="003714BC">
      <w:pPr>
        <w:widowControl w:val="0"/>
        <w:spacing w:line="480" w:lineRule="auto"/>
        <w:ind w:firstLine="567"/>
        <w:jc w:val="both"/>
        <w:rPr>
          <w:rFonts w:cstheme="minorHAnsi"/>
          <w:sz w:val="24"/>
          <w:szCs w:val="24"/>
        </w:rPr>
      </w:pPr>
      <w:r w:rsidRPr="00000849">
        <w:rPr>
          <w:rFonts w:cstheme="minorHAnsi"/>
          <w:sz w:val="24"/>
          <w:szCs w:val="24"/>
        </w:rPr>
        <w:lastRenderedPageBreak/>
        <w:t>The major risk factors</w:t>
      </w:r>
      <w:r w:rsidR="00C956A2" w:rsidRPr="00000849">
        <w:rPr>
          <w:rFonts w:cstheme="minorHAnsi"/>
          <w:sz w:val="24"/>
          <w:szCs w:val="24"/>
        </w:rPr>
        <w:t xml:space="preserve"> for hypertension in the current analyses were residence in GAR, </w:t>
      </w:r>
      <w:r w:rsidR="007D4A59" w:rsidRPr="00000849">
        <w:rPr>
          <w:rFonts w:cstheme="minorHAnsi"/>
          <w:sz w:val="24"/>
          <w:szCs w:val="24"/>
        </w:rPr>
        <w:t xml:space="preserve">never having married or being unmarried, being </w:t>
      </w:r>
      <w:r w:rsidR="00BA200A" w:rsidRPr="00000849">
        <w:rPr>
          <w:rFonts w:cstheme="minorHAnsi"/>
          <w:sz w:val="24"/>
          <w:szCs w:val="24"/>
        </w:rPr>
        <w:t>Muslim</w:t>
      </w:r>
      <w:r w:rsidR="007D4A59" w:rsidRPr="00000849">
        <w:rPr>
          <w:rFonts w:cstheme="minorHAnsi"/>
          <w:sz w:val="24"/>
          <w:szCs w:val="24"/>
        </w:rPr>
        <w:t xml:space="preserve"> or being </w:t>
      </w:r>
      <w:r w:rsidR="00C956A2" w:rsidRPr="00000849">
        <w:rPr>
          <w:rFonts w:cstheme="minorHAnsi"/>
          <w:sz w:val="24"/>
          <w:szCs w:val="24"/>
        </w:rPr>
        <w:t>overweight</w:t>
      </w:r>
      <w:r w:rsidR="007D4A59" w:rsidRPr="00000849">
        <w:rPr>
          <w:rFonts w:cstheme="minorHAnsi"/>
          <w:sz w:val="24"/>
          <w:szCs w:val="24"/>
        </w:rPr>
        <w:t xml:space="preserve">/obesity.  </w:t>
      </w:r>
      <w:r w:rsidR="006C655F" w:rsidRPr="00000849">
        <w:rPr>
          <w:rFonts w:cstheme="minorHAnsi"/>
          <w:sz w:val="24"/>
          <w:szCs w:val="24"/>
        </w:rPr>
        <w:t>Accordingly, i</w:t>
      </w:r>
      <w:r w:rsidR="007D4A59" w:rsidRPr="00000849">
        <w:rPr>
          <w:rFonts w:cstheme="minorHAnsi"/>
          <w:sz w:val="24"/>
          <w:szCs w:val="24"/>
        </w:rPr>
        <w:t xml:space="preserve">nterventions to prevent hypertension should target GAR and urban centres in Ghana.  </w:t>
      </w:r>
      <w:r w:rsidR="00847B48" w:rsidRPr="00000849">
        <w:rPr>
          <w:rFonts w:cstheme="minorHAnsi"/>
          <w:sz w:val="24"/>
          <w:szCs w:val="24"/>
        </w:rPr>
        <w:t>The d</w:t>
      </w:r>
      <w:r w:rsidR="007D4A59" w:rsidRPr="00000849">
        <w:rPr>
          <w:rFonts w:cstheme="minorHAnsi"/>
          <w:sz w:val="24"/>
          <w:szCs w:val="24"/>
        </w:rPr>
        <w:t>issemination of the study findings will specifically target the health authorities and other stakeholders of the GAR.  It is impractical to derive recommendations to promote marriage or Islam as a protective tool against hypertension.</w:t>
      </w:r>
    </w:p>
    <w:p w14:paraId="66077B5C" w14:textId="010BC744" w:rsidR="00755582" w:rsidRPr="00000849" w:rsidRDefault="007D4A59" w:rsidP="003714BC">
      <w:pPr>
        <w:widowControl w:val="0"/>
        <w:spacing w:line="480" w:lineRule="auto"/>
        <w:ind w:firstLine="567"/>
        <w:jc w:val="both"/>
        <w:rPr>
          <w:rFonts w:cstheme="minorHAnsi"/>
          <w:sz w:val="24"/>
          <w:szCs w:val="24"/>
        </w:rPr>
      </w:pPr>
      <w:r w:rsidRPr="00000849">
        <w:rPr>
          <w:rFonts w:cstheme="minorHAnsi"/>
          <w:color w:val="383838"/>
          <w:sz w:val="24"/>
          <w:szCs w:val="24"/>
        </w:rPr>
        <w:t>Reducing overweight/obesity often involves dietary measures and physical activity.</w:t>
      </w:r>
      <w:r w:rsidRPr="00000849">
        <w:rPr>
          <w:rFonts w:cstheme="minorHAnsi"/>
          <w:sz w:val="24"/>
          <w:szCs w:val="24"/>
        </w:rPr>
        <w:t xml:space="preserve"> </w:t>
      </w:r>
      <w:r w:rsidR="00017123" w:rsidRPr="00000849">
        <w:rPr>
          <w:rFonts w:cstheme="minorHAnsi"/>
          <w:sz w:val="24"/>
          <w:szCs w:val="24"/>
        </w:rPr>
        <w:t xml:space="preserve"> </w:t>
      </w:r>
      <w:r w:rsidR="007B4FA1" w:rsidRPr="00000849">
        <w:rPr>
          <w:rFonts w:cstheme="minorHAnsi"/>
          <w:sz w:val="24"/>
          <w:szCs w:val="24"/>
        </w:rPr>
        <w:t xml:space="preserve">In urban centres, dieticians could be consulted to provide dietary advice appropriate for older adults in general or with specific CVDs.  Health authorities should publish food-based dietary guidelines for older adults.  </w:t>
      </w:r>
      <w:r w:rsidR="006511D8" w:rsidRPr="00000849">
        <w:rPr>
          <w:rFonts w:cstheme="minorHAnsi"/>
          <w:sz w:val="24"/>
          <w:szCs w:val="24"/>
        </w:rPr>
        <w:t xml:space="preserve">Health workers should educate older adults about the benefits of physical activity, even light forms of it, even in their old age </w:t>
      </w:r>
      <w:r w:rsidR="00C43038" w:rsidRPr="00000849">
        <w:rPr>
          <w:rFonts w:cstheme="minorHAnsi"/>
          <w:sz w:val="24"/>
          <w:szCs w:val="24"/>
        </w:rPr>
        <w:fldChar w:fldCharType="begin">
          <w:fldData xml:space="preserve">PEVuZE5vdGU+PENpdGU+PEF1dGhvcj5IdXBpbjwvQXV0aG9yPjxZZWFyPjIwMTU8L1llYXI+PFJl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</w:fldData>
        </w:fldChar>
      </w:r>
      <w:r w:rsidR="003E660C" w:rsidRPr="00000849">
        <w:rPr>
          <w:rFonts w:cstheme="minorHAnsi"/>
          <w:sz w:val="24"/>
          <w:szCs w:val="24"/>
        </w:rPr>
        <w:instrText xml:space="preserve"> ADDIN EN.CITE </w:instrText>
      </w:r>
      <w:r w:rsidR="003E660C" w:rsidRPr="00000849">
        <w:rPr>
          <w:rFonts w:cstheme="minorHAnsi"/>
          <w:sz w:val="24"/>
          <w:szCs w:val="24"/>
        </w:rPr>
        <w:fldChar w:fldCharType="begin">
          <w:fldData xml:space="preserve">PEVuZE5vdGU+PENpdGU+PEF1dGhvcj5IdXBpbjwvQXV0aG9yPjxZZWFyPjIwMTU8L1llYXI+PFJl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</w:fldData>
        </w:fldChar>
      </w:r>
      <w:r w:rsidR="003E660C" w:rsidRPr="00000849">
        <w:rPr>
          <w:rFonts w:cstheme="minorHAnsi"/>
          <w:sz w:val="24"/>
          <w:szCs w:val="24"/>
        </w:rPr>
        <w:instrText xml:space="preserve"> ADDIN EN.CITE.DATA </w:instrText>
      </w:r>
      <w:r w:rsidR="003E660C" w:rsidRPr="00000849">
        <w:rPr>
          <w:rFonts w:cstheme="minorHAnsi"/>
          <w:sz w:val="24"/>
          <w:szCs w:val="24"/>
        </w:rPr>
      </w:r>
      <w:r w:rsidR="003E660C" w:rsidRPr="00000849">
        <w:rPr>
          <w:rFonts w:cstheme="minorHAnsi"/>
          <w:sz w:val="24"/>
          <w:szCs w:val="24"/>
        </w:rPr>
        <w:fldChar w:fldCharType="end"/>
      </w:r>
      <w:r w:rsidR="00C43038" w:rsidRPr="00000849">
        <w:rPr>
          <w:rFonts w:cstheme="minorHAnsi"/>
          <w:sz w:val="24"/>
          <w:szCs w:val="24"/>
        </w:rPr>
      </w:r>
      <w:r w:rsidR="00C43038" w:rsidRPr="00000849">
        <w:rPr>
          <w:rFonts w:cstheme="minorHAnsi"/>
          <w:sz w:val="24"/>
          <w:szCs w:val="24"/>
        </w:rPr>
        <w:fldChar w:fldCharType="separate"/>
      </w:r>
      <w:r w:rsidR="00C43038" w:rsidRPr="00000849">
        <w:rPr>
          <w:rFonts w:cstheme="minorHAnsi"/>
          <w:noProof/>
          <w:sz w:val="24"/>
          <w:szCs w:val="24"/>
        </w:rPr>
        <w:t>(Hupin et al., 2015)</w:t>
      </w:r>
      <w:r w:rsidR="00C43038" w:rsidRPr="00000849">
        <w:rPr>
          <w:rFonts w:cstheme="minorHAnsi"/>
          <w:sz w:val="24"/>
          <w:szCs w:val="24"/>
        </w:rPr>
        <w:fldChar w:fldCharType="end"/>
      </w:r>
      <w:r w:rsidR="006511D8" w:rsidRPr="00000849">
        <w:rPr>
          <w:rFonts w:cstheme="minorHAnsi"/>
          <w:sz w:val="24"/>
          <w:szCs w:val="24"/>
        </w:rPr>
        <w:t>.  Older adults who are fit and are able</w:t>
      </w:r>
      <w:r w:rsidR="0079311F" w:rsidRPr="00000849">
        <w:rPr>
          <w:rFonts w:cstheme="minorHAnsi"/>
          <w:sz w:val="24"/>
          <w:szCs w:val="24"/>
        </w:rPr>
        <w:t>,</w:t>
      </w:r>
      <w:r w:rsidR="006511D8" w:rsidRPr="00000849">
        <w:rPr>
          <w:rFonts w:cstheme="minorHAnsi"/>
          <w:sz w:val="24"/>
          <w:szCs w:val="24"/>
        </w:rPr>
        <w:t xml:space="preserve"> could be encouraged to sign up for regular exercises, preferably through NGOs to enable them to socialize as well.  In general, they should be encouraged to incorporate physical activity into their daily routines over the long-term.</w:t>
      </w:r>
      <w:r w:rsidR="00700697" w:rsidRPr="00000849">
        <w:rPr>
          <w:rFonts w:cstheme="minorHAnsi"/>
          <w:sz w:val="24"/>
          <w:szCs w:val="24"/>
        </w:rPr>
        <w:t xml:space="preserve">  Professional guidance should be provided if available to reduce the risk of falls and possible complications of underlying illnesses.</w:t>
      </w:r>
      <w:r w:rsidR="00110F5B" w:rsidRPr="00000849">
        <w:rPr>
          <w:rFonts w:cstheme="minorHAnsi"/>
          <w:sz w:val="24"/>
          <w:szCs w:val="24"/>
        </w:rPr>
        <w:t xml:space="preserve">  </w:t>
      </w:r>
      <w:r w:rsidRPr="00000849">
        <w:rPr>
          <w:rFonts w:cstheme="minorHAnsi"/>
          <w:sz w:val="24"/>
          <w:szCs w:val="24"/>
        </w:rPr>
        <w:t xml:space="preserve">WHO has recommendations on the intensity, type and duration of physical activity for older adults </w:t>
      </w:r>
      <w:r w:rsidRPr="00000849">
        <w:rPr>
          <w:rFonts w:cstheme="minorHAnsi"/>
          <w:sz w:val="24"/>
          <w:szCs w:val="24"/>
        </w:rPr>
        <w:fldChar w:fldCharType="begin"/>
      </w:r>
      <w:r w:rsidR="00650678" w:rsidRPr="00000849">
        <w:rPr>
          <w:rFonts w:cstheme="minorHAnsi"/>
          <w:sz w:val="24"/>
          <w:szCs w:val="24"/>
        </w:rPr>
        <w:instrText xml:space="preserve"> ADDIN EN.CITE &lt;EndNote&gt;&lt;Cite&gt;&lt;Author&gt;WHO&lt;/Author&gt;&lt;Year&gt;2010&lt;/Year&gt;&lt;RecNum&gt;1047&lt;/RecNum&gt;&lt;DisplayText&gt;(WHO, 2010)&lt;/DisplayText&gt;&lt;record&gt;&lt;rec-number&gt;1047&lt;/rec-number&gt;&lt;foreign-keys&gt;&lt;key app="EN" db-id="9tzf2rda8re2a9es5tuxart3swzx2zws2s02" timestamp="1576992590"&gt;1047&lt;/key&gt;&lt;/foreign-keys&gt;&lt;ref-type name="Report"&gt;27&lt;/ref-type&gt;&lt;contributors&gt;&lt;authors&gt;&lt;author&gt;WHO,&lt;/author&gt;&lt;/authors&gt;&lt;tertiary-authors&gt;&lt;author&gt;World Health Organization&lt;/author&gt;&lt;/tertiary-authors&gt;&lt;/contributors&gt;&lt;titles&gt;&lt;title&gt;Global Recommendations on Physical Activity for Health&lt;/title&gt;&lt;/titles&gt;&lt;dates&gt;&lt;year&gt;2010&lt;/year&gt;&lt;/dates&gt;&lt;pub-location&gt;Geneva&lt;/pub-location&gt;&lt;publisher&gt;World Health Organization&lt;/publisher&gt;&lt;urls&gt;&lt;/urls&gt;&lt;/record&gt;&lt;/Cite&gt;&lt;/EndNote&gt;</w:instrText>
      </w:r>
      <w:r w:rsidRPr="00000849">
        <w:rPr>
          <w:rFonts w:cstheme="minorHAnsi"/>
          <w:sz w:val="24"/>
          <w:szCs w:val="24"/>
        </w:rPr>
        <w:fldChar w:fldCharType="separate"/>
      </w:r>
      <w:r w:rsidRPr="00000849">
        <w:rPr>
          <w:rFonts w:cstheme="minorHAnsi"/>
          <w:noProof/>
          <w:sz w:val="24"/>
          <w:szCs w:val="24"/>
        </w:rPr>
        <w:t>(WHO, 2010)</w:t>
      </w:r>
      <w:r w:rsidRPr="00000849">
        <w:rPr>
          <w:rFonts w:cstheme="minorHAnsi"/>
          <w:sz w:val="24"/>
          <w:szCs w:val="24"/>
        </w:rPr>
        <w:fldChar w:fldCharType="end"/>
      </w:r>
      <w:r w:rsidRPr="00000849">
        <w:rPr>
          <w:rFonts w:cstheme="minorHAnsi"/>
          <w:sz w:val="24"/>
          <w:szCs w:val="24"/>
        </w:rPr>
        <w:t>.</w:t>
      </w:r>
    </w:p>
    <w:p w14:paraId="7E7EDC28" w14:textId="0F2D4219" w:rsidR="00925FEE" w:rsidRPr="00000849" w:rsidRDefault="00925FEE" w:rsidP="00BE4F21">
      <w:pPr>
        <w:widowControl w:val="0"/>
        <w:spacing w:line="480" w:lineRule="auto"/>
        <w:ind w:firstLine="567"/>
        <w:jc w:val="both"/>
        <w:rPr>
          <w:rFonts w:cstheme="minorHAnsi"/>
          <w:sz w:val="24"/>
          <w:szCs w:val="24"/>
        </w:rPr>
      </w:pPr>
      <w:r w:rsidRPr="00000849">
        <w:rPr>
          <w:rFonts w:cstheme="minorHAnsi"/>
          <w:sz w:val="24"/>
          <w:szCs w:val="24"/>
        </w:rPr>
        <w:t xml:space="preserve">Concerted efforts are needed to improve the public awareness of hypertension and its complications, particularly in urban centres.  Multisectoral collaboration involving the MoGCSP, the newly created Division of Health Promotion of the Ghana Health Service, NGOs such as the Association of Ghana’s Elders or HelpAge Ghana, </w:t>
      </w:r>
      <w:r w:rsidRPr="00000849">
        <w:rPr>
          <w:rFonts w:cstheme="minorHAnsi"/>
          <w:sz w:val="24"/>
          <w:szCs w:val="24"/>
        </w:rPr>
        <w:lastRenderedPageBreak/>
        <w:t xml:space="preserve">faith-based organizations, civil society and workplaces, is required to develop educational materials and programmes to improve the awareness of hypertension and its risk factors.  </w:t>
      </w:r>
    </w:p>
    <w:p w14:paraId="5CE87B8A" w14:textId="72AB93F2" w:rsidR="00DC0C33" w:rsidRPr="00000849" w:rsidRDefault="00216E13" w:rsidP="003714BC">
      <w:pPr>
        <w:widowControl w:val="0"/>
        <w:spacing w:line="480" w:lineRule="auto"/>
        <w:ind w:firstLine="567"/>
        <w:jc w:val="both"/>
        <w:rPr>
          <w:rFonts w:cstheme="minorHAnsi"/>
          <w:sz w:val="24"/>
          <w:szCs w:val="24"/>
        </w:rPr>
      </w:pPr>
      <w:r w:rsidRPr="00000849">
        <w:rPr>
          <w:rFonts w:cstheme="minorHAnsi"/>
          <w:color w:val="383838"/>
          <w:sz w:val="24"/>
          <w:szCs w:val="24"/>
        </w:rPr>
        <w:t xml:space="preserve">Given the low awareness and poor control of hypertension in this population, it is </w:t>
      </w:r>
      <w:r w:rsidR="00B8235B" w:rsidRPr="00000849">
        <w:rPr>
          <w:rFonts w:cstheme="minorHAnsi"/>
          <w:color w:val="383838"/>
          <w:sz w:val="24"/>
          <w:szCs w:val="24"/>
        </w:rPr>
        <w:t>essential</w:t>
      </w:r>
      <w:r w:rsidRPr="00000849">
        <w:rPr>
          <w:rFonts w:cstheme="minorHAnsi"/>
          <w:color w:val="383838"/>
          <w:sz w:val="24"/>
          <w:szCs w:val="24"/>
        </w:rPr>
        <w:t xml:space="preserve"> that there is regular screening to detect the disease and its complications early.  </w:t>
      </w:r>
      <w:r w:rsidR="00DC0C33" w:rsidRPr="00000849">
        <w:rPr>
          <w:rFonts w:cstheme="minorHAnsi"/>
          <w:sz w:val="24"/>
          <w:szCs w:val="24"/>
        </w:rPr>
        <w:t xml:space="preserve">Ghana should take advantage of the celebration of international days such as the World Hypertension Day (17 May), World Heart Day (29 September), </w:t>
      </w:r>
      <w:r w:rsidR="00DC0C33" w:rsidRPr="00000849">
        <w:rPr>
          <w:sz w:val="24"/>
          <w:szCs w:val="24"/>
        </w:rPr>
        <w:t xml:space="preserve">International Day of Older Persons (1 October), </w:t>
      </w:r>
      <w:r w:rsidR="00DC0C33" w:rsidRPr="00000849">
        <w:rPr>
          <w:rFonts w:cstheme="minorHAnsi"/>
          <w:sz w:val="24"/>
          <w:szCs w:val="24"/>
        </w:rPr>
        <w:t xml:space="preserve">International </w:t>
      </w:r>
      <w:r w:rsidR="00DC0C33" w:rsidRPr="00000849">
        <w:rPr>
          <w:sz w:val="24"/>
          <w:szCs w:val="24"/>
        </w:rPr>
        <w:t xml:space="preserve">Day of Persons with Disabilities (3 December) </w:t>
      </w:r>
      <w:r w:rsidR="00BE4F21" w:rsidRPr="00000849">
        <w:rPr>
          <w:sz w:val="24"/>
          <w:szCs w:val="24"/>
        </w:rPr>
        <w:t xml:space="preserve">and other </w:t>
      </w:r>
      <w:r w:rsidR="00DC0C33" w:rsidRPr="00000849">
        <w:rPr>
          <w:sz w:val="24"/>
          <w:szCs w:val="24"/>
        </w:rPr>
        <w:t xml:space="preserve">nationally-designated </w:t>
      </w:r>
      <w:r w:rsidR="00DC0C33" w:rsidRPr="00000849">
        <w:rPr>
          <w:rFonts w:cstheme="minorHAnsi"/>
          <w:sz w:val="24"/>
          <w:szCs w:val="24"/>
        </w:rPr>
        <w:t>days</w:t>
      </w:r>
      <w:r w:rsidR="00DC0C33" w:rsidRPr="00000849">
        <w:rPr>
          <w:sz w:val="24"/>
          <w:szCs w:val="24"/>
        </w:rPr>
        <w:t xml:space="preserve"> to raise awareness of the hypertension in older adults and institute </w:t>
      </w:r>
      <w:r w:rsidR="00DC0C33" w:rsidRPr="00000849">
        <w:rPr>
          <w:rFonts w:cstheme="minorHAnsi"/>
          <w:sz w:val="24"/>
          <w:szCs w:val="24"/>
        </w:rPr>
        <w:t xml:space="preserve">a system of regular health screening, and promote physical activity and healthy living, particularly in urban centres.  </w:t>
      </w:r>
    </w:p>
    <w:p w14:paraId="6D5F8843" w14:textId="29D1835F" w:rsidR="00657605" w:rsidRPr="00000849" w:rsidRDefault="00DC0C33" w:rsidP="003714BC">
      <w:pPr>
        <w:widowControl w:val="0"/>
        <w:spacing w:line="480" w:lineRule="auto"/>
        <w:ind w:firstLine="567"/>
        <w:jc w:val="both"/>
        <w:rPr>
          <w:rFonts w:cstheme="minorHAnsi"/>
          <w:sz w:val="24"/>
          <w:szCs w:val="24"/>
        </w:rPr>
      </w:pPr>
      <w:r w:rsidRPr="00000849">
        <w:rPr>
          <w:rFonts w:cstheme="minorHAnsi"/>
          <w:sz w:val="24"/>
          <w:szCs w:val="24"/>
        </w:rPr>
        <w:t>Improving optimal control of hypertension requires early detection through both active and opportunistic screening.  Health workers should be trained periodically</w:t>
      </w:r>
      <w:r w:rsidR="003F6C5D" w:rsidRPr="00000849">
        <w:rPr>
          <w:rFonts w:cstheme="minorHAnsi"/>
          <w:sz w:val="24"/>
          <w:szCs w:val="24"/>
        </w:rPr>
        <w:t xml:space="preserve"> in the care of the elderly.  Counselling should be improved to promote adherence to treatment.  Social support from peers, marital partners, and family members </w:t>
      </w:r>
      <w:r w:rsidR="006B1ED3" w:rsidRPr="00000849">
        <w:rPr>
          <w:rFonts w:cstheme="minorHAnsi"/>
          <w:sz w:val="24"/>
          <w:szCs w:val="24"/>
        </w:rPr>
        <w:t xml:space="preserve">to promote adherence to therapy </w:t>
      </w:r>
      <w:r w:rsidR="00B421D8" w:rsidRPr="00000849">
        <w:rPr>
          <w:rFonts w:cstheme="minorHAnsi"/>
          <w:sz w:val="24"/>
          <w:szCs w:val="24"/>
        </w:rPr>
        <w:fldChar w:fldCharType="begin"/>
      </w:r>
      <w:r w:rsidR="00B421D8" w:rsidRPr="00000849">
        <w:rPr>
          <w:rFonts w:cstheme="minorHAnsi"/>
          <w:sz w:val="24"/>
          <w:szCs w:val="24"/>
        </w:rPr>
        <w:instrText xml:space="preserve"> ADDIN EN.CITE &lt;EndNote&gt;&lt;Cite&gt;&lt;Author&gt;Osamor&lt;/Author&gt;&lt;Year&gt;2015&lt;/Year&gt;&lt;RecNum&gt;1012&lt;/RecNum&gt;&lt;DisplayText&gt;(Osamor, 2015)&lt;/DisplayText&gt;&lt;record&gt;&lt;rec-number&gt;1012&lt;/rec-number&gt;&lt;foreign-keys&gt;&lt;key app="EN" db-id="9tzf2rda8re2a9es5tuxart3swzx2zws2s02" timestamp="1575875114"&gt;1012&lt;/key&gt;&lt;/foreign-keys&gt;&lt;ref-type name="Journal Article"&gt;17&lt;/ref-type&gt;&lt;contributors&gt;&lt;authors&gt;&lt;author&gt;Osamor, P. E.&lt;/author&gt;&lt;/authors&gt;&lt;/contributors&gt;&lt;auth-address&gt;Institute of Child Health, College of Medicine, University of Ibadan, Ibadan, Nigeria. ejemenp@yahoo.com.&lt;/auth-address&gt;&lt;titles&gt;&lt;title&gt;Social support and management of hypertension in South-west Nigeria&lt;/title&gt;&lt;secondary-title&gt;Cardiovasc J Afr&lt;/secondary-title&gt;&lt;/titles&gt;&lt;periodical&gt;&lt;full-title&gt;Cardiovascular Journal of Africa&lt;/full-title&gt;&lt;abbr-1&gt;Cardiovasc J Afr&lt;/abbr-1&gt;&lt;/periodical&gt;&lt;pages&gt;29-33&lt;/pages&gt;&lt;volume&gt;26&lt;/volume&gt;&lt;number&gt;1&lt;/number&gt;&lt;edition&gt;2015/03/19&lt;/edition&gt;&lt;keywords&gt;&lt;keyword&gt;Adult&lt;/keyword&gt;&lt;keyword&gt;Aged&lt;/keyword&gt;&lt;keyword&gt;Aged, 80 and over&lt;/keyword&gt;&lt;keyword&gt;Blood Pressure/*drug effects&lt;/keyword&gt;&lt;keyword&gt;Community Health Services&lt;/keyword&gt;&lt;keyword&gt;Cross-Sectional Studies&lt;/keyword&gt;&lt;keyword&gt;Family Relations&lt;/keyword&gt;&lt;keyword&gt;Female&lt;/keyword&gt;&lt;keyword&gt;Friends&lt;/keyword&gt;&lt;keyword&gt;*Health Knowledge, Attitudes, Practice&lt;/keyword&gt;&lt;keyword&gt;Humans&lt;/keyword&gt;&lt;keyword&gt;Hypertension/diagnosis/*drug therapy/physiopathology/psychology&lt;/keyword&gt;&lt;keyword&gt;Hypoglycemic Agents/*therapeutic use&lt;/keyword&gt;&lt;keyword&gt;Male&lt;/keyword&gt;&lt;keyword&gt;*Medication Adherence&lt;/keyword&gt;&lt;keyword&gt;Middle Aged&lt;/keyword&gt;&lt;keyword&gt;Nigeria/epidemiology&lt;/keyword&gt;&lt;keyword&gt;Poverty&lt;/keyword&gt;&lt;keyword&gt;*Social Support&lt;/keyword&gt;&lt;keyword&gt;Treatment Outcome&lt;/keyword&gt;&lt;keyword&gt;Urban Health&lt;/keyword&gt;&lt;/keywords&gt;&lt;dates&gt;&lt;year&gt;2015&lt;/year&gt;&lt;pub-dates&gt;&lt;date&gt;Jan-Feb&lt;/date&gt;&lt;/pub-dates&gt;&lt;/dates&gt;&lt;isbn&gt;1015-9657&lt;/isbn&gt;&lt;accession-num&gt;25784314&lt;/accession-num&gt;&lt;urls&gt;&lt;/urls&gt;&lt;custom2&gt;PMC4392208&lt;/custom2&gt;&lt;electronic-resource-num&gt;10.5830/cvja-2014-066&lt;/electronic-resource-num&gt;&lt;remote-database-provider&gt;NLM&lt;/remote-database-provider&gt;&lt;language&gt;eng&lt;/language&gt;&lt;/record&gt;&lt;/Cite&gt;&lt;/EndNote&gt;</w:instrText>
      </w:r>
      <w:r w:rsidR="00B421D8" w:rsidRPr="00000849">
        <w:rPr>
          <w:rFonts w:cstheme="minorHAnsi"/>
          <w:sz w:val="24"/>
          <w:szCs w:val="24"/>
        </w:rPr>
        <w:fldChar w:fldCharType="separate"/>
      </w:r>
      <w:r w:rsidR="00B421D8" w:rsidRPr="00000849">
        <w:rPr>
          <w:rFonts w:cstheme="minorHAnsi"/>
          <w:noProof/>
          <w:sz w:val="24"/>
          <w:szCs w:val="24"/>
        </w:rPr>
        <w:t>(Osamor, 2015)</w:t>
      </w:r>
      <w:r w:rsidR="00B421D8" w:rsidRPr="00000849">
        <w:rPr>
          <w:rFonts w:cstheme="minorHAnsi"/>
          <w:sz w:val="24"/>
          <w:szCs w:val="24"/>
        </w:rPr>
        <w:fldChar w:fldCharType="end"/>
      </w:r>
      <w:r w:rsidR="006B1ED3" w:rsidRPr="00000849">
        <w:rPr>
          <w:rFonts w:cstheme="minorHAnsi"/>
          <w:sz w:val="24"/>
          <w:szCs w:val="24"/>
        </w:rPr>
        <w:t xml:space="preserve">.  </w:t>
      </w:r>
      <w:r w:rsidR="00B421D8" w:rsidRPr="00000849">
        <w:rPr>
          <w:rFonts w:cstheme="minorHAnsi"/>
          <w:sz w:val="24"/>
          <w:szCs w:val="24"/>
        </w:rPr>
        <w:t xml:space="preserve">In particular, health workers should be trained </w:t>
      </w:r>
      <w:r w:rsidR="00A36B3B" w:rsidRPr="00000849">
        <w:rPr>
          <w:rFonts w:cstheme="minorHAnsi"/>
          <w:sz w:val="24"/>
          <w:szCs w:val="24"/>
        </w:rPr>
        <w:t xml:space="preserve">in measures to promote adherence such as </w:t>
      </w:r>
      <w:r w:rsidR="00B421D8" w:rsidRPr="00000849">
        <w:rPr>
          <w:rFonts w:cstheme="minorHAnsi"/>
          <w:sz w:val="24"/>
          <w:szCs w:val="24"/>
        </w:rPr>
        <w:t>reduc</w:t>
      </w:r>
      <w:r w:rsidR="00A36B3B" w:rsidRPr="00000849">
        <w:rPr>
          <w:rFonts w:cstheme="minorHAnsi"/>
          <w:sz w:val="24"/>
          <w:szCs w:val="24"/>
        </w:rPr>
        <w:t xml:space="preserve">ing </w:t>
      </w:r>
      <w:r w:rsidR="00B421D8" w:rsidRPr="00000849">
        <w:rPr>
          <w:rFonts w:cstheme="minorHAnsi"/>
          <w:sz w:val="24"/>
          <w:szCs w:val="24"/>
        </w:rPr>
        <w:t>polypharmacy</w:t>
      </w:r>
      <w:r w:rsidR="00A36B3B" w:rsidRPr="00000849">
        <w:rPr>
          <w:rFonts w:cstheme="minorHAnsi"/>
          <w:sz w:val="24"/>
          <w:szCs w:val="24"/>
        </w:rPr>
        <w:t>; to</w:t>
      </w:r>
      <w:r w:rsidR="008C7750" w:rsidRPr="00000849">
        <w:rPr>
          <w:rFonts w:cstheme="minorHAnsi"/>
          <w:sz w:val="24"/>
          <w:szCs w:val="24"/>
        </w:rPr>
        <w:t xml:space="preserve"> promote healthy lifestyles and to screen for target organ disease.</w:t>
      </w:r>
    </w:p>
    <w:p w14:paraId="0F34F73D" w14:textId="0FC14FCD" w:rsidR="008C7750" w:rsidRPr="00000849" w:rsidRDefault="008C7750" w:rsidP="003714BC">
      <w:pPr>
        <w:widowControl w:val="0"/>
        <w:spacing w:line="480" w:lineRule="auto"/>
        <w:ind w:firstLine="567"/>
        <w:jc w:val="both"/>
        <w:rPr>
          <w:rFonts w:cstheme="minorHAnsi"/>
          <w:sz w:val="24"/>
          <w:szCs w:val="24"/>
        </w:rPr>
      </w:pPr>
      <w:r w:rsidRPr="00000849">
        <w:rPr>
          <w:rFonts w:cstheme="minorHAnsi"/>
          <w:sz w:val="24"/>
          <w:szCs w:val="24"/>
        </w:rPr>
        <w:t xml:space="preserve">The current scope of services for older adult clinics should be re-oriented </w:t>
      </w:r>
      <w:r w:rsidR="00743D0C" w:rsidRPr="00000849">
        <w:rPr>
          <w:rFonts w:cstheme="minorHAnsi"/>
          <w:sz w:val="24"/>
          <w:szCs w:val="24"/>
        </w:rPr>
        <w:t xml:space="preserve">to </w:t>
      </w:r>
      <w:r w:rsidRPr="00000849">
        <w:rPr>
          <w:rFonts w:cstheme="minorHAnsi"/>
          <w:sz w:val="24"/>
          <w:szCs w:val="24"/>
        </w:rPr>
        <w:t xml:space="preserve">emphasize health promotion and risk reduction behaviour (Figure </w:t>
      </w:r>
      <w:r w:rsidR="00702C75" w:rsidRPr="00000849">
        <w:rPr>
          <w:rFonts w:cstheme="minorHAnsi"/>
          <w:sz w:val="24"/>
          <w:szCs w:val="24"/>
        </w:rPr>
        <w:t>10</w:t>
      </w:r>
      <w:r w:rsidRPr="00000849">
        <w:rPr>
          <w:rFonts w:cstheme="minorHAnsi"/>
          <w:sz w:val="24"/>
          <w:szCs w:val="24"/>
        </w:rPr>
        <w:t xml:space="preserve">).  </w:t>
      </w:r>
    </w:p>
    <w:p w14:paraId="7B52FA49" w14:textId="5F119983" w:rsidR="00E802F6" w:rsidRPr="00000849" w:rsidRDefault="00E802F6" w:rsidP="006A25C2">
      <w:pPr>
        <w:widowControl w:val="0"/>
        <w:spacing w:line="480" w:lineRule="auto"/>
        <w:jc w:val="both"/>
        <w:rPr>
          <w:rFonts w:cstheme="minorHAnsi"/>
          <w:sz w:val="24"/>
          <w:szCs w:val="24"/>
        </w:rPr>
      </w:pPr>
    </w:p>
    <w:p w14:paraId="413B0EA1" w14:textId="152F8E23" w:rsidR="00466C66" w:rsidRPr="00000849" w:rsidRDefault="00466C66" w:rsidP="00702C75">
      <w:pPr>
        <w:pStyle w:val="TableSAGE1"/>
        <w:keepNext/>
        <w:ind w:left="1276" w:hanging="992"/>
        <w:rPr>
          <w:szCs w:val="24"/>
        </w:rPr>
      </w:pPr>
      <w:bookmarkStart w:id="131" w:name="_Toc71153649"/>
      <w:r w:rsidRPr="00000849">
        <w:lastRenderedPageBreak/>
        <w:t xml:space="preserve">Figure </w:t>
      </w:r>
      <w:r w:rsidR="001D354F" w:rsidRPr="00000849">
        <w:rPr>
          <w:szCs w:val="24"/>
        </w:rPr>
        <w:fldChar w:fldCharType="begin"/>
      </w:r>
      <w:r w:rsidR="001D354F" w:rsidRPr="00000849">
        <w:rPr>
          <w:szCs w:val="24"/>
        </w:rPr>
        <w:instrText xml:space="preserve"> SEQ Figure \* ARABIC </w:instrText>
      </w:r>
      <w:r w:rsidR="001D354F" w:rsidRPr="00000849">
        <w:rPr>
          <w:szCs w:val="24"/>
        </w:rPr>
        <w:fldChar w:fldCharType="separate"/>
      </w:r>
      <w:r w:rsidR="00C0100F">
        <w:rPr>
          <w:noProof/>
          <w:szCs w:val="24"/>
        </w:rPr>
        <w:t>10</w:t>
      </w:r>
      <w:r w:rsidR="001D354F" w:rsidRPr="00000849">
        <w:rPr>
          <w:szCs w:val="24"/>
        </w:rPr>
        <w:fldChar w:fldCharType="end"/>
      </w:r>
      <w:r w:rsidRPr="00000849">
        <w:t>:</w:t>
      </w:r>
      <w:r w:rsidRPr="00000849">
        <w:tab/>
        <w:t>Signpost of services available at an Aged Clinic in an urban centre in Ghana</w:t>
      </w:r>
      <w:bookmarkEnd w:id="131"/>
    </w:p>
    <w:p w14:paraId="12B42D23" w14:textId="389A8E4D" w:rsidR="009815F8" w:rsidRPr="00000849" w:rsidRDefault="009815F8" w:rsidP="008C7750">
      <w:pPr>
        <w:widowControl w:val="0"/>
        <w:spacing w:line="480" w:lineRule="auto"/>
        <w:jc w:val="center"/>
        <w:rPr>
          <w:rFonts w:cstheme="minorHAnsi"/>
          <w:sz w:val="24"/>
          <w:szCs w:val="24"/>
        </w:rPr>
      </w:pPr>
      <w:r w:rsidRPr="00000849">
        <w:rPr>
          <w:noProof/>
        </w:rPr>
        <w:drawing>
          <wp:inline distT="0" distB="0" distL="0" distR="0" wp14:anchorId="36617C5A" wp14:editId="1360784C">
            <wp:extent cx="4601210" cy="3450769"/>
            <wp:effectExtent l="381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4602707" cy="3451892"/>
                    </a:xfrm>
                    <a:prstGeom prst="rect">
                      <a:avLst/>
                    </a:prstGeom>
                    <a:noFill/>
                    <a:ln>
                      <a:noFill/>
                    </a:ln>
                  </pic:spPr>
                </pic:pic>
              </a:graphicData>
            </a:graphic>
          </wp:inline>
        </w:drawing>
      </w:r>
    </w:p>
    <w:p w14:paraId="144F1ED7" w14:textId="77777777" w:rsidR="00B8235B" w:rsidRPr="00000849" w:rsidRDefault="00B8235B" w:rsidP="006A25C2">
      <w:pPr>
        <w:widowControl w:val="0"/>
        <w:spacing w:line="480" w:lineRule="auto"/>
        <w:jc w:val="both"/>
        <w:rPr>
          <w:rFonts w:cstheme="minorHAnsi"/>
          <w:sz w:val="24"/>
          <w:szCs w:val="24"/>
          <w:lang w:val="en-US"/>
        </w:rPr>
      </w:pPr>
    </w:p>
    <w:p w14:paraId="606881FE" w14:textId="2D0AB0D8" w:rsidR="00DA250E" w:rsidRPr="00000849" w:rsidRDefault="00925FEE" w:rsidP="003714BC">
      <w:pPr>
        <w:widowControl w:val="0"/>
        <w:spacing w:line="480" w:lineRule="auto"/>
        <w:ind w:firstLine="567"/>
        <w:jc w:val="both"/>
        <w:rPr>
          <w:rFonts w:cstheme="minorHAnsi"/>
          <w:sz w:val="24"/>
          <w:szCs w:val="24"/>
        </w:rPr>
      </w:pPr>
      <w:r w:rsidRPr="00000849">
        <w:rPr>
          <w:rFonts w:cstheme="minorHAnsi"/>
          <w:sz w:val="24"/>
          <w:szCs w:val="24"/>
        </w:rPr>
        <w:t>The community-based primary care service</w:t>
      </w:r>
      <w:r w:rsidR="00EC2AFF" w:rsidRPr="00000849">
        <w:rPr>
          <w:rFonts w:cstheme="minorHAnsi"/>
          <w:sz w:val="24"/>
          <w:szCs w:val="24"/>
        </w:rPr>
        <w:t xml:space="preserve"> provider</w:t>
      </w:r>
      <w:r w:rsidRPr="00000849">
        <w:rPr>
          <w:rFonts w:cstheme="minorHAnsi"/>
          <w:sz w:val="24"/>
          <w:szCs w:val="24"/>
        </w:rPr>
        <w:t xml:space="preserve">s could be trained </w:t>
      </w:r>
      <w:r w:rsidR="00EC2AFF" w:rsidRPr="00000849">
        <w:rPr>
          <w:rFonts w:cstheme="minorHAnsi"/>
          <w:sz w:val="24"/>
          <w:szCs w:val="24"/>
        </w:rPr>
        <w:t xml:space="preserve">in </w:t>
      </w:r>
      <w:r w:rsidRPr="00000849">
        <w:rPr>
          <w:rFonts w:cstheme="minorHAnsi"/>
          <w:sz w:val="24"/>
          <w:szCs w:val="24"/>
        </w:rPr>
        <w:t>follow</w:t>
      </w:r>
      <w:r w:rsidR="00EC2AFF" w:rsidRPr="00000849">
        <w:rPr>
          <w:rFonts w:cstheme="minorHAnsi"/>
          <w:sz w:val="24"/>
          <w:szCs w:val="24"/>
        </w:rPr>
        <w:t>-</w:t>
      </w:r>
      <w:r w:rsidRPr="00000849">
        <w:rPr>
          <w:rFonts w:cstheme="minorHAnsi"/>
          <w:sz w:val="24"/>
          <w:szCs w:val="24"/>
        </w:rPr>
        <w:t xml:space="preserve">up tasks to promote BP control, within the framework of task shifting.  In Nigeria, nursing staff at a primary care clinic where a health insurance programme was operational were adequately trained to provide clinical care and quarterly home visits helped to improve the quality of care and reduce care costs for patients at high risk of CVD or with established CVD  </w:t>
      </w:r>
      <w:r w:rsidRPr="00000849">
        <w:rPr>
          <w:rFonts w:cstheme="minorHAnsi"/>
          <w:sz w:val="24"/>
          <w:szCs w:val="24"/>
        </w:rPr>
        <w:fldChar w:fldCharType="begin">
          <w:fldData xml:space="preserve">PEVuZE5vdGU+PENpdGU+PEF1dGhvcj5IZW5kcmlrczwvQXV0aG9yPjxZZWFyPjIwMTU8L1llYXI+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==
</w:fldData>
        </w:fldChar>
      </w:r>
      <w:r w:rsidR="00F17737" w:rsidRPr="00000849">
        <w:rPr>
          <w:rFonts w:cstheme="minorHAnsi"/>
          <w:sz w:val="24"/>
          <w:szCs w:val="24"/>
        </w:rPr>
        <w:instrText xml:space="preserve"> ADDIN EN.CITE </w:instrText>
      </w:r>
      <w:r w:rsidR="00F17737" w:rsidRPr="00000849">
        <w:rPr>
          <w:rFonts w:cstheme="minorHAnsi"/>
          <w:sz w:val="24"/>
          <w:szCs w:val="24"/>
        </w:rPr>
        <w:fldChar w:fldCharType="begin">
          <w:fldData xml:space="preserve">PEVuZE5vdGU+PENpdGU+PEF1dGhvcj5IZW5kcmlrczwvQXV0aG9yPjxZZWFyPjIwMTU8L1llYXI+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==
</w:fldData>
        </w:fldChar>
      </w:r>
      <w:r w:rsidR="00F17737" w:rsidRPr="00000849">
        <w:rPr>
          <w:rFonts w:cstheme="minorHAnsi"/>
          <w:sz w:val="24"/>
          <w:szCs w:val="24"/>
        </w:rPr>
        <w:instrText xml:space="preserve"> ADDIN EN.CITE.DATA </w:instrText>
      </w:r>
      <w:r w:rsidR="00F17737" w:rsidRPr="00000849">
        <w:rPr>
          <w:rFonts w:cstheme="minorHAnsi"/>
          <w:sz w:val="24"/>
          <w:szCs w:val="24"/>
        </w:rPr>
      </w:r>
      <w:r w:rsidR="00F17737" w:rsidRPr="00000849">
        <w:rPr>
          <w:rFonts w:cstheme="minorHAnsi"/>
          <w:sz w:val="24"/>
          <w:szCs w:val="24"/>
        </w:rPr>
        <w:fldChar w:fldCharType="end"/>
      </w:r>
      <w:r w:rsidRPr="00000849">
        <w:rPr>
          <w:rFonts w:cstheme="minorHAnsi"/>
          <w:sz w:val="24"/>
          <w:szCs w:val="24"/>
        </w:rPr>
      </w:r>
      <w:r w:rsidRPr="00000849">
        <w:rPr>
          <w:rFonts w:cstheme="minorHAnsi"/>
          <w:sz w:val="24"/>
          <w:szCs w:val="24"/>
        </w:rPr>
        <w:fldChar w:fldCharType="separate"/>
      </w:r>
      <w:r w:rsidR="00B45210" w:rsidRPr="00000849">
        <w:rPr>
          <w:rFonts w:cstheme="minorHAnsi"/>
          <w:noProof/>
          <w:sz w:val="24"/>
          <w:szCs w:val="24"/>
        </w:rPr>
        <w:t>(Hendriks et al., 2015a)</w:t>
      </w:r>
      <w:r w:rsidRPr="00000849">
        <w:rPr>
          <w:rFonts w:cstheme="minorHAnsi"/>
          <w:sz w:val="24"/>
          <w:szCs w:val="24"/>
        </w:rPr>
        <w:fldChar w:fldCharType="end"/>
      </w:r>
      <w:r w:rsidRPr="00000849">
        <w:rPr>
          <w:rFonts w:cstheme="minorHAnsi"/>
          <w:sz w:val="24"/>
          <w:szCs w:val="24"/>
        </w:rPr>
        <w:t xml:space="preserve">.  At 12 months follow up, 67.2% of patients with hypertension had their BP control (&lt; 140/90 mmHg) compared to </w:t>
      </w:r>
      <w:r w:rsidRPr="00000849">
        <w:rPr>
          <w:rFonts w:cstheme="minorHAnsi"/>
          <w:sz w:val="24"/>
          <w:szCs w:val="24"/>
        </w:rPr>
        <w:lastRenderedPageBreak/>
        <w:t xml:space="preserve">48.9% at baseline (P&lt;0.001) </w:t>
      </w:r>
      <w:r w:rsidRPr="00000849">
        <w:rPr>
          <w:rFonts w:cstheme="minorHAnsi"/>
          <w:sz w:val="24"/>
          <w:szCs w:val="24"/>
        </w:rPr>
        <w:fldChar w:fldCharType="begin">
          <w:fldData xml:space="preserve">PEVuZE5vdGU+PENpdGU+PEF1dGhvcj5IZW5kcmlrczwvQXV0aG9yPjxZZWFyPjIwMTU8L1llYXI+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</w:fldData>
        </w:fldChar>
      </w:r>
      <w:r w:rsidR="00F17737" w:rsidRPr="00000849">
        <w:rPr>
          <w:rFonts w:cstheme="minorHAnsi"/>
          <w:sz w:val="24"/>
          <w:szCs w:val="24"/>
        </w:rPr>
        <w:instrText xml:space="preserve"> ADDIN EN.CITE </w:instrText>
      </w:r>
      <w:r w:rsidR="00F17737" w:rsidRPr="00000849">
        <w:rPr>
          <w:rFonts w:cstheme="minorHAnsi"/>
          <w:sz w:val="24"/>
          <w:szCs w:val="24"/>
        </w:rPr>
        <w:fldChar w:fldCharType="begin">
          <w:fldData xml:space="preserve">PEVuZE5vdGU+PENpdGU+PEF1dGhvcj5IZW5kcmlrczwvQXV0aG9yPjxZZWFyPjIwMTU8L1llYXI+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</w:fldData>
        </w:fldChar>
      </w:r>
      <w:r w:rsidR="00F17737" w:rsidRPr="00000849">
        <w:rPr>
          <w:rFonts w:cstheme="minorHAnsi"/>
          <w:sz w:val="24"/>
          <w:szCs w:val="24"/>
        </w:rPr>
        <w:instrText xml:space="preserve"> ADDIN EN.CITE.DATA </w:instrText>
      </w:r>
      <w:r w:rsidR="00F17737" w:rsidRPr="00000849">
        <w:rPr>
          <w:rFonts w:cstheme="minorHAnsi"/>
          <w:sz w:val="24"/>
          <w:szCs w:val="24"/>
        </w:rPr>
      </w:r>
      <w:r w:rsidR="00F17737" w:rsidRPr="00000849">
        <w:rPr>
          <w:rFonts w:cstheme="minorHAnsi"/>
          <w:sz w:val="24"/>
          <w:szCs w:val="24"/>
        </w:rPr>
        <w:fldChar w:fldCharType="end"/>
      </w:r>
      <w:r w:rsidRPr="00000849">
        <w:rPr>
          <w:rFonts w:cstheme="minorHAnsi"/>
          <w:sz w:val="24"/>
          <w:szCs w:val="24"/>
        </w:rPr>
      </w:r>
      <w:r w:rsidRPr="00000849">
        <w:rPr>
          <w:rFonts w:cstheme="minorHAnsi"/>
          <w:sz w:val="24"/>
          <w:szCs w:val="24"/>
        </w:rPr>
        <w:fldChar w:fldCharType="separate"/>
      </w:r>
      <w:r w:rsidR="00B45210" w:rsidRPr="00000849">
        <w:rPr>
          <w:rFonts w:cstheme="minorHAnsi"/>
          <w:noProof/>
          <w:sz w:val="24"/>
          <w:szCs w:val="24"/>
        </w:rPr>
        <w:t>(Hendriks et al., 2015b)</w:t>
      </w:r>
      <w:r w:rsidRPr="00000849">
        <w:rPr>
          <w:rFonts w:cstheme="minorHAnsi"/>
          <w:sz w:val="24"/>
          <w:szCs w:val="24"/>
        </w:rPr>
        <w:fldChar w:fldCharType="end"/>
      </w:r>
      <w:r w:rsidRPr="00000849">
        <w:rPr>
          <w:rFonts w:cstheme="minorHAnsi"/>
          <w:sz w:val="24"/>
          <w:szCs w:val="24"/>
        </w:rPr>
        <w:t xml:space="preserve">.  </w:t>
      </w:r>
      <w:r w:rsidR="00387109" w:rsidRPr="00000849">
        <w:rPr>
          <w:rFonts w:cstheme="minorHAnsi"/>
          <w:sz w:val="24"/>
          <w:szCs w:val="24"/>
        </w:rPr>
        <w:t>In a systematic review of randomized controlled trials in low- and  middle-income countries, t</w:t>
      </w:r>
      <w:r w:rsidR="001B38FA" w:rsidRPr="00000849">
        <w:rPr>
          <w:rFonts w:cstheme="minorHAnsi"/>
          <w:sz w:val="24"/>
          <w:szCs w:val="24"/>
        </w:rPr>
        <w:t xml:space="preserve">ask-shifting strategies led by nurses, pharmacists and community health workers were associated with statistically significant improvement in medication adherence for hypertension and diabetes and a reduction in mean BP </w:t>
      </w:r>
      <w:r w:rsidR="001B38FA" w:rsidRPr="00000849">
        <w:rPr>
          <w:rFonts w:cstheme="minorHAnsi"/>
          <w:sz w:val="24"/>
          <w:szCs w:val="24"/>
        </w:rPr>
        <w:fldChar w:fldCharType="begin">
          <w:fldData xml:space="preserve">PEVuZE5vdGU+PENpdGU+PEF1dGhvcj5PZ2VkZWdiZTwvQXV0aG9yPjxZZWFyPjIwMTQ8L1llYXI+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</w:fldData>
        </w:fldChar>
      </w:r>
      <w:r w:rsidR="001B38FA" w:rsidRPr="00000849">
        <w:rPr>
          <w:rFonts w:cstheme="minorHAnsi"/>
          <w:sz w:val="24"/>
          <w:szCs w:val="24"/>
        </w:rPr>
        <w:instrText xml:space="preserve"> ADDIN EN.CITE </w:instrText>
      </w:r>
      <w:r w:rsidR="001B38FA" w:rsidRPr="00000849">
        <w:rPr>
          <w:rFonts w:cstheme="minorHAnsi"/>
          <w:sz w:val="24"/>
          <w:szCs w:val="24"/>
        </w:rPr>
        <w:fldChar w:fldCharType="begin">
          <w:fldData xml:space="preserve">PEVuZE5vdGU+PENpdGU+PEF1dGhvcj5PZ2VkZWdiZTwvQXV0aG9yPjxZZWFyPjIwMTQ8L1llYXI+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</w:fldData>
        </w:fldChar>
      </w:r>
      <w:r w:rsidR="001B38FA" w:rsidRPr="00000849">
        <w:rPr>
          <w:rFonts w:cstheme="minorHAnsi"/>
          <w:sz w:val="24"/>
          <w:szCs w:val="24"/>
        </w:rPr>
        <w:instrText xml:space="preserve"> ADDIN EN.CITE.DATA </w:instrText>
      </w:r>
      <w:r w:rsidR="001B38FA" w:rsidRPr="00000849">
        <w:rPr>
          <w:rFonts w:cstheme="minorHAnsi"/>
          <w:sz w:val="24"/>
          <w:szCs w:val="24"/>
        </w:rPr>
      </w:r>
      <w:r w:rsidR="001B38FA" w:rsidRPr="00000849">
        <w:rPr>
          <w:rFonts w:cstheme="minorHAnsi"/>
          <w:sz w:val="24"/>
          <w:szCs w:val="24"/>
        </w:rPr>
        <w:fldChar w:fldCharType="end"/>
      </w:r>
      <w:r w:rsidR="001B38FA" w:rsidRPr="00000849">
        <w:rPr>
          <w:rFonts w:cstheme="minorHAnsi"/>
          <w:sz w:val="24"/>
          <w:szCs w:val="24"/>
        </w:rPr>
      </w:r>
      <w:r w:rsidR="001B38FA" w:rsidRPr="00000849">
        <w:rPr>
          <w:rFonts w:cstheme="minorHAnsi"/>
          <w:sz w:val="24"/>
          <w:szCs w:val="24"/>
        </w:rPr>
        <w:fldChar w:fldCharType="separate"/>
      </w:r>
      <w:r w:rsidR="001B38FA" w:rsidRPr="00000849">
        <w:rPr>
          <w:rFonts w:cstheme="minorHAnsi"/>
          <w:noProof/>
          <w:sz w:val="24"/>
          <w:szCs w:val="24"/>
        </w:rPr>
        <w:t>(Ogedegbe et al., 2014)</w:t>
      </w:r>
      <w:r w:rsidR="001B38FA" w:rsidRPr="00000849">
        <w:rPr>
          <w:rFonts w:cstheme="minorHAnsi"/>
          <w:sz w:val="24"/>
          <w:szCs w:val="24"/>
        </w:rPr>
        <w:fldChar w:fldCharType="end"/>
      </w:r>
      <w:r w:rsidR="001B38FA" w:rsidRPr="00000849">
        <w:rPr>
          <w:rFonts w:cstheme="minorHAnsi"/>
          <w:sz w:val="24"/>
          <w:szCs w:val="24"/>
        </w:rPr>
        <w:t>.</w:t>
      </w:r>
      <w:r w:rsidR="00B279B5" w:rsidRPr="00000849">
        <w:rPr>
          <w:rFonts w:cstheme="minorHAnsi"/>
          <w:sz w:val="24"/>
          <w:szCs w:val="24"/>
        </w:rPr>
        <w:t xml:space="preserve">  Recent experiences with task-shifting approaches led by nurses and community health workers </w:t>
      </w:r>
      <w:r w:rsidR="00A57E85">
        <w:rPr>
          <w:rFonts w:cstheme="minorHAnsi"/>
          <w:sz w:val="24"/>
          <w:szCs w:val="24"/>
        </w:rPr>
        <w:t xml:space="preserve">in Ghana </w:t>
      </w:r>
      <w:r w:rsidR="00B279B5" w:rsidRPr="00000849">
        <w:rPr>
          <w:rFonts w:cstheme="minorHAnsi"/>
          <w:sz w:val="24"/>
          <w:szCs w:val="24"/>
        </w:rPr>
        <w:t xml:space="preserve">suggest that they have the potential to improve the management and control at the primary care level </w:t>
      </w:r>
      <w:r w:rsidR="00B279B5" w:rsidRPr="00000849">
        <w:rPr>
          <w:rFonts w:cstheme="minorHAnsi"/>
          <w:sz w:val="24"/>
          <w:szCs w:val="24"/>
        </w:rPr>
        <w:fldChar w:fldCharType="begin">
          <w:fldData xml:space="preserve">PEVuZE5vdGU+PENpdGU+PEF1dGhvcj5HeWFtZmk8L0F1dGhvcj48WWVhcj4yMDE3PC9ZZWFyPjxS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</w:fldData>
        </w:fldChar>
      </w:r>
      <w:r w:rsidR="00B279B5" w:rsidRPr="00000849">
        <w:rPr>
          <w:rFonts w:cstheme="minorHAnsi"/>
          <w:sz w:val="24"/>
          <w:szCs w:val="24"/>
        </w:rPr>
        <w:instrText xml:space="preserve"> ADDIN EN.CITE </w:instrText>
      </w:r>
      <w:r w:rsidR="00B279B5" w:rsidRPr="00000849">
        <w:rPr>
          <w:rFonts w:cstheme="minorHAnsi"/>
          <w:sz w:val="24"/>
          <w:szCs w:val="24"/>
        </w:rPr>
        <w:fldChar w:fldCharType="begin">
          <w:fldData xml:space="preserve">PEVuZE5vdGU+PENpdGU+PEF1dGhvcj5HeWFtZmk8L0F1dGhvcj48WWVhcj4yMDE3PC9ZZWFyPjxS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</w:fldData>
        </w:fldChar>
      </w:r>
      <w:r w:rsidR="00B279B5" w:rsidRPr="00000849">
        <w:rPr>
          <w:rFonts w:cstheme="minorHAnsi"/>
          <w:sz w:val="24"/>
          <w:szCs w:val="24"/>
        </w:rPr>
        <w:instrText xml:space="preserve"> ADDIN EN.CITE.DATA </w:instrText>
      </w:r>
      <w:r w:rsidR="00B279B5" w:rsidRPr="00000849">
        <w:rPr>
          <w:rFonts w:cstheme="minorHAnsi"/>
          <w:sz w:val="24"/>
          <w:szCs w:val="24"/>
        </w:rPr>
      </w:r>
      <w:r w:rsidR="00B279B5" w:rsidRPr="00000849">
        <w:rPr>
          <w:rFonts w:cstheme="minorHAnsi"/>
          <w:sz w:val="24"/>
          <w:szCs w:val="24"/>
        </w:rPr>
        <w:fldChar w:fldCharType="end"/>
      </w:r>
      <w:r w:rsidR="00B279B5" w:rsidRPr="00000849">
        <w:rPr>
          <w:rFonts w:cstheme="minorHAnsi"/>
          <w:sz w:val="24"/>
          <w:szCs w:val="24"/>
        </w:rPr>
      </w:r>
      <w:r w:rsidR="00B279B5" w:rsidRPr="00000849">
        <w:rPr>
          <w:rFonts w:cstheme="minorHAnsi"/>
          <w:sz w:val="24"/>
          <w:szCs w:val="24"/>
        </w:rPr>
        <w:fldChar w:fldCharType="separate"/>
      </w:r>
      <w:r w:rsidR="00B279B5" w:rsidRPr="00000849">
        <w:rPr>
          <w:rFonts w:cstheme="minorHAnsi"/>
          <w:noProof/>
          <w:sz w:val="24"/>
          <w:szCs w:val="24"/>
        </w:rPr>
        <w:t>(Adler et al., 2019; Gyamfi et al., 2017; Haykin et al., 2020)</w:t>
      </w:r>
      <w:r w:rsidR="00B279B5" w:rsidRPr="00000849">
        <w:rPr>
          <w:rFonts w:cstheme="minorHAnsi"/>
          <w:sz w:val="24"/>
          <w:szCs w:val="24"/>
        </w:rPr>
        <w:fldChar w:fldCharType="end"/>
      </w:r>
      <w:r w:rsidR="00B279B5" w:rsidRPr="00000849">
        <w:rPr>
          <w:rFonts w:cstheme="minorHAnsi"/>
          <w:sz w:val="24"/>
          <w:szCs w:val="24"/>
        </w:rPr>
        <w:t>.</w:t>
      </w:r>
    </w:p>
    <w:p w14:paraId="3B6753B0" w14:textId="0602632E" w:rsidR="002F0380" w:rsidRPr="00000849" w:rsidRDefault="002F0380" w:rsidP="003714BC">
      <w:pPr>
        <w:widowControl w:val="0"/>
        <w:spacing w:line="480" w:lineRule="auto"/>
        <w:ind w:firstLine="567"/>
        <w:jc w:val="both"/>
        <w:rPr>
          <w:rFonts w:cstheme="minorHAnsi"/>
          <w:sz w:val="24"/>
          <w:szCs w:val="24"/>
        </w:rPr>
      </w:pPr>
    </w:p>
    <w:p w14:paraId="24A37FD4" w14:textId="0B29E64C" w:rsidR="002F0380" w:rsidRPr="00000849" w:rsidRDefault="002F0380" w:rsidP="00A61BAB">
      <w:pPr>
        <w:pStyle w:val="Heading2"/>
      </w:pPr>
      <w:bookmarkStart w:id="132" w:name="_Toc51472162"/>
      <w:r w:rsidRPr="00000849">
        <w:t>7.3</w:t>
      </w:r>
      <w:r w:rsidRPr="00000849">
        <w:tab/>
        <w:t>Summary</w:t>
      </w:r>
      <w:bookmarkEnd w:id="132"/>
    </w:p>
    <w:p w14:paraId="56048B19" w14:textId="77777777" w:rsidR="002F0380" w:rsidRPr="00000849" w:rsidRDefault="002F0380" w:rsidP="003714BC">
      <w:pPr>
        <w:widowControl w:val="0"/>
        <w:spacing w:line="480" w:lineRule="auto"/>
        <w:ind w:firstLine="567"/>
        <w:jc w:val="both"/>
        <w:rPr>
          <w:rFonts w:cstheme="minorHAnsi"/>
          <w:sz w:val="24"/>
          <w:szCs w:val="24"/>
        </w:rPr>
      </w:pPr>
    </w:p>
    <w:p w14:paraId="2752A769" w14:textId="702F701A" w:rsidR="006A25C2" w:rsidRPr="00000849" w:rsidRDefault="006942E5" w:rsidP="00D06105">
      <w:pPr>
        <w:widowControl w:val="0"/>
        <w:spacing w:line="480" w:lineRule="auto"/>
        <w:jc w:val="both"/>
        <w:rPr>
          <w:rFonts w:ascii="Calibri" w:eastAsiaTheme="majorEastAsia" w:hAnsi="Calibri" w:cs="Times New Roman"/>
          <w:b/>
          <w:bCs/>
          <w:kern w:val="36"/>
          <w:sz w:val="32"/>
          <w:szCs w:val="48"/>
          <w:lang w:val="en-US" w:eastAsia="en-GB"/>
        </w:rPr>
      </w:pPr>
      <w:r w:rsidRPr="00000849">
        <w:rPr>
          <w:rFonts w:cstheme="minorHAnsi"/>
          <w:sz w:val="24"/>
          <w:szCs w:val="24"/>
        </w:rPr>
        <w:t>I</w:t>
      </w:r>
      <w:r w:rsidR="00DA250E" w:rsidRPr="00000849">
        <w:rPr>
          <w:rFonts w:cstheme="minorHAnsi"/>
          <w:sz w:val="24"/>
          <w:szCs w:val="24"/>
        </w:rPr>
        <w:t>n integrating geriatric care policy in public health delivery, it will be important to adopt a multidimensional approach that addresses the cardiovascular health needs of older adults along the continuum of health promotion emphasizing risk reduction behaviour, improving awareness, screening for multiple risk factors, providing counselling to enhance compliance with treatment, avoiding polypharmacy, engaging the families in care of sick individuals and providing care for older adults with complications.</w:t>
      </w:r>
      <w:r w:rsidR="00EC2AFF" w:rsidRPr="00000849">
        <w:rPr>
          <w:rFonts w:cstheme="minorHAnsi"/>
          <w:sz w:val="24"/>
          <w:szCs w:val="24"/>
        </w:rPr>
        <w:t xml:space="preserve">  Adequate training of mid-level care providers in primary care of older adults with hypertension, the monitoring of the health and risk factors and the implementation of further research on trends and determinants of hypertension should be considered in the process to develop the national health policy for the aged </w:t>
      </w:r>
      <w:r w:rsidR="00EC2AFF" w:rsidRPr="00000849">
        <w:rPr>
          <w:rFonts w:cstheme="minorHAnsi"/>
          <w:sz w:val="24"/>
          <w:szCs w:val="24"/>
        </w:rPr>
        <w:fldChar w:fldCharType="begin"/>
      </w:r>
      <w:r w:rsidR="00E4120F" w:rsidRPr="00000849">
        <w:rPr>
          <w:rFonts w:cstheme="minorHAnsi"/>
          <w:sz w:val="24"/>
          <w:szCs w:val="24"/>
        </w:rPr>
        <w:instrText xml:space="preserve"> ADDIN EN.CITE &lt;EndNote&gt;&lt;Cite&gt;&lt;Author&gt;MOH Ghana&lt;/Author&gt;&lt;Year&gt;2014&lt;/Year&gt;&lt;RecNum&gt;553&lt;/RecNum&gt;&lt;DisplayText&gt;(MOH Ghana, 2014a)&lt;/DisplayText&gt;&lt;record&gt;&lt;rec-number&gt;553&lt;/rec-number&gt;&lt;foreign-keys&gt;&lt;key app="EN" db-id="9tzf2rda8re2a9es5tuxart3swzx2zws2s02" timestamp="1496067367"&gt;553&lt;/key&gt;&lt;/foreign-keys&gt;&lt;ref-type name="Report"&gt;27&lt;/ref-type&gt;&lt;contributors&gt;&lt;authors&gt;&lt;author&gt;MOH Ghana,&lt;/author&gt;&lt;/authors&gt;&lt;/contributors&gt;&lt;titles&gt;&lt;title&gt;The Health Sector Medium-Term Development Plan 2014 -2017&lt;/title&gt;&lt;/titles&gt;&lt;dates&gt;&lt;year&gt;2014&lt;/year&gt;&lt;/dates&gt;&lt;pub-location&gt;Accra&lt;/pub-location&gt;&lt;publisher&gt;MOH&lt;/publisher&gt;&lt;urls&gt;&lt;related-urls&gt;&lt;url&gt;https://s3.amazonaws.com/ndpc-static/CACHES/PUBLICATIONS/2016/07/15/FINAL+HSMTDP-MOH+20th+December+2014.pdf&lt;/url&gt;&lt;/related-urls&gt;&lt;/urls&gt;&lt;/record&gt;&lt;/Cite&gt;&lt;/EndNote&gt;</w:instrText>
      </w:r>
      <w:r w:rsidR="00EC2AFF" w:rsidRPr="00000849">
        <w:rPr>
          <w:rFonts w:cstheme="minorHAnsi"/>
          <w:sz w:val="24"/>
          <w:szCs w:val="24"/>
        </w:rPr>
        <w:fldChar w:fldCharType="separate"/>
      </w:r>
      <w:r w:rsidR="00E4120F" w:rsidRPr="00000849">
        <w:rPr>
          <w:rFonts w:cstheme="minorHAnsi"/>
          <w:noProof/>
          <w:sz w:val="24"/>
          <w:szCs w:val="24"/>
        </w:rPr>
        <w:t>(MOH Ghana, 2014a)</w:t>
      </w:r>
      <w:r w:rsidR="00EC2AFF" w:rsidRPr="00000849">
        <w:rPr>
          <w:rFonts w:cstheme="minorHAnsi"/>
          <w:sz w:val="24"/>
          <w:szCs w:val="24"/>
        </w:rPr>
        <w:fldChar w:fldCharType="end"/>
      </w:r>
      <w:r w:rsidR="00EC2AFF" w:rsidRPr="00000849">
        <w:rPr>
          <w:rFonts w:cstheme="minorHAnsi"/>
          <w:sz w:val="24"/>
          <w:szCs w:val="24"/>
        </w:rPr>
        <w:t xml:space="preserve">. </w:t>
      </w:r>
      <w:r w:rsidR="006A25C2" w:rsidRPr="00000849">
        <w:rPr>
          <w:rFonts w:eastAsiaTheme="majorEastAsia"/>
          <w:lang w:val="en-US"/>
        </w:rPr>
        <w:br w:type="page"/>
      </w:r>
    </w:p>
    <w:p w14:paraId="1902FD20" w14:textId="66598FB8" w:rsidR="00401940" w:rsidRPr="00000849" w:rsidRDefault="00401940">
      <w:pPr>
        <w:pStyle w:val="Heading1"/>
        <w:rPr>
          <w:rFonts w:eastAsiaTheme="majorEastAsia"/>
          <w:lang w:val="pt-PT"/>
        </w:rPr>
      </w:pPr>
      <w:bookmarkStart w:id="133" w:name="_Toc51472163"/>
      <w:r w:rsidRPr="00000849">
        <w:rPr>
          <w:rFonts w:eastAsiaTheme="majorEastAsia"/>
          <w:lang w:val="pt-PT"/>
        </w:rPr>
        <w:lastRenderedPageBreak/>
        <w:t>References</w:t>
      </w:r>
      <w:bookmarkEnd w:id="133"/>
    </w:p>
    <w:p w14:paraId="22B57896" w14:textId="77777777" w:rsidR="00401940" w:rsidRPr="00000849" w:rsidRDefault="00401940" w:rsidP="00401940">
      <w:pPr>
        <w:widowControl w:val="0"/>
        <w:spacing w:line="360" w:lineRule="auto"/>
        <w:jc w:val="both"/>
        <w:rPr>
          <w:rFonts w:cstheme="minorHAnsi"/>
          <w:sz w:val="24"/>
          <w:szCs w:val="24"/>
          <w:lang w:val="pt-PT"/>
        </w:rPr>
      </w:pPr>
    </w:p>
    <w:p w14:paraId="2EE2CD88" w14:textId="77777777" w:rsidR="00D86B89" w:rsidRPr="00D86B89" w:rsidRDefault="00401940" w:rsidP="00D86B89">
      <w:pPr>
        <w:pStyle w:val="EndNoteBibliography"/>
        <w:spacing w:after="0"/>
        <w:ind w:left="720" w:hanging="720"/>
      </w:pPr>
      <w:r w:rsidRPr="00000849">
        <w:rPr>
          <w:rFonts w:cstheme="minorHAnsi"/>
          <w:sz w:val="24"/>
          <w:szCs w:val="24"/>
        </w:rPr>
        <w:fldChar w:fldCharType="begin"/>
      </w:r>
      <w:r w:rsidRPr="00000849">
        <w:rPr>
          <w:rFonts w:cstheme="minorHAnsi"/>
          <w:sz w:val="24"/>
          <w:szCs w:val="24"/>
          <w:lang w:val="pt-PT"/>
        </w:rPr>
        <w:instrText xml:space="preserve"> ADDIN EN.REFLIST </w:instrText>
      </w:r>
      <w:r w:rsidRPr="00000849">
        <w:rPr>
          <w:rFonts w:cstheme="minorHAnsi"/>
          <w:sz w:val="24"/>
          <w:szCs w:val="24"/>
        </w:rPr>
        <w:fldChar w:fldCharType="separate"/>
      </w:r>
      <w:r w:rsidR="00D86B89" w:rsidRPr="00920AA1">
        <w:rPr>
          <w:lang w:val="pt-PT"/>
        </w:rPr>
        <w:t xml:space="preserve">Abegunde, K. A., &amp; Owoaje, E. T. (2013). </w:t>
      </w:r>
      <w:r w:rsidR="00D86B89" w:rsidRPr="00D86B89">
        <w:t xml:space="preserve">Health problems and associated risk factors in selected urban and rural elderly population groups of South-West Nigeria. </w:t>
      </w:r>
      <w:r w:rsidR="00D86B89" w:rsidRPr="00D86B89">
        <w:rPr>
          <w:i/>
        </w:rPr>
        <w:t>Annals of African Medicine, 12</w:t>
      </w:r>
      <w:r w:rsidR="00D86B89" w:rsidRPr="00D86B89">
        <w:t>(2), 90-97. doi:10.4103/1596-3519.112398</w:t>
      </w:r>
    </w:p>
    <w:p w14:paraId="7CE79C4E" w14:textId="77777777" w:rsidR="00D86B89" w:rsidRPr="00D86B89" w:rsidRDefault="00D86B89" w:rsidP="00D86B89">
      <w:pPr>
        <w:pStyle w:val="EndNoteBibliography"/>
        <w:spacing w:after="0"/>
        <w:ind w:left="720" w:hanging="720"/>
      </w:pPr>
      <w:r w:rsidRPr="00D86B89">
        <w:t xml:space="preserve">Aboderin, I. (2004). Decline in Material Family Support for Older People in Urban Ghana, Africa: Understanding Processes and Causes of Change. </w:t>
      </w:r>
      <w:r w:rsidRPr="00D86B89">
        <w:rPr>
          <w:i/>
        </w:rPr>
        <w:t>The Journals of Gerontology Series B: Psychological Sciences and Social Sciences, 59</w:t>
      </w:r>
      <w:r w:rsidRPr="00D86B89">
        <w:t>(3), S128-S137. doi:10.1093/geronb/59.3.S128</w:t>
      </w:r>
    </w:p>
    <w:p w14:paraId="1E152D49" w14:textId="77777777" w:rsidR="00D86B89" w:rsidRPr="00D86B89" w:rsidRDefault="00D86B89" w:rsidP="00D86B89">
      <w:pPr>
        <w:pStyle w:val="EndNoteBibliography"/>
        <w:spacing w:after="0"/>
        <w:ind w:left="720" w:hanging="720"/>
      </w:pPr>
      <w:r w:rsidRPr="00D86B89">
        <w:t xml:space="preserve">Aboderin, I., Kalache, A., Ben-Shlomo, Y., Lynch, J. W., Yajnik, C. S., Kuh, D., &amp; Yach, D. (2001). </w:t>
      </w:r>
      <w:r w:rsidRPr="00D86B89">
        <w:rPr>
          <w:i/>
        </w:rPr>
        <w:t>Life course perspectives on coronary heart disease, stroke and diabetes: key issues and implications for policy and research.  WHO/NMH/NPH/01.4</w:t>
      </w:r>
      <w:r w:rsidRPr="00D86B89">
        <w:t xml:space="preserve">. Retrieved from Geneva: </w:t>
      </w:r>
    </w:p>
    <w:p w14:paraId="6863031E" w14:textId="77777777" w:rsidR="00D86B89" w:rsidRPr="00D86B89" w:rsidRDefault="00D86B89" w:rsidP="00D86B89">
      <w:pPr>
        <w:pStyle w:val="EndNoteBibliography"/>
        <w:spacing w:after="0"/>
        <w:ind w:left="720" w:hanging="720"/>
      </w:pPr>
      <w:r w:rsidRPr="00D86B89">
        <w:t>Aboderin, I., Kalache, A., Ben Shlomo, Y., Lynch, J., Yajnik, C., Kuh, D., &amp; Yach, D. (2002). Life course perspectives on coronary heart disease, stroke and diabetes: key issues and implications for policy and research. In. Geneva: World Health Organisation.</w:t>
      </w:r>
    </w:p>
    <w:p w14:paraId="2F9E2750" w14:textId="77777777" w:rsidR="00D86B89" w:rsidRPr="00D86B89" w:rsidRDefault="00D86B89" w:rsidP="00D86B89">
      <w:pPr>
        <w:pStyle w:val="EndNoteBibliography"/>
        <w:spacing w:after="0"/>
        <w:ind w:left="720" w:hanging="720"/>
      </w:pPr>
      <w:r w:rsidRPr="00D86B89">
        <w:t xml:space="preserve">Aboyade, O. M., Beauclair, R., Mbamalu, O. N., Puoane, T. R., &amp; Hughes, G. D. (2016). Health-seeking behaviours of older black women living with non-communicable diseases in an urban township in South Africa. </w:t>
      </w:r>
      <w:r w:rsidRPr="00D86B89">
        <w:rPr>
          <w:i/>
        </w:rPr>
        <w:t>BMC Complement Altern Med, 16</w:t>
      </w:r>
      <w:r w:rsidRPr="00D86B89">
        <w:t>(1), 410. doi:10.1186/s12906-016-1378-4</w:t>
      </w:r>
    </w:p>
    <w:p w14:paraId="5E56161A" w14:textId="77777777" w:rsidR="00D86B89" w:rsidRPr="00D86B89" w:rsidRDefault="00D86B89" w:rsidP="00D86B89">
      <w:pPr>
        <w:pStyle w:val="EndNoteBibliography"/>
        <w:spacing w:after="0"/>
        <w:ind w:left="720" w:hanging="720"/>
      </w:pPr>
      <w:r w:rsidRPr="00D86B89">
        <w:t xml:space="preserve">Addo, J., Amoah, A. G. B., &amp; Koram, K. A. (2006). The changing patterns of hypertension in Ghana: a study of four rural communities in the Ga district. </w:t>
      </w:r>
      <w:r w:rsidRPr="00D86B89">
        <w:rPr>
          <w:i/>
        </w:rPr>
        <w:t>Ethnicity &amp; Disease, 16</w:t>
      </w:r>
      <w:r w:rsidRPr="00D86B89">
        <w:t xml:space="preserve">, 894–899. </w:t>
      </w:r>
    </w:p>
    <w:p w14:paraId="22D2BFD8" w14:textId="77777777" w:rsidR="00D86B89" w:rsidRPr="00D86B89" w:rsidRDefault="00D86B89" w:rsidP="00D86B89">
      <w:pPr>
        <w:pStyle w:val="EndNoteBibliography"/>
        <w:spacing w:after="0"/>
        <w:ind w:left="720" w:hanging="720"/>
      </w:pPr>
      <w:r w:rsidRPr="00D86B89">
        <w:t xml:space="preserve">Addo, J., Smeeth, L., &amp; Leon, D. A. (2008). Prevalence, detection, management, and control of hypertension in Ghanaian civil servants. </w:t>
      </w:r>
      <w:r w:rsidRPr="00D86B89">
        <w:rPr>
          <w:i/>
        </w:rPr>
        <w:t>Ethnicity &amp; Disease, 18</w:t>
      </w:r>
      <w:r w:rsidRPr="00D86B89">
        <w:t xml:space="preserve">, 505-511. </w:t>
      </w:r>
    </w:p>
    <w:p w14:paraId="600E9DD2" w14:textId="77777777" w:rsidR="00D86B89" w:rsidRPr="00D86B89" w:rsidRDefault="00D86B89" w:rsidP="00D86B89">
      <w:pPr>
        <w:pStyle w:val="EndNoteBibliography"/>
        <w:spacing w:after="0"/>
        <w:ind w:left="720" w:hanging="720"/>
      </w:pPr>
      <w:r w:rsidRPr="00D86B89">
        <w:t xml:space="preserve">Addo, J., Smeeth, L., &amp; Leon, D. A. (2009a). Hypertensive target organ damage in Ghanaian civil servants with hypertension. </w:t>
      </w:r>
      <w:r w:rsidRPr="00D86B89">
        <w:rPr>
          <w:i/>
        </w:rPr>
        <w:t>PLoS One, 4</w:t>
      </w:r>
      <w:r w:rsidRPr="00D86B89">
        <w:t>(8), e6672. doi:10.1371/journal.pone.0006672.</w:t>
      </w:r>
    </w:p>
    <w:p w14:paraId="668EB499" w14:textId="77777777" w:rsidR="00D86B89" w:rsidRPr="00D86B89" w:rsidRDefault="00D86B89" w:rsidP="00D86B89">
      <w:pPr>
        <w:pStyle w:val="EndNoteBibliography"/>
        <w:spacing w:after="0"/>
        <w:ind w:left="720" w:hanging="720"/>
      </w:pPr>
      <w:r w:rsidRPr="00D86B89">
        <w:t xml:space="preserve">Addo, J., Smeeth, L., &amp; Leon, D. A. (2009b). Socioeconomic position and hypertension: a study of urban civil servants in Ghana. </w:t>
      </w:r>
      <w:r w:rsidRPr="00D86B89">
        <w:rPr>
          <w:i/>
        </w:rPr>
        <w:t>Journal of Epidemiology &amp; Community Health, 63</w:t>
      </w:r>
      <w:r w:rsidRPr="00D86B89">
        <w:t xml:space="preserve">(8), 646-650. </w:t>
      </w:r>
    </w:p>
    <w:p w14:paraId="0C955D1C" w14:textId="77777777" w:rsidR="00D86B89" w:rsidRPr="00920AA1" w:rsidRDefault="00D86B89" w:rsidP="00D86B89">
      <w:pPr>
        <w:pStyle w:val="EndNoteBibliography"/>
        <w:spacing w:after="0"/>
        <w:ind w:left="720" w:hanging="720"/>
        <w:rPr>
          <w:lang w:val="pt-PT"/>
        </w:rPr>
      </w:pPr>
      <w:r w:rsidRPr="00D86B89">
        <w:t xml:space="preserve">Adeloye, D., &amp; Basquill, C. (2014). Estimating the prevalence and awareness rates of hypertension in Africa: a systematic analysis. </w:t>
      </w:r>
      <w:r w:rsidRPr="00920AA1">
        <w:rPr>
          <w:i/>
          <w:lang w:val="pt-PT"/>
        </w:rPr>
        <w:t>PLoS One, 9</w:t>
      </w:r>
      <w:r w:rsidRPr="00920AA1">
        <w:rPr>
          <w:lang w:val="pt-PT"/>
        </w:rPr>
        <w:t xml:space="preserve">(8), e104300. </w:t>
      </w:r>
    </w:p>
    <w:p w14:paraId="0828B445" w14:textId="77777777" w:rsidR="00D86B89" w:rsidRPr="00D86B89" w:rsidRDefault="00D86B89" w:rsidP="00D86B89">
      <w:pPr>
        <w:pStyle w:val="EndNoteBibliography"/>
        <w:spacing w:after="0"/>
        <w:ind w:left="720" w:hanging="720"/>
      </w:pPr>
      <w:r w:rsidRPr="00920AA1">
        <w:rPr>
          <w:lang w:val="pt-PT"/>
        </w:rPr>
        <w:t xml:space="preserve">Adler, A. J., Laar, A., Prieto-Merino, D., Der, R. M. M., Mangortey, D., Dirks, R., . . . </w:t>
      </w:r>
      <w:r w:rsidRPr="00D86B89">
        <w:t xml:space="preserve">Perel, P. (2019). Can a nurse-led community-based model of hypertension care improve hypertension control in Ghana? Results from the ComHIP cohort study. </w:t>
      </w:r>
      <w:r w:rsidRPr="00D86B89">
        <w:rPr>
          <w:i/>
        </w:rPr>
        <w:t>BMJ Open, 9</w:t>
      </w:r>
      <w:r w:rsidRPr="00D86B89">
        <w:t>(4), e026799. doi:10.1136/bmjopen-2018-026799</w:t>
      </w:r>
    </w:p>
    <w:p w14:paraId="4896312C" w14:textId="77777777" w:rsidR="00D86B89" w:rsidRPr="00D86B89" w:rsidRDefault="00D86B89" w:rsidP="00D86B89">
      <w:pPr>
        <w:pStyle w:val="EndNoteBibliography"/>
        <w:spacing w:after="0"/>
        <w:ind w:left="720" w:hanging="720"/>
      </w:pPr>
      <w:r w:rsidRPr="00D86B89">
        <w:t xml:space="preserve">Adoma, P. O., &amp; Yendaw, E. (2014). Ageing and Chronic Diseases in Ghana: A Case Study of Cape Coast Metropolitan Hospital. </w:t>
      </w:r>
      <w:r w:rsidRPr="00D86B89">
        <w:rPr>
          <w:i/>
        </w:rPr>
        <w:t>International Journal of Nursing, 1</w:t>
      </w:r>
      <w:r w:rsidRPr="00D86B89">
        <w:t xml:space="preserve">(1), 25-36. </w:t>
      </w:r>
    </w:p>
    <w:p w14:paraId="2915E545" w14:textId="77777777" w:rsidR="00D86B89" w:rsidRPr="00D86B89" w:rsidRDefault="00D86B89" w:rsidP="00D86B89">
      <w:pPr>
        <w:pStyle w:val="EndNoteBibliography"/>
        <w:spacing w:after="0"/>
        <w:ind w:left="720" w:hanging="720"/>
      </w:pPr>
      <w:r w:rsidRPr="00D86B89">
        <w:t xml:space="preserve">Agbényiga, D. L., &amp; Huang, L. (2012). Impact of the Organizational Networks on the Roles of NGOs in Eldercare: Perspectives from HelpAge Ghana Day Centres. </w:t>
      </w:r>
      <w:r w:rsidRPr="00D86B89">
        <w:rPr>
          <w:i/>
        </w:rPr>
        <w:t>Ageing International, 37</w:t>
      </w:r>
      <w:r w:rsidRPr="00D86B89">
        <w:t>(3), 338-355. doi:10.1007/s12126-011-9117-0</w:t>
      </w:r>
    </w:p>
    <w:p w14:paraId="2890EEE4" w14:textId="77777777" w:rsidR="00D86B89" w:rsidRPr="00D86B89" w:rsidRDefault="00D86B89" w:rsidP="00D86B89">
      <w:pPr>
        <w:pStyle w:val="EndNoteBibliography"/>
        <w:spacing w:after="0"/>
        <w:ind w:left="720" w:hanging="720"/>
      </w:pPr>
      <w:r w:rsidRPr="00D86B89">
        <w:t xml:space="preserve">Agyei-Mensah, S., &amp; Aikins, A. d.-G. (2010). Epidemiological transition and the double burden of disease in Accra, Ghana. </w:t>
      </w:r>
      <w:r w:rsidRPr="00D86B89">
        <w:rPr>
          <w:i/>
        </w:rPr>
        <w:t>Journal of urban health, 87</w:t>
      </w:r>
      <w:r w:rsidRPr="00D86B89">
        <w:t xml:space="preserve">(5), 879-897. </w:t>
      </w:r>
    </w:p>
    <w:p w14:paraId="0FABDD67" w14:textId="77777777" w:rsidR="00D86B89" w:rsidRPr="00D86B89" w:rsidRDefault="00D86B89" w:rsidP="00D86B89">
      <w:pPr>
        <w:pStyle w:val="EndNoteBibliography"/>
        <w:spacing w:after="0"/>
        <w:ind w:left="720" w:hanging="720"/>
      </w:pPr>
      <w:r w:rsidRPr="00D86B89">
        <w:t xml:space="preserve">Agyemang-Duah, W., Peprah, C., &amp; Peprah, P. (2019). “Let’s talk about money”: how do poor older people finance their healthcare in rural Ghana? A qualitative study. </w:t>
      </w:r>
      <w:r w:rsidRPr="00D86B89">
        <w:rPr>
          <w:i/>
        </w:rPr>
        <w:t>International journal for equity in health, 18</w:t>
      </w:r>
      <w:r w:rsidRPr="00D86B89">
        <w:t>(1), 47. doi:10.1186/s12939-019-0927-0</w:t>
      </w:r>
    </w:p>
    <w:p w14:paraId="76585C57" w14:textId="324B4307" w:rsidR="00D86B89" w:rsidRPr="00D86B89" w:rsidRDefault="00D86B89" w:rsidP="00D86B89">
      <w:pPr>
        <w:pStyle w:val="EndNoteBibliography"/>
        <w:spacing w:after="0"/>
        <w:ind w:left="720" w:hanging="720"/>
      </w:pPr>
      <w:r w:rsidRPr="00D86B89">
        <w:t xml:space="preserve">Aikins, A. d.-G., Alidu, S., Bortei-Doku, E., Domfe, G., &amp; Armah, R. (2017). The scope and limits of Ghana’s Livelihood Empowerment Against Poverty programme. In N. Awortwi &amp; E. </w:t>
      </w:r>
      <w:r w:rsidRPr="00D86B89">
        <w:lastRenderedPageBreak/>
        <w:t xml:space="preserve">R. Aiyede (Eds.), </w:t>
      </w:r>
      <w:r w:rsidRPr="00D86B89">
        <w:rPr>
          <w:i/>
        </w:rPr>
        <w:t>Politics, Public Policy and Social Protection in Africa:  Evidence from Cash Transfer Programmes</w:t>
      </w:r>
      <w:r w:rsidRPr="00D86B89">
        <w:t xml:space="preserve"> (Retrieved from </w:t>
      </w:r>
      <w:hyperlink r:id="rId46" w:anchor="page=66pp" w:history="1">
        <w:r w:rsidRPr="00D86B89">
          <w:rPr>
            <w:rStyle w:val="Hyperlink"/>
          </w:rPr>
          <w:t>https://www.researchgate.net/profile/Emmanuel_Aiyede/publication/313497594_Politics_Public_Policy_and_Social_Protection_in_Africa_Evidence_from_Cash_Transfer_Programmes/links/5cab946392851c64bd59d816/Politics-Public-Policy-and-Social-Protection-in-Africa-Evidence-from-Cash-Transfer-Programmes.pdf#page=66pp</w:t>
        </w:r>
      </w:hyperlink>
      <w:r w:rsidRPr="00D86B89">
        <w:t>. 45-63). Milton Park, Abingdon, Oxon, UK: Routledge.</w:t>
      </w:r>
    </w:p>
    <w:p w14:paraId="50E70B60" w14:textId="77777777" w:rsidR="00D86B89" w:rsidRPr="00D86B89" w:rsidRDefault="00D86B89" w:rsidP="00D86B89">
      <w:pPr>
        <w:pStyle w:val="EndNoteBibliography"/>
        <w:spacing w:after="0"/>
        <w:ind w:left="720" w:hanging="720"/>
      </w:pPr>
      <w:r w:rsidRPr="00D86B89">
        <w:t xml:space="preserve">Aikins, A. d.-G., Kushitor, M., Sanuade, O., Dakey, S., Dovie, D., &amp; Kwabena-Adade, J. (2016). Research On Aging in Ghana from the 1950s To 2016: A Bibliography and Commentary. </w:t>
      </w:r>
      <w:r w:rsidRPr="00D86B89">
        <w:rPr>
          <w:i/>
        </w:rPr>
        <w:t>Ghana Studies, 19</w:t>
      </w:r>
      <w:r w:rsidRPr="00D86B89">
        <w:t xml:space="preserve">(1), 173-189. </w:t>
      </w:r>
    </w:p>
    <w:p w14:paraId="613AD2B6" w14:textId="77777777" w:rsidR="00D86B89" w:rsidRPr="00D86B89" w:rsidRDefault="00D86B89" w:rsidP="00D86B89">
      <w:pPr>
        <w:pStyle w:val="EndNoteBibliography"/>
        <w:spacing w:after="0"/>
        <w:ind w:left="720" w:hanging="720"/>
      </w:pPr>
      <w:r w:rsidRPr="00D86B89">
        <w:t xml:space="preserve">Amugsi, D. A., Dimbuene, Z. T., Mberu, B., Muthuri, S., &amp; Ezeh, A. C. (2017). Prevalence and time trends in overweight and obesity among urban women: an analysis of demographic and health surveys data from 24 African countries, 1991-2014. </w:t>
      </w:r>
      <w:r w:rsidRPr="00D86B89">
        <w:rPr>
          <w:i/>
        </w:rPr>
        <w:t>BMJ Open, 7</w:t>
      </w:r>
      <w:r w:rsidRPr="00D86B89">
        <w:t>(10), e017344. doi:10.1136/bmjopen-2017-017344</w:t>
      </w:r>
    </w:p>
    <w:p w14:paraId="48DDB2FA" w14:textId="77777777" w:rsidR="00D86B89" w:rsidRPr="00D86B89" w:rsidRDefault="00D86B89" w:rsidP="00D86B89">
      <w:pPr>
        <w:pStyle w:val="EndNoteBibliography"/>
        <w:spacing w:after="0"/>
        <w:ind w:left="720" w:hanging="720"/>
      </w:pPr>
      <w:r w:rsidRPr="00D86B89">
        <w:t xml:space="preserve">Appiah, L. T., Sarfo, F. S., Agyemang, C., Tweneboah, H. O., Appiah, N. A. B. A., Bedu-Addo, G., &amp; Opare-Sem, O. (2017). Current trends in admissions and outcomes of cardiac diseases in Ghana. </w:t>
      </w:r>
      <w:r w:rsidRPr="00D86B89">
        <w:rPr>
          <w:i/>
        </w:rPr>
        <w:t>Clinical Cardiology, 40</w:t>
      </w:r>
      <w:r w:rsidRPr="00D86B89">
        <w:t>(10), 783-788. doi:10.1002/clc.22753</w:t>
      </w:r>
    </w:p>
    <w:p w14:paraId="04939E5A" w14:textId="76C13EA6" w:rsidR="00D86B89" w:rsidRPr="00D86B89" w:rsidRDefault="00D86B89" w:rsidP="00D86B89">
      <w:pPr>
        <w:pStyle w:val="EndNoteBibliography"/>
        <w:spacing w:after="0"/>
        <w:ind w:left="720" w:hanging="720"/>
      </w:pPr>
      <w:r w:rsidRPr="00D86B89">
        <w:t xml:space="preserve">Apt, N. (2001). Rapid urbanization and living arrangements of older persons in Africa. </w:t>
      </w:r>
      <w:r w:rsidRPr="00D86B89">
        <w:rPr>
          <w:i/>
        </w:rPr>
        <w:t>United Nations, Population Division. Living arrangements of older persons: critical issues and policy responses. Population Bulletin of the United Nations, 42-43</w:t>
      </w:r>
      <w:r w:rsidRPr="00D86B89">
        <w:t xml:space="preserve">, 288-310. Retrieved from </w:t>
      </w:r>
      <w:hyperlink r:id="rId47" w:history="1">
        <w:r w:rsidRPr="00D86B89">
          <w:rPr>
            <w:rStyle w:val="Hyperlink"/>
          </w:rPr>
          <w:t>http://www.un.org/esa/population/publications/bulletin42_43/apt.pdf</w:t>
        </w:r>
      </w:hyperlink>
    </w:p>
    <w:p w14:paraId="7C05A825" w14:textId="77777777" w:rsidR="00D86B89" w:rsidRPr="00D86B89" w:rsidRDefault="00D86B89" w:rsidP="00D86B89">
      <w:pPr>
        <w:pStyle w:val="EndNoteBibliography"/>
        <w:spacing w:after="0"/>
        <w:ind w:left="720" w:hanging="720"/>
      </w:pPr>
      <w:r w:rsidRPr="00D86B89">
        <w:t xml:space="preserve">Apt, N. A. (1993). Care of the elderly in Ghana: An emerging issue. </w:t>
      </w:r>
      <w:r w:rsidRPr="00D86B89">
        <w:rPr>
          <w:i/>
        </w:rPr>
        <w:t>Journal of Cross-cultural Gerontology, 8</w:t>
      </w:r>
      <w:r w:rsidRPr="00D86B89">
        <w:t xml:space="preserve">(4), 301-312. </w:t>
      </w:r>
    </w:p>
    <w:p w14:paraId="4D922EED" w14:textId="77777777" w:rsidR="00D86B89" w:rsidRPr="00D86B89" w:rsidRDefault="00D86B89" w:rsidP="00D86B89">
      <w:pPr>
        <w:pStyle w:val="EndNoteBibliography"/>
        <w:spacing w:after="0"/>
        <w:ind w:left="720" w:hanging="720"/>
      </w:pPr>
      <w:r w:rsidRPr="00D86B89">
        <w:t xml:space="preserve">Apt, N. A. (2008). Ageing Women in a Poor Economic Environment. In R. C. Schoenmaeckers &amp; L. Vanderleyden (Eds.), </w:t>
      </w:r>
      <w:r w:rsidRPr="00D86B89">
        <w:rPr>
          <w:i/>
        </w:rPr>
        <w:t>Population ageing: towards an improvement of the quality of life</w:t>
      </w:r>
      <w:r w:rsidRPr="00D86B89">
        <w:t xml:space="preserve"> (pp. 79-92). Brussels: Vlaamse Overhead.</w:t>
      </w:r>
    </w:p>
    <w:p w14:paraId="4F13EA65" w14:textId="77777777" w:rsidR="00D86B89" w:rsidRPr="00920AA1" w:rsidRDefault="00D86B89" w:rsidP="00D86B89">
      <w:pPr>
        <w:pStyle w:val="EndNoteBibliography"/>
        <w:spacing w:after="0"/>
        <w:ind w:left="720" w:hanging="720"/>
        <w:rPr>
          <w:lang w:val="pt-PT"/>
        </w:rPr>
      </w:pPr>
      <w:r w:rsidRPr="00D86B89">
        <w:t xml:space="preserve">Apt, N. A. (2012). Aging in Africa: Past experiences and strategic directions. </w:t>
      </w:r>
      <w:r w:rsidRPr="00920AA1">
        <w:rPr>
          <w:i/>
          <w:lang w:val="pt-PT"/>
        </w:rPr>
        <w:t>Ageing International, 37</w:t>
      </w:r>
      <w:r w:rsidRPr="00920AA1">
        <w:rPr>
          <w:lang w:val="pt-PT"/>
        </w:rPr>
        <w:t xml:space="preserve">(1), 93-103. </w:t>
      </w:r>
    </w:p>
    <w:p w14:paraId="7743DDEF" w14:textId="77777777" w:rsidR="00D86B89" w:rsidRPr="00D86B89" w:rsidRDefault="00D86B89" w:rsidP="00D86B89">
      <w:pPr>
        <w:pStyle w:val="EndNoteBibliography"/>
        <w:spacing w:after="0"/>
        <w:ind w:left="720" w:hanging="720"/>
      </w:pPr>
      <w:r w:rsidRPr="00920AA1">
        <w:rPr>
          <w:lang w:val="pt-PT"/>
        </w:rPr>
        <w:t xml:space="preserve">Araujo de Carvalho, I., Byles, J., Aquah, C., Amofah, G., Biritwum, R., Panisset, U., . . . </w:t>
      </w:r>
      <w:r w:rsidRPr="00D86B89">
        <w:t xml:space="preserve">Beard, J. (2015). Informing evidence-based policies for ageing and health in Ghana. </w:t>
      </w:r>
      <w:r w:rsidRPr="00D86B89">
        <w:rPr>
          <w:i/>
        </w:rPr>
        <w:t>Bulletin of the World Health Organization, 93</w:t>
      </w:r>
      <w:r w:rsidRPr="00D86B89">
        <w:t xml:space="preserve">(1), 47-51. </w:t>
      </w:r>
    </w:p>
    <w:p w14:paraId="3518A57E" w14:textId="77777777" w:rsidR="00D86B89" w:rsidRPr="00D86B89" w:rsidRDefault="00D86B89" w:rsidP="00D86B89">
      <w:pPr>
        <w:pStyle w:val="EndNoteBibliography"/>
        <w:spacing w:after="0"/>
        <w:ind w:left="720" w:hanging="720"/>
      </w:pPr>
      <w:r w:rsidRPr="00D86B89">
        <w:t xml:space="preserve">Archer, K. J., &amp; Lemeshow, S. (2006). Goodness-of-fit test for a logistic regression model fitted using survey sample data. </w:t>
      </w:r>
      <w:r w:rsidRPr="00D86B89">
        <w:rPr>
          <w:i/>
        </w:rPr>
        <w:t>The Stata Journal, 6</w:t>
      </w:r>
      <w:r w:rsidRPr="00D86B89">
        <w:t xml:space="preserve">(1), 97-105. </w:t>
      </w:r>
    </w:p>
    <w:p w14:paraId="4C1B80A1" w14:textId="77777777" w:rsidR="00D86B89" w:rsidRPr="00D86B89" w:rsidRDefault="00D86B89" w:rsidP="00D86B89">
      <w:pPr>
        <w:pStyle w:val="EndNoteBibliography"/>
        <w:spacing w:after="0"/>
        <w:ind w:left="720" w:hanging="720"/>
      </w:pPr>
      <w:r w:rsidRPr="00D86B89">
        <w:t xml:space="preserve">Arokiasamy, P., Uttamacharya, U., Jain, K., Biritwum, R. B., Yawson, A. E., Wu, F., . . . Rodríguez, A. S. (2015). The impact of multimorbidity on adult physical and mental health in low-and middle-income countries: what does the study on global ageing and adult health (SAGE) reveal? </w:t>
      </w:r>
      <w:r w:rsidRPr="00D86B89">
        <w:rPr>
          <w:i/>
        </w:rPr>
        <w:t>BMC Medicine, 13</w:t>
      </w:r>
      <w:r w:rsidRPr="00D86B89">
        <w:t>(1), 178. doi:10.1186/s12916-015-0402-8</w:t>
      </w:r>
    </w:p>
    <w:p w14:paraId="1D106986" w14:textId="77777777" w:rsidR="00D86B89" w:rsidRPr="00D86B89" w:rsidRDefault="00D86B89" w:rsidP="00D86B89">
      <w:pPr>
        <w:pStyle w:val="EndNoteBibliography"/>
        <w:spacing w:after="0"/>
        <w:ind w:left="720" w:hanging="720"/>
      </w:pPr>
      <w:r w:rsidRPr="00D86B89">
        <w:t xml:space="preserve">Aronow, W. S., Fleg, J. L., Pepine, C. J., Artinian, N. T., Bakris, G., Brown, A. S., . . . Wesley, D. J. (2011). ACCF/AHA 2011 expert consensus document on hypertension in the elderly: a report of the American College of Cardiology Foundation Task Force on Clinical Expert Consensus documents developed in collaboration with the American Academy of Neurology, American Geriatrics Society, American Society for Preventive Cardiology, American Society of Hypertension, American Society of Nephrology, Association of Black Cardiologists, and European Society of Hypertension. </w:t>
      </w:r>
      <w:r w:rsidRPr="00D86B89">
        <w:rPr>
          <w:i/>
        </w:rPr>
        <w:t>Journal of the American College of Cardiology, 57</w:t>
      </w:r>
      <w:r w:rsidRPr="00D86B89">
        <w:t>(20), 2037-2114. doi:10.1016/j.jacc.2011.01.008</w:t>
      </w:r>
    </w:p>
    <w:p w14:paraId="66954B9F" w14:textId="77777777" w:rsidR="00D86B89" w:rsidRPr="00D86B89" w:rsidRDefault="00D86B89" w:rsidP="00D86B89">
      <w:pPr>
        <w:pStyle w:val="EndNoteBibliography"/>
        <w:spacing w:after="0"/>
        <w:ind w:left="720" w:hanging="720"/>
      </w:pPr>
      <w:r w:rsidRPr="00D86B89">
        <w:t xml:space="preserve">Aryeetey, R., &amp; Ansong, J. (2011). Overweight and hypertension among college of health sciences employees in Ghana. </w:t>
      </w:r>
      <w:r w:rsidRPr="00D86B89">
        <w:rPr>
          <w:i/>
        </w:rPr>
        <w:t>African Journal of Food, Agriculture, Nutrition and Development, 11</w:t>
      </w:r>
      <w:r w:rsidRPr="00D86B89">
        <w:t xml:space="preserve">(6), 5444-5456. </w:t>
      </w:r>
    </w:p>
    <w:p w14:paraId="12A1BA77" w14:textId="77777777" w:rsidR="00D86B89" w:rsidRPr="00D86B89" w:rsidRDefault="00D86B89" w:rsidP="00D86B89">
      <w:pPr>
        <w:pStyle w:val="EndNoteBibliography"/>
        <w:spacing w:after="0"/>
        <w:ind w:left="720" w:hanging="720"/>
      </w:pPr>
      <w:r w:rsidRPr="00D86B89">
        <w:t xml:space="preserve">Ashwell, M., Gunn, P., &amp; Gibson, S. (2012). Waist-to-height ratio is a better screening tool than waist circumference and BMI for adult cardiometabolic risk factors: systematic review </w:t>
      </w:r>
      <w:r w:rsidRPr="00D86B89">
        <w:lastRenderedPageBreak/>
        <w:t xml:space="preserve">and meta-analysis. </w:t>
      </w:r>
      <w:r w:rsidRPr="00D86B89">
        <w:rPr>
          <w:i/>
        </w:rPr>
        <w:t>Obesity reviews : an official journal of the International Association for the Study of Obesity, 13</w:t>
      </w:r>
      <w:r w:rsidRPr="00D86B89">
        <w:t>(3), 275-286. doi:10.1111/j.1467-789X.2011.00952.x</w:t>
      </w:r>
    </w:p>
    <w:p w14:paraId="41C19A4F" w14:textId="77777777" w:rsidR="00D86B89" w:rsidRPr="00D86B89" w:rsidRDefault="00D86B89" w:rsidP="00D86B89">
      <w:pPr>
        <w:pStyle w:val="EndNoteBibliography"/>
        <w:spacing w:after="0"/>
        <w:ind w:left="720" w:hanging="720"/>
      </w:pPr>
      <w:r w:rsidRPr="00D86B89">
        <w:t xml:space="preserve">Ataklte, F., Erqou, S., Kaptoge, S., Taye, B., Echouffo-Tcheugui, J. B., &amp; Kengne, A. P. (2015). Burden of undiagnosed hypertension in Sub-Saharan Africa A systematic review and meta-analysis. </w:t>
      </w:r>
      <w:r w:rsidRPr="00D86B89">
        <w:rPr>
          <w:i/>
        </w:rPr>
        <w:t>Hypertension, 65</w:t>
      </w:r>
      <w:r w:rsidRPr="00D86B89">
        <w:t xml:space="preserve">(2), 291-298. </w:t>
      </w:r>
    </w:p>
    <w:p w14:paraId="0FCB5DE4" w14:textId="77777777" w:rsidR="00D86B89" w:rsidRPr="00D86B89" w:rsidRDefault="00D86B89" w:rsidP="00D86B89">
      <w:pPr>
        <w:pStyle w:val="EndNoteBibliography"/>
        <w:spacing w:after="0"/>
        <w:ind w:left="720" w:hanging="720"/>
      </w:pPr>
      <w:r w:rsidRPr="00D86B89">
        <w:t xml:space="preserve">Atchley, R. C. (1989). A Continuity Theory of Normal Aging. </w:t>
      </w:r>
      <w:r w:rsidRPr="00D86B89">
        <w:rPr>
          <w:i/>
        </w:rPr>
        <w:t>The Gerontologist, 29</w:t>
      </w:r>
      <w:r w:rsidRPr="00D86B89">
        <w:t>(2), 183-190. doi:10.1093/geront/29.2.183</w:t>
      </w:r>
    </w:p>
    <w:p w14:paraId="74CCCF69" w14:textId="77777777" w:rsidR="00D86B89" w:rsidRPr="00D86B89" w:rsidRDefault="00D86B89" w:rsidP="00D86B89">
      <w:pPr>
        <w:pStyle w:val="EndNoteBibliography"/>
        <w:spacing w:after="0"/>
        <w:ind w:left="720" w:hanging="720"/>
      </w:pPr>
      <w:r w:rsidRPr="00D86B89">
        <w:t>Avers, D., Brown, M., Chui, K. K., Wong, R. A., &amp; Lusardi, M. (2011). Use of the Term “Elderly”.</w:t>
      </w:r>
      <w:r w:rsidRPr="00D86B89">
        <w:rPr>
          <w:i/>
        </w:rPr>
        <w:t xml:space="preserve"> 34</w:t>
      </w:r>
      <w:r w:rsidRPr="00D86B89">
        <w:t>(4), 153-154. doi:10.1519/JPT.0b013e31823ab7ec</w:t>
      </w:r>
    </w:p>
    <w:p w14:paraId="10289CB5" w14:textId="77777777" w:rsidR="00D86B89" w:rsidRPr="00D86B89" w:rsidRDefault="00D86B89" w:rsidP="00D86B89">
      <w:pPr>
        <w:pStyle w:val="EndNoteBibliography"/>
        <w:spacing w:after="0"/>
        <w:ind w:left="720" w:hanging="720"/>
      </w:pPr>
      <w:r w:rsidRPr="00D86B89">
        <w:t xml:space="preserve">Ayernor, P. (2012). Diseases of ageing in Ghana. </w:t>
      </w:r>
      <w:r w:rsidRPr="00D86B89">
        <w:rPr>
          <w:i/>
        </w:rPr>
        <w:t>Ghana medical journal, 46</w:t>
      </w:r>
      <w:r w:rsidRPr="00D86B89">
        <w:t xml:space="preserve">(2), 18-22. </w:t>
      </w:r>
    </w:p>
    <w:p w14:paraId="54098383" w14:textId="77777777" w:rsidR="00D86B89" w:rsidRPr="00D86B89" w:rsidRDefault="00D86B89" w:rsidP="00D86B89">
      <w:pPr>
        <w:pStyle w:val="EndNoteBibliography"/>
        <w:spacing w:after="0"/>
        <w:ind w:left="720" w:hanging="720"/>
      </w:pPr>
      <w:r w:rsidRPr="00D86B89">
        <w:t xml:space="preserve">Ayernor, P. K. (2016). Health and Well-Being of Older Adults in Ghana: Social Support, Gender, and Ethnicity. </w:t>
      </w:r>
      <w:r w:rsidRPr="00D86B89">
        <w:rPr>
          <w:i/>
        </w:rPr>
        <w:t>Ghana Studies, 19</w:t>
      </w:r>
      <w:r w:rsidRPr="00D86B89">
        <w:t xml:space="preserve">(1), 95-129. </w:t>
      </w:r>
    </w:p>
    <w:p w14:paraId="6592C6D0" w14:textId="77777777" w:rsidR="00D86B89" w:rsidRPr="00D86B89" w:rsidRDefault="00D86B89" w:rsidP="00D86B89">
      <w:pPr>
        <w:pStyle w:val="EndNoteBibliography"/>
        <w:spacing w:after="0"/>
        <w:ind w:left="720" w:hanging="720"/>
      </w:pPr>
      <w:r w:rsidRPr="00D86B89">
        <w:t xml:space="preserve">Barnett, A. G., Koper, N., Dobson, A. J., Schmiegelow, F., &amp; Manseau, M. (2010). Using information criteria to select the correct variance–covariance structure for longitudinal data in ecology. </w:t>
      </w:r>
      <w:r w:rsidRPr="00D86B89">
        <w:rPr>
          <w:i/>
        </w:rPr>
        <w:t>Methods in Ecology and Evolution, 1</w:t>
      </w:r>
      <w:r w:rsidRPr="00D86B89">
        <w:t>(1), 15-24. doi:10.1111/j.2041-210X.2009.00009.x</w:t>
      </w:r>
    </w:p>
    <w:p w14:paraId="2E10C084" w14:textId="77777777" w:rsidR="00D86B89" w:rsidRPr="00D86B89" w:rsidRDefault="00D86B89" w:rsidP="00D86B89">
      <w:pPr>
        <w:pStyle w:val="EndNoteBibliography"/>
        <w:spacing w:after="0"/>
        <w:ind w:left="720" w:hanging="720"/>
      </w:pPr>
      <w:r w:rsidRPr="00D86B89">
        <w:t xml:space="preserve">Basu, S., &amp; Millett, C. (2013). Social epidemiology of hypertension in middle-income countries: determinants of prevalence, diagnosis, treatment, and control in the WHO SAGE study. </w:t>
      </w:r>
      <w:r w:rsidRPr="00D86B89">
        <w:rPr>
          <w:i/>
        </w:rPr>
        <w:t>Hypertension, 62</w:t>
      </w:r>
      <w:r w:rsidRPr="00D86B89">
        <w:t>(1), 18-26. doi:10.1161/hypertensionaha.113.01374</w:t>
      </w:r>
    </w:p>
    <w:p w14:paraId="6EA18F09" w14:textId="77777777" w:rsidR="00D86B89" w:rsidRPr="00D86B89" w:rsidRDefault="00D86B89" w:rsidP="00D86B89">
      <w:pPr>
        <w:pStyle w:val="EndNoteBibliography"/>
        <w:spacing w:after="0"/>
        <w:ind w:left="720" w:hanging="720"/>
      </w:pPr>
      <w:r w:rsidRPr="00D86B89">
        <w:t xml:space="preserve">Bauman, A., Merom, D., Bull, F. C., Buchner, D. M., &amp; Fiatarone Singh, M. A. (2016). Updating the Evidence for Physical Activity: Summative Reviews of the Epidemiological Evidence, Prevalence, and Interventions to Promote "Active Aging". </w:t>
      </w:r>
      <w:r w:rsidRPr="00D86B89">
        <w:rPr>
          <w:i/>
        </w:rPr>
        <w:t>The Gerontologist, 56 Suppl 2</w:t>
      </w:r>
      <w:r w:rsidRPr="00D86B89">
        <w:t>, S268-280. doi:10.1093/geront/gnw031</w:t>
      </w:r>
    </w:p>
    <w:p w14:paraId="47411D7B" w14:textId="77777777" w:rsidR="00D86B89" w:rsidRPr="00D86B89" w:rsidRDefault="00D86B89" w:rsidP="00D86B89">
      <w:pPr>
        <w:pStyle w:val="EndNoteBibliography"/>
        <w:spacing w:after="0"/>
        <w:ind w:left="720" w:hanging="720"/>
      </w:pPr>
      <w:r w:rsidRPr="00D86B89">
        <w:t xml:space="preserve">Bayuo, J. (2017). Experiences with out-patient hospital service utilisation among older persons in the Asante Akyem North District-Ghana. </w:t>
      </w:r>
      <w:r w:rsidRPr="00D86B89">
        <w:rPr>
          <w:i/>
        </w:rPr>
        <w:t>BMC Health Services Research, 17</w:t>
      </w:r>
      <w:r w:rsidRPr="00D86B89">
        <w:t>(1), 652. doi:10.1186/s12913-017-2604-6</w:t>
      </w:r>
    </w:p>
    <w:p w14:paraId="4160973B" w14:textId="77777777" w:rsidR="00D86B89" w:rsidRPr="00D86B89" w:rsidRDefault="00D86B89" w:rsidP="00D86B89">
      <w:pPr>
        <w:pStyle w:val="EndNoteBibliography"/>
        <w:spacing w:after="0"/>
        <w:ind w:left="720" w:hanging="720"/>
      </w:pPr>
      <w:r w:rsidRPr="00D86B89">
        <w:t xml:space="preserve">Beard, J. R., &amp; Bloom, D. E. (2015). Towards a comprehensive public health response to population ageing. </w:t>
      </w:r>
      <w:r w:rsidRPr="00D86B89">
        <w:rPr>
          <w:i/>
        </w:rPr>
        <w:t>The Lancet, 385</w:t>
      </w:r>
      <w:r w:rsidRPr="00D86B89">
        <w:t xml:space="preserve">(9968), 658-661. </w:t>
      </w:r>
    </w:p>
    <w:p w14:paraId="76870A06" w14:textId="149D9A46" w:rsidR="00D86B89" w:rsidRPr="00D86B89" w:rsidRDefault="00D86B89" w:rsidP="00D86B89">
      <w:pPr>
        <w:pStyle w:val="EndNoteBibliography"/>
        <w:spacing w:after="0"/>
        <w:ind w:left="720" w:hanging="720"/>
      </w:pPr>
      <w:r w:rsidRPr="00D86B89">
        <w:t xml:space="preserve">Biritwum, R. B., Mensah, G., Minicuci, N., Yawson, A. E., Naidoo, N., Chatterji, S., &amp; Kowal, P. (2013). Household characteristics for older adults and study background from SAGE Ghana Wave 1. </w:t>
      </w:r>
      <w:r w:rsidRPr="00D86B89">
        <w:rPr>
          <w:i/>
        </w:rPr>
        <w:t>Global Health Action, 6</w:t>
      </w:r>
      <w:r w:rsidRPr="00D86B89">
        <w:t xml:space="preserve">, 20096. doi:20096 - </w:t>
      </w:r>
      <w:hyperlink r:id="rId48" w:history="1">
        <w:r w:rsidRPr="00D86B89">
          <w:rPr>
            <w:rStyle w:val="Hyperlink"/>
          </w:rPr>
          <w:t>http://dx.doi.org/10.3402/gha.v6i0.20096</w:t>
        </w:r>
      </w:hyperlink>
    </w:p>
    <w:p w14:paraId="6BC0BD77" w14:textId="77777777" w:rsidR="00D86B89" w:rsidRPr="00D86B89" w:rsidRDefault="00D86B89" w:rsidP="00D86B89">
      <w:pPr>
        <w:pStyle w:val="EndNoteBibliography"/>
        <w:spacing w:after="0"/>
        <w:ind w:left="720" w:hanging="720"/>
      </w:pPr>
      <w:r w:rsidRPr="00D86B89">
        <w:t xml:space="preserve">Blankson, B., &amp; Hall, A. (2012). The anthropometric status of elderly women in rural Ghana and factors associated with low body mass index. </w:t>
      </w:r>
      <w:r w:rsidRPr="00D86B89">
        <w:rPr>
          <w:i/>
        </w:rPr>
        <w:t>The Journal of Nutrition, Health &amp; Aging, 16</w:t>
      </w:r>
      <w:r w:rsidRPr="00D86B89">
        <w:t xml:space="preserve">(10), 881-886. </w:t>
      </w:r>
    </w:p>
    <w:p w14:paraId="78A4F8C2" w14:textId="77777777" w:rsidR="00D86B89" w:rsidRPr="00D86B89" w:rsidRDefault="00D86B89" w:rsidP="00D86B89">
      <w:pPr>
        <w:pStyle w:val="EndNoteBibliography"/>
        <w:spacing w:after="0"/>
        <w:ind w:left="720" w:hanging="720"/>
      </w:pPr>
      <w:r w:rsidRPr="00D86B89">
        <w:t xml:space="preserve">Boateng, G. O., Adams, E. A., Odei Boateng, M., Luginaah, I. N., &amp; Taabazuing, M.-M. (2017). Obesity and the burden of health risks among the elderly in Ghana: A population study. </w:t>
      </w:r>
      <w:r w:rsidRPr="00D86B89">
        <w:rPr>
          <w:i/>
        </w:rPr>
        <w:t>PLoS One, 12</w:t>
      </w:r>
      <w:r w:rsidRPr="00D86B89">
        <w:t>(11), 1-25. doi:10.1371/journal.pone.0186947</w:t>
      </w:r>
    </w:p>
    <w:p w14:paraId="4EA4578D" w14:textId="77777777" w:rsidR="00D86B89" w:rsidRPr="00D86B89" w:rsidRDefault="00D86B89" w:rsidP="00D86B89">
      <w:pPr>
        <w:pStyle w:val="EndNoteBibliography"/>
        <w:spacing w:after="0"/>
        <w:ind w:left="720" w:hanging="720"/>
      </w:pPr>
      <w:r w:rsidRPr="00D86B89">
        <w:t xml:space="preserve">Borenstein, M., Hedges, L. V., Higgins, J. P. T., &amp; Rothstein, H. R. (2009). Publication Bias. In M. Borenstein, L. V. Hedges, J. P. T. Higgins, &amp; H. R. Rothstein (Eds.), </w:t>
      </w:r>
      <w:r w:rsidRPr="00D86B89">
        <w:rPr>
          <w:i/>
        </w:rPr>
        <w:t>Introduction to Meta‐Analysis</w:t>
      </w:r>
      <w:r w:rsidRPr="00D86B89">
        <w:t xml:space="preserve"> (10.1002/9780470743386.ch30pp. 277-292). Chichester, West Sussex, UK: John Wiley &amp; Sons, Ltd.</w:t>
      </w:r>
    </w:p>
    <w:p w14:paraId="4032DCDA" w14:textId="77777777" w:rsidR="00D86B89" w:rsidRPr="00D86B89" w:rsidRDefault="00D86B89" w:rsidP="00D86B89">
      <w:pPr>
        <w:pStyle w:val="EndNoteBibliography"/>
        <w:spacing w:after="0"/>
        <w:ind w:left="720" w:hanging="720"/>
      </w:pPr>
      <w:r w:rsidRPr="00D86B89">
        <w:t xml:space="preserve">Bosnes, I., Nordahl, H. M., Stordal, E., Bosnes, O., Myklebust, T. Å., &amp; Almkvist, O. (2019). Lifestyle predictors of successful aging: A 20-year prospective HUNT study. </w:t>
      </w:r>
      <w:r w:rsidRPr="00D86B89">
        <w:rPr>
          <w:i/>
        </w:rPr>
        <w:t>PLoS One, 14</w:t>
      </w:r>
      <w:r w:rsidRPr="00D86B89">
        <w:t>(7), e0219200. doi:10.1371/journal.pone.0219200</w:t>
      </w:r>
    </w:p>
    <w:p w14:paraId="2C7AC829" w14:textId="77777777" w:rsidR="00D86B89" w:rsidRPr="00D86B89" w:rsidRDefault="00D86B89" w:rsidP="00D86B89">
      <w:pPr>
        <w:pStyle w:val="EndNoteBibliography"/>
        <w:spacing w:after="0"/>
        <w:ind w:left="720" w:hanging="720"/>
      </w:pPr>
      <w:r w:rsidRPr="00D86B89">
        <w:t xml:space="preserve">Bosu, W. K. (2010). Epidemic of hypertension in Ghana: a systematic review. </w:t>
      </w:r>
      <w:r w:rsidRPr="00D86B89">
        <w:rPr>
          <w:i/>
        </w:rPr>
        <w:t>BMC Public Health., 10</w:t>
      </w:r>
      <w:r w:rsidRPr="00D86B89">
        <w:t>, 418. doi:10.1186/1471-2458-10-418</w:t>
      </w:r>
    </w:p>
    <w:p w14:paraId="0AE10258" w14:textId="77777777" w:rsidR="00D86B89" w:rsidRPr="00D86B89" w:rsidRDefault="00D86B89" w:rsidP="00D86B89">
      <w:pPr>
        <w:pStyle w:val="EndNoteBibliography"/>
        <w:spacing w:after="0"/>
        <w:ind w:left="720" w:hanging="720"/>
      </w:pPr>
      <w:r w:rsidRPr="00D86B89">
        <w:t xml:space="preserve">Bosu, W. K. (2015). An overview of the nutrition transition in West Africa: implications for non-communicable diseases. </w:t>
      </w:r>
      <w:r w:rsidRPr="00D86B89">
        <w:rPr>
          <w:i/>
        </w:rPr>
        <w:t>Proceedings of the Nutrition Society, 74</w:t>
      </w:r>
      <w:r w:rsidRPr="00D86B89">
        <w:t xml:space="preserve">(04), 466-477. </w:t>
      </w:r>
    </w:p>
    <w:p w14:paraId="70F3F13C" w14:textId="77777777" w:rsidR="00D86B89" w:rsidRPr="00D86B89" w:rsidRDefault="00D86B89" w:rsidP="00D86B89">
      <w:pPr>
        <w:pStyle w:val="EndNoteBibliography"/>
        <w:spacing w:after="0"/>
        <w:ind w:left="720" w:hanging="720"/>
      </w:pPr>
      <w:r w:rsidRPr="00D86B89">
        <w:lastRenderedPageBreak/>
        <w:t xml:space="preserve">Bosu, W. K. (2016). Determinants of Mean Blood Pressure and Hypertension among Workers in West Africa. </w:t>
      </w:r>
      <w:r w:rsidRPr="00D86B89">
        <w:rPr>
          <w:i/>
        </w:rPr>
        <w:t>International Journal of Hypertension, 2016</w:t>
      </w:r>
      <w:r w:rsidRPr="00D86B89">
        <w:t>, 3192149. doi:10.1155/2016/3192149</w:t>
      </w:r>
    </w:p>
    <w:p w14:paraId="002A8FCE" w14:textId="77777777" w:rsidR="00D86B89" w:rsidRPr="00D86B89" w:rsidRDefault="00D86B89" w:rsidP="00D86B89">
      <w:pPr>
        <w:pStyle w:val="EndNoteBibliography"/>
        <w:spacing w:after="0"/>
        <w:ind w:left="720" w:hanging="720"/>
      </w:pPr>
      <w:r w:rsidRPr="00D86B89">
        <w:t xml:space="preserve">Bosu, W. K., Aheto, J. M. K., Zucchelli, E., &amp; Reilly, S. (2017). Prevalence, awareness, and associated risk factors of hypertension in older adults in Africa: a systematic review and meta-analysis protocol.(Report). </w:t>
      </w:r>
      <w:r w:rsidRPr="00D86B89">
        <w:rPr>
          <w:i/>
        </w:rPr>
        <w:t>Systematic Reviews, 6</w:t>
      </w:r>
      <w:r w:rsidRPr="00D86B89">
        <w:t>(1). doi:10.1186/s13643-017-0585-5</w:t>
      </w:r>
    </w:p>
    <w:p w14:paraId="7AA20A57" w14:textId="77777777" w:rsidR="00D86B89" w:rsidRPr="00D86B89" w:rsidRDefault="00D86B89" w:rsidP="00D86B89">
      <w:pPr>
        <w:pStyle w:val="EndNoteBibliography"/>
        <w:spacing w:after="0"/>
        <w:ind w:left="720" w:hanging="720"/>
      </w:pPr>
      <w:r w:rsidRPr="00D86B89">
        <w:t xml:space="preserve">Bosu, W. K., Aheto, J. M. K., Zucchelli, E., &amp; Reilly, S. T. (2019a). Determinants of systemic hypertension in older adults in Africa: a systematic review. </w:t>
      </w:r>
      <w:r w:rsidRPr="00D86B89">
        <w:rPr>
          <w:i/>
        </w:rPr>
        <w:t>BMC Cardiovascular Disorders, 19</w:t>
      </w:r>
      <w:r w:rsidRPr="00D86B89">
        <w:t>(1), 173. doi:10.1186/s12872-019-1147-7</w:t>
      </w:r>
    </w:p>
    <w:p w14:paraId="40E0477F" w14:textId="77777777" w:rsidR="00D86B89" w:rsidRPr="00D86B89" w:rsidRDefault="00D86B89" w:rsidP="00D86B89">
      <w:pPr>
        <w:pStyle w:val="EndNoteBibliography"/>
        <w:spacing w:after="0"/>
        <w:ind w:left="720" w:hanging="720"/>
      </w:pPr>
      <w:r w:rsidRPr="00D86B89">
        <w:t xml:space="preserve">Bosu, W. K., Reilly, S. T., Aheto, J. M. K., &amp; Zucchelli, E. (2019b). Hypertension in older adults in Africa: A systematic review and meta-analysis. </w:t>
      </w:r>
      <w:r w:rsidRPr="00D86B89">
        <w:rPr>
          <w:i/>
        </w:rPr>
        <w:t>PLoS One, 14</w:t>
      </w:r>
      <w:r w:rsidRPr="00D86B89">
        <w:t>(4), e0214934. doi:10.1371/journal.pone.0214934</w:t>
      </w:r>
    </w:p>
    <w:p w14:paraId="396E2DF4" w14:textId="77777777" w:rsidR="00D86B89" w:rsidRPr="00D86B89" w:rsidRDefault="00D86B89" w:rsidP="00D86B89">
      <w:pPr>
        <w:pStyle w:val="EndNoteBibliography"/>
        <w:spacing w:after="0"/>
        <w:ind w:left="720" w:hanging="720"/>
      </w:pPr>
      <w:r w:rsidRPr="00D86B89">
        <w:t xml:space="preserve">Bouaziz, W., Vogel, T., Schmitt, E., Kaltenbach, G., Geny, B., &amp; Lang, P. O. (2017). Health benefits of aerobic training programs in adults aged 70 and over: a systematic review. </w:t>
      </w:r>
      <w:r w:rsidRPr="00D86B89">
        <w:rPr>
          <w:i/>
        </w:rPr>
        <w:t>Archives of Gerontology and Geriatrics, 69</w:t>
      </w:r>
      <w:r w:rsidRPr="00D86B89">
        <w:t xml:space="preserve">, 110-127. </w:t>
      </w:r>
    </w:p>
    <w:p w14:paraId="45D5644D" w14:textId="77777777" w:rsidR="00D86B89" w:rsidRPr="00D86B89" w:rsidRDefault="00D86B89" w:rsidP="00D86B89">
      <w:pPr>
        <w:pStyle w:val="EndNoteBibliography"/>
        <w:spacing w:after="0"/>
        <w:ind w:left="720" w:hanging="720"/>
      </w:pPr>
      <w:r w:rsidRPr="00D86B89">
        <w:t xml:space="preserve">Bovet, P., Gervasoni, J. P., Ross, A. G., Mkamba, M., Mtasiwa, D. M., Lengeler, C., . . . Paccaud, F. (2003). Assessing the prevalence of hypertension in populations: are we doing it right? </w:t>
      </w:r>
      <w:r w:rsidRPr="00D86B89">
        <w:rPr>
          <w:i/>
        </w:rPr>
        <w:t>Journal of Hypertension, 21</w:t>
      </w:r>
      <w:r w:rsidRPr="00D86B89">
        <w:t>. doi:10.1097/00004872-200303000-00016</w:t>
      </w:r>
    </w:p>
    <w:p w14:paraId="0B1F8F00" w14:textId="77777777" w:rsidR="00D86B89" w:rsidRPr="00D86B89" w:rsidRDefault="00D86B89" w:rsidP="00D86B89">
      <w:pPr>
        <w:pStyle w:val="EndNoteBibliography"/>
        <w:spacing w:after="0"/>
        <w:ind w:left="720" w:hanging="720"/>
      </w:pPr>
      <w:r w:rsidRPr="00D86B89">
        <w:t xml:space="preserve">Bowling, A. (1993). The concepts of successful and positive ageing. </w:t>
      </w:r>
      <w:r w:rsidRPr="00D86B89">
        <w:rPr>
          <w:i/>
        </w:rPr>
        <w:t>Family practice, 10</w:t>
      </w:r>
      <w:r w:rsidRPr="00D86B89">
        <w:t>(4), 449. doi:10.1093/fampra/10.4.449</w:t>
      </w:r>
    </w:p>
    <w:p w14:paraId="36CFFE91" w14:textId="77777777" w:rsidR="00D86B89" w:rsidRPr="00D86B89" w:rsidRDefault="00D86B89" w:rsidP="00D86B89">
      <w:pPr>
        <w:pStyle w:val="EndNoteBibliography"/>
        <w:spacing w:after="0"/>
        <w:ind w:left="720" w:hanging="720"/>
      </w:pPr>
      <w:r w:rsidRPr="00D86B89">
        <w:t xml:space="preserve">Bryk, A. S., &amp; Raudenbush, S. W. (1987). Application of hierarchical linear models to assessing change. </w:t>
      </w:r>
      <w:r w:rsidRPr="00D86B89">
        <w:rPr>
          <w:i/>
        </w:rPr>
        <w:t>Psychological Bulletin, 101</w:t>
      </w:r>
      <w:r w:rsidRPr="00D86B89">
        <w:t xml:space="preserve">(1), 147-158. </w:t>
      </w:r>
    </w:p>
    <w:p w14:paraId="728A8F00" w14:textId="77777777" w:rsidR="00D86B89" w:rsidRPr="00D86B89" w:rsidRDefault="00D86B89" w:rsidP="00D86B89">
      <w:pPr>
        <w:pStyle w:val="EndNoteBibliography"/>
        <w:spacing w:after="0"/>
        <w:ind w:left="720" w:hanging="720"/>
      </w:pPr>
      <w:r w:rsidRPr="00D86B89">
        <w:t xml:space="preserve">Bull, F. C., Maslin, T. S., &amp; Armstrong, T. (2009). Global physical activity questionnaire (GPAQ): nine country reliability and validity study. </w:t>
      </w:r>
      <w:r w:rsidRPr="00D86B89">
        <w:rPr>
          <w:i/>
        </w:rPr>
        <w:t>Journal of Physical Activity &amp; Health, 6</w:t>
      </w:r>
      <w:r w:rsidRPr="00D86B89">
        <w:t xml:space="preserve">(6), 790-804. </w:t>
      </w:r>
    </w:p>
    <w:p w14:paraId="459001A4" w14:textId="77777777" w:rsidR="00D86B89" w:rsidRPr="00D86B89" w:rsidRDefault="00D86B89" w:rsidP="00D86B89">
      <w:pPr>
        <w:pStyle w:val="EndNoteBibliography"/>
        <w:spacing w:after="0"/>
        <w:ind w:left="720" w:hanging="720"/>
      </w:pPr>
      <w:r w:rsidRPr="00D86B89">
        <w:t xml:space="preserve">Bunker, C. H., Ukoli, F. A., Okoro, F. I., Olomu, A. B., Kriska, A. M., Huston, S. L., . . . Kuller, L. H. (1996). Correlates of serum lipids in a lean black population. </w:t>
      </w:r>
      <w:r w:rsidRPr="00D86B89">
        <w:rPr>
          <w:i/>
        </w:rPr>
        <w:t>Atherosclerosis, 123</w:t>
      </w:r>
      <w:r w:rsidRPr="00D86B89">
        <w:t xml:space="preserve">(1), 215-225. </w:t>
      </w:r>
    </w:p>
    <w:p w14:paraId="7059EABE" w14:textId="77777777" w:rsidR="00D86B89" w:rsidRPr="00D86B89" w:rsidRDefault="00D86B89" w:rsidP="00D86B89">
      <w:pPr>
        <w:pStyle w:val="EndNoteBibliography"/>
        <w:spacing w:after="0"/>
        <w:ind w:left="720" w:hanging="720"/>
      </w:pPr>
      <w:r w:rsidRPr="00D86B89">
        <w:t xml:space="preserve">Butler, J., Fujii, M., &amp; Sasaki, H. (2011). Balanced aging, or successful aging? </w:t>
      </w:r>
      <w:r w:rsidRPr="00D86B89">
        <w:rPr>
          <w:i/>
        </w:rPr>
        <w:t>Geriatrics and Gerontology International, 11</w:t>
      </w:r>
      <w:r w:rsidRPr="00D86B89">
        <w:t xml:space="preserve">(1), 1-2. </w:t>
      </w:r>
    </w:p>
    <w:p w14:paraId="20C0168A" w14:textId="77777777" w:rsidR="00D86B89" w:rsidRPr="00D86B89" w:rsidRDefault="00D86B89" w:rsidP="00D86B89">
      <w:pPr>
        <w:pStyle w:val="EndNoteBibliography"/>
        <w:spacing w:after="0"/>
        <w:ind w:left="720" w:hanging="720"/>
      </w:pPr>
      <w:r w:rsidRPr="00D86B89">
        <w:t xml:space="preserve">Calasanti, T. (2015). Combating Ageism: How Successful Is Successful Aging? </w:t>
      </w:r>
      <w:r w:rsidRPr="00D86B89">
        <w:rPr>
          <w:i/>
        </w:rPr>
        <w:t>The Gerontologist, 56</w:t>
      </w:r>
      <w:r w:rsidRPr="00D86B89">
        <w:t>(6), 1093-1101. doi:10.1093/geront/gnv076</w:t>
      </w:r>
    </w:p>
    <w:p w14:paraId="56B16195" w14:textId="77777777" w:rsidR="00D86B89" w:rsidRPr="00D86B89" w:rsidRDefault="00D86B89" w:rsidP="00D86B89">
      <w:pPr>
        <w:pStyle w:val="EndNoteBibliography"/>
        <w:spacing w:after="0"/>
        <w:ind w:left="720" w:hanging="720"/>
      </w:pPr>
      <w:r w:rsidRPr="00D86B89">
        <w:t xml:space="preserve">Callender, T., Woodward, M., Roth, G., Farzadfar, F., Lemarie, J. C., Gicquel, S., . . . Rahimi, K. (2014). Heart failure care in low- and middle-income countries: a systematic review and meta-analysis. </w:t>
      </w:r>
      <w:r w:rsidRPr="00D86B89">
        <w:rPr>
          <w:i/>
        </w:rPr>
        <w:t>PLoS Medicine, 11</w:t>
      </w:r>
      <w:r w:rsidRPr="00D86B89">
        <w:t>(8), e1001699. doi:10.1371/journal.pmed.1001699</w:t>
      </w:r>
    </w:p>
    <w:p w14:paraId="6181B0B9" w14:textId="77777777" w:rsidR="00D86B89" w:rsidRPr="00920AA1" w:rsidRDefault="00D86B89" w:rsidP="00D86B89">
      <w:pPr>
        <w:pStyle w:val="EndNoteBibliography"/>
        <w:spacing w:after="0"/>
        <w:ind w:left="720" w:hanging="720"/>
        <w:rPr>
          <w:lang w:val="fr-FR"/>
        </w:rPr>
      </w:pPr>
      <w:r w:rsidRPr="00D86B89">
        <w:t xml:space="preserve">Cappuccio, F. P., Micah, F. B., Emmett, L., Kerry, S. M., Antwi, S., Martin-Peprah, R., . . . Eastwood, J. B. (2004). Prevalence, detection, management, and control of hypertension in Ashanti, West Africa. </w:t>
      </w:r>
      <w:r w:rsidRPr="00920AA1">
        <w:rPr>
          <w:i/>
          <w:lang w:val="fr-FR"/>
        </w:rPr>
        <w:t>Hypertension, 43</w:t>
      </w:r>
      <w:r w:rsidRPr="00920AA1">
        <w:rPr>
          <w:lang w:val="fr-FR"/>
        </w:rPr>
        <w:t xml:space="preserve">(5), 1017-1022. </w:t>
      </w:r>
    </w:p>
    <w:p w14:paraId="2012EA7C" w14:textId="6E549FAF" w:rsidR="00D86B89" w:rsidRPr="00920AA1" w:rsidRDefault="00D86B89" w:rsidP="00D86B89">
      <w:pPr>
        <w:pStyle w:val="EndNoteBibliography"/>
        <w:spacing w:after="0"/>
        <w:ind w:left="720" w:hanging="720"/>
        <w:rPr>
          <w:lang w:val="fr-FR"/>
        </w:rPr>
      </w:pPr>
      <w:r w:rsidRPr="0097430A">
        <w:rPr>
          <w:lang w:val="fr-FR"/>
        </w:rPr>
        <w:t xml:space="preserve">Chami, M. A., Zemmour, L., Midoun, N., &amp; Belhadj, M. (2015). </w:t>
      </w:r>
      <w:r w:rsidRPr="00D86B89">
        <w:t xml:space="preserve">Diabetes mellitus in the elderly: The first Algerian survey. </w:t>
      </w:r>
      <w:r w:rsidRPr="00920AA1">
        <w:rPr>
          <w:i/>
          <w:lang w:val="fr-FR"/>
        </w:rPr>
        <w:t>Medecine des Maladies Metaboliques, 9</w:t>
      </w:r>
      <w:r w:rsidRPr="00920AA1">
        <w:rPr>
          <w:lang w:val="fr-FR"/>
        </w:rPr>
        <w:t>(2), 210-215. doi:</w:t>
      </w:r>
      <w:hyperlink r:id="rId49" w:history="1">
        <w:r w:rsidRPr="00920AA1">
          <w:rPr>
            <w:rStyle w:val="Hyperlink"/>
            <w:lang w:val="fr-FR"/>
          </w:rPr>
          <w:t>http://dx.doi.org/10.1016/S1957-2557%2815%2930046-8</w:t>
        </w:r>
      </w:hyperlink>
    </w:p>
    <w:p w14:paraId="4E22E7E5" w14:textId="77777777" w:rsidR="00D86B89" w:rsidRPr="00D86B89" w:rsidRDefault="00D86B89" w:rsidP="00D86B89">
      <w:pPr>
        <w:pStyle w:val="EndNoteBibliography"/>
        <w:spacing w:after="0"/>
        <w:ind w:left="720" w:hanging="720"/>
      </w:pPr>
      <w:r w:rsidRPr="00920AA1">
        <w:rPr>
          <w:lang w:val="fr-FR"/>
        </w:rPr>
        <w:t xml:space="preserve">Cheung, A. K. L. (2014). Probability Proportional Sampling. </w:t>
      </w:r>
      <w:r w:rsidRPr="00D86B89">
        <w:t xml:space="preserve">In A. C. Michalos (Ed.), </w:t>
      </w:r>
      <w:r w:rsidRPr="00D86B89">
        <w:rPr>
          <w:i/>
        </w:rPr>
        <w:t>Encyclopedia of Quality of Life and Well-Being Research</w:t>
      </w:r>
      <w:r w:rsidRPr="00D86B89">
        <w:t xml:space="preserve"> (10.1007/978-94-007-0753-5_2269pp. 5069-5071). Dordrecht: Springer Netherlands.</w:t>
      </w:r>
    </w:p>
    <w:p w14:paraId="4E03A288" w14:textId="77777777" w:rsidR="00D86B89" w:rsidRPr="00D86B89" w:rsidRDefault="00D86B89" w:rsidP="00D86B89">
      <w:pPr>
        <w:pStyle w:val="EndNoteBibliography"/>
        <w:spacing w:after="0"/>
        <w:ind w:left="720" w:hanging="720"/>
      </w:pPr>
      <w:r w:rsidRPr="00D86B89">
        <w:t xml:space="preserve">Chobanian, A. V., Bakris, G. L., Black, H. R., Cushman, W. C., Green, L. A., Izzo, J. J. L., . . . and the National High Blood Pressure Education Program Coordinating, C. (2003a). The Seventh Report of the Joint National Committee on Prevention, Detection, Evaluation, and Treatment of High Blood Pressure: The JNC 7 Report. </w:t>
      </w:r>
      <w:r w:rsidRPr="00D86B89">
        <w:rPr>
          <w:i/>
        </w:rPr>
        <w:t>JAMA, 289</w:t>
      </w:r>
      <w:r w:rsidRPr="00D86B89">
        <w:t>(19), 2560-2571. doi:10.1001/jama.289.19.2560</w:t>
      </w:r>
    </w:p>
    <w:p w14:paraId="325A6390" w14:textId="77777777" w:rsidR="00D86B89" w:rsidRPr="00D86B89" w:rsidRDefault="00D86B89" w:rsidP="00D86B89">
      <w:pPr>
        <w:pStyle w:val="EndNoteBibliography"/>
        <w:spacing w:after="0"/>
        <w:ind w:left="720" w:hanging="720"/>
      </w:pPr>
      <w:r w:rsidRPr="00D86B89">
        <w:lastRenderedPageBreak/>
        <w:t xml:space="preserve">Chobanian, A. V., Bakris, G. L., Black, H. R., Cushman, W. C., Green, L. A., Izzo Jr, J. L., . . . Wright Jr, J. T. (2003b). The seventh report of the joint national committee on prevention, detection, evaluation, and treatment of high blood pressure: the JNC 7 report. </w:t>
      </w:r>
      <w:r w:rsidRPr="00D86B89">
        <w:rPr>
          <w:i/>
        </w:rPr>
        <w:t>Journal of the American Medical Association, 289</w:t>
      </w:r>
      <w:r w:rsidRPr="00D86B89">
        <w:t xml:space="preserve">(19), 2560-2571. </w:t>
      </w:r>
    </w:p>
    <w:p w14:paraId="6B331887" w14:textId="77777777" w:rsidR="00D86B89" w:rsidRPr="00D86B89" w:rsidRDefault="00D86B89" w:rsidP="00D86B89">
      <w:pPr>
        <w:pStyle w:val="EndNoteBibliography"/>
        <w:spacing w:after="0"/>
        <w:ind w:left="720" w:hanging="720"/>
      </w:pPr>
      <w:r w:rsidRPr="00D86B89">
        <w:t xml:space="preserve">Cochran, W. G. (1954). The combination of estimates from different experiments. </w:t>
      </w:r>
      <w:r w:rsidRPr="00D86B89">
        <w:rPr>
          <w:i/>
        </w:rPr>
        <w:t>Biometrics, 10</w:t>
      </w:r>
      <w:r w:rsidRPr="00D86B89">
        <w:t xml:space="preserve">(1), 101-129. </w:t>
      </w:r>
    </w:p>
    <w:p w14:paraId="2C373DE2" w14:textId="77777777" w:rsidR="00D86B89" w:rsidRPr="00D86B89" w:rsidRDefault="00D86B89" w:rsidP="00D86B89">
      <w:pPr>
        <w:pStyle w:val="EndNoteBibliography"/>
        <w:spacing w:after="0"/>
        <w:ind w:left="720" w:hanging="720"/>
      </w:pPr>
      <w:r w:rsidRPr="00D86B89">
        <w:t xml:space="preserve">Commission on Social Determinants of Health. (2008). </w:t>
      </w:r>
      <w:r w:rsidRPr="00D86B89">
        <w:rPr>
          <w:i/>
        </w:rPr>
        <w:t>Closing the gap in a generation: Health equity through action on the social determinants of health</w:t>
      </w:r>
      <w:r w:rsidRPr="00D86B89">
        <w:t>. Geneva: WHO.</w:t>
      </w:r>
    </w:p>
    <w:p w14:paraId="3611AD43" w14:textId="77777777" w:rsidR="00D86B89" w:rsidRPr="00D86B89" w:rsidRDefault="00D86B89" w:rsidP="00D86B89">
      <w:pPr>
        <w:pStyle w:val="EndNoteBibliography"/>
        <w:spacing w:after="0"/>
        <w:ind w:left="720" w:hanging="720"/>
      </w:pPr>
      <w:r w:rsidRPr="00D86B89">
        <w:t xml:space="preserve">Cosco, T. D., Prina, A. M., Perales, J., Stephan, B. C. M., &amp; Brayne, C. (2014). Operational definitions of successful aging: a systematic review. </w:t>
      </w:r>
      <w:r w:rsidRPr="00D86B89">
        <w:rPr>
          <w:i/>
        </w:rPr>
        <w:t>International Psychogeriatrics, 26</w:t>
      </w:r>
      <w:r w:rsidRPr="00D86B89">
        <w:t>(3), 373-381. doi:10.1017/S1041610213002287</w:t>
      </w:r>
    </w:p>
    <w:p w14:paraId="507CEDA5" w14:textId="24BD6AC8" w:rsidR="00D86B89" w:rsidRPr="00D86B89" w:rsidRDefault="00D86B89" w:rsidP="00D86B89">
      <w:pPr>
        <w:pStyle w:val="EndNoteBibliography"/>
        <w:spacing w:after="0"/>
        <w:ind w:left="720" w:hanging="720"/>
      </w:pPr>
      <w:r w:rsidRPr="00D86B89">
        <w:t xml:space="preserve">Crawford, L. M. (2020). Conceptual and theoretical frameworks in research. In G. J. Burkholder, K. A. Cox, L. M. Crawford, &amp; J. H. Hitchcock (Eds.), </w:t>
      </w:r>
      <w:r w:rsidRPr="00D86B89">
        <w:rPr>
          <w:i/>
        </w:rPr>
        <w:t>Research Design and Methods: An Applied Guide for the Scholar-Practitioner</w:t>
      </w:r>
      <w:r w:rsidRPr="00D86B89">
        <w:t xml:space="preserve"> (Retrieved from </w:t>
      </w:r>
      <w:hyperlink r:id="rId50" w:history="1">
        <w:r w:rsidRPr="00D86B89">
          <w:rPr>
            <w:rStyle w:val="Hyperlink"/>
          </w:rPr>
          <w:t>https://us.sagepub.com/sites/default/files/upm-assets/105274_book_item_105274.pdfpp</w:t>
        </w:r>
      </w:hyperlink>
      <w:r w:rsidRPr="00D86B89">
        <w:t>. 35-48). Thousand Oaks, California, USA: SAGE Publications, Incorporated.</w:t>
      </w:r>
    </w:p>
    <w:p w14:paraId="4D6732AC" w14:textId="77777777" w:rsidR="00D86B89" w:rsidRPr="00D86B89" w:rsidRDefault="00D86B89" w:rsidP="00D86B89">
      <w:pPr>
        <w:pStyle w:val="EndNoteBibliography"/>
        <w:spacing w:after="0"/>
        <w:ind w:left="720" w:hanging="720"/>
      </w:pPr>
      <w:r w:rsidRPr="00D86B89">
        <w:t xml:space="preserve">Cumming, E., &amp; Henry, W. E. (1961). </w:t>
      </w:r>
      <w:r w:rsidRPr="00D86B89">
        <w:rPr>
          <w:i/>
        </w:rPr>
        <w:t>Growing old, the process of disengagement</w:t>
      </w:r>
      <w:r w:rsidRPr="00D86B89">
        <w:t>: Basic Books.</w:t>
      </w:r>
    </w:p>
    <w:p w14:paraId="4CAAB611" w14:textId="77777777" w:rsidR="00D86B89" w:rsidRPr="00920AA1" w:rsidRDefault="00D86B89" w:rsidP="00D86B89">
      <w:pPr>
        <w:pStyle w:val="EndNoteBibliography"/>
        <w:spacing w:after="0"/>
        <w:ind w:left="720" w:hanging="720"/>
        <w:rPr>
          <w:lang w:val="pt-PT"/>
        </w:rPr>
      </w:pPr>
      <w:r w:rsidRPr="00D86B89">
        <w:t xml:space="preserve">Dakum, P., Kayode, G. A., Abimiku, A. l., Avong, Y. K., Okuma, J., Onyemata, E., . . . Uthman, O. (2019). Prevalence of hypertension among patients aged 50 and older living with human immunodeficiency virus. </w:t>
      </w:r>
      <w:r w:rsidRPr="00920AA1">
        <w:rPr>
          <w:i/>
          <w:lang w:val="pt-PT"/>
        </w:rPr>
        <w:t>Medicine (Baltimore), 98</w:t>
      </w:r>
      <w:r w:rsidRPr="00920AA1">
        <w:rPr>
          <w:lang w:val="pt-PT"/>
        </w:rPr>
        <w:t>(15), e15024. doi:10.1097/md.0000000000015024</w:t>
      </w:r>
    </w:p>
    <w:p w14:paraId="03BE2805" w14:textId="77777777" w:rsidR="00D86B89" w:rsidRPr="00D86B89" w:rsidRDefault="00D86B89" w:rsidP="00D86B89">
      <w:pPr>
        <w:pStyle w:val="EndNoteBibliography"/>
        <w:spacing w:after="0"/>
        <w:ind w:left="720" w:hanging="720"/>
      </w:pPr>
      <w:r w:rsidRPr="00920AA1">
        <w:rPr>
          <w:lang w:val="pt-PT"/>
        </w:rPr>
        <w:t xml:space="preserve">Darko, R., Adanu, R., Duda, R., Douptcheva, N., &amp; Hill, A. (2012). </w:t>
      </w:r>
      <w:r w:rsidRPr="00D86B89">
        <w:t xml:space="preserve">The health of adult women in Accra, Ghana: Self-reporting and objective assessments 2008-2009. </w:t>
      </w:r>
      <w:r w:rsidRPr="00D86B89">
        <w:rPr>
          <w:i/>
        </w:rPr>
        <w:t>Ghana Med J. , 46</w:t>
      </w:r>
      <w:r w:rsidRPr="00D86B89">
        <w:t xml:space="preserve">(2), 50-57. </w:t>
      </w:r>
    </w:p>
    <w:p w14:paraId="52CC1CB5" w14:textId="77777777" w:rsidR="00D86B89" w:rsidRPr="00D86B89" w:rsidRDefault="00D86B89" w:rsidP="00D86B89">
      <w:pPr>
        <w:pStyle w:val="EndNoteBibliography"/>
        <w:spacing w:after="0"/>
        <w:ind w:left="720" w:hanging="720"/>
      </w:pPr>
      <w:r w:rsidRPr="00D86B89">
        <w:t xml:space="preserve">Debpuur, C., Welaga, P., Wak, G., &amp; Hodgson, A. (2010). Self-reported health and functional limitations among older people in the Kassena-Nankana District, Ghana. </w:t>
      </w:r>
      <w:r w:rsidRPr="00D86B89">
        <w:rPr>
          <w:i/>
        </w:rPr>
        <w:t>Global Health Action, 3</w:t>
      </w:r>
      <w:r w:rsidRPr="00D86B89">
        <w:t xml:space="preserve">(Suppl 2), 54-63. </w:t>
      </w:r>
    </w:p>
    <w:p w14:paraId="7F9B3DBB" w14:textId="77777777" w:rsidR="00D86B89" w:rsidRPr="00D86B89" w:rsidRDefault="00D86B89" w:rsidP="00D86B89">
      <w:pPr>
        <w:pStyle w:val="EndNoteBibliography"/>
        <w:spacing w:after="0"/>
        <w:ind w:left="720" w:hanging="720"/>
      </w:pPr>
      <w:r w:rsidRPr="00D86B89">
        <w:t xml:space="preserve">Debrah, E. (2013). Alleviating poverty in Ghana: the case of livelihood empowerment against poverty (LEAP). </w:t>
      </w:r>
      <w:r w:rsidRPr="00D86B89">
        <w:rPr>
          <w:i/>
        </w:rPr>
        <w:t>Africa Today, 59</w:t>
      </w:r>
      <w:r w:rsidRPr="00D86B89">
        <w:t xml:space="preserve">(4), 41-67. </w:t>
      </w:r>
    </w:p>
    <w:p w14:paraId="22FB1C5A" w14:textId="77777777" w:rsidR="00D86B89" w:rsidRPr="00D86B89" w:rsidRDefault="00D86B89" w:rsidP="00D86B89">
      <w:pPr>
        <w:pStyle w:val="EndNoteBibliography"/>
        <w:spacing w:after="0"/>
        <w:ind w:left="720" w:hanging="720"/>
      </w:pPr>
      <w:r w:rsidRPr="00D86B89">
        <w:t xml:space="preserve">Depp, C. A., &amp; Jeste, D. V. (2006). Definitions and predictors of successful aging: a comprehensive review of larger quantitative studies. </w:t>
      </w:r>
      <w:r w:rsidRPr="00D86B89">
        <w:rPr>
          <w:i/>
        </w:rPr>
        <w:t>The American Journal of Geriatric Psychiatry, 14</w:t>
      </w:r>
      <w:r w:rsidRPr="00D86B89">
        <w:t xml:space="preserve">(1), 6-20. </w:t>
      </w:r>
    </w:p>
    <w:p w14:paraId="12B2CA4A" w14:textId="77777777" w:rsidR="00D86B89" w:rsidRPr="00D86B89" w:rsidRDefault="00D86B89" w:rsidP="00D86B89">
      <w:pPr>
        <w:pStyle w:val="EndNoteBibliography"/>
        <w:spacing w:after="0"/>
        <w:ind w:left="720" w:hanging="720"/>
      </w:pPr>
      <w:r w:rsidRPr="00D86B89">
        <w:t xml:space="preserve">Dewhurst, M. J., Dewhurst, F., Gray, W. K., Chaote, P., Orega, G. P., &amp; Walker, R. W. (2013). The high prevalence of hypertension in rural-dwelling Tanzanian older adults and the disparity between detection, treatment and control: a rule of sixths? </w:t>
      </w:r>
      <w:r w:rsidRPr="00D86B89">
        <w:rPr>
          <w:i/>
        </w:rPr>
        <w:t>Journal of Human Hypertension, 27</w:t>
      </w:r>
      <w:r w:rsidRPr="00D86B89">
        <w:t>(6), 374-380. doi:10.1038/jhh.2012.59</w:t>
      </w:r>
    </w:p>
    <w:p w14:paraId="15105685" w14:textId="77777777" w:rsidR="00D86B89" w:rsidRPr="00D86B89" w:rsidRDefault="00D86B89" w:rsidP="00D86B89">
      <w:pPr>
        <w:pStyle w:val="EndNoteBibliography"/>
        <w:spacing w:after="0"/>
        <w:ind w:left="720" w:hanging="720"/>
      </w:pPr>
      <w:r w:rsidRPr="00D86B89">
        <w:t xml:space="preserve">Dillaway, H. E., &amp; Byrnes, M. (2009). Reconsidering Successful Aging: A Call for Renewed and Expanded Academic Critiques and Conceptualizations. </w:t>
      </w:r>
      <w:r w:rsidRPr="00D86B89">
        <w:rPr>
          <w:i/>
        </w:rPr>
        <w:t>Journal of Applied Gerontology, 28</w:t>
      </w:r>
      <w:r w:rsidRPr="00D86B89">
        <w:t>(6), 702-722. doi:10.1177/0733464809333882</w:t>
      </w:r>
    </w:p>
    <w:p w14:paraId="34CA931F" w14:textId="58359564" w:rsidR="00D86B89" w:rsidRPr="00D86B89" w:rsidRDefault="00D86B89" w:rsidP="00D86B89">
      <w:pPr>
        <w:pStyle w:val="EndNoteBibliography"/>
        <w:spacing w:after="0"/>
        <w:ind w:left="720" w:hanging="720"/>
      </w:pPr>
      <w:r w:rsidRPr="00D86B89">
        <w:t xml:space="preserve">Doh, D. (2017). </w:t>
      </w:r>
      <w:r w:rsidRPr="00D86B89">
        <w:rPr>
          <w:i/>
        </w:rPr>
        <w:t>Towards active ageing: A comparative study ofexperiences of older Ghanaians in Australia and Ghana.</w:t>
      </w:r>
      <w:r w:rsidRPr="00D86B89">
        <w:t xml:space="preserve"> (PhD). Edith Cowan University, Joondalup, WA, Australia. Retrieved from </w:t>
      </w:r>
      <w:hyperlink r:id="rId51" w:history="1">
        <w:r w:rsidRPr="00D86B89">
          <w:rPr>
            <w:rStyle w:val="Hyperlink"/>
          </w:rPr>
          <w:t>https://ro.ecu.edu.au/cgi/viewcontent.cgi?referer=https://scholar.google.com/&amp;httpsredir=1&amp;article=3012&amp;context=theses</w:t>
        </w:r>
      </w:hyperlink>
      <w:r w:rsidRPr="00D86B89">
        <w:t xml:space="preserve"> </w:t>
      </w:r>
    </w:p>
    <w:p w14:paraId="419B808B" w14:textId="77777777" w:rsidR="00D86B89" w:rsidRPr="00920AA1" w:rsidRDefault="00D86B89" w:rsidP="00D86B89">
      <w:pPr>
        <w:pStyle w:val="EndNoteBibliography"/>
        <w:spacing w:after="0"/>
        <w:ind w:left="720" w:hanging="720"/>
        <w:rPr>
          <w:lang w:val="fr-FR"/>
        </w:rPr>
      </w:pPr>
      <w:r w:rsidRPr="00D86B89">
        <w:t xml:space="preserve">Dosoo, D. K., Nyame, S., Enuameh, Y., Ayetey, H., Danwonno, H., Twumasi, M., . . . Asante, K. P. (2019). Prevalence of Hypertension in the Middle Belt of Ghana: A Community-Based Screening Study. </w:t>
      </w:r>
      <w:r w:rsidRPr="00920AA1">
        <w:rPr>
          <w:i/>
          <w:lang w:val="fr-FR"/>
        </w:rPr>
        <w:t>International Journal of Hypertension, 2019</w:t>
      </w:r>
      <w:r w:rsidRPr="00920AA1">
        <w:rPr>
          <w:lang w:val="fr-FR"/>
        </w:rPr>
        <w:t>, 1089578-1089578. doi:10.1155/2019/1089578</w:t>
      </w:r>
    </w:p>
    <w:p w14:paraId="16C6AD25" w14:textId="77777777" w:rsidR="00D86B89" w:rsidRPr="00920AA1" w:rsidRDefault="00D86B89" w:rsidP="00D86B89">
      <w:pPr>
        <w:pStyle w:val="EndNoteBibliography"/>
        <w:spacing w:after="0"/>
        <w:ind w:left="720" w:hanging="720"/>
        <w:rPr>
          <w:lang w:val="fr-FR"/>
        </w:rPr>
      </w:pPr>
      <w:r w:rsidRPr="00920AA1">
        <w:rPr>
          <w:lang w:val="fr-FR"/>
        </w:rPr>
        <w:t xml:space="preserve">Duboz, P., Touré, M., Hane, F., Macia, E., Coume, M., Bâ, A., . . . Chapuis-Lucciani, N. (2015). Vieillissement et pathologies chroniques au Sénégal. Comparaison entre des </w:t>
      </w:r>
      <w:r w:rsidRPr="00920AA1">
        <w:rPr>
          <w:lang w:val="fr-FR"/>
        </w:rPr>
        <w:lastRenderedPageBreak/>
        <w:t xml:space="preserve">populations vivant en milieu rural (Ferlo) et urbain (Dakar) Ageing and chronic diseases in Senegal. A comparison between rural (Ferlo) and urban (Dakar) populations. </w:t>
      </w:r>
      <w:r w:rsidRPr="00920AA1">
        <w:rPr>
          <w:i/>
          <w:lang w:val="fr-FR"/>
        </w:rPr>
        <w:t>Bulletin de la Société de Pathologie Exotique, 108</w:t>
      </w:r>
      <w:r w:rsidRPr="00920AA1">
        <w:rPr>
          <w:lang w:val="fr-FR"/>
        </w:rPr>
        <w:t xml:space="preserve">(1), 25-31. </w:t>
      </w:r>
    </w:p>
    <w:p w14:paraId="4D807DB3" w14:textId="77777777" w:rsidR="00D86B89" w:rsidRPr="00D86B89" w:rsidRDefault="00D86B89" w:rsidP="00D86B89">
      <w:pPr>
        <w:pStyle w:val="EndNoteBibliography"/>
        <w:spacing w:after="0"/>
        <w:ind w:left="720" w:hanging="720"/>
      </w:pPr>
      <w:r w:rsidRPr="00920AA1">
        <w:rPr>
          <w:lang w:val="fr-FR"/>
        </w:rPr>
        <w:t xml:space="preserve">Duda, R. B., Anarfi, J. K., Adanu, R. M., Seffah, J., Darko, R., &amp; Hill, A. G. (2011). </w:t>
      </w:r>
      <w:r w:rsidRPr="00D86B89">
        <w:t xml:space="preserve">The health of the “older women” in Accra, Ghana: results of the Women’s Health Study of Accra. </w:t>
      </w:r>
      <w:r w:rsidRPr="00D86B89">
        <w:rPr>
          <w:i/>
        </w:rPr>
        <w:t>Journal of Cross-cultural Gerontology, 26</w:t>
      </w:r>
      <w:r w:rsidRPr="00D86B89">
        <w:t xml:space="preserve">(3), 299-314. </w:t>
      </w:r>
    </w:p>
    <w:p w14:paraId="61310803" w14:textId="5416B9E1" w:rsidR="00D86B89" w:rsidRPr="00D86B89" w:rsidRDefault="00D86B89" w:rsidP="00D86B89">
      <w:pPr>
        <w:pStyle w:val="EndNoteBibliography"/>
        <w:spacing w:after="0"/>
        <w:ind w:left="720" w:hanging="720"/>
      </w:pPr>
      <w:r w:rsidRPr="00D86B89">
        <w:t xml:space="preserve">Dziak, J. J., Coffman, D. L., Lanza, S. T., Li, R., &amp; Jermiin, L. S. (2012). </w:t>
      </w:r>
      <w:r w:rsidRPr="00D86B89">
        <w:rPr>
          <w:i/>
        </w:rPr>
        <w:t>Sensitivity and specificity of information criteria</w:t>
      </w:r>
      <w:r w:rsidRPr="00D86B89">
        <w:t xml:space="preserve">. Retrieved from University Park,PA: </w:t>
      </w:r>
      <w:hyperlink r:id="rId52" w:history="1">
        <w:r w:rsidRPr="00D86B89">
          <w:rPr>
            <w:rStyle w:val="Hyperlink"/>
          </w:rPr>
          <w:t>https://www.methodology.psu.edu/files/2019/03/12-119-2e90hc6.pdf</w:t>
        </w:r>
      </w:hyperlink>
    </w:p>
    <w:p w14:paraId="679F677C" w14:textId="77777777" w:rsidR="00D86B89" w:rsidRPr="00D86B89" w:rsidRDefault="00D86B89" w:rsidP="00D86B89">
      <w:pPr>
        <w:pStyle w:val="EndNoteBibliography"/>
        <w:spacing w:after="0"/>
        <w:ind w:left="720" w:hanging="720"/>
      </w:pPr>
      <w:r w:rsidRPr="00D86B89">
        <w:t xml:space="preserve">Egger, M., Davey Smith, G., Schneider, M., &amp; Minder, C. (1997). Bias in meta-analysis detected by a simple, graphical test. </w:t>
      </w:r>
      <w:r w:rsidRPr="00D86B89">
        <w:rPr>
          <w:i/>
        </w:rPr>
        <w:t>BMJ, 315</w:t>
      </w:r>
      <w:r w:rsidRPr="00D86B89">
        <w:t xml:space="preserve">(7109), 629-634. </w:t>
      </w:r>
    </w:p>
    <w:p w14:paraId="3858C2A0" w14:textId="77777777" w:rsidR="00D86B89" w:rsidRPr="00D86B89" w:rsidRDefault="00D86B89" w:rsidP="00D86B89">
      <w:pPr>
        <w:pStyle w:val="EndNoteBibliography"/>
        <w:spacing w:after="0"/>
        <w:ind w:left="720" w:hanging="720"/>
      </w:pPr>
      <w:r w:rsidRPr="00D86B89">
        <w:t xml:space="preserve">El Tallawy, H. N., Farghly, W. M., Shehata, G. A., Rageh, T. A., Hakeem, N. A., Abo-Elfetoh, N., . . . El-Moselhy, E. A. (2012). Prevalence of dementia in Al Kharga District, New Valley Governorate, Egypt. </w:t>
      </w:r>
      <w:r w:rsidRPr="00D86B89">
        <w:rPr>
          <w:i/>
        </w:rPr>
        <w:t>Neuroepidemiology, 38</w:t>
      </w:r>
      <w:r w:rsidRPr="00D86B89">
        <w:t>(3), 130-137. doi:10.1159/000335655</w:t>
      </w:r>
    </w:p>
    <w:p w14:paraId="53B109B4" w14:textId="77777777" w:rsidR="00D86B89" w:rsidRPr="00D86B89" w:rsidRDefault="00D86B89" w:rsidP="00D86B89">
      <w:pPr>
        <w:pStyle w:val="EndNoteBibliography"/>
        <w:spacing w:after="0"/>
        <w:ind w:left="720" w:hanging="720"/>
      </w:pPr>
      <w:r w:rsidRPr="00D86B89">
        <w:t xml:space="preserve">Ezejimofor, M., Uthman, O., Chen, Y. F., Ezejimofor, B., Ezeabasili, A., Stranges, S., &amp; Kandala, N. B. (2018). Magnitude and pattern of hypertension in the Niger Delta: a systematic review and meta-analysis of community-based studies. </w:t>
      </w:r>
      <w:r w:rsidRPr="00D86B89">
        <w:rPr>
          <w:i/>
        </w:rPr>
        <w:t>Journal of Global Health, 8</w:t>
      </w:r>
      <w:r w:rsidRPr="00D86B89">
        <w:t>(1), 010420. doi:10.7189/jogh.08.010420</w:t>
      </w:r>
    </w:p>
    <w:p w14:paraId="3773EF02" w14:textId="6CDA5010" w:rsidR="00D86B89" w:rsidRPr="00D86B89" w:rsidRDefault="00D86B89" w:rsidP="00D86B89">
      <w:pPr>
        <w:pStyle w:val="EndNoteBibliography"/>
        <w:spacing w:after="0"/>
        <w:ind w:left="720" w:hanging="720"/>
      </w:pPr>
      <w:r w:rsidRPr="00D86B89">
        <w:t xml:space="preserve">Fajemilehin, B. R., Ojfeitimi, E. O., Adegbehingbe, B. O., Asa, S. S., Bamiwuye, S. G., &amp; Owolabi, O. O. (2005). Nutritional and health status in an elderly population in Nigeria. </w:t>
      </w:r>
      <w:r w:rsidRPr="00D86B89">
        <w:rPr>
          <w:i/>
        </w:rPr>
        <w:t>Africa Journal of Nursing &amp; Midwifery, 7</w:t>
      </w:r>
      <w:r w:rsidRPr="00D86B89">
        <w:t xml:space="preserve">(1), 17-22. Retrieved from </w:t>
      </w:r>
      <w:hyperlink r:id="rId53" w:history="1">
        <w:r w:rsidRPr="00D86B89">
          <w:rPr>
            <w:rStyle w:val="Hyperlink"/>
          </w:rPr>
          <w:t>http://search.ebscohost.com/login.aspx?direct=true&amp;db=ccm&amp;AN=106353839&amp;site=ehost-live&amp;authtype=ip,shib&amp;user=s1523151</w:t>
        </w:r>
      </w:hyperlink>
    </w:p>
    <w:p w14:paraId="5690E6A2" w14:textId="77777777" w:rsidR="00D86B89" w:rsidRPr="00920AA1" w:rsidRDefault="00D86B89" w:rsidP="00D86B89">
      <w:pPr>
        <w:pStyle w:val="EndNoteBibliography"/>
        <w:spacing w:after="0"/>
        <w:ind w:left="720" w:hanging="720"/>
        <w:rPr>
          <w:lang w:val="pt-PT"/>
        </w:rPr>
      </w:pPr>
      <w:r w:rsidRPr="00D86B89">
        <w:t xml:space="preserve">Field, A. (2009). </w:t>
      </w:r>
      <w:r w:rsidRPr="00D86B89">
        <w:rPr>
          <w:i/>
        </w:rPr>
        <w:t>Discovering Statistics Using SPSS</w:t>
      </w:r>
      <w:r w:rsidRPr="00D86B89">
        <w:t xml:space="preserve"> (Third ed.). </w:t>
      </w:r>
      <w:r w:rsidRPr="00920AA1">
        <w:rPr>
          <w:lang w:val="pt-PT"/>
        </w:rPr>
        <w:t>London: SAGE Publications Ltd.</w:t>
      </w:r>
    </w:p>
    <w:p w14:paraId="7C31A8A8" w14:textId="77777777" w:rsidR="00D86B89" w:rsidRPr="00D86B89" w:rsidRDefault="00D86B89" w:rsidP="00D86B89">
      <w:pPr>
        <w:pStyle w:val="EndNoteBibliography"/>
        <w:spacing w:after="0"/>
        <w:ind w:left="720" w:hanging="720"/>
      </w:pPr>
      <w:r w:rsidRPr="00920AA1">
        <w:rPr>
          <w:lang w:val="pt-PT"/>
        </w:rPr>
        <w:t xml:space="preserve">Figueiredo, D., Azevedo, A., Pereira, M., &amp; de Barros, H. (2008). </w:t>
      </w:r>
      <w:r w:rsidRPr="00D86B89">
        <w:t xml:space="preserve">Definition of hypertension: the impact of number of visits for blood pressure measurement. </w:t>
      </w:r>
      <w:r w:rsidRPr="00D86B89">
        <w:rPr>
          <w:i/>
        </w:rPr>
        <w:t>Revista Portuguesa de Cardiologia, 28</w:t>
      </w:r>
      <w:r w:rsidRPr="00D86B89">
        <w:t xml:space="preserve">(7-8), 775-783. </w:t>
      </w:r>
    </w:p>
    <w:p w14:paraId="410EE4FF" w14:textId="77777777" w:rsidR="00D86B89" w:rsidRPr="00D86B89" w:rsidRDefault="00D86B89" w:rsidP="00D86B89">
      <w:pPr>
        <w:pStyle w:val="EndNoteBibliography"/>
        <w:spacing w:after="0"/>
        <w:ind w:left="720" w:hanging="720"/>
      </w:pPr>
      <w:r w:rsidRPr="00D86B89">
        <w:t xml:space="preserve">Garson, G. D. (2013). </w:t>
      </w:r>
      <w:r w:rsidRPr="00D86B89">
        <w:rPr>
          <w:i/>
        </w:rPr>
        <w:t>Hierarchical linear modeling: Guide and applications</w:t>
      </w:r>
      <w:r w:rsidRPr="00D86B89">
        <w:t>. Thousand Oaks, California: SAGE Publications Inc.</w:t>
      </w:r>
    </w:p>
    <w:p w14:paraId="40FCA363" w14:textId="3D1541F6" w:rsidR="00D86B89" w:rsidRPr="00D86B89" w:rsidRDefault="00D86B89" w:rsidP="00D86B89">
      <w:pPr>
        <w:pStyle w:val="EndNoteBibliography"/>
        <w:spacing w:after="0"/>
        <w:ind w:left="720" w:hanging="720"/>
      </w:pPr>
      <w:r w:rsidRPr="00D86B89">
        <w:t xml:space="preserve">Ghana News Agency. (2016). Government to establish Aged Fund. Retrieved from </w:t>
      </w:r>
      <w:hyperlink r:id="rId54" w:history="1">
        <w:r w:rsidRPr="00D86B89">
          <w:rPr>
            <w:rStyle w:val="Hyperlink"/>
          </w:rPr>
          <w:t>http://www.ghana.gov.gh/index.php/media-center/news/2311-government</w:t>
        </w:r>
      </w:hyperlink>
    </w:p>
    <w:p w14:paraId="5EA3E88E" w14:textId="61A1E888" w:rsidR="00D86B89" w:rsidRPr="00D86B89" w:rsidRDefault="00D86B89" w:rsidP="00D86B89">
      <w:pPr>
        <w:pStyle w:val="EndNoteBibliography"/>
        <w:spacing w:after="0"/>
        <w:ind w:left="720" w:hanging="720"/>
      </w:pPr>
      <w:r w:rsidRPr="00D86B89">
        <w:t xml:space="preserve">GOG. (2010). </w:t>
      </w:r>
      <w:r w:rsidRPr="00D86B89">
        <w:rPr>
          <w:i/>
        </w:rPr>
        <w:t>National Ageing Policy: ageing with security and dignity</w:t>
      </w:r>
      <w:r w:rsidRPr="00D86B89">
        <w:t xml:space="preserve">. Retrieved from Accra: </w:t>
      </w:r>
      <w:hyperlink r:id="rId55" w:history="1">
        <w:r w:rsidRPr="00D86B89">
          <w:rPr>
            <w:rStyle w:val="Hyperlink"/>
          </w:rPr>
          <w:t>https://s3.amazonaws.com/ndpc-static/pubication/Ageing+Policy_July+2010.pdf</w:t>
        </w:r>
      </w:hyperlink>
    </w:p>
    <w:p w14:paraId="67F8F51B" w14:textId="313629A6" w:rsidR="00D86B89" w:rsidRPr="00D86B89" w:rsidRDefault="00D86B89" w:rsidP="00D86B89">
      <w:pPr>
        <w:pStyle w:val="EndNoteBibliography"/>
        <w:spacing w:after="0"/>
        <w:ind w:left="720" w:hanging="720"/>
      </w:pPr>
      <w:r w:rsidRPr="00D86B89">
        <w:t xml:space="preserve">GOG. (2014). </w:t>
      </w:r>
      <w:r w:rsidRPr="00D86B89">
        <w:rPr>
          <w:i/>
        </w:rPr>
        <w:t>Medium-Term National Development Policy Framework: Ghana Shared Growth and Development Agenda (GSGDA) II, 2014-2017</w:t>
      </w:r>
      <w:r w:rsidRPr="00D86B89">
        <w:t xml:space="preserve">. Retrieved from Accra: </w:t>
      </w:r>
      <w:hyperlink r:id="rId56" w:history="1">
        <w:r w:rsidRPr="00D86B89">
          <w:rPr>
            <w:rStyle w:val="Hyperlink"/>
          </w:rPr>
          <w:t>https://s3.amazonaws.com/ndpc-static/pubication/GSGDA+II+2014-2017.pdf</w:t>
        </w:r>
      </w:hyperlink>
    </w:p>
    <w:p w14:paraId="027B252A" w14:textId="77777777" w:rsidR="00D86B89" w:rsidRPr="00D86B89" w:rsidRDefault="00D86B89" w:rsidP="00D86B89">
      <w:pPr>
        <w:pStyle w:val="EndNoteBibliography"/>
        <w:spacing w:after="0"/>
        <w:ind w:left="720" w:hanging="720"/>
      </w:pPr>
      <w:r w:rsidRPr="00D86B89">
        <w:t xml:space="preserve">Goryakin, Y., Rocco, L., &amp; Suhrcke, M. (2017). The contribution of urbanization to non-communicable diseases: Evidence from 173 countries from 1980 to 2008. </w:t>
      </w:r>
      <w:r w:rsidRPr="00D86B89">
        <w:rPr>
          <w:i/>
        </w:rPr>
        <w:t>Econ Hum Biol, 26</w:t>
      </w:r>
      <w:r w:rsidRPr="00D86B89">
        <w:t>, 151-163. doi:10.1016/j.ehb.2017.03.004</w:t>
      </w:r>
    </w:p>
    <w:p w14:paraId="33DD6F21" w14:textId="77777777" w:rsidR="00D86B89" w:rsidRPr="00D86B89" w:rsidRDefault="00D86B89" w:rsidP="00D86B89">
      <w:pPr>
        <w:pStyle w:val="EndNoteBibliography"/>
        <w:spacing w:after="0"/>
        <w:ind w:left="720" w:hanging="720"/>
      </w:pPr>
      <w:r w:rsidRPr="00D86B89">
        <w:t xml:space="preserve">Grant, C., &amp; Osanloo, A. (2014). Understanding, selecting, and integrating a theoretical framework in dissertation research: Creating the blueprint for your “house”. </w:t>
      </w:r>
      <w:r w:rsidRPr="00D86B89">
        <w:rPr>
          <w:i/>
        </w:rPr>
        <w:t>Administrative Issues Journal, 4</w:t>
      </w:r>
      <w:r w:rsidRPr="00D86B89">
        <w:t>(2), 12-26. doi:10.5929/2014.4.2.9</w:t>
      </w:r>
    </w:p>
    <w:p w14:paraId="15F972B8" w14:textId="77777777" w:rsidR="00D86B89" w:rsidRPr="00D86B89" w:rsidRDefault="00D86B89" w:rsidP="00D86B89">
      <w:pPr>
        <w:pStyle w:val="EndNoteBibliography"/>
        <w:spacing w:after="0"/>
        <w:ind w:left="720" w:hanging="720"/>
      </w:pPr>
      <w:r w:rsidRPr="00D86B89">
        <w:t xml:space="preserve">Gray, W. K., Dewhurst, F., Dewhurst, M. J., Orega, G., Kissima, J., Chaote, P., &amp; Walker, R. W. (2016). Rates and predictors of three-year mortality in older people in rural Tanzania. </w:t>
      </w:r>
      <w:r w:rsidRPr="00D86B89">
        <w:rPr>
          <w:i/>
        </w:rPr>
        <w:t>Archives of Gerontology &amp; Geriatrics, 62</w:t>
      </w:r>
      <w:r w:rsidRPr="00D86B89">
        <w:t>, 36-42. doi:10.1016/j.archger.2015.10.008</w:t>
      </w:r>
    </w:p>
    <w:p w14:paraId="6D67B156" w14:textId="77777777" w:rsidR="00D86B89" w:rsidRPr="00D86B89" w:rsidRDefault="00D86B89" w:rsidP="00D86B89">
      <w:pPr>
        <w:pStyle w:val="EndNoteBibliography"/>
        <w:spacing w:after="0"/>
        <w:ind w:left="720" w:hanging="720"/>
      </w:pPr>
      <w:r w:rsidRPr="00D86B89">
        <w:t xml:space="preserve">GSS. (2009). </w:t>
      </w:r>
      <w:r w:rsidRPr="00D86B89">
        <w:rPr>
          <w:i/>
        </w:rPr>
        <w:t>Ghana Maternal Health Survey 2007</w:t>
      </w:r>
      <w:r w:rsidRPr="00D86B89">
        <w:t>. Accra: Ghana Statistical Service.</w:t>
      </w:r>
    </w:p>
    <w:p w14:paraId="4A38063C" w14:textId="77777777" w:rsidR="00D86B89" w:rsidRPr="00D86B89" w:rsidRDefault="00D86B89" w:rsidP="00D86B89">
      <w:pPr>
        <w:pStyle w:val="EndNoteBibliography"/>
        <w:spacing w:after="0"/>
        <w:ind w:left="720" w:hanging="720"/>
      </w:pPr>
      <w:r w:rsidRPr="00D86B89">
        <w:t xml:space="preserve">GSS. (2013). </w:t>
      </w:r>
      <w:r w:rsidRPr="00D86B89">
        <w:rPr>
          <w:i/>
        </w:rPr>
        <w:t>2010 Population and housing Census Report: the elderly in Ghana</w:t>
      </w:r>
      <w:r w:rsidRPr="00D86B89">
        <w:t>. Accra: Ghana Statistical Service (GSS).</w:t>
      </w:r>
    </w:p>
    <w:p w14:paraId="55CECFA8" w14:textId="77777777" w:rsidR="00D86B89" w:rsidRPr="00D86B89" w:rsidRDefault="00D86B89" w:rsidP="00D86B89">
      <w:pPr>
        <w:pStyle w:val="EndNoteBibliography"/>
        <w:spacing w:after="0"/>
        <w:ind w:left="720" w:hanging="720"/>
      </w:pPr>
      <w:r w:rsidRPr="00D86B89">
        <w:t xml:space="preserve">GSS. (2014a). </w:t>
      </w:r>
      <w:r w:rsidRPr="00D86B89">
        <w:rPr>
          <w:i/>
        </w:rPr>
        <w:t>2010 Population and housing Census Report: urbanisation</w:t>
      </w:r>
      <w:r w:rsidRPr="00D86B89">
        <w:t>. Accra: Ghana Statistical Service (GSS).</w:t>
      </w:r>
    </w:p>
    <w:p w14:paraId="1C666E11" w14:textId="77777777" w:rsidR="00D86B89" w:rsidRPr="00D86B89" w:rsidRDefault="00D86B89" w:rsidP="00D86B89">
      <w:pPr>
        <w:pStyle w:val="EndNoteBibliography"/>
        <w:spacing w:after="0"/>
        <w:ind w:left="720" w:hanging="720"/>
      </w:pPr>
      <w:r w:rsidRPr="00D86B89">
        <w:lastRenderedPageBreak/>
        <w:t xml:space="preserve">GSS. (2014b). </w:t>
      </w:r>
      <w:r w:rsidRPr="00D86B89">
        <w:rPr>
          <w:i/>
        </w:rPr>
        <w:t>Ghana Living Standards Survey  Round 6 (GLSS 6): Main Report.</w:t>
      </w:r>
      <w:r w:rsidRPr="00D86B89">
        <w:t xml:space="preserve"> Retrieved from Accra: </w:t>
      </w:r>
    </w:p>
    <w:p w14:paraId="6321A8DE" w14:textId="14A3DAC9" w:rsidR="00D86B89" w:rsidRPr="00D86B89" w:rsidRDefault="00D86B89" w:rsidP="00D86B89">
      <w:pPr>
        <w:pStyle w:val="EndNoteBibliography"/>
        <w:spacing w:after="0"/>
        <w:ind w:left="720" w:hanging="720"/>
      </w:pPr>
      <w:r w:rsidRPr="00D86B89">
        <w:t xml:space="preserve">GSS. (2018a). </w:t>
      </w:r>
      <w:r w:rsidRPr="00D86B89">
        <w:rPr>
          <w:i/>
        </w:rPr>
        <w:t>Ghana Living Standards Survey  Round 7 (GLSS 7): Poverty trends in Ghana 2005-2017</w:t>
      </w:r>
      <w:r w:rsidRPr="00D86B89">
        <w:t xml:space="preserve">. Retrieved from Accra: </w:t>
      </w:r>
      <w:hyperlink r:id="rId57" w:history="1">
        <w:r w:rsidRPr="00D86B89">
          <w:rPr>
            <w:rStyle w:val="Hyperlink"/>
          </w:rPr>
          <w:t>http://www2.statsghana.gov.gh/docfiles/publications/GLSS7/Poverty%20Profile%20Report_2005%20-%202017.pdf</w:t>
        </w:r>
      </w:hyperlink>
    </w:p>
    <w:p w14:paraId="5D589216" w14:textId="77777777" w:rsidR="00D86B89" w:rsidRPr="00D86B89" w:rsidRDefault="00D86B89" w:rsidP="00D86B89">
      <w:pPr>
        <w:pStyle w:val="EndNoteBibliography"/>
        <w:spacing w:after="0"/>
        <w:ind w:left="720" w:hanging="720"/>
      </w:pPr>
      <w:r w:rsidRPr="00D86B89">
        <w:t xml:space="preserve">GSS. (2018b). </w:t>
      </w:r>
      <w:r w:rsidRPr="00D86B89">
        <w:rPr>
          <w:i/>
        </w:rPr>
        <w:t>Poverty profile in Ghana 2005-2017</w:t>
      </w:r>
      <w:r w:rsidRPr="00D86B89">
        <w:t>. Accra: Ghana Statistical Service.</w:t>
      </w:r>
    </w:p>
    <w:p w14:paraId="0812B5B9" w14:textId="005F4AF1" w:rsidR="00D86B89" w:rsidRPr="00D86B89" w:rsidRDefault="00D86B89" w:rsidP="00D86B89">
      <w:pPr>
        <w:pStyle w:val="EndNoteBibliography"/>
        <w:spacing w:after="0"/>
        <w:ind w:left="720" w:hanging="720"/>
      </w:pPr>
      <w:r w:rsidRPr="00D86B89">
        <w:t xml:space="preserve">GSS. (2019). </w:t>
      </w:r>
      <w:r w:rsidRPr="00D86B89">
        <w:rPr>
          <w:i/>
        </w:rPr>
        <w:t>Ghana Living Standards Survey (GLSS) 7: main report</w:t>
      </w:r>
      <w:r w:rsidRPr="00D86B89">
        <w:t xml:space="preserve">. Retrieved from Accra: </w:t>
      </w:r>
      <w:hyperlink r:id="rId58" w:history="1">
        <w:r w:rsidRPr="00D86B89">
          <w:rPr>
            <w:rStyle w:val="Hyperlink"/>
          </w:rPr>
          <w:t>https://statsghana.gov.gh/gssmain/fileUpload/pressrelease/GLSS7%20MAIN%20REPORT_FINAL.pdf</w:t>
        </w:r>
      </w:hyperlink>
    </w:p>
    <w:p w14:paraId="2BF50949" w14:textId="77777777" w:rsidR="00D86B89" w:rsidRPr="00D86B89" w:rsidRDefault="00D86B89" w:rsidP="00D86B89">
      <w:pPr>
        <w:pStyle w:val="EndNoteBibliography"/>
        <w:spacing w:after="0"/>
        <w:ind w:left="720" w:hanging="720"/>
      </w:pPr>
      <w:r w:rsidRPr="00D86B89">
        <w:t xml:space="preserve">Guerchet, M., Aboyans, V., Mbelesso, P., Mouanga, A. M., Salazar, J., Bandzouzi, B., . . . Lacroix, P. (2012a). Epidemiology of peripheral artery disease in elder general population of two cities of Central Africa: Bangui and Brazzaville. </w:t>
      </w:r>
      <w:r w:rsidRPr="00D86B89">
        <w:rPr>
          <w:i/>
        </w:rPr>
        <w:t>European Journal of Vascular Endovascular Surgery, 44</w:t>
      </w:r>
      <w:r w:rsidRPr="00D86B89">
        <w:t xml:space="preserve">, 164-169. </w:t>
      </w:r>
    </w:p>
    <w:p w14:paraId="54F5ABDC" w14:textId="06005D9E" w:rsidR="00D86B89" w:rsidRPr="00D86B89" w:rsidRDefault="00D86B89" w:rsidP="00D86B89">
      <w:pPr>
        <w:pStyle w:val="EndNoteBibliography"/>
        <w:spacing w:after="0"/>
        <w:ind w:left="720" w:hanging="720"/>
      </w:pPr>
      <w:r w:rsidRPr="00D86B89">
        <w:t xml:space="preserve">Guerchet, M., Mouanga, A. M., M'Belesso, P., Tabo, A., Bandzouzi, B., Paraïso, M. N., . . . Preux, P.-M. (2012b). Factors Associated with Dementia Among Elderly People Living in Two Cities in Central Africa: The EDAC Multicenter Study. </w:t>
      </w:r>
      <w:r w:rsidRPr="00D86B89">
        <w:rPr>
          <w:i/>
        </w:rPr>
        <w:t>Journal of Alzheimer's Disease, 29</w:t>
      </w:r>
      <w:r w:rsidRPr="00D86B89">
        <w:t xml:space="preserve">(1), 15-24. Retrieved from </w:t>
      </w:r>
      <w:hyperlink r:id="rId59" w:history="1">
        <w:r w:rsidRPr="00D86B89">
          <w:rPr>
            <w:rStyle w:val="Hyperlink"/>
          </w:rPr>
          <w:t>http://search.ebscohost.com/login.aspx?direct=true&amp;db=asn&amp;AN=72339154&amp;site=ehost-live&amp;authtype=ip,shib&amp;user=s1523151</w:t>
        </w:r>
      </w:hyperlink>
    </w:p>
    <w:p w14:paraId="0C1DBDC7" w14:textId="77777777" w:rsidR="00D86B89" w:rsidRPr="00D86B89" w:rsidRDefault="00D86B89" w:rsidP="00D86B89">
      <w:pPr>
        <w:pStyle w:val="EndNoteBibliography"/>
        <w:spacing w:after="0"/>
        <w:ind w:left="720" w:hanging="720"/>
      </w:pPr>
      <w:r w:rsidRPr="00D86B89">
        <w:t xml:space="preserve">Gureje, O., Oladeji, B. D., Abiona, T., &amp; Chatterji, S. (2014). Profile and determinants of successful aging in the Ibadan Study of Ageing. </w:t>
      </w:r>
      <w:r w:rsidRPr="00D86B89">
        <w:rPr>
          <w:i/>
        </w:rPr>
        <w:t>Journal of the American Geriatrics Society, 62</w:t>
      </w:r>
      <w:r w:rsidRPr="00D86B89">
        <w:t>(5), 836-842. doi:10.1111/jgs.12802</w:t>
      </w:r>
    </w:p>
    <w:p w14:paraId="7F309F71" w14:textId="77777777" w:rsidR="00D86B89" w:rsidRPr="00D86B89" w:rsidRDefault="00D86B89" w:rsidP="00D86B89">
      <w:pPr>
        <w:pStyle w:val="EndNoteBibliography"/>
        <w:spacing w:after="0"/>
        <w:ind w:left="720" w:hanging="720"/>
      </w:pPr>
      <w:r w:rsidRPr="00D86B89">
        <w:t xml:space="preserve">Gyamfi, J., Plange-Rhule, J., Iwelunmor, J., Lee, D., Blackstone, S. R., Mitchell, A., . . . Ogedegbe, G. (2017). Training nurses in task-shifting strategies for the management and control of hypertension in Ghana: a mixed-methods study. </w:t>
      </w:r>
      <w:r w:rsidRPr="00D86B89">
        <w:rPr>
          <w:i/>
        </w:rPr>
        <w:t>BMC Health Services Research, 17</w:t>
      </w:r>
      <w:r w:rsidRPr="00D86B89">
        <w:t>(1), 104-104. doi:10.1186/s12913-017-2026-5</w:t>
      </w:r>
    </w:p>
    <w:p w14:paraId="1EFD6504" w14:textId="77777777" w:rsidR="00D86B89" w:rsidRPr="00D86B89" w:rsidRDefault="00D86B89" w:rsidP="00D86B89">
      <w:pPr>
        <w:pStyle w:val="EndNoteBibliography"/>
        <w:spacing w:after="0"/>
        <w:ind w:left="720" w:hanging="720"/>
      </w:pPr>
      <w:r w:rsidRPr="00D86B89">
        <w:t xml:space="preserve">Gyasi, R. M., Phillips, D. R., &amp; Amoah, P. A. (2018). Multidimensional social support and health services utilization among noninstitutionalized older persons in Ghana. </w:t>
      </w:r>
      <w:r w:rsidRPr="00D86B89">
        <w:rPr>
          <w:i/>
        </w:rPr>
        <w:t xml:space="preserve">Journal of Aging and Health, </w:t>
      </w:r>
      <w:r w:rsidRPr="00D86B89">
        <w:t>10.1177/0898264318816217, 898264318816217. doi:10.1177/0898264318816217</w:t>
      </w:r>
    </w:p>
    <w:p w14:paraId="1944C58B" w14:textId="13C53466" w:rsidR="00D86B89" w:rsidRPr="00D86B89" w:rsidRDefault="00D86B89" w:rsidP="00D86B89">
      <w:pPr>
        <w:pStyle w:val="EndNoteBibliography"/>
        <w:spacing w:after="0"/>
        <w:ind w:left="720" w:hanging="720"/>
      </w:pPr>
      <w:r w:rsidRPr="00D86B89">
        <w:t xml:space="preserve">Hair, J. F., Black, W. C., Babin, B. J., &amp; Anderson, R. E. (2014). </w:t>
      </w:r>
      <w:r w:rsidRPr="00D86B89">
        <w:rPr>
          <w:i/>
        </w:rPr>
        <w:t>Multivariate Data Analysis</w:t>
      </w:r>
      <w:r w:rsidRPr="00D86B89">
        <w:t xml:space="preserve"> (7th ed. Retrieved from </w:t>
      </w:r>
      <w:hyperlink r:id="rId60" w:history="1">
        <w:r w:rsidRPr="00D86B89">
          <w:rPr>
            <w:rStyle w:val="Hyperlink"/>
          </w:rPr>
          <w:t>https://is.muni.cz/el/1423/podzim2017/PSY028/um/_Hair_-_Multivariate_data_analysis_7th_revised.pdf</w:t>
        </w:r>
      </w:hyperlink>
      <w:r w:rsidRPr="00D86B89">
        <w:t>). Harlow, Essex, UK: Pearson Education Limited.</w:t>
      </w:r>
    </w:p>
    <w:p w14:paraId="0A7F6E51" w14:textId="77777777" w:rsidR="00D86B89" w:rsidRPr="00920AA1" w:rsidRDefault="00D86B89" w:rsidP="00D86B89">
      <w:pPr>
        <w:pStyle w:val="EndNoteBibliography"/>
        <w:spacing w:after="0"/>
        <w:ind w:left="720" w:hanging="720"/>
        <w:rPr>
          <w:lang w:val="fr-FR"/>
        </w:rPr>
      </w:pPr>
      <w:r w:rsidRPr="00920AA1">
        <w:rPr>
          <w:lang w:val="pt-PT"/>
        </w:rPr>
        <w:t xml:space="preserve">Hall, J. E., Jones, D. W., Kuo, J. J., da Silva, A., Tallam, L. S., &amp; Liu, J. (2003). </w:t>
      </w:r>
      <w:r w:rsidRPr="00D86B89">
        <w:t xml:space="preserve">Impact of the obesity epidemic on hypertension and renal disease. </w:t>
      </w:r>
      <w:r w:rsidRPr="00920AA1">
        <w:rPr>
          <w:i/>
          <w:lang w:val="fr-FR"/>
        </w:rPr>
        <w:t>Current hypertension reports, 5</w:t>
      </w:r>
      <w:r w:rsidRPr="00920AA1">
        <w:rPr>
          <w:lang w:val="fr-FR"/>
        </w:rPr>
        <w:t xml:space="preserve">(5), 386-392. </w:t>
      </w:r>
    </w:p>
    <w:p w14:paraId="3E598854" w14:textId="77777777" w:rsidR="00D86B89" w:rsidRPr="00D86B89" w:rsidRDefault="00D86B89" w:rsidP="00D86B89">
      <w:pPr>
        <w:pStyle w:val="EndNoteBibliography"/>
        <w:spacing w:after="0"/>
        <w:ind w:left="720" w:hanging="720"/>
      </w:pPr>
      <w:r w:rsidRPr="00920AA1">
        <w:rPr>
          <w:lang w:val="fr-FR"/>
        </w:rPr>
        <w:t xml:space="preserve">Hamer, M., Lavoie, K. L., &amp; Bacon, S. L. (2014). </w:t>
      </w:r>
      <w:r w:rsidRPr="00D86B89">
        <w:t xml:space="preserve">Taking up physical activity in later life and healthy ageing: the English longitudinal study of ageing. </w:t>
      </w:r>
      <w:r w:rsidRPr="00D86B89">
        <w:rPr>
          <w:i/>
        </w:rPr>
        <w:t>British Journal of Sports Medicine, 48</w:t>
      </w:r>
      <w:r w:rsidRPr="00D86B89">
        <w:t>(3), 239-243. doi:10.1136/bjsports-2013-092993</w:t>
      </w:r>
    </w:p>
    <w:p w14:paraId="0C1B81AE" w14:textId="77777777" w:rsidR="00D86B89" w:rsidRPr="00D86B89" w:rsidRDefault="00D86B89" w:rsidP="00D86B89">
      <w:pPr>
        <w:pStyle w:val="EndNoteBibliography"/>
        <w:spacing w:after="0"/>
        <w:ind w:left="720" w:hanging="720"/>
      </w:pPr>
      <w:r w:rsidRPr="00D86B89">
        <w:t xml:space="preserve">Hamid, S., Groot, W., &amp; Pavlova, M. (2019). Trends in cardiovascular diseases and associated risks in sub-Saharan Africa: a review of the evidence for Ghana, Nigeria, South Africa, Sudan and Tanzania. </w:t>
      </w:r>
      <w:r w:rsidRPr="00D86B89">
        <w:rPr>
          <w:i/>
        </w:rPr>
        <w:t>The Aging Male, 22</w:t>
      </w:r>
      <w:r w:rsidRPr="00D86B89">
        <w:t>(3), 169-176. doi:10.1080/13685538.2019.1582621</w:t>
      </w:r>
    </w:p>
    <w:p w14:paraId="179BD4BB" w14:textId="320989C0" w:rsidR="00D86B89" w:rsidRPr="00D86B89" w:rsidRDefault="00D86B89" w:rsidP="00D86B89">
      <w:pPr>
        <w:pStyle w:val="EndNoteBibliography"/>
        <w:spacing w:after="0"/>
        <w:ind w:left="720" w:hanging="720"/>
      </w:pPr>
      <w:r w:rsidRPr="00D86B89">
        <w:t xml:space="preserve">Hammami, S., Mehri, S., Hajem, S., Koubaa, N., Frih, M. A., Kammoun, S., . . . Betbout, F. (2011). Awareness, treatment and control of hypertension among the elderly living in their home in Tunisia. </w:t>
      </w:r>
      <w:r w:rsidRPr="00D86B89">
        <w:rPr>
          <w:i/>
        </w:rPr>
        <w:t>BMC Cardiovascular Disorders, 11</w:t>
      </w:r>
      <w:r w:rsidRPr="00D86B89">
        <w:t>, 65. doi:</w:t>
      </w:r>
      <w:hyperlink r:id="rId61" w:history="1">
        <w:r w:rsidRPr="00D86B89">
          <w:rPr>
            <w:rStyle w:val="Hyperlink"/>
          </w:rPr>
          <w:t>http://dx.doi.org/10.1186/1471-2261-11-65</w:t>
        </w:r>
      </w:hyperlink>
    </w:p>
    <w:p w14:paraId="4ECB59A0" w14:textId="15FBFEE0" w:rsidR="00D86B89" w:rsidRPr="00D86B89" w:rsidRDefault="00D86B89" w:rsidP="00D86B89">
      <w:pPr>
        <w:pStyle w:val="EndNoteBibliography"/>
        <w:spacing w:after="0"/>
        <w:ind w:left="720" w:hanging="720"/>
      </w:pPr>
      <w:r w:rsidRPr="00D86B89">
        <w:t xml:space="preserve">Handa, S., Park, M., Darko, R. O., Osei-Akoto, I., Davis, B., &amp; Daidone, S. (2013). </w:t>
      </w:r>
      <w:r w:rsidRPr="00D86B89">
        <w:rPr>
          <w:i/>
        </w:rPr>
        <w:t>Livelihood empowerment against poverty program impact evaluation</w:t>
      </w:r>
      <w:r w:rsidRPr="00D86B89">
        <w:t xml:space="preserve">. Retrieved from Chapel </w:t>
      </w:r>
      <w:r w:rsidRPr="00D86B89">
        <w:lastRenderedPageBreak/>
        <w:t xml:space="preserve">Hill, NC, USA: </w:t>
      </w:r>
      <w:hyperlink r:id="rId62" w:history="1">
        <w:r w:rsidRPr="00D86B89">
          <w:rPr>
            <w:rStyle w:val="Hyperlink"/>
          </w:rPr>
          <w:t>http://www.fao.org/fileadmin/user_upload/p2p/Documents/LEAP_Impact_Evaluation_FINAL2014march17.pdf</w:t>
        </w:r>
      </w:hyperlink>
    </w:p>
    <w:p w14:paraId="28B28E53" w14:textId="4BF2AF1B" w:rsidR="00D86B89" w:rsidRPr="00D86B89" w:rsidRDefault="00D86B89" w:rsidP="00D86B89">
      <w:pPr>
        <w:pStyle w:val="EndNoteBibliography"/>
        <w:spacing w:after="0"/>
        <w:ind w:left="720" w:hanging="720"/>
      </w:pPr>
      <w:r w:rsidRPr="00D86B89">
        <w:t xml:space="preserve">Harbord, R. M., &amp; Higgins, J. P. (2008). Meta-regression in Stata. </w:t>
      </w:r>
      <w:r w:rsidRPr="00D86B89">
        <w:rPr>
          <w:i/>
        </w:rPr>
        <w:t>The Stata Journal, 8</w:t>
      </w:r>
      <w:r w:rsidRPr="00D86B89">
        <w:t xml:space="preserve">(4), 493-519. Retrieved from </w:t>
      </w:r>
      <w:hyperlink r:id="rId63" w:history="1">
        <w:r w:rsidRPr="00D86B89">
          <w:rPr>
            <w:rStyle w:val="Hyperlink"/>
          </w:rPr>
          <w:t>https://journals.sagepub.com/doi/pdf/10.1177/1536867X0800800403</w:t>
        </w:r>
      </w:hyperlink>
    </w:p>
    <w:p w14:paraId="78FB42D2" w14:textId="77777777" w:rsidR="00D86B89" w:rsidRPr="00D86B89" w:rsidRDefault="00D86B89" w:rsidP="00D86B89">
      <w:pPr>
        <w:pStyle w:val="EndNoteBibliography"/>
        <w:spacing w:after="0"/>
        <w:ind w:left="720" w:hanging="720"/>
      </w:pPr>
      <w:r w:rsidRPr="00D86B89">
        <w:t xml:space="preserve">Harris, P. B. (2008). Another Wrinkle in the Debate about Successful Aging: The Undervalued Concept of Resilience and the Lived Experience of Dementia. </w:t>
      </w:r>
      <w:r w:rsidRPr="00D86B89">
        <w:rPr>
          <w:i/>
        </w:rPr>
        <w:t>The International Journal of Aging and Human Development, 67</w:t>
      </w:r>
      <w:r w:rsidRPr="00D86B89">
        <w:t>(1), 43-61. doi:10.2190/AG.67.1.c</w:t>
      </w:r>
    </w:p>
    <w:p w14:paraId="4F713996" w14:textId="77777777" w:rsidR="00D86B89" w:rsidRPr="00D86B89" w:rsidRDefault="00D86B89" w:rsidP="00D86B89">
      <w:pPr>
        <w:pStyle w:val="EndNoteBibliography"/>
        <w:spacing w:after="0"/>
        <w:ind w:left="720" w:hanging="720"/>
      </w:pPr>
      <w:r w:rsidRPr="00D86B89">
        <w:t xml:space="preserve">Havighurst, R. J. (1961). Successful Aging. </w:t>
      </w:r>
      <w:r w:rsidRPr="00D86B89">
        <w:rPr>
          <w:i/>
        </w:rPr>
        <w:t>The Gerontologist, 1</w:t>
      </w:r>
      <w:r w:rsidRPr="00D86B89">
        <w:t>(1), 8-13. doi:10.1093/geront/1.1.8</w:t>
      </w:r>
    </w:p>
    <w:p w14:paraId="08042E6A" w14:textId="77777777" w:rsidR="00D86B89" w:rsidRPr="00920AA1" w:rsidRDefault="00D86B89" w:rsidP="00D86B89">
      <w:pPr>
        <w:pStyle w:val="EndNoteBibliography"/>
        <w:spacing w:after="0"/>
        <w:ind w:left="720" w:hanging="720"/>
        <w:rPr>
          <w:lang w:val="fr-FR"/>
        </w:rPr>
      </w:pPr>
      <w:r w:rsidRPr="00D86B89">
        <w:t xml:space="preserve">Havranek, E. P., Mujahid, M. S., Barr, D. A., Blair, I. V., Cohen, M. S., Cruz-Flores, S., . . . Yancy, C. W. (2015). Social Determinants of Risk and Outcomes for Cardiovascular Disease. </w:t>
      </w:r>
      <w:r w:rsidRPr="00920AA1">
        <w:rPr>
          <w:i/>
          <w:lang w:val="fr-FR"/>
        </w:rPr>
        <w:t>Circulation, 132</w:t>
      </w:r>
      <w:r w:rsidRPr="00920AA1">
        <w:rPr>
          <w:lang w:val="fr-FR"/>
        </w:rPr>
        <w:t>(9), 873-898. doi:doi:10.1161/CIR.0000000000000228</w:t>
      </w:r>
    </w:p>
    <w:p w14:paraId="4F88E4AB" w14:textId="77777777" w:rsidR="00D86B89" w:rsidRPr="00D86B89" w:rsidRDefault="00D86B89" w:rsidP="00D86B89">
      <w:pPr>
        <w:pStyle w:val="EndNoteBibliography"/>
        <w:spacing w:after="0"/>
        <w:ind w:left="720" w:hanging="720"/>
      </w:pPr>
      <w:r w:rsidRPr="00920AA1">
        <w:rPr>
          <w:lang w:val="fr-FR"/>
        </w:rPr>
        <w:t xml:space="preserve">Haykin, L. A., Francke, J. A., Abapali, A., Yakubu, E., Dambayi, E., Jackson, E. F., . . . </w:t>
      </w:r>
      <w:r w:rsidRPr="00D86B89">
        <w:t xml:space="preserve">Heller, D. J. (2020). Adapting a nurse-led primary care initiative to cardiovascular disease control in Ghana: a qualitative study. </w:t>
      </w:r>
      <w:r w:rsidRPr="00D86B89">
        <w:rPr>
          <w:i/>
        </w:rPr>
        <w:t>BMC Public Health, 20</w:t>
      </w:r>
      <w:r w:rsidRPr="00D86B89">
        <w:t>(1), 745. doi:10.1186/s12889-020-08529-4</w:t>
      </w:r>
    </w:p>
    <w:p w14:paraId="25D52469" w14:textId="03B7B0A4" w:rsidR="00D86B89" w:rsidRPr="00D86B89" w:rsidRDefault="00D86B89" w:rsidP="00D86B89">
      <w:pPr>
        <w:pStyle w:val="EndNoteBibliography"/>
        <w:spacing w:after="0"/>
        <w:ind w:left="720" w:hanging="720"/>
      </w:pPr>
      <w:r w:rsidRPr="00D86B89">
        <w:t xml:space="preserve">He, W., Muenchrath, M. N., &amp; Kowal, P. R. (2012). </w:t>
      </w:r>
      <w:r w:rsidRPr="00D86B89">
        <w:rPr>
          <w:i/>
        </w:rPr>
        <w:t>Shades of gray: a cross-country study of health and well-being of the older populations in SAGE countries, 2007-2010</w:t>
      </w:r>
      <w:r w:rsidRPr="00D86B89">
        <w:t xml:space="preserve"> (Retrieved from </w:t>
      </w:r>
      <w:hyperlink r:id="rId64" w:history="1">
        <w:r w:rsidRPr="00D86B89">
          <w:rPr>
            <w:rStyle w:val="Hyperlink"/>
          </w:rPr>
          <w:t>http://indiaenvironmentportal.org.in/files/file/Shades%20of%20Gray.pdf</w:t>
        </w:r>
      </w:hyperlink>
      <w:r w:rsidRPr="00D86B89">
        <w:t>). Washington, DC: US Department of Commerce, Economics and Statistics Administration, US Census Bureau.</w:t>
      </w:r>
    </w:p>
    <w:p w14:paraId="7E7A2F41" w14:textId="23498101" w:rsidR="00D86B89" w:rsidRPr="00D86B89" w:rsidRDefault="00D86B89" w:rsidP="00D86B89">
      <w:pPr>
        <w:pStyle w:val="EndNoteBibliography"/>
        <w:spacing w:after="0"/>
        <w:ind w:left="720" w:hanging="720"/>
      </w:pPr>
      <w:r w:rsidRPr="00D86B89">
        <w:t xml:space="preserve">Health Canada. (2002). Part I: Aging and Health Practices. In </w:t>
      </w:r>
      <w:r w:rsidRPr="00D86B89">
        <w:rPr>
          <w:i/>
        </w:rPr>
        <w:t>Workshop on Healthy Aging, November 28-30, 2001</w:t>
      </w:r>
      <w:r w:rsidRPr="00D86B89">
        <w:t xml:space="preserve"> (Retrieved from </w:t>
      </w:r>
      <w:hyperlink r:id="rId65" w:history="1">
        <w:r w:rsidRPr="00D86B89">
          <w:rPr>
            <w:rStyle w:val="Hyperlink"/>
          </w:rPr>
          <w:t>http://publications.gc.ca/collections/Collection/H39-612-2002-1E.pdf</w:t>
        </w:r>
      </w:hyperlink>
      <w:r w:rsidRPr="00D86B89">
        <w:t>). Ottawa: Minister of Public Works and Government Services Canada.</w:t>
      </w:r>
    </w:p>
    <w:p w14:paraId="64446916" w14:textId="4DD5E4E0" w:rsidR="00D86B89" w:rsidRPr="00D86B89" w:rsidRDefault="00D86B89" w:rsidP="00D86B89">
      <w:pPr>
        <w:pStyle w:val="EndNoteBibliography"/>
        <w:spacing w:after="0"/>
        <w:ind w:left="720" w:hanging="720"/>
      </w:pPr>
      <w:r w:rsidRPr="00D86B89">
        <w:t xml:space="preserve">HelpAge International. (2008). </w:t>
      </w:r>
      <w:r w:rsidRPr="00D86B89">
        <w:rPr>
          <w:i/>
        </w:rPr>
        <w:t>Older people in Africa: a forgotten generation</w:t>
      </w:r>
      <w:r w:rsidRPr="00D86B89">
        <w:t xml:space="preserve"> (Retrieved from </w:t>
      </w:r>
      <w:hyperlink r:id="rId66" w:history="1">
        <w:r w:rsidRPr="00D86B89">
          <w:rPr>
            <w:rStyle w:val="Hyperlink"/>
          </w:rPr>
          <w:t>http://eng.zivot90.cz/uploads/document/205.pdf</w:t>
        </w:r>
      </w:hyperlink>
      <w:r w:rsidRPr="00D86B89">
        <w:t>).</w:t>
      </w:r>
    </w:p>
    <w:p w14:paraId="285451AC" w14:textId="77777777" w:rsidR="00D86B89" w:rsidRPr="00D86B89" w:rsidRDefault="00D86B89" w:rsidP="00D86B89">
      <w:pPr>
        <w:pStyle w:val="EndNoteBibliography"/>
        <w:spacing w:after="0"/>
        <w:ind w:left="720" w:hanging="720"/>
      </w:pPr>
      <w:r w:rsidRPr="00D86B89">
        <w:t xml:space="preserve">Hendriks, M. E., Bolarinwa, O. A., Nelissen, H. E., Boers, A. C., Gomez, G. B., Tan, S. S., . . . Schultsz, C. (2015a). Costs of cardiovascular disease prevention care and scenarios for cost saving: a micro-costing study from rural Nigeria. </w:t>
      </w:r>
      <w:r w:rsidRPr="00D86B89">
        <w:rPr>
          <w:i/>
        </w:rPr>
        <w:t>Journal of Hypertension, 33</w:t>
      </w:r>
      <w:r w:rsidRPr="00D86B89">
        <w:t>(2), 376-684. doi:10.1097/hjh.0000000000000402</w:t>
      </w:r>
    </w:p>
    <w:p w14:paraId="68F9AD11" w14:textId="77777777" w:rsidR="00D86B89" w:rsidRPr="00D86B89" w:rsidRDefault="00D86B89" w:rsidP="00D86B89">
      <w:pPr>
        <w:pStyle w:val="EndNoteBibliography"/>
        <w:spacing w:after="0"/>
        <w:ind w:left="720" w:hanging="720"/>
      </w:pPr>
      <w:r w:rsidRPr="00D86B89">
        <w:t xml:space="preserve">Hendriks, M. E., Bolarinwa, O. A., Wit, F. W., Brewster, L. M., Odusola, A. O., Rosendaal, N. T., . . . Schultsz, C. (2015b). Feasibility and quality of cardiovascular disease prevention within a community-based health insurance program in rural Nigeria: an operational cohort study. </w:t>
      </w:r>
      <w:r w:rsidRPr="00D86B89">
        <w:rPr>
          <w:i/>
        </w:rPr>
        <w:t>Journal of Hypertension, 33</w:t>
      </w:r>
      <w:r w:rsidRPr="00D86B89">
        <w:t>(2), 366-375. doi:10.1097/hjh.0000000000000401</w:t>
      </w:r>
    </w:p>
    <w:p w14:paraId="46947D38" w14:textId="77777777" w:rsidR="00D86B89" w:rsidRPr="00D86B89" w:rsidRDefault="00D86B89" w:rsidP="00D86B89">
      <w:pPr>
        <w:pStyle w:val="EndNoteBibliography"/>
        <w:spacing w:after="0"/>
        <w:ind w:left="720" w:hanging="720"/>
      </w:pPr>
      <w:r w:rsidRPr="00D86B89">
        <w:t xml:space="preserve">Herrod, P. J., Doleman, B., Blackwell, J. E., O’Boyle, F., Williams, J. P., Lund, J. N., &amp; Phillips, B. E. (2018). Exercise and other nonpharmacological strategies to reduce blood pressure in older adults: a systematic review and meta-analysis. </w:t>
      </w:r>
      <w:r w:rsidRPr="00D86B89">
        <w:rPr>
          <w:i/>
        </w:rPr>
        <w:t>Journal of the American Society of Hypertension, 12</w:t>
      </w:r>
      <w:r w:rsidRPr="00D86B89">
        <w:t xml:space="preserve">(4), 248-267. </w:t>
      </w:r>
    </w:p>
    <w:p w14:paraId="36BAD1AD" w14:textId="08BC4025" w:rsidR="00D86B89" w:rsidRPr="00D86B89" w:rsidRDefault="00D86B89" w:rsidP="00D86B89">
      <w:pPr>
        <w:pStyle w:val="EndNoteBibliography"/>
        <w:spacing w:after="0"/>
        <w:ind w:left="720" w:hanging="720"/>
      </w:pPr>
      <w:r w:rsidRPr="00D86B89">
        <w:t xml:space="preserve">Hien, H., Berthe, A., Drabo, M. K., Meda, N., Konate, B., Tou, F., . . . Macq, J. (2014). Prevalence and patterns of multimorbidity among the elderly in Burkina Faso: cross-sectional study. </w:t>
      </w:r>
      <w:r w:rsidRPr="00D86B89">
        <w:rPr>
          <w:i/>
        </w:rPr>
        <w:t>Tropical Medicine &amp; International health : TM &amp; IH, 19</w:t>
      </w:r>
      <w:r w:rsidRPr="00D86B89">
        <w:t>(11), 1328-1333. doi:</w:t>
      </w:r>
      <w:hyperlink r:id="rId67" w:history="1">
        <w:r w:rsidRPr="00D86B89">
          <w:rPr>
            <w:rStyle w:val="Hyperlink"/>
          </w:rPr>
          <w:t>https://dx.doi.org/10.1111/tmi.12377</w:t>
        </w:r>
      </w:hyperlink>
    </w:p>
    <w:p w14:paraId="665C6A78" w14:textId="77777777" w:rsidR="00D86B89" w:rsidRPr="00D86B89" w:rsidRDefault="00D86B89" w:rsidP="00D86B89">
      <w:pPr>
        <w:pStyle w:val="EndNoteBibliography"/>
        <w:spacing w:after="0"/>
        <w:ind w:left="720" w:hanging="720"/>
      </w:pPr>
      <w:r w:rsidRPr="00D86B89">
        <w:t xml:space="preserve">Higgins, J. P., Thompson, S. G., Deeks, J. J., &amp; Altman, D. G. (2003). Measuring inconsistency in meta-analyses. </w:t>
      </w:r>
      <w:r w:rsidRPr="00D86B89">
        <w:rPr>
          <w:i/>
        </w:rPr>
        <w:t>BMJ, 327</w:t>
      </w:r>
      <w:r w:rsidRPr="00D86B89">
        <w:t>(7414), 557-560. doi:10.1136/bmj.327.7414.557</w:t>
      </w:r>
    </w:p>
    <w:p w14:paraId="67314306" w14:textId="77777777" w:rsidR="00D86B89" w:rsidRPr="00D86B89" w:rsidRDefault="00D86B89" w:rsidP="00D86B89">
      <w:pPr>
        <w:pStyle w:val="EndNoteBibliography"/>
        <w:spacing w:after="0"/>
        <w:ind w:left="720" w:hanging="720"/>
      </w:pPr>
      <w:r w:rsidRPr="00D86B89">
        <w:lastRenderedPageBreak/>
        <w:t xml:space="preserve">Hill, A., Darko, R., Seffah, J., Adanu, R., Anarfi, J., &amp; Duda, R. (2007). Health of urban Ghanaian women as identified by the Women’s Health Study of Accra. </w:t>
      </w:r>
      <w:r w:rsidRPr="00D86B89">
        <w:rPr>
          <w:i/>
        </w:rPr>
        <w:t>Int J Gyn Obstet, 99</w:t>
      </w:r>
      <w:r w:rsidRPr="00D86B89">
        <w:t xml:space="preserve">, 150-156. </w:t>
      </w:r>
    </w:p>
    <w:p w14:paraId="517A691D" w14:textId="77777777" w:rsidR="00D86B89" w:rsidRPr="00D86B89" w:rsidRDefault="00D86B89" w:rsidP="00D86B89">
      <w:pPr>
        <w:pStyle w:val="EndNoteBibliography"/>
        <w:spacing w:after="0"/>
        <w:ind w:left="720" w:hanging="720"/>
      </w:pPr>
      <w:r w:rsidRPr="00D86B89">
        <w:t xml:space="preserve">Hoy, D., Brooks, P., Woolf, A., Blyth, F., March, L., Bain, C., . . . Buchbinder, R. (2012). Assessing risk of bias in prevalence studies: modification of an existing tool and evidence of interrater agreement. </w:t>
      </w:r>
      <w:r w:rsidRPr="00D86B89">
        <w:rPr>
          <w:i/>
        </w:rPr>
        <w:t>Journal of Clinical Epidemiology, 65</w:t>
      </w:r>
      <w:r w:rsidRPr="00D86B89">
        <w:t xml:space="preserve">(9), 934-939. </w:t>
      </w:r>
    </w:p>
    <w:p w14:paraId="0FE243B3" w14:textId="77777777" w:rsidR="00D86B89" w:rsidRPr="00D86B89" w:rsidRDefault="00D86B89" w:rsidP="00D86B89">
      <w:pPr>
        <w:pStyle w:val="EndNoteBibliography"/>
        <w:spacing w:after="0"/>
        <w:ind w:left="720" w:hanging="720"/>
      </w:pPr>
      <w:r w:rsidRPr="00D86B89">
        <w:t xml:space="preserve">Hu, F. B., Goldberg, J., Hedeker, D., Flay, B. R., &amp; Pentz, M. A. (1998). Comparison of population-averaged and subject-specific approaches for analyzing repeated binary outcomes. </w:t>
      </w:r>
      <w:r w:rsidRPr="00D86B89">
        <w:rPr>
          <w:i/>
        </w:rPr>
        <w:t>American Journal of Epidemiology, 147</w:t>
      </w:r>
      <w:r w:rsidRPr="00D86B89">
        <w:t>(7), 694-703. doi:10.1093/oxfordjournals.aje.a009511</w:t>
      </w:r>
    </w:p>
    <w:p w14:paraId="66743560" w14:textId="77777777" w:rsidR="00D86B89" w:rsidRPr="00D86B89" w:rsidRDefault="00D86B89" w:rsidP="00D86B89">
      <w:pPr>
        <w:pStyle w:val="EndNoteBibliography"/>
        <w:spacing w:after="0"/>
        <w:ind w:left="720" w:hanging="720"/>
      </w:pPr>
      <w:r w:rsidRPr="00D86B89">
        <w:t xml:space="preserve">Hupin, D., Roche, F., Gremeaux, V., Chatard, J. C., Oriol, M., Gaspoz, J. M., . . . Edouard, P. (2015). Even a low-dose of moderate-to-vigorous physical activity reduces mortality by 22% in adults aged &gt;/=60 years: a systematic review and meta-analysis. </w:t>
      </w:r>
      <w:r w:rsidRPr="00D86B89">
        <w:rPr>
          <w:i/>
        </w:rPr>
        <w:t>Br J Sports Med, 49</w:t>
      </w:r>
      <w:r w:rsidRPr="00D86B89">
        <w:t>(19), 1262-1267. doi:10.1136/bjsports-2014-094306</w:t>
      </w:r>
    </w:p>
    <w:p w14:paraId="52983D0E" w14:textId="77777777" w:rsidR="00D86B89" w:rsidRPr="00D86B89" w:rsidRDefault="00D86B89" w:rsidP="00D86B89">
      <w:pPr>
        <w:pStyle w:val="EndNoteBibliography"/>
        <w:spacing w:after="0"/>
        <w:ind w:left="720" w:hanging="720"/>
      </w:pPr>
      <w:r w:rsidRPr="00D86B89">
        <w:t xml:space="preserve">Huston, S. L., Bunker, C. H., Ukoli, F. A., Rautaharju, P. M., &amp; Kuller, L. H. (1999). Electrocardiographic left ventricular hypertrophy by five criteria among civil servants in Benin City, Nigeria: prevalence and correlates. </w:t>
      </w:r>
      <w:r w:rsidRPr="00D86B89">
        <w:rPr>
          <w:i/>
        </w:rPr>
        <w:t>International Journal of Cardiology, 70</w:t>
      </w:r>
      <w:r w:rsidRPr="00D86B89">
        <w:t xml:space="preserve">(1), 1-14. </w:t>
      </w:r>
    </w:p>
    <w:p w14:paraId="27F86055" w14:textId="77777777" w:rsidR="00D86B89" w:rsidRPr="00D86B89" w:rsidRDefault="00D86B89" w:rsidP="00D86B89">
      <w:pPr>
        <w:pStyle w:val="EndNoteBibliography"/>
        <w:spacing w:after="0"/>
        <w:ind w:left="720" w:hanging="720"/>
      </w:pPr>
      <w:r w:rsidRPr="00D86B89">
        <w:t>IBM Corp. (2017). BM SPSS Statistics for Windows, Version 25.0. In. Armonk, NY: IBM Corp.</w:t>
      </w:r>
    </w:p>
    <w:p w14:paraId="2036A70B" w14:textId="77777777" w:rsidR="00D86B89" w:rsidRPr="00D86B89" w:rsidRDefault="00D86B89" w:rsidP="00D86B89">
      <w:pPr>
        <w:pStyle w:val="EndNoteBibliography"/>
        <w:spacing w:after="0"/>
        <w:ind w:left="720" w:hanging="720"/>
      </w:pPr>
      <w:r w:rsidRPr="00D86B89">
        <w:t xml:space="preserve">Ice, G. H., Zidron, A., &amp; Juma, E. (2008). Health and health perceptions among Kenyan grandparents. </w:t>
      </w:r>
      <w:r w:rsidRPr="00D86B89">
        <w:rPr>
          <w:i/>
        </w:rPr>
        <w:t>Journal of Cross-Cultural Gerontology, 23</w:t>
      </w:r>
      <w:r w:rsidRPr="00D86B89">
        <w:t>(2), 111-129. doi:10.1007/s10823-008-9063-9</w:t>
      </w:r>
    </w:p>
    <w:p w14:paraId="2C963B0B" w14:textId="77777777" w:rsidR="00D86B89" w:rsidRPr="00D86B89" w:rsidRDefault="00D86B89" w:rsidP="00D86B89">
      <w:pPr>
        <w:pStyle w:val="EndNoteBibliography"/>
        <w:spacing w:after="0"/>
        <w:ind w:left="720" w:hanging="720"/>
      </w:pPr>
      <w:r w:rsidRPr="00D86B89">
        <w:t xml:space="preserve">Ige, O. K., Owoaje, E. T., &amp; Adebiyi, O. A. (2013). Non communicable disease and risky behaviour in an urban university community Nigeria. </w:t>
      </w:r>
      <w:r w:rsidRPr="00D86B89">
        <w:rPr>
          <w:i/>
        </w:rPr>
        <w:t>Afr Health Sci., 13</w:t>
      </w:r>
      <w:r w:rsidRPr="00D86B89">
        <w:t xml:space="preserve">(1), 62-67. </w:t>
      </w:r>
    </w:p>
    <w:p w14:paraId="6C9AF180" w14:textId="5CC92108" w:rsidR="00D86B89" w:rsidRPr="00D86B89" w:rsidRDefault="00D86B89" w:rsidP="00D86B89">
      <w:pPr>
        <w:pStyle w:val="EndNoteBibliography"/>
        <w:spacing w:after="0"/>
        <w:ind w:left="720" w:hanging="720"/>
      </w:pPr>
      <w:r w:rsidRPr="00D86B89">
        <w:t xml:space="preserve">IHME. (2018). Global Burden of Disease Study 2017 (GBD 2017) Results. . Retrieved from </w:t>
      </w:r>
      <w:hyperlink r:id="rId68" w:history="1">
        <w:r w:rsidRPr="00D86B89">
          <w:rPr>
            <w:rStyle w:val="Hyperlink"/>
          </w:rPr>
          <w:t>http://ghdx.healthdata.org/gbd-results-tool</w:t>
        </w:r>
      </w:hyperlink>
      <w:r w:rsidRPr="00D86B89">
        <w:t xml:space="preserve">.  Retrieved 9 June 2020, from Institute for Health Metrics and Evaluation </w:t>
      </w:r>
      <w:hyperlink r:id="rId69" w:history="1">
        <w:r w:rsidRPr="00D86B89">
          <w:rPr>
            <w:rStyle w:val="Hyperlink"/>
          </w:rPr>
          <w:t>http://ghdx.healthdata.org/gbd-results-tool</w:t>
        </w:r>
      </w:hyperlink>
      <w:r w:rsidRPr="00D86B89">
        <w:t>.</w:t>
      </w:r>
    </w:p>
    <w:p w14:paraId="6BFCBF11" w14:textId="1EA464DB" w:rsidR="00D86B89" w:rsidRPr="00D86B89" w:rsidRDefault="00D86B89" w:rsidP="00D86B89">
      <w:pPr>
        <w:pStyle w:val="EndNoteBibliography"/>
        <w:spacing w:after="0"/>
        <w:ind w:left="720" w:hanging="720"/>
      </w:pPr>
      <w:r w:rsidRPr="00D86B89">
        <w:t xml:space="preserve">IHME. (2020). Global Burden of Disease Study 2019 (GBD 2019) Results. Retrieved from </w:t>
      </w:r>
      <w:hyperlink r:id="rId70" w:history="1">
        <w:r w:rsidRPr="00D86B89">
          <w:rPr>
            <w:rStyle w:val="Hyperlink"/>
          </w:rPr>
          <w:t>http://ghdx.healthdata.org/gbd-results-tool</w:t>
        </w:r>
      </w:hyperlink>
      <w:r w:rsidRPr="00D86B89">
        <w:t xml:space="preserve">.  Retrieved 20 December 2020, from Institute for Health Metrics and Evaluation (IHME) </w:t>
      </w:r>
      <w:hyperlink r:id="rId71" w:history="1">
        <w:r w:rsidRPr="00D86B89">
          <w:rPr>
            <w:rStyle w:val="Hyperlink"/>
          </w:rPr>
          <w:t>http://ghdx.healthdata.org/gbd-results-tool</w:t>
        </w:r>
      </w:hyperlink>
    </w:p>
    <w:p w14:paraId="163F2DDD" w14:textId="77777777" w:rsidR="00D86B89" w:rsidRPr="00D86B89" w:rsidRDefault="00D86B89" w:rsidP="00D86B89">
      <w:pPr>
        <w:pStyle w:val="EndNoteBibliography"/>
        <w:spacing w:after="0"/>
        <w:ind w:left="720" w:hanging="720"/>
      </w:pPr>
      <w:r w:rsidRPr="00D86B89">
        <w:t xml:space="preserve">Iribhogbe, I. (2013). A Community Based Interventional Study on Health Status of Aged People in a Semi-Urban Community in South-South Nigeria. </w:t>
      </w:r>
      <w:r w:rsidRPr="00D86B89">
        <w:rPr>
          <w:i/>
        </w:rPr>
        <w:t>International Journal of Community Research, 2</w:t>
      </w:r>
      <w:r w:rsidRPr="00D86B89">
        <w:t xml:space="preserve">(2), 22-27. </w:t>
      </w:r>
    </w:p>
    <w:p w14:paraId="72414ECB" w14:textId="77777777" w:rsidR="00D86B89" w:rsidRPr="00D86B89" w:rsidRDefault="00D86B89" w:rsidP="00D86B89">
      <w:pPr>
        <w:pStyle w:val="EndNoteBibliography"/>
        <w:spacing w:after="0"/>
        <w:ind w:left="720" w:hanging="720"/>
      </w:pPr>
      <w:r w:rsidRPr="00D86B89">
        <w:t xml:space="preserve">Ivy, A., Tam, J., Dewhurst, M. J., Gray, W. K., Chaote, P., Rogathi, J., . . . Walker, R. W. (2015). Ambulatory Blood Pressure Monitoring to Assess the White-Coat Effect in an Elderly East African Population. </w:t>
      </w:r>
      <w:r w:rsidRPr="00D86B89">
        <w:rPr>
          <w:i/>
        </w:rPr>
        <w:t>Journal of Clinical Hypertension, 17</w:t>
      </w:r>
      <w:r w:rsidRPr="00D86B89">
        <w:t>(5), 389-394. doi:10.1111/jch.12501</w:t>
      </w:r>
    </w:p>
    <w:p w14:paraId="6D7FB772" w14:textId="77777777" w:rsidR="00D86B89" w:rsidRPr="00D86B89" w:rsidRDefault="00D86B89" w:rsidP="00D86B89">
      <w:pPr>
        <w:pStyle w:val="EndNoteBibliography"/>
        <w:spacing w:after="0"/>
        <w:ind w:left="720" w:hanging="720"/>
      </w:pPr>
      <w:r w:rsidRPr="00D86B89">
        <w:t xml:space="preserve">Jayedi, A., Rashidy-Pour, A., Khorshidi, M., &amp; Shab-Bidar, S. (2018). Body mass index, abdominal adiposity, weight gain and risk of developing hypertension: a systematic review and dose-response meta-analysis of more than 2.3 million participants. </w:t>
      </w:r>
      <w:r w:rsidRPr="00D86B89">
        <w:rPr>
          <w:i/>
        </w:rPr>
        <w:t>Obesity Reviews : an official journal of the International Association for the Study of Obesity, 19</w:t>
      </w:r>
      <w:r w:rsidRPr="00D86B89">
        <w:t>(5), 654-667. doi:10.1111/obr.12656</w:t>
      </w:r>
    </w:p>
    <w:p w14:paraId="2BF3054A" w14:textId="77777777" w:rsidR="00D86B89" w:rsidRPr="00D86B89" w:rsidRDefault="00D86B89" w:rsidP="00D86B89">
      <w:pPr>
        <w:pStyle w:val="EndNoteBibliography"/>
        <w:spacing w:after="0"/>
        <w:ind w:left="720" w:hanging="720"/>
      </w:pPr>
      <w:r w:rsidRPr="00920AA1">
        <w:rPr>
          <w:lang w:val="pt-PT"/>
        </w:rPr>
        <w:t xml:space="preserve">Jessen, N., Damasceno, A., Silva-Matos, C., Tuzine, E., Madede, T., Mahoque, R., . . . </w:t>
      </w:r>
      <w:r w:rsidRPr="00D86B89">
        <w:t xml:space="preserve">Lunet, N. (2018). Hypertension in Mozambique: trends between 2005 and 2015. </w:t>
      </w:r>
      <w:r w:rsidRPr="00D86B89">
        <w:rPr>
          <w:i/>
        </w:rPr>
        <w:t>Journal of Hypertension, 36</w:t>
      </w:r>
      <w:r w:rsidRPr="00D86B89">
        <w:t>(4), 779-784. doi:10.1097/hjh.0000000000001618</w:t>
      </w:r>
    </w:p>
    <w:p w14:paraId="62A7B794" w14:textId="77777777" w:rsidR="00D86B89" w:rsidRPr="00D86B89" w:rsidRDefault="00D86B89" w:rsidP="00D86B89">
      <w:pPr>
        <w:pStyle w:val="EndNoteBibliography"/>
        <w:spacing w:after="0"/>
        <w:ind w:left="720" w:hanging="720"/>
      </w:pPr>
      <w:r w:rsidRPr="00D86B89">
        <w:t xml:space="preserve">Kahn, R. L. (2002). On "Successful Aging and Well-Being: Self-Rated Compared With Rowe and Kahn". </w:t>
      </w:r>
      <w:r w:rsidRPr="00D86B89">
        <w:rPr>
          <w:i/>
        </w:rPr>
        <w:t>The Gerontologist, 42</w:t>
      </w:r>
      <w:r w:rsidRPr="00D86B89">
        <w:t>(6), 725-726. doi:10.1093/geront/42.6.725</w:t>
      </w:r>
    </w:p>
    <w:p w14:paraId="7D54C796" w14:textId="77777777" w:rsidR="00D86B89" w:rsidRPr="00D86B89" w:rsidRDefault="00D86B89" w:rsidP="00D86B89">
      <w:pPr>
        <w:pStyle w:val="EndNoteBibliography"/>
        <w:spacing w:after="0"/>
        <w:ind w:left="720" w:hanging="720"/>
      </w:pPr>
      <w:r w:rsidRPr="00D86B89">
        <w:t xml:space="preserve">Kaiser, H. F. (1974). An index of factorial simplicity. </w:t>
      </w:r>
      <w:r w:rsidRPr="00D86B89">
        <w:rPr>
          <w:i/>
        </w:rPr>
        <w:t>Psychometrika, 39</w:t>
      </w:r>
      <w:r w:rsidRPr="00D86B89">
        <w:t xml:space="preserve">(1), 31-36. </w:t>
      </w:r>
    </w:p>
    <w:p w14:paraId="202AFFF5" w14:textId="32FB892D" w:rsidR="00D86B89" w:rsidRPr="00D86B89" w:rsidRDefault="00D86B89" w:rsidP="00D86B89">
      <w:pPr>
        <w:pStyle w:val="EndNoteBibliography"/>
        <w:spacing w:after="0"/>
        <w:ind w:left="720" w:hanging="720"/>
      </w:pPr>
      <w:r w:rsidRPr="00D86B89">
        <w:t xml:space="preserve">Kamoun, M., Hajem, S., Gueddana, N., Achour, N., &amp; Slimane, H. (2006). Diabetes, hypertension, obesity in elderly: Study about 981 Tunisian people aged 65 years and </w:t>
      </w:r>
      <w:r w:rsidRPr="00D86B89">
        <w:lastRenderedPageBreak/>
        <w:t xml:space="preserve">over. </w:t>
      </w:r>
      <w:r w:rsidRPr="00D86B89">
        <w:rPr>
          <w:i/>
        </w:rPr>
        <w:t>Revue de Geriatrie, 31</w:t>
      </w:r>
      <w:r w:rsidRPr="00D86B89">
        <w:t xml:space="preserve">(7), 477-486. Retrieved from </w:t>
      </w:r>
      <w:hyperlink r:id="rId72" w:history="1">
        <w:r w:rsidRPr="00D86B89">
          <w:rPr>
            <w:rStyle w:val="Hyperlink"/>
          </w:rPr>
          <w:t>http://ovidsp.ovid.com/ovidweb.cgi?T=JS&amp;PAGE=reference&amp;D=emed10&amp;NEWS=N&amp;AN=44661986</w:t>
        </w:r>
      </w:hyperlink>
    </w:p>
    <w:p w14:paraId="3233A265" w14:textId="77777777" w:rsidR="00D86B89" w:rsidRPr="00D86B89" w:rsidRDefault="00D86B89" w:rsidP="00D86B89">
      <w:pPr>
        <w:pStyle w:val="EndNoteBibliography"/>
        <w:spacing w:after="0"/>
        <w:ind w:left="720" w:hanging="720"/>
      </w:pPr>
      <w:r w:rsidRPr="00D86B89">
        <w:t xml:space="preserve">Kaplan, M. S., Huguet, N., Orpana, H., Feeny, D., McFarland, B. H., &amp; Ross, N. (2008). Prevalence and factors associated with thriving in older adulthood: a 10-year population-based study. </w:t>
      </w:r>
      <w:r w:rsidRPr="00D86B89">
        <w:rPr>
          <w:i/>
        </w:rPr>
        <w:t>The Journals of Gerontology Series A: Biological Sciences and Medical Sciences, 63</w:t>
      </w:r>
      <w:r w:rsidRPr="00D86B89">
        <w:t xml:space="preserve">(10), 1097-1104. </w:t>
      </w:r>
    </w:p>
    <w:p w14:paraId="02C6B1DC" w14:textId="77777777" w:rsidR="00D86B89" w:rsidRPr="00D86B89" w:rsidRDefault="00D86B89" w:rsidP="00D86B89">
      <w:pPr>
        <w:pStyle w:val="EndNoteBibliography"/>
        <w:spacing w:after="0"/>
        <w:ind w:left="720" w:hanging="720"/>
      </w:pPr>
      <w:r w:rsidRPr="00D86B89">
        <w:t xml:space="preserve">Katz, S., &amp; Calasanti, T. (2015). Critical Perspectives on Successful Aging: Does It “Appeal More Than It Illuminates”? </w:t>
      </w:r>
      <w:r w:rsidRPr="00D86B89">
        <w:rPr>
          <w:i/>
        </w:rPr>
        <w:t>The Gerontologist, 55</w:t>
      </w:r>
      <w:r w:rsidRPr="00D86B89">
        <w:t>(1), 26-33. doi:10.1093/geront/gnu027</w:t>
      </w:r>
    </w:p>
    <w:p w14:paraId="763A69CE" w14:textId="77777777" w:rsidR="00D86B89" w:rsidRPr="00D86B89" w:rsidRDefault="00D86B89" w:rsidP="00D86B89">
      <w:pPr>
        <w:pStyle w:val="EndNoteBibliography"/>
        <w:spacing w:after="0"/>
        <w:ind w:left="720" w:hanging="720"/>
      </w:pPr>
      <w:r w:rsidRPr="00D86B89">
        <w:t xml:space="preserve">Kaze, A. D., Schutte, A. E., Erqou, S., Kengne, A. P., &amp; Echouffo-Tcheugui, J. B. (2017). Prevalence of hypertension in older people in Africa: a systematic review and meta-analysis. </w:t>
      </w:r>
      <w:r w:rsidRPr="00D86B89">
        <w:rPr>
          <w:i/>
        </w:rPr>
        <w:t>Journal of Hypertension, 35</w:t>
      </w:r>
      <w:r w:rsidRPr="00D86B89">
        <w:t>(7), 1345-1352. doi:10.1097/HJH.0000000000001345</w:t>
      </w:r>
    </w:p>
    <w:p w14:paraId="7ED17AAC" w14:textId="77777777" w:rsidR="00D86B89" w:rsidRPr="00D86B89" w:rsidRDefault="00D86B89" w:rsidP="00D86B89">
      <w:pPr>
        <w:pStyle w:val="EndNoteBibliography"/>
        <w:spacing w:after="0"/>
        <w:ind w:left="720" w:hanging="720"/>
      </w:pPr>
      <w:r w:rsidRPr="00D86B89">
        <w:t xml:space="preserve">Kelley, G. A., &amp; Kelley, K. S. (2018). Brief Report: Exercise and Blood Pressure in Older Adults: An Updated Look. </w:t>
      </w:r>
      <w:r w:rsidRPr="00D86B89">
        <w:rPr>
          <w:i/>
        </w:rPr>
        <w:t>International Journal of Hypertension, 2018</w:t>
      </w:r>
      <w:r w:rsidRPr="00D86B89">
        <w:t>(6548659). doi:10.1155/2018/6548659</w:t>
      </w:r>
    </w:p>
    <w:p w14:paraId="20668261" w14:textId="77777777" w:rsidR="00D86B89" w:rsidRPr="00D86B89" w:rsidRDefault="00D86B89" w:rsidP="00D86B89">
      <w:pPr>
        <w:pStyle w:val="EndNoteBibliography"/>
        <w:spacing w:after="0"/>
        <w:ind w:left="720" w:hanging="720"/>
      </w:pPr>
      <w:r w:rsidRPr="00D86B89">
        <w:t xml:space="preserve">Kincaid, C. (2005). </w:t>
      </w:r>
      <w:r w:rsidRPr="00D86B89">
        <w:rPr>
          <w:i/>
        </w:rPr>
        <w:t xml:space="preserve">Guidelines for selecting the covariance structure in mixed model analysis, Paper 198-30 </w:t>
      </w:r>
      <w:r w:rsidRPr="00D86B89">
        <w:t>Paper presented at the Proceedings of the Thirtieth Annual SAS Users Group Conference, Cary, North Carolina.</w:t>
      </w:r>
    </w:p>
    <w:p w14:paraId="3BA6DD81" w14:textId="77777777" w:rsidR="00D86B89" w:rsidRPr="00D86B89" w:rsidRDefault="00D86B89" w:rsidP="00D86B89">
      <w:pPr>
        <w:pStyle w:val="EndNoteBibliography"/>
        <w:spacing w:after="0"/>
        <w:ind w:left="720" w:hanging="720"/>
      </w:pPr>
      <w:r w:rsidRPr="00D86B89">
        <w:t xml:space="preserve">Kinyanda, E., Kuteesa, M., Scholten, F., Mugisha, J., Baisley, K., &amp; Seeley, J. (2016). Risk of major depressive disorder among older persons living in HIV-endemic central and southwestern Uganda. </w:t>
      </w:r>
      <w:r w:rsidRPr="00D86B89">
        <w:rPr>
          <w:i/>
        </w:rPr>
        <w:t>AIDS Care, 28</w:t>
      </w:r>
      <w:r w:rsidRPr="00D86B89">
        <w:t>(12), 1516-1521. doi:10.1080/09540121.2016.1191601</w:t>
      </w:r>
    </w:p>
    <w:p w14:paraId="623F7218" w14:textId="77777777" w:rsidR="00D86B89" w:rsidRPr="00D86B89" w:rsidRDefault="00D86B89" w:rsidP="00D86B89">
      <w:pPr>
        <w:pStyle w:val="EndNoteBibliography"/>
        <w:spacing w:after="0"/>
        <w:ind w:left="720" w:hanging="720"/>
      </w:pPr>
      <w:r w:rsidRPr="00D86B89">
        <w:t xml:space="preserve">Klein, S., Allison, D. B., Heymsfield, S. B., Kelley, D. E., Leibel, R. L., Nonas, C., &amp; Kahn, R. (2007). Waist circumference and cardiometabolic risk: a consensus statement from shaping America's health: Association for Weight Management and Obesity Prevention; NAASO, the Obesity Society; the American Society for Nutrition; and the American Diabetes Association. </w:t>
      </w:r>
      <w:r w:rsidRPr="00D86B89">
        <w:rPr>
          <w:i/>
        </w:rPr>
        <w:t>Obesity, 15</w:t>
      </w:r>
      <w:r w:rsidRPr="00D86B89">
        <w:t xml:space="preserve">(5), 1061-1067. </w:t>
      </w:r>
    </w:p>
    <w:p w14:paraId="6F185109" w14:textId="77777777" w:rsidR="00D86B89" w:rsidRPr="00D86B89" w:rsidRDefault="00D86B89" w:rsidP="00D86B89">
      <w:pPr>
        <w:pStyle w:val="EndNoteBibliography"/>
        <w:spacing w:after="0"/>
        <w:ind w:left="720" w:hanging="720"/>
      </w:pPr>
      <w:r w:rsidRPr="00D86B89">
        <w:t xml:space="preserve">Kleinbaum, D. G., &amp; Klein, M. (2002). </w:t>
      </w:r>
      <w:r w:rsidRPr="00D86B89">
        <w:rPr>
          <w:i/>
        </w:rPr>
        <w:t>Logistic regression: a self-learning text</w:t>
      </w:r>
      <w:r w:rsidRPr="00D86B89">
        <w:t xml:space="preserve"> (2nd ed.). New York: Springer-Verlag.</w:t>
      </w:r>
    </w:p>
    <w:p w14:paraId="1B50C258" w14:textId="77777777" w:rsidR="00D86B89" w:rsidRPr="00D86B89" w:rsidRDefault="00D86B89" w:rsidP="00D86B89">
      <w:pPr>
        <w:pStyle w:val="EndNoteBibliography"/>
        <w:spacing w:after="0"/>
        <w:ind w:left="720" w:hanging="720"/>
      </w:pPr>
      <w:r w:rsidRPr="00D86B89">
        <w:t xml:space="preserve">Kodaman, N., Aldrich, M. C., Sobota, R., Asselbergs, F. W., Poku, K. A., Brown, N. J., . . . Williams, S. M. (2016). Cardiovascular Disease Risk Factors in Ghana during the Rural-to-Urban Transition: A Cross-Sectional Study. </w:t>
      </w:r>
      <w:r w:rsidRPr="00D86B89">
        <w:rPr>
          <w:i/>
        </w:rPr>
        <w:t>PLoS One, 11</w:t>
      </w:r>
      <w:r w:rsidRPr="00D86B89">
        <w:t>(10), e0162753. doi:10.1371/journal.pone.0162753</w:t>
      </w:r>
    </w:p>
    <w:p w14:paraId="2839130B" w14:textId="77777777" w:rsidR="00D86B89" w:rsidRPr="00920AA1" w:rsidRDefault="00D86B89" w:rsidP="00D86B89">
      <w:pPr>
        <w:pStyle w:val="EndNoteBibliography"/>
        <w:spacing w:after="0"/>
        <w:ind w:left="720" w:hanging="720"/>
        <w:rPr>
          <w:lang w:val="fr-FR"/>
        </w:rPr>
      </w:pPr>
      <w:r w:rsidRPr="00D86B89">
        <w:t xml:space="preserve">Konin, C., Kramoh, E., Anzouan-Kacou, J.-B., N’Loo, A. E., Yayé, A., N’Djessan, J., &amp; Adoh, M. (2012). </w:t>
      </w:r>
      <w:r w:rsidRPr="00920AA1">
        <w:rPr>
          <w:lang w:val="fr-FR"/>
        </w:rPr>
        <w:t xml:space="preserve">Approche diagnostique et prise en charge de l’hypertension artérielle chez le personnel soignant du district d’Abidjan (Côte d’Ivoire). </w:t>
      </w:r>
      <w:r w:rsidRPr="00920AA1">
        <w:rPr>
          <w:i/>
          <w:lang w:val="fr-FR"/>
        </w:rPr>
        <w:t>Revue d'Epidémiologie et de Santé Publique, 60</w:t>
      </w:r>
      <w:r w:rsidRPr="00920AA1">
        <w:rPr>
          <w:lang w:val="fr-FR"/>
        </w:rPr>
        <w:t xml:space="preserve">(1), 41-46. </w:t>
      </w:r>
    </w:p>
    <w:p w14:paraId="7A85581D" w14:textId="77777777" w:rsidR="00D86B89" w:rsidRPr="00D86B89" w:rsidRDefault="00D86B89" w:rsidP="00D86B89">
      <w:pPr>
        <w:pStyle w:val="EndNoteBibliography"/>
        <w:spacing w:after="0"/>
        <w:ind w:left="720" w:hanging="720"/>
      </w:pPr>
      <w:r w:rsidRPr="00920AA1">
        <w:rPr>
          <w:lang w:val="fr-FR"/>
        </w:rPr>
        <w:t xml:space="preserve">Koopman, J. J., van Bodegom, D., Jukema, J. W., &amp; Westendorp, R. G. (2012a). </w:t>
      </w:r>
      <w:r w:rsidRPr="00D86B89">
        <w:t xml:space="preserve">Risk of cardiovascular disease in a traditional African population with a high infectious load: a population-based study. </w:t>
      </w:r>
      <w:r w:rsidRPr="00D86B89">
        <w:rPr>
          <w:i/>
        </w:rPr>
        <w:t>PLoS One, 7</w:t>
      </w:r>
      <w:r w:rsidRPr="00D86B89">
        <w:t>(10), e46855. doi:10.1371/journal.pone.0046855</w:t>
      </w:r>
    </w:p>
    <w:p w14:paraId="568AA943" w14:textId="77777777" w:rsidR="00D86B89" w:rsidRPr="00D86B89" w:rsidRDefault="00D86B89" w:rsidP="00D86B89">
      <w:pPr>
        <w:pStyle w:val="EndNoteBibliography"/>
        <w:spacing w:after="0"/>
        <w:ind w:left="720" w:hanging="720"/>
      </w:pPr>
      <w:r w:rsidRPr="00D86B89">
        <w:t xml:space="preserve">Koopman, J. J. E., van Bodegom, D., Jukema, J. W., &amp; Westendorp, R. G. J. (2012b). Risk of Cardiovascular Disease in a Traditional African Population with a High Infectious Load: A Population-Based Study. </w:t>
      </w:r>
      <w:r w:rsidRPr="00D86B89">
        <w:rPr>
          <w:i/>
        </w:rPr>
        <w:t>PLoS One, 7</w:t>
      </w:r>
      <w:r w:rsidRPr="00D86B89">
        <w:t>(10), 1-8. doi:10.1371/journal.pone.0046855</w:t>
      </w:r>
    </w:p>
    <w:p w14:paraId="47646E99" w14:textId="77777777" w:rsidR="00D86B89" w:rsidRPr="00D86B89" w:rsidRDefault="00D86B89" w:rsidP="00D86B89">
      <w:pPr>
        <w:pStyle w:val="EndNoteBibliography"/>
        <w:spacing w:after="0"/>
        <w:ind w:left="720" w:hanging="720"/>
      </w:pPr>
      <w:r w:rsidRPr="00D86B89">
        <w:t>Kowal, P. (2019). [Draft report on hypertension on SAGE Ghana data]. personal communication, 28 September 2019.</w:t>
      </w:r>
    </w:p>
    <w:p w14:paraId="28DADEAC" w14:textId="77777777" w:rsidR="00D86B89" w:rsidRPr="00D86B89" w:rsidRDefault="00D86B89" w:rsidP="00D86B89">
      <w:pPr>
        <w:pStyle w:val="EndNoteBibliography"/>
        <w:spacing w:after="0"/>
        <w:ind w:left="720" w:hanging="720"/>
      </w:pPr>
      <w:r w:rsidRPr="00D86B89">
        <w:t xml:space="preserve">Kowal, P., Chatterji, S., Naidoo, N., Biritwum, R., Fan, W., Ridaura, R. L., . . . Williams, S. (2012). Data resource profile: the World Health Organization Study on global AGEing and adult health (SAGE). </w:t>
      </w:r>
      <w:r w:rsidRPr="00D86B89">
        <w:rPr>
          <w:i/>
        </w:rPr>
        <w:t>International Journal of Epidemiology, 41</w:t>
      </w:r>
      <w:r w:rsidRPr="00D86B89">
        <w:t xml:space="preserve">(6), 1639-1649. </w:t>
      </w:r>
    </w:p>
    <w:p w14:paraId="7A3ECDC5" w14:textId="77777777" w:rsidR="00D86B89" w:rsidRPr="00D86B89" w:rsidRDefault="00D86B89" w:rsidP="00D86B89">
      <w:pPr>
        <w:pStyle w:val="EndNoteBibliography"/>
        <w:spacing w:after="0"/>
        <w:ind w:left="720" w:hanging="720"/>
      </w:pPr>
      <w:r w:rsidRPr="00D86B89">
        <w:lastRenderedPageBreak/>
        <w:t xml:space="preserve">Kpessa-Whyte, M. (2018). Aging and Demographic Transition in Ghana: State of the Elderly and Emerging Issues. </w:t>
      </w:r>
      <w:r w:rsidRPr="00D86B89">
        <w:rPr>
          <w:i/>
        </w:rPr>
        <w:t>The Gerontologist, 58</w:t>
      </w:r>
      <w:r w:rsidRPr="00D86B89">
        <w:t>(3), 403-408. doi:10.1093/geront/gnx205</w:t>
      </w:r>
    </w:p>
    <w:p w14:paraId="4A3C6D79" w14:textId="77777777" w:rsidR="00D86B89" w:rsidRPr="00D86B89" w:rsidRDefault="00D86B89" w:rsidP="00D86B89">
      <w:pPr>
        <w:pStyle w:val="EndNoteBibliography"/>
        <w:spacing w:after="0"/>
        <w:ind w:left="720" w:hanging="720"/>
      </w:pPr>
      <w:r w:rsidRPr="00D86B89">
        <w:t xml:space="preserve">Kreuter, F., &amp; Valliant, R. (2007). A survey on survey statistics: What is done and can be done in Stata. </w:t>
      </w:r>
      <w:r w:rsidRPr="00D86B89">
        <w:rPr>
          <w:i/>
        </w:rPr>
        <w:t>The Stata Journal, 7</w:t>
      </w:r>
      <w:r w:rsidRPr="00D86B89">
        <w:t xml:space="preserve">(1), 1–21. </w:t>
      </w:r>
    </w:p>
    <w:p w14:paraId="5BBD1B52" w14:textId="7E740B1A" w:rsidR="00D86B89" w:rsidRPr="00D86B89" w:rsidRDefault="00D86B89" w:rsidP="00D86B89">
      <w:pPr>
        <w:pStyle w:val="EndNoteBibliography"/>
        <w:spacing w:after="0"/>
        <w:ind w:left="720" w:hanging="720"/>
      </w:pPr>
      <w:r w:rsidRPr="00D86B89">
        <w:t xml:space="preserve">Krugu, J. (2014). Health of the elderly and policy implications in Ghana.  Recommendations from a meeting on Health of the elderly and policy implications in Ghana organized by the Ghana Public Health Association. </w:t>
      </w:r>
      <w:r w:rsidRPr="00D86B89">
        <w:rPr>
          <w:i/>
        </w:rPr>
        <w:t>Ghanaweb, Article 327185</w:t>
      </w:r>
      <w:r w:rsidRPr="00D86B89">
        <w:t xml:space="preserve">. Retrieved from </w:t>
      </w:r>
      <w:hyperlink r:id="rId73" w:history="1">
        <w:r w:rsidRPr="00D86B89">
          <w:rPr>
            <w:rStyle w:val="Hyperlink"/>
          </w:rPr>
          <w:t>https://www.ghanaweb.com/GhanaHomePage/NewsArchive/Health-of-the-elderly-and-policy-implications-in-Ghana-327185</w:t>
        </w:r>
      </w:hyperlink>
    </w:p>
    <w:p w14:paraId="0E86F4AA" w14:textId="77777777" w:rsidR="00D86B89" w:rsidRPr="00D86B89" w:rsidRDefault="00D86B89" w:rsidP="00D86B89">
      <w:pPr>
        <w:pStyle w:val="EndNoteBibliography"/>
        <w:spacing w:after="0"/>
        <w:ind w:left="720" w:hanging="720"/>
      </w:pPr>
      <w:r w:rsidRPr="00D86B89">
        <w:t xml:space="preserve">Kutney-Lee, A., Wu, E. S., Sloane, D. M., &amp; Aiken, L. H. (2013). Changes in hospital nurse work environments and nurse job outcomes: An analysis of panel data. </w:t>
      </w:r>
      <w:r w:rsidRPr="00D86B89">
        <w:rPr>
          <w:i/>
        </w:rPr>
        <w:t>International journal of nursing studies, 50</w:t>
      </w:r>
      <w:r w:rsidRPr="00D86B89">
        <w:t xml:space="preserve">(2), 195-201. </w:t>
      </w:r>
    </w:p>
    <w:p w14:paraId="525FCAE3" w14:textId="77777777" w:rsidR="00D86B89" w:rsidRPr="00D86B89" w:rsidRDefault="00D86B89" w:rsidP="00D86B89">
      <w:pPr>
        <w:pStyle w:val="EndNoteBibliography"/>
        <w:spacing w:after="0"/>
        <w:ind w:left="720" w:hanging="720"/>
      </w:pPr>
      <w:r w:rsidRPr="00D86B89">
        <w:t xml:space="preserve">Kwankye, S. (2013). Growing old in Ghana: Health and economic implications. </w:t>
      </w:r>
      <w:r w:rsidRPr="00D86B89">
        <w:rPr>
          <w:i/>
        </w:rPr>
        <w:t>Postgraduate Medical Journal of Ghana, 2</w:t>
      </w:r>
      <w:r w:rsidRPr="00D86B89">
        <w:t xml:space="preserve">(2), 88-97. </w:t>
      </w:r>
    </w:p>
    <w:p w14:paraId="138F9C9B" w14:textId="77777777" w:rsidR="00D86B89" w:rsidRPr="00D86B89" w:rsidRDefault="00D86B89" w:rsidP="00D86B89">
      <w:pPr>
        <w:pStyle w:val="EndNoteBibliography"/>
        <w:spacing w:after="0"/>
        <w:ind w:left="720" w:hanging="720"/>
      </w:pPr>
      <w:r w:rsidRPr="00D86B89">
        <w:t xml:space="preserve">Laird, N. M., &amp; Fitzmaurice, G. M. (2013). Longitudinal data modeling. In M. A. Scott, J. S. Simonoff, &amp; B. D. Marx (Eds.), </w:t>
      </w:r>
      <w:r w:rsidRPr="00D86B89">
        <w:rPr>
          <w:i/>
        </w:rPr>
        <w:t>The SAGE Handbook of Multilevel Modeling</w:t>
      </w:r>
      <w:r w:rsidRPr="00D86B89">
        <w:t xml:space="preserve"> (10.4135/9781446247600pp. 141-160). doi:10.4135/9781446247600</w:t>
      </w:r>
    </w:p>
    <w:p w14:paraId="1578617C" w14:textId="77777777" w:rsidR="00D86B89" w:rsidRPr="00D86B89" w:rsidRDefault="00D86B89" w:rsidP="00D86B89">
      <w:pPr>
        <w:pStyle w:val="EndNoteBibliography"/>
        <w:spacing w:after="0"/>
        <w:ind w:left="720" w:hanging="720"/>
      </w:pPr>
      <w:r w:rsidRPr="00D86B89">
        <w:t xml:space="preserve">Lamont, R. A., Swift, H. J., &amp; Abrams, D. (2015). A review and meta-analysis of age-based stereotype threat: Negative stereotypes, not facts, do the damage. </w:t>
      </w:r>
      <w:r w:rsidRPr="00D86B89">
        <w:rPr>
          <w:i/>
        </w:rPr>
        <w:t>Psychology and Aging, 30</w:t>
      </w:r>
      <w:r w:rsidRPr="00D86B89">
        <w:t xml:space="preserve">(1), 180-193. </w:t>
      </w:r>
    </w:p>
    <w:p w14:paraId="5B7C1DE4" w14:textId="77777777" w:rsidR="00D86B89" w:rsidRPr="00D86B89" w:rsidRDefault="00D86B89" w:rsidP="00D86B89">
      <w:pPr>
        <w:pStyle w:val="EndNoteBibliography"/>
        <w:spacing w:after="0"/>
        <w:ind w:left="720" w:hanging="720"/>
      </w:pPr>
      <w:r w:rsidRPr="00D86B89">
        <w:t xml:space="preserve">Lartey, S. T., de Graaff, B., Magnussen, C. G., Boateng, G. O., Aikins, M., Minicuci, N., . . . Palmer, A. J. (2019a). Health service utilization and direct healthcare costs associated with obesity in older adult population in Ghana. </w:t>
      </w:r>
      <w:r w:rsidRPr="00D86B89">
        <w:rPr>
          <w:i/>
        </w:rPr>
        <w:t xml:space="preserve">Health Policy Plan, </w:t>
      </w:r>
      <w:r w:rsidRPr="00D86B89">
        <w:t>10.1093/heapol/czz147. doi:10.1093/heapol/czz147</w:t>
      </w:r>
    </w:p>
    <w:p w14:paraId="7D806B39" w14:textId="75BE0759" w:rsidR="00D86B89" w:rsidRPr="00D86B89" w:rsidRDefault="00D86B89" w:rsidP="00D86B89">
      <w:pPr>
        <w:pStyle w:val="EndNoteBibliography"/>
        <w:spacing w:after="0"/>
        <w:ind w:left="720" w:hanging="720"/>
      </w:pPr>
      <w:r w:rsidRPr="00D86B89">
        <w:t xml:space="preserve">Lartey, S. T., Magnussen, C. G., Si, L., Boateng, G. O., De Graaff, B., Biritwum, R. B., . . . Palmer, A. J. (2019b). Rapidly increasing prevalence of overweight and obesity in older Ghanaian adults from 2007-2015: evidence from WHO-SAGE Waves 1 &amp; 2. </w:t>
      </w:r>
      <w:r w:rsidRPr="00D86B89">
        <w:rPr>
          <w:i/>
        </w:rPr>
        <w:t>PLoS One, 14</w:t>
      </w:r>
      <w:r w:rsidRPr="00D86B89">
        <w:t xml:space="preserve">(8), e021504. Retrieved from </w:t>
      </w:r>
      <w:hyperlink r:id="rId74" w:history="1">
        <w:r w:rsidRPr="00D86B89">
          <w:rPr>
            <w:rStyle w:val="Hyperlink"/>
          </w:rPr>
          <w:t>https://doi.org/10.1371/journal.pone.0215045</w:t>
        </w:r>
      </w:hyperlink>
    </w:p>
    <w:p w14:paraId="10B018FB" w14:textId="1975B236" w:rsidR="00D86B89" w:rsidRPr="00D86B89" w:rsidRDefault="00D86B89" w:rsidP="00D86B89">
      <w:pPr>
        <w:pStyle w:val="EndNoteBibliography"/>
        <w:spacing w:after="0"/>
        <w:ind w:left="720" w:hanging="720"/>
      </w:pPr>
      <w:r w:rsidRPr="00D86B89">
        <w:t xml:space="preserve">Lasisi, A. O., Abiona, T., &amp; Gureje, O. (2010). Tinnitus in the elderly: Profile, correlates, and impact in the Nigerian study of ageing. </w:t>
      </w:r>
      <w:r w:rsidRPr="00D86B89">
        <w:rPr>
          <w:i/>
        </w:rPr>
        <w:t>Otolaryngology - Head and Neck Surgery, 143</w:t>
      </w:r>
      <w:r w:rsidRPr="00D86B89">
        <w:t>(4), 510-515. doi:</w:t>
      </w:r>
      <w:hyperlink r:id="rId75" w:history="1">
        <w:r w:rsidRPr="00D86B89">
          <w:rPr>
            <w:rStyle w:val="Hyperlink"/>
          </w:rPr>
          <w:t>http://dx.doi.org/10.1016/j.otohns.2010.06.817</w:t>
        </w:r>
      </w:hyperlink>
    </w:p>
    <w:p w14:paraId="653966AA" w14:textId="77777777" w:rsidR="00D86B89" w:rsidRPr="00D86B89" w:rsidRDefault="00D86B89" w:rsidP="00D86B89">
      <w:pPr>
        <w:pStyle w:val="EndNoteBibliography"/>
        <w:spacing w:after="0"/>
        <w:ind w:left="720" w:hanging="720"/>
      </w:pPr>
      <w:r w:rsidRPr="00D86B89">
        <w:t xml:space="preserve">Lee, J. T., Hamid, F., Pati, S., Atun, R., &amp; Millett, C. (2015). Impact of Noncommunicable Disease Multimorbidity on Healthcare Utilisation and Out-Of-Pocket Expenditures in Middle-Income Countries: Cross Sectional Analysis. </w:t>
      </w:r>
      <w:r w:rsidRPr="00D86B89">
        <w:rPr>
          <w:i/>
        </w:rPr>
        <w:t>PLoS One, 10</w:t>
      </w:r>
      <w:r w:rsidRPr="00D86B89">
        <w:t>(7), e0127199. doi:10.1371/journal.pone.0127199</w:t>
      </w:r>
    </w:p>
    <w:p w14:paraId="4DB71053" w14:textId="77777777" w:rsidR="00D86B89" w:rsidRPr="00D86B89" w:rsidRDefault="00D86B89" w:rsidP="00D86B89">
      <w:pPr>
        <w:pStyle w:val="EndNoteBibliography"/>
        <w:spacing w:after="0"/>
        <w:ind w:left="720" w:hanging="720"/>
      </w:pPr>
      <w:r w:rsidRPr="00D86B89">
        <w:t xml:space="preserve">Liberati, A., Altman, D. G., Tetzlaff, J., Mulrow, C., Gøtzsche, P. C., Ioannidis, J. P., . . . Moher, D. (2009). The PRISMA statement for reporting systematic reviews and meta-analyses of studies that evaluate health care interventions: explanation and elaboration. </w:t>
      </w:r>
      <w:r w:rsidRPr="00D86B89">
        <w:rPr>
          <w:i/>
        </w:rPr>
        <w:t>PLoS Medicine, 6</w:t>
      </w:r>
      <w:r w:rsidRPr="00D86B89">
        <w:t xml:space="preserve">(7), e1000100. </w:t>
      </w:r>
    </w:p>
    <w:p w14:paraId="552C70D2" w14:textId="77777777" w:rsidR="00D86B89" w:rsidRPr="00D86B89" w:rsidRDefault="00D86B89" w:rsidP="00D86B89">
      <w:pPr>
        <w:pStyle w:val="EndNoteBibliography"/>
        <w:spacing w:after="0"/>
        <w:ind w:left="720" w:hanging="720"/>
      </w:pPr>
      <w:r w:rsidRPr="00D86B89">
        <w:t xml:space="preserve">Littell, R. C., Pendergast, J., &amp; Natarajan, R. (2000). Modelling covariance structure in the analysis of repeated measures data. </w:t>
      </w:r>
      <w:r w:rsidRPr="00D86B89">
        <w:rPr>
          <w:i/>
        </w:rPr>
        <w:t>Statistics in Medicine, 19</w:t>
      </w:r>
      <w:r w:rsidRPr="00D86B89">
        <w:t xml:space="preserve">(13), 1793-1819. </w:t>
      </w:r>
    </w:p>
    <w:p w14:paraId="497240C0" w14:textId="0B27BF52" w:rsidR="00D86B89" w:rsidRPr="00D86B89" w:rsidRDefault="00D86B89" w:rsidP="00D86B89">
      <w:pPr>
        <w:pStyle w:val="EndNoteBibliography"/>
        <w:spacing w:after="0"/>
        <w:ind w:left="720" w:hanging="720"/>
      </w:pPr>
      <w:r w:rsidRPr="00D86B89">
        <w:t xml:space="preserve">Lloyd-Sherlock, P., Beard, J., Minicuci, N., Ebrahim, S., &amp; Chatterji, S. (2014). Hypertension among older adults in low and middle-income countries: Prevalence, awareness and control. </w:t>
      </w:r>
      <w:r w:rsidRPr="00D86B89">
        <w:rPr>
          <w:i/>
        </w:rPr>
        <w:t>International Journal of Epidemiology, 43</w:t>
      </w:r>
      <w:r w:rsidRPr="00D86B89">
        <w:t>(1), 116-128. doi:</w:t>
      </w:r>
      <w:hyperlink r:id="rId76" w:history="1">
        <w:r w:rsidRPr="00D86B89">
          <w:rPr>
            <w:rStyle w:val="Hyperlink"/>
          </w:rPr>
          <w:t>http://dx.doi.org/10.1093/ije/dyt215</w:t>
        </w:r>
      </w:hyperlink>
    </w:p>
    <w:p w14:paraId="58147727" w14:textId="77777777" w:rsidR="00D86B89" w:rsidRPr="00D86B89" w:rsidRDefault="00D86B89" w:rsidP="00D86B89">
      <w:pPr>
        <w:pStyle w:val="EndNoteBibliography"/>
        <w:spacing w:after="0"/>
        <w:ind w:left="720" w:hanging="720"/>
      </w:pPr>
      <w:r w:rsidRPr="00D86B89">
        <w:t xml:space="preserve">Lloyd-Sherlock, P., Minicuci, N., Corso, B., Beard, J., Chatterji, S., &amp; Ebrahim, S. (2017). Diseases of the Rich? The Social Patterning of Hypertension in Six Low- and Middle-Income Countries. </w:t>
      </w:r>
      <w:r w:rsidRPr="00D86B89">
        <w:rPr>
          <w:i/>
        </w:rPr>
        <w:t>European Journal of Development Research, 29</w:t>
      </w:r>
      <w:r w:rsidRPr="00D86B89">
        <w:t>(4), 827-842. doi:10.1057/s41287-016-0063-2</w:t>
      </w:r>
    </w:p>
    <w:p w14:paraId="27B4D2E5" w14:textId="1365E104" w:rsidR="00D86B89" w:rsidRPr="00D86B89" w:rsidRDefault="00D86B89" w:rsidP="00D86B89">
      <w:pPr>
        <w:pStyle w:val="EndNoteBibliography"/>
        <w:spacing w:after="0"/>
        <w:ind w:left="720" w:hanging="720"/>
      </w:pPr>
      <w:r w:rsidRPr="00D86B89">
        <w:lastRenderedPageBreak/>
        <w:t xml:space="preserve">Macia, E., Duboz, P., &amp; Gueye, L. (2012). Prevalence, awareness, treatment and control of hypertension among adults 50 years and older in Dakar, Senegal. </w:t>
      </w:r>
      <w:r w:rsidRPr="00D86B89">
        <w:rPr>
          <w:i/>
        </w:rPr>
        <w:t>Cardiovascular Journal of Africa, 23</w:t>
      </w:r>
      <w:r w:rsidRPr="00D86B89">
        <w:t>(5), 265-269. doi:</w:t>
      </w:r>
      <w:hyperlink r:id="rId77" w:history="1">
        <w:r w:rsidRPr="00D86B89">
          <w:rPr>
            <w:rStyle w:val="Hyperlink"/>
          </w:rPr>
          <w:t>https://dx.doi.org/10.5830/CVJA-2011-039</w:t>
        </w:r>
      </w:hyperlink>
    </w:p>
    <w:p w14:paraId="13AA6E4B" w14:textId="77777777" w:rsidR="00D86B89" w:rsidRPr="00D86B89" w:rsidRDefault="00D86B89" w:rsidP="00D86B89">
      <w:pPr>
        <w:pStyle w:val="EndNoteBibliography"/>
        <w:spacing w:after="0"/>
        <w:ind w:left="720" w:hanging="720"/>
      </w:pPr>
      <w:r w:rsidRPr="00D86B89">
        <w:t xml:space="preserve">Marmot, M., Friel, S., Bell, R., Houweling, T. A., &amp; Taylor, S. (2008). Closing the gap in a generation: health equity through action on the social determinants of health. </w:t>
      </w:r>
      <w:r w:rsidRPr="00D86B89">
        <w:rPr>
          <w:i/>
        </w:rPr>
        <w:t>The Lancet, 372</w:t>
      </w:r>
      <w:r w:rsidRPr="00D86B89">
        <w:t>(9650), 1661-1669. doi:10.1016/S0140-6736(08)61690-6</w:t>
      </w:r>
    </w:p>
    <w:p w14:paraId="74022ACB" w14:textId="77777777" w:rsidR="00D86B89" w:rsidRPr="00D86B89" w:rsidRDefault="00D86B89" w:rsidP="00D86B89">
      <w:pPr>
        <w:pStyle w:val="EndNoteBibliography"/>
        <w:spacing w:after="0"/>
        <w:ind w:left="720" w:hanging="720"/>
      </w:pPr>
      <w:r w:rsidRPr="00D86B89">
        <w:t xml:space="preserve">Martin, K. A., &amp; Sinden, A. R. (2001). Who will stay and who will go? A review of older adults’ adherence to randomized controlled trials of exercise. </w:t>
      </w:r>
      <w:r w:rsidRPr="00D86B89">
        <w:rPr>
          <w:i/>
        </w:rPr>
        <w:t>Journal of Aging and Physical Activity, 9</w:t>
      </w:r>
      <w:r w:rsidRPr="00D86B89">
        <w:t xml:space="preserve">(2), 91-114. </w:t>
      </w:r>
    </w:p>
    <w:p w14:paraId="76843AA3" w14:textId="77777777" w:rsidR="00D86B89" w:rsidRPr="00D86B89" w:rsidRDefault="00D86B89" w:rsidP="00D86B89">
      <w:pPr>
        <w:pStyle w:val="EndNoteBibliography"/>
        <w:spacing w:after="0"/>
        <w:ind w:left="720" w:hanging="720"/>
      </w:pPr>
      <w:r w:rsidRPr="00D86B89">
        <w:t xml:space="preserve">Martinson, M., &amp; Berridge, C. (2015). Successful Aging and Its Discontents: A Systematic Review of the Social Gerontology Literature. </w:t>
      </w:r>
      <w:r w:rsidRPr="00D86B89">
        <w:rPr>
          <w:i/>
        </w:rPr>
        <w:t>The Gerontologist, 55</w:t>
      </w:r>
      <w:r w:rsidRPr="00D86B89">
        <w:t>(1), 58-69. doi:10.1093/geront/gnu037</w:t>
      </w:r>
    </w:p>
    <w:p w14:paraId="7487ABA8" w14:textId="77777777" w:rsidR="00D86B89" w:rsidRPr="00D86B89" w:rsidRDefault="00D86B89" w:rsidP="00D86B89">
      <w:pPr>
        <w:pStyle w:val="EndNoteBibliography"/>
        <w:spacing w:after="0"/>
        <w:ind w:left="720" w:hanging="720"/>
      </w:pPr>
      <w:r w:rsidRPr="00D86B89">
        <w:t xml:space="preserve">Masoro, E. J. (2001). " Successful aging"-Useful or misleading concept? </w:t>
      </w:r>
      <w:r w:rsidRPr="00D86B89">
        <w:rPr>
          <w:i/>
        </w:rPr>
        <w:t>The Gerontologist, 41</w:t>
      </w:r>
      <w:r w:rsidRPr="00D86B89">
        <w:t xml:space="preserve">(3), 415-418. </w:t>
      </w:r>
    </w:p>
    <w:p w14:paraId="4E70F2A2" w14:textId="77777777" w:rsidR="00D86B89" w:rsidRPr="00D86B89" w:rsidRDefault="00D86B89" w:rsidP="00D86B89">
      <w:pPr>
        <w:pStyle w:val="EndNoteBibliography"/>
        <w:spacing w:after="0"/>
        <w:ind w:left="720" w:hanging="720"/>
      </w:pPr>
      <w:r w:rsidRPr="00D86B89">
        <w:t xml:space="preserve">Mathenge, W., Foster, A., &amp; Kuper, H. (2010). Urbanization, ethnicity and cardiovascular risk in a population in transition in Nakuru, Kenya: a population-based survey. </w:t>
      </w:r>
      <w:r w:rsidRPr="00D86B89">
        <w:rPr>
          <w:i/>
        </w:rPr>
        <w:t>BMC Public Health, 10</w:t>
      </w:r>
      <w:r w:rsidRPr="00D86B89">
        <w:t>(1), 569-580. doi:10.1186/1471-2458-10-569</w:t>
      </w:r>
    </w:p>
    <w:p w14:paraId="63E89C73" w14:textId="77777777" w:rsidR="00D86B89" w:rsidRPr="00D86B89" w:rsidRDefault="00D86B89" w:rsidP="00D86B89">
      <w:pPr>
        <w:pStyle w:val="EndNoteBibliography"/>
        <w:spacing w:after="0"/>
        <w:ind w:left="720" w:hanging="720"/>
      </w:pPr>
      <w:r w:rsidRPr="00D86B89">
        <w:t xml:space="preserve">Mathers, C. D., Stevens, G. A., Boerma, T., White, R. A., &amp; Tobias, M. I. (2015). Causes of international increases in older age life expectancy. </w:t>
      </w:r>
      <w:r w:rsidRPr="00D86B89">
        <w:rPr>
          <w:i/>
        </w:rPr>
        <w:t>The Lancet, 385</w:t>
      </w:r>
      <w:r w:rsidRPr="00D86B89">
        <w:t xml:space="preserve">(9967), 540-548. </w:t>
      </w:r>
    </w:p>
    <w:p w14:paraId="7F5D20C7" w14:textId="77777777" w:rsidR="00D86B89" w:rsidRPr="00D86B89" w:rsidRDefault="00D86B89" w:rsidP="00D86B89">
      <w:pPr>
        <w:pStyle w:val="EndNoteBibliography"/>
        <w:spacing w:after="0"/>
        <w:ind w:left="720" w:hanging="720"/>
      </w:pPr>
      <w:r w:rsidRPr="00D86B89">
        <w:t xml:space="preserve">Mba, C. J. (2010). Population ageing in Ghana: research gaps and the way forward. </w:t>
      </w:r>
      <w:r w:rsidRPr="00D86B89">
        <w:rPr>
          <w:i/>
        </w:rPr>
        <w:t>Journal of Aging Research, 2010</w:t>
      </w:r>
      <w:r w:rsidRPr="00D86B89">
        <w:t>, 672157. doi:10.4061/2010/672157</w:t>
      </w:r>
    </w:p>
    <w:p w14:paraId="6F19BF4F" w14:textId="77777777" w:rsidR="00D86B89" w:rsidRPr="00D86B89" w:rsidRDefault="00D86B89" w:rsidP="00D86B89">
      <w:pPr>
        <w:pStyle w:val="EndNoteBibliography"/>
        <w:spacing w:after="0"/>
        <w:ind w:left="720" w:hanging="720"/>
      </w:pPr>
      <w:r w:rsidRPr="00D86B89">
        <w:t xml:space="preserve">Mba, C. J. (2013). The health condition of older women in Ghana: a case study of Accra City. </w:t>
      </w:r>
      <w:r w:rsidRPr="00D86B89">
        <w:rPr>
          <w:i/>
        </w:rPr>
        <w:t>Journal of International Women's Studies, 8</w:t>
      </w:r>
      <w:r w:rsidRPr="00D86B89">
        <w:t xml:space="preserve">(1), 171-184. </w:t>
      </w:r>
    </w:p>
    <w:p w14:paraId="7AF35249" w14:textId="77777777" w:rsidR="00D86B89" w:rsidRPr="00D86B89" w:rsidRDefault="00D86B89" w:rsidP="00D86B89">
      <w:pPr>
        <w:pStyle w:val="EndNoteBibliography"/>
        <w:spacing w:after="0"/>
        <w:ind w:left="720" w:hanging="720"/>
      </w:pPr>
      <w:r w:rsidRPr="00D86B89">
        <w:t xml:space="preserve">McLaughlin, S. J., Connell, C. M., Heeringa, S. G., Li, L. W., &amp; Roberts, J. S. (2009). Successful Aging in the United States: Prevalence Estimates From a National Sample of Older Adults. </w:t>
      </w:r>
      <w:r w:rsidRPr="00D86B89">
        <w:rPr>
          <w:i/>
        </w:rPr>
        <w:t>The Journals of Gerontology: Series B, 65B</w:t>
      </w:r>
      <w:r w:rsidRPr="00D86B89">
        <w:t>(2), 216-226. doi:10.1093/geronb/gbp101</w:t>
      </w:r>
    </w:p>
    <w:p w14:paraId="2E2454E6" w14:textId="77777777" w:rsidR="00D86B89" w:rsidRPr="00D86B89" w:rsidRDefault="00D86B89" w:rsidP="00D86B89">
      <w:pPr>
        <w:pStyle w:val="EndNoteBibliography"/>
        <w:spacing w:after="0"/>
        <w:ind w:left="720" w:hanging="720"/>
      </w:pPr>
      <w:r w:rsidRPr="00D86B89">
        <w:t xml:space="preserve">McLaughlin, S. J., Jette, A. M., &amp; Connell, C. M. (2012). An Examination of Healthy Aging Across a Conceptual Continuum: Prevalence Estimates, Demographic Patterns, and Validity. </w:t>
      </w:r>
      <w:r w:rsidRPr="00D86B89">
        <w:rPr>
          <w:i/>
        </w:rPr>
        <w:t>The Journals of Gerontology: Series A, 67</w:t>
      </w:r>
      <w:r w:rsidRPr="00D86B89">
        <w:t>(7), 783-789. doi:10.1093/gerona/glr234</w:t>
      </w:r>
    </w:p>
    <w:p w14:paraId="7A5BF4AB" w14:textId="7681A5E6" w:rsidR="00D86B89" w:rsidRPr="00D86B89" w:rsidRDefault="00D86B89" w:rsidP="00D86B89">
      <w:pPr>
        <w:pStyle w:val="EndNoteBibliography"/>
        <w:spacing w:after="0"/>
        <w:ind w:left="720" w:hanging="720"/>
      </w:pPr>
      <w:r w:rsidRPr="00D86B89">
        <w:t xml:space="preserve">MDS Project Team. (2002). </w:t>
      </w:r>
      <w:r w:rsidRPr="00D86B89">
        <w:rPr>
          <w:i/>
        </w:rPr>
        <w:t>Proposed working definition of an older person in Africa for the Minimum Data Set project</w:t>
      </w:r>
      <w:r w:rsidRPr="00D86B89">
        <w:t xml:space="preserve">. Retrieved from Geneva: </w:t>
      </w:r>
      <w:hyperlink r:id="rId78" w:history="1">
        <w:r w:rsidRPr="00D86B89">
          <w:rPr>
            <w:rStyle w:val="Hyperlink"/>
          </w:rPr>
          <w:t>http://www.who.int/healthinfo/survey/ageingdefnolder/en/</w:t>
        </w:r>
      </w:hyperlink>
    </w:p>
    <w:p w14:paraId="4309987E" w14:textId="49CC96A3" w:rsidR="00D86B89" w:rsidRPr="00D86B89" w:rsidRDefault="00D86B89" w:rsidP="00D86B89">
      <w:pPr>
        <w:pStyle w:val="EndNoteBibliography"/>
        <w:spacing w:after="0"/>
        <w:ind w:left="720" w:hanging="720"/>
      </w:pPr>
      <w:r w:rsidRPr="00D86B89">
        <w:t xml:space="preserve">Minicuci, N., Biritwum, R. B., Mensah, G., Yawson, A. E., Naidoo, N., Chatterji, S., &amp; Kowal, P. (2014). Sociodemographic and socioeconomic patterns of chronic non-communicable disease among the older adult population in Ghana. </w:t>
      </w:r>
      <w:r w:rsidRPr="00D86B89">
        <w:rPr>
          <w:i/>
        </w:rPr>
        <w:t>Global Health Action, 7</w:t>
      </w:r>
      <w:r w:rsidRPr="00D86B89">
        <w:t>, 21292. doi:</w:t>
      </w:r>
      <w:hyperlink r:id="rId79" w:history="1">
        <w:r w:rsidRPr="00D86B89">
          <w:rPr>
            <w:rStyle w:val="Hyperlink"/>
          </w:rPr>
          <w:t>https://dx.doi.org/10.3402/gha.v7.21292</w:t>
        </w:r>
      </w:hyperlink>
    </w:p>
    <w:p w14:paraId="0D5E045B" w14:textId="77777777" w:rsidR="00D86B89" w:rsidRPr="00D86B89" w:rsidRDefault="00D86B89" w:rsidP="00D86B89">
      <w:pPr>
        <w:pStyle w:val="EndNoteBibliography"/>
        <w:spacing w:after="0"/>
        <w:ind w:left="720" w:hanging="720"/>
      </w:pPr>
      <w:r w:rsidRPr="00D86B89">
        <w:t xml:space="preserve">Minicuci, N., Naidoo, N., Corso, B., Rocco, I., Chatterji, S., &amp; Kowal, P. (2019). Data Resource Profile: Cross-national and cross-study sociodemographic and health-related harmonized domains from SAGE plus CHARLS, ELSA, HRS, LASI and SHARE (SAGE+ Wave 2). </w:t>
      </w:r>
      <w:r w:rsidRPr="00D86B89">
        <w:rPr>
          <w:i/>
        </w:rPr>
        <w:t>International Journal of Epidemiology, 48</w:t>
      </w:r>
      <w:r w:rsidRPr="00D86B89">
        <w:t>(1), 14-14j. doi:10.1093/ije/dyy227</w:t>
      </w:r>
    </w:p>
    <w:p w14:paraId="019A5B92" w14:textId="3E0414B7" w:rsidR="00D86B89" w:rsidRPr="00D86B89" w:rsidRDefault="00D86B89" w:rsidP="00D86B89">
      <w:pPr>
        <w:pStyle w:val="EndNoteBibliography"/>
        <w:spacing w:after="0"/>
        <w:ind w:left="720" w:hanging="720"/>
      </w:pPr>
      <w:r w:rsidRPr="00D86B89">
        <w:t xml:space="preserve">Ministry of Employment and Social Welfare Ghana. (2010). </w:t>
      </w:r>
      <w:r w:rsidRPr="00D86B89">
        <w:rPr>
          <w:i/>
        </w:rPr>
        <w:t xml:space="preserve">National Ageing Policy: Ageing With Security And Dignity </w:t>
      </w:r>
      <w:r w:rsidRPr="00D86B89">
        <w:t xml:space="preserve">Retrieved from Accra: </w:t>
      </w:r>
      <w:hyperlink r:id="rId80" w:history="1">
        <w:r w:rsidRPr="00D86B89">
          <w:rPr>
            <w:rStyle w:val="Hyperlink"/>
          </w:rPr>
          <w:t>https://s3.amazonaws.com/ndpc-static/pubication/Ageing+Policy_July+2010.pdf</w:t>
        </w:r>
      </w:hyperlink>
    </w:p>
    <w:p w14:paraId="6B7D3606" w14:textId="27EE3D78" w:rsidR="00D86B89" w:rsidRPr="00D86B89" w:rsidRDefault="00D86B89" w:rsidP="00D86B89">
      <w:pPr>
        <w:pStyle w:val="EndNoteBibliography"/>
        <w:spacing w:after="0"/>
        <w:ind w:left="720" w:hanging="720"/>
      </w:pPr>
      <w:r w:rsidRPr="00D86B89">
        <w:t xml:space="preserve">Ministry of Health Ghana. (2018). </w:t>
      </w:r>
      <w:r w:rsidRPr="00D86B89">
        <w:rPr>
          <w:i/>
        </w:rPr>
        <w:t>NHIS guide to mobile renewal</w:t>
      </w:r>
      <w:r w:rsidRPr="00D86B89">
        <w:t xml:space="preserve">. Retrieved from Accra: </w:t>
      </w:r>
      <w:hyperlink r:id="rId81" w:history="1">
        <w:r w:rsidRPr="00D86B89">
          <w:rPr>
            <w:rStyle w:val="Hyperlink"/>
          </w:rPr>
          <w:t>https://www.google.com/url?client=internal-element-cse&amp;cx=010311583774679127395:grfp2yhj90w&amp;q=http://www.nhis.gov.gh/files/NHIS%2520Mobile_Renewal_Information_Pack_and_Guide.pdf&amp;sa=U&amp;ved=2ahUKEwiF9YzZ9qDrAhUD-aQKHeJABoMQFjAHegQIBhAB&amp;usg=AOvVaw3OI_2zq8GaBm5Wfxiyx5km</w:t>
        </w:r>
      </w:hyperlink>
    </w:p>
    <w:p w14:paraId="42E89346" w14:textId="77777777" w:rsidR="00D86B89" w:rsidRPr="00D86B89" w:rsidRDefault="00D86B89" w:rsidP="00D86B89">
      <w:pPr>
        <w:pStyle w:val="EndNoteBibliography"/>
        <w:spacing w:after="0"/>
        <w:ind w:left="720" w:hanging="720"/>
      </w:pPr>
      <w:r w:rsidRPr="00D86B89">
        <w:lastRenderedPageBreak/>
        <w:t xml:space="preserve">Mkhize, X., Napier, C., &amp; Oldewage-Theron, W. (2013). The nutrition situation of free-living elderly in Umlazi township, South Africa. </w:t>
      </w:r>
      <w:r w:rsidRPr="00D86B89">
        <w:rPr>
          <w:i/>
        </w:rPr>
        <w:t>Health SA Gesondheid, 18</w:t>
      </w:r>
      <w:r w:rsidRPr="00D86B89">
        <w:t>(1), 1-8. doi:10.4102/hsag.v18i1.656</w:t>
      </w:r>
    </w:p>
    <w:p w14:paraId="6517A342" w14:textId="77777777" w:rsidR="00D86B89" w:rsidRPr="00D86B89" w:rsidRDefault="00D86B89" w:rsidP="00D86B89">
      <w:pPr>
        <w:pStyle w:val="EndNoteBibliography"/>
        <w:spacing w:after="0"/>
        <w:ind w:left="720" w:hanging="720"/>
      </w:pPr>
      <w:r w:rsidRPr="00D86B89">
        <w:t xml:space="preserve">Moayyeri, A., Hart, D. J., Snieder, H., Hammond, C. J., Spector, T. D., &amp; Steves, C. J. (2016). Aging Trajectories in Different Body Systems Share Common Environmental Etiology: The Healthy Aging Twin Study (HATS). </w:t>
      </w:r>
      <w:r w:rsidRPr="00D86B89">
        <w:rPr>
          <w:i/>
        </w:rPr>
        <w:t>Twin Research and Human Genetics, 19</w:t>
      </w:r>
      <w:r w:rsidRPr="00D86B89">
        <w:t xml:space="preserve">(1), 27-34. </w:t>
      </w:r>
    </w:p>
    <w:p w14:paraId="17930F06" w14:textId="77777777" w:rsidR="00D86B89" w:rsidRPr="00D86B89" w:rsidRDefault="00D86B89" w:rsidP="00D86B89">
      <w:pPr>
        <w:pStyle w:val="EndNoteBibliography"/>
        <w:spacing w:after="0"/>
        <w:ind w:left="720" w:hanging="720"/>
      </w:pPr>
      <w:r w:rsidRPr="00D86B89">
        <w:t xml:space="preserve">Modesti, P. A., Rapi, S., Bamoshmoosh, M., Baldereschi, M., Massetti, L., Padeletti, L., . . . Al Goshae, H. (2012). Impact of one or two visits strategy on hypertension burden estimation in HYDY, a population-based cross-sectional study: implications for healthcare resource allocation decision making. </w:t>
      </w:r>
      <w:r w:rsidRPr="00D86B89">
        <w:rPr>
          <w:i/>
        </w:rPr>
        <w:t>BMJ Open, 2</w:t>
      </w:r>
      <w:r w:rsidRPr="00D86B89">
        <w:t>(4). doi:10.1136/bmjopen-2012-001062</w:t>
      </w:r>
    </w:p>
    <w:p w14:paraId="38CC60E9" w14:textId="5926ABA8" w:rsidR="00D86B89" w:rsidRPr="00D86B89" w:rsidRDefault="00D86B89" w:rsidP="00D86B89">
      <w:pPr>
        <w:pStyle w:val="EndNoteBibliography"/>
        <w:spacing w:after="0"/>
        <w:ind w:left="720" w:hanging="720"/>
      </w:pPr>
      <w:r w:rsidRPr="00D86B89">
        <w:t xml:space="preserve">MoGCSP Ghana. (2019). Programmes and interventions for the aged (Ghana). </w:t>
      </w:r>
      <w:r w:rsidRPr="00D86B89">
        <w:rPr>
          <w:i/>
        </w:rPr>
        <w:t>2019</w:t>
      </w:r>
      <w:r w:rsidRPr="00D86B89">
        <w:t xml:space="preserve">(21 December). Retrieved from </w:t>
      </w:r>
      <w:hyperlink r:id="rId82" w:history="1">
        <w:r w:rsidRPr="00D86B89">
          <w:rPr>
            <w:rStyle w:val="Hyperlink"/>
          </w:rPr>
          <w:t>http://mogcsp.gov.gh/index.php/projects/programmes-and-interventions-for-the-aged-ghana/</w:t>
        </w:r>
      </w:hyperlink>
    </w:p>
    <w:p w14:paraId="1ACEADED" w14:textId="07D1C73F" w:rsidR="00D86B89" w:rsidRPr="00D86B89" w:rsidRDefault="00D86B89" w:rsidP="00D86B89">
      <w:pPr>
        <w:pStyle w:val="EndNoteBibliography"/>
        <w:spacing w:after="0"/>
        <w:ind w:left="720" w:hanging="720"/>
      </w:pPr>
      <w:r w:rsidRPr="00D86B89">
        <w:t xml:space="preserve">MOH Ghana. (2012). </w:t>
      </w:r>
      <w:r w:rsidRPr="00D86B89">
        <w:rPr>
          <w:i/>
        </w:rPr>
        <w:t>National policy for the prevention and control of chronic non-communicable diseases in Ghana</w:t>
      </w:r>
      <w:r w:rsidRPr="00D86B89">
        <w:t xml:space="preserve">. Retrieved from Accra: </w:t>
      </w:r>
      <w:hyperlink r:id="rId83" w:history="1">
        <w:r w:rsidRPr="00D86B89">
          <w:rPr>
            <w:rStyle w:val="Hyperlink"/>
          </w:rPr>
          <w:t>https://www.iccp-portal.org/sites/default/files/plans/national_policy_for_the_prevention_and_control_of_chronic_non-communicable_diseases_in_ghana%281%29.pdf</w:t>
        </w:r>
      </w:hyperlink>
    </w:p>
    <w:p w14:paraId="1D7928B2" w14:textId="611E8D21" w:rsidR="00D86B89" w:rsidRPr="00D86B89" w:rsidRDefault="00D86B89" w:rsidP="00D86B89">
      <w:pPr>
        <w:pStyle w:val="EndNoteBibliography"/>
        <w:spacing w:after="0"/>
        <w:ind w:left="720" w:hanging="720"/>
      </w:pPr>
      <w:r w:rsidRPr="00D86B89">
        <w:t xml:space="preserve">MOH Ghana. (2014a). </w:t>
      </w:r>
      <w:r w:rsidRPr="00D86B89">
        <w:rPr>
          <w:i/>
        </w:rPr>
        <w:t>The Health Sector Medium-Term Development Plan 2014 -2017</w:t>
      </w:r>
      <w:r w:rsidRPr="00D86B89">
        <w:t xml:space="preserve">. Retrieved from Accra: </w:t>
      </w:r>
      <w:hyperlink r:id="rId84" w:history="1">
        <w:r w:rsidRPr="00D86B89">
          <w:rPr>
            <w:rStyle w:val="Hyperlink"/>
          </w:rPr>
          <w:t>https://s3.amazonaws.com/ndpc-static/CACHES/PUBLICATIONS/2016/07/15/FINAL+HSMTDP-MOH+20th+December+2014.pdf</w:t>
        </w:r>
      </w:hyperlink>
    </w:p>
    <w:p w14:paraId="18590F0C" w14:textId="20163C28" w:rsidR="00D86B89" w:rsidRPr="00D86B89" w:rsidRDefault="00D86B89" w:rsidP="00D86B89">
      <w:pPr>
        <w:pStyle w:val="EndNoteBibliography"/>
        <w:spacing w:after="0"/>
        <w:ind w:left="720" w:hanging="720"/>
      </w:pPr>
      <w:r w:rsidRPr="00D86B89">
        <w:t xml:space="preserve">MOH Ghana. (2014b). </w:t>
      </w:r>
      <w:r w:rsidRPr="00D86B89">
        <w:rPr>
          <w:i/>
        </w:rPr>
        <w:t xml:space="preserve">Holistic Assessment of the Health Sector Programme of Work 2013 </w:t>
      </w:r>
      <w:r w:rsidRPr="00D86B89">
        <w:t xml:space="preserve">Retrieved from Accra: </w:t>
      </w:r>
      <w:hyperlink r:id="rId85" w:history="1">
        <w:r w:rsidRPr="00D86B89">
          <w:rPr>
            <w:rStyle w:val="Hyperlink"/>
          </w:rPr>
          <w:t>http://www.moh.gov.gh/wp-content/uploads/2016/02/Holistic-Assessment-Report-June-2014140811072318.pdf</w:t>
        </w:r>
      </w:hyperlink>
    </w:p>
    <w:p w14:paraId="3BA53163" w14:textId="07487A40" w:rsidR="00D86B89" w:rsidRPr="00D86B89" w:rsidRDefault="00D86B89" w:rsidP="00D86B89">
      <w:pPr>
        <w:pStyle w:val="EndNoteBibliography"/>
        <w:spacing w:after="0"/>
        <w:ind w:left="720" w:hanging="720"/>
      </w:pPr>
      <w:r w:rsidRPr="00D86B89">
        <w:t xml:space="preserve">MOH Ghana. (2018). </w:t>
      </w:r>
      <w:r w:rsidRPr="00D86B89">
        <w:rPr>
          <w:i/>
        </w:rPr>
        <w:t>Holistic assessment of 2017 health sector programme of work</w:t>
      </w:r>
      <w:r w:rsidRPr="00D86B89">
        <w:t xml:space="preserve">. Retrieved from Accra: </w:t>
      </w:r>
      <w:hyperlink r:id="rId86" w:history="1">
        <w:r w:rsidRPr="00D86B89">
          <w:rPr>
            <w:rStyle w:val="Hyperlink"/>
          </w:rPr>
          <w:t>http://www.moh.gov.gh/wp-content/uploads/2018/09/2017-Holistic-Assessment-Report_Final_09.08.2018.pdf</w:t>
        </w:r>
      </w:hyperlink>
    </w:p>
    <w:p w14:paraId="6BC0A9FB" w14:textId="77777777" w:rsidR="00D86B89" w:rsidRPr="00D86B89" w:rsidRDefault="00D86B89" w:rsidP="00D86B89">
      <w:pPr>
        <w:pStyle w:val="EndNoteBibliography"/>
        <w:spacing w:after="0"/>
        <w:ind w:left="720" w:hanging="720"/>
      </w:pPr>
      <w:r w:rsidRPr="00D86B89">
        <w:t xml:space="preserve">Montross, L. P., Depp, C., Daly, J., Reichstadt, J., Golshan, S., Moore, D., . . . Jeste, D. V. (2006). Correlates of self-rated successful aging among community-dwelling older adults. </w:t>
      </w:r>
      <w:r w:rsidRPr="00D86B89">
        <w:rPr>
          <w:i/>
        </w:rPr>
        <w:t>The American Journal of Geriatric Psychiatry, 14</w:t>
      </w:r>
      <w:r w:rsidRPr="00D86B89">
        <w:t xml:space="preserve">(1), 43-51. </w:t>
      </w:r>
    </w:p>
    <w:p w14:paraId="7A62256B" w14:textId="77777777" w:rsidR="00D86B89" w:rsidRPr="00D86B89" w:rsidRDefault="00D86B89" w:rsidP="00D86B89">
      <w:pPr>
        <w:pStyle w:val="EndNoteBibliography"/>
        <w:spacing w:after="0"/>
        <w:ind w:left="720" w:hanging="720"/>
      </w:pPr>
      <w:r w:rsidRPr="00D86B89">
        <w:t xml:space="preserve">Morgan, S., Eyles, C., Adongo, P., Roderick, P., &amp; Hill, A. (2018). Women living with multi-morbidity in the Greater Accra Region of Ghana: A qualitative study guided by the Cumulative Complexity Model. </w:t>
      </w:r>
      <w:r w:rsidRPr="00D86B89">
        <w:rPr>
          <w:i/>
        </w:rPr>
        <w:t>Journal of Biosocial Science, 51</w:t>
      </w:r>
      <w:r w:rsidRPr="00D86B89">
        <w:t>, 1-16. doi:10.1017/S0021932018000342</w:t>
      </w:r>
    </w:p>
    <w:p w14:paraId="62FBB0C0" w14:textId="77777777" w:rsidR="00D86B89" w:rsidRPr="00D86B89" w:rsidRDefault="00D86B89" w:rsidP="00D86B89">
      <w:pPr>
        <w:pStyle w:val="EndNoteBibliography"/>
        <w:spacing w:after="0"/>
        <w:ind w:left="720" w:hanging="720"/>
      </w:pPr>
      <w:r w:rsidRPr="00D86B89">
        <w:t xml:space="preserve">Mugisha, J. O., Baisley, K., Asiki, G., Seeley, J., &amp; Kuper, H. (2013). Prevalence, Types, Risk Factors and Clinical Correlates of Anaemia in Older People in a Rural Ugandan Population. </w:t>
      </w:r>
      <w:r w:rsidRPr="00D86B89">
        <w:rPr>
          <w:i/>
        </w:rPr>
        <w:t>PLoS One, 8</w:t>
      </w:r>
      <w:r w:rsidRPr="00D86B89">
        <w:t>(10), 1-1. doi:10.1371/journal.pone.0078394</w:t>
      </w:r>
    </w:p>
    <w:p w14:paraId="4B886D09" w14:textId="0241F9C1" w:rsidR="00D86B89" w:rsidRPr="00D86B89" w:rsidRDefault="00D86B89" w:rsidP="00D86B89">
      <w:pPr>
        <w:pStyle w:val="EndNoteBibliography"/>
        <w:spacing w:after="0"/>
        <w:ind w:left="720" w:hanging="720"/>
      </w:pPr>
      <w:r w:rsidRPr="00D86B89">
        <w:t xml:space="preserve">Nantomah, B., &amp; Adoma, P. O. (2015). Population ageing and formal support system available for the elderly in Ghana. </w:t>
      </w:r>
      <w:r w:rsidRPr="00D86B89">
        <w:rPr>
          <w:i/>
        </w:rPr>
        <w:t>Journal of Scientific Research and Studies, 2</w:t>
      </w:r>
      <w:r w:rsidRPr="00D86B89">
        <w:t xml:space="preserve">(1), 16-28. Retrieved from </w:t>
      </w:r>
      <w:hyperlink r:id="rId87" w:history="1">
        <w:r w:rsidRPr="00D86B89">
          <w:rPr>
            <w:rStyle w:val="Hyperlink"/>
          </w:rPr>
          <w:t>http://www.modernrespub.org/jsrs/pdf/2015/January/Nantomah%20and%20Adoma.pdf</w:t>
        </w:r>
      </w:hyperlink>
    </w:p>
    <w:p w14:paraId="154272AA" w14:textId="24718102" w:rsidR="00D86B89" w:rsidRPr="00D86B89" w:rsidRDefault="00D86B89" w:rsidP="00D86B89">
      <w:pPr>
        <w:pStyle w:val="EndNoteBibliography"/>
        <w:spacing w:after="0"/>
        <w:ind w:left="720" w:hanging="720"/>
      </w:pPr>
      <w:r w:rsidRPr="00D86B89">
        <w:t xml:space="preserve">NCD Risk Factor Collaboration. (2017). Ghana country profile. </w:t>
      </w:r>
      <w:r w:rsidRPr="00D86B89">
        <w:rPr>
          <w:i/>
        </w:rPr>
        <w:t>2019</w:t>
      </w:r>
      <w:r w:rsidRPr="00D86B89">
        <w:t xml:space="preserve">(1 July). Retrieved from </w:t>
      </w:r>
      <w:hyperlink r:id="rId88" w:history="1">
        <w:r w:rsidRPr="00D86B89">
          <w:rPr>
            <w:rStyle w:val="Hyperlink"/>
          </w:rPr>
          <w:t>http://ncdrisc.org/downloads/bp/individual-countries/Ghana.csv</w:t>
        </w:r>
      </w:hyperlink>
    </w:p>
    <w:p w14:paraId="730B88EE" w14:textId="77777777" w:rsidR="00D86B89" w:rsidRPr="00D86B89" w:rsidRDefault="00D86B89" w:rsidP="00D86B89">
      <w:pPr>
        <w:pStyle w:val="EndNoteBibliography"/>
        <w:spacing w:after="0"/>
        <w:ind w:left="720" w:hanging="720"/>
      </w:pPr>
      <w:r w:rsidRPr="00D86B89">
        <w:t xml:space="preserve">Negin, J., Cumming, R., de Ramirez, S. S., Abimbola, S., &amp; Sachs, S. E. (2011). Risk factors for non-communicable diseases among older adults in rural Africa. </w:t>
      </w:r>
      <w:r w:rsidRPr="00D86B89">
        <w:rPr>
          <w:i/>
        </w:rPr>
        <w:t>Tropical Medicine &amp; International Health, 16</w:t>
      </w:r>
      <w:r w:rsidRPr="00D86B89">
        <w:t>(5), 640-646. doi:10.1111/j.1365-3156.2011.02739.x</w:t>
      </w:r>
    </w:p>
    <w:p w14:paraId="271D44C2" w14:textId="77777777" w:rsidR="00D86B89" w:rsidRPr="00D86B89" w:rsidRDefault="00D86B89" w:rsidP="00D86B89">
      <w:pPr>
        <w:pStyle w:val="EndNoteBibliography"/>
        <w:spacing w:after="0"/>
        <w:ind w:left="720" w:hanging="720"/>
      </w:pPr>
      <w:r w:rsidRPr="00D86B89">
        <w:t xml:space="preserve">Nelissen, H. E., Hendriks, M. E., Wit, F. W., Bolarinwa, O. A., Osagbemi, G. K., Bindraban, N. R., . . . Brewster, L. M. (2014). Target organ damage among hypertensive adults in rural </w:t>
      </w:r>
      <w:r w:rsidRPr="00D86B89">
        <w:lastRenderedPageBreak/>
        <w:t xml:space="preserve">Nigeria: a cross-sectional study. </w:t>
      </w:r>
      <w:r w:rsidRPr="00D86B89">
        <w:rPr>
          <w:i/>
        </w:rPr>
        <w:t>Journal of Hypertension, 32</w:t>
      </w:r>
      <w:r w:rsidRPr="00D86B89">
        <w:t>(3), 487-494. doi:10.1097/hjh.0000000000000056</w:t>
      </w:r>
    </w:p>
    <w:p w14:paraId="3A3D5224" w14:textId="77777777" w:rsidR="00D86B89" w:rsidRPr="00D86B89" w:rsidRDefault="00D86B89" w:rsidP="00D86B89">
      <w:pPr>
        <w:pStyle w:val="EndNoteBibliography"/>
        <w:spacing w:after="0"/>
        <w:ind w:left="720" w:hanging="720"/>
      </w:pPr>
      <w:r w:rsidRPr="00D86B89">
        <w:t xml:space="preserve">Nguyen, K. A., Peer, N., Mills, E. J., &amp; Kengne, A. P. (2016). A Meta-Analysis of the Metabolic Syndrome Prevalence in the Global HIV-Infected Population. </w:t>
      </w:r>
      <w:r w:rsidRPr="00D86B89">
        <w:rPr>
          <w:i/>
        </w:rPr>
        <w:t>PLoS One, 11</w:t>
      </w:r>
      <w:r w:rsidRPr="00D86B89">
        <w:t>(3), e0150970. doi:10.1371/journal.pone.0150970</w:t>
      </w:r>
    </w:p>
    <w:p w14:paraId="6D558027" w14:textId="77777777" w:rsidR="00D86B89" w:rsidRPr="00D86B89" w:rsidRDefault="00D86B89" w:rsidP="00D86B89">
      <w:pPr>
        <w:pStyle w:val="EndNoteBibliography"/>
        <w:spacing w:after="0"/>
        <w:ind w:left="720" w:hanging="720"/>
      </w:pPr>
      <w:r w:rsidRPr="00D86B89">
        <w:t xml:space="preserve">Nuertey, B. D., Alhassan, A. I., Nuertey, A. D., Mensah, I. A., Adongo, V., Kabutey, C., . . . Biritwum, R. B. (2017). Prevalence of obesity and overweight and its associated factors among registered pensioners in Ghana; a cross sectional studies. </w:t>
      </w:r>
      <w:r w:rsidRPr="00D86B89">
        <w:rPr>
          <w:i/>
        </w:rPr>
        <w:t>BMC Obesity, 4</w:t>
      </w:r>
      <w:r w:rsidRPr="00D86B89">
        <w:t>, 1-12. doi:10.1186/s40608-017-0162-4</w:t>
      </w:r>
    </w:p>
    <w:p w14:paraId="545B1EA9" w14:textId="34DC6981" w:rsidR="00D86B89" w:rsidRPr="00D86B89" w:rsidRDefault="00D86B89" w:rsidP="00D86B89">
      <w:pPr>
        <w:pStyle w:val="EndNoteBibliography"/>
        <w:spacing w:after="0"/>
        <w:ind w:left="720" w:hanging="720"/>
      </w:pPr>
      <w:r w:rsidRPr="00D86B89">
        <w:t xml:space="preserve">Nunoo, B. (2018). </w:t>
      </w:r>
      <w:r w:rsidRPr="00D86B89">
        <w:rPr>
          <w:i/>
        </w:rPr>
        <w:t>Eating Out: Nutrition and Health Implications.</w:t>
      </w:r>
      <w:r w:rsidRPr="00D86B89">
        <w:t xml:space="preserve"> (Retrieved from </w:t>
      </w:r>
      <w:hyperlink r:id="rId89" w:history="1">
        <w:r w:rsidRPr="00D86B89">
          <w:rPr>
            <w:rStyle w:val="Hyperlink"/>
          </w:rPr>
          <w:t>http://ugspace.ug.edu.gh/bitstream/handle/123456789/31185/Eating%20Out-%20Nutrition%20and%20Health%20Implications.pdf?sequence=1</w:t>
        </w:r>
      </w:hyperlink>
      <w:r w:rsidRPr="00D86B89">
        <w:t xml:space="preserve"> MPhil Nutrition). University of Ghana, Accra. Retrieved from </w:t>
      </w:r>
      <w:hyperlink r:id="rId90" w:history="1">
        <w:r w:rsidRPr="00D86B89">
          <w:rPr>
            <w:rStyle w:val="Hyperlink"/>
          </w:rPr>
          <w:t>http://ugspace.ug.edu.gh/bitstream/handle/123456789/31185/Eating%20Out-%20Nutrition%20and%20Health%20Implications.pdf?sequence=1</w:t>
        </w:r>
      </w:hyperlink>
      <w:r w:rsidRPr="00D86B89">
        <w:t xml:space="preserve"> </w:t>
      </w:r>
    </w:p>
    <w:p w14:paraId="1FB0DBAE" w14:textId="77777777" w:rsidR="00D86B89" w:rsidRPr="00D86B89" w:rsidRDefault="00D86B89" w:rsidP="00D86B89">
      <w:pPr>
        <w:pStyle w:val="EndNoteBibliography"/>
        <w:spacing w:after="0"/>
        <w:ind w:left="720" w:hanging="720"/>
      </w:pPr>
      <w:r w:rsidRPr="00920AA1">
        <w:rPr>
          <w:lang w:val="fr-FR"/>
        </w:rPr>
        <w:t xml:space="preserve">Nyaaba, G. N., Masana, L., de-Graft Aikins, A., Beune, E., &amp; Agyemang, C. (2020). </w:t>
      </w:r>
      <w:r w:rsidRPr="00D86B89">
        <w:t xml:space="preserve">Factors hindering hypertension control: perspectives of front-line health professionals in rural Ghana. </w:t>
      </w:r>
      <w:r w:rsidRPr="00D86B89">
        <w:rPr>
          <w:i/>
        </w:rPr>
        <w:t>Public Health, 181</w:t>
      </w:r>
      <w:r w:rsidRPr="00D86B89">
        <w:t>, 16-23. doi:10.1016/j.puhe.2019.11.007</w:t>
      </w:r>
    </w:p>
    <w:p w14:paraId="76E66A73" w14:textId="77777777" w:rsidR="00D86B89" w:rsidRPr="00D86B89" w:rsidRDefault="00D86B89" w:rsidP="00D86B89">
      <w:pPr>
        <w:pStyle w:val="EndNoteBibliography"/>
        <w:spacing w:after="0"/>
        <w:ind w:left="720" w:hanging="720"/>
      </w:pPr>
      <w:r w:rsidRPr="00D86B89">
        <w:t xml:space="preserve">Nyaga, V. N., Arbyn, M., &amp; Aerts, M. (2014). Metaprop: a Stata command to perform meta-analysis of binomial data. </w:t>
      </w:r>
      <w:r w:rsidRPr="00D86B89">
        <w:rPr>
          <w:i/>
        </w:rPr>
        <w:t>Archives of Public Health, 72</w:t>
      </w:r>
      <w:r w:rsidRPr="00D86B89">
        <w:t>(1), 39. doi:10.1186/2049-3258-72-39</w:t>
      </w:r>
    </w:p>
    <w:p w14:paraId="1C3208BB" w14:textId="77777777" w:rsidR="00D86B89" w:rsidRPr="00D86B89" w:rsidRDefault="00D86B89" w:rsidP="00D86B89">
      <w:pPr>
        <w:pStyle w:val="EndNoteBibliography"/>
        <w:spacing w:after="0"/>
        <w:ind w:left="720" w:hanging="720"/>
      </w:pPr>
      <w:r w:rsidRPr="00D86B89">
        <w:t xml:space="preserve">Nyarko, S. H. (2016). Prevalence and Sociodemographic Determinants of Hypertension History among Women in Reproductive Age in Ghana. </w:t>
      </w:r>
      <w:r w:rsidRPr="00D86B89">
        <w:rPr>
          <w:i/>
        </w:rPr>
        <w:t>International Journal of Hypertension, 2016</w:t>
      </w:r>
      <w:r w:rsidRPr="00D86B89">
        <w:t>, 6. doi:10.1155/2016/3292938</w:t>
      </w:r>
    </w:p>
    <w:p w14:paraId="419B51F9" w14:textId="77777777" w:rsidR="00D86B89" w:rsidRPr="00D86B89" w:rsidRDefault="00D86B89" w:rsidP="00D86B89">
      <w:pPr>
        <w:pStyle w:val="EndNoteBibliography"/>
        <w:spacing w:after="0"/>
        <w:ind w:left="720" w:hanging="720"/>
      </w:pPr>
      <w:r w:rsidRPr="00D86B89">
        <w:t xml:space="preserve">Nyonator, F. K., Awoonor-Williams, J. K., Phillips, J. F., Jones, T. C., &amp; Miller, R. A. (2005). The Ghana Community-based Health Planning and Services Initiative for scaling up service delivery innovation. </w:t>
      </w:r>
      <w:r w:rsidRPr="00D86B89">
        <w:rPr>
          <w:i/>
        </w:rPr>
        <w:t>Health Policy Plan, 20</w:t>
      </w:r>
      <w:r w:rsidRPr="00D86B89">
        <w:t>(1), 25-34. doi:10.1093/heapol/czi003</w:t>
      </w:r>
    </w:p>
    <w:p w14:paraId="7593EDD8" w14:textId="77777777" w:rsidR="00D86B89" w:rsidRPr="00D86B89" w:rsidRDefault="00D86B89" w:rsidP="00D86B89">
      <w:pPr>
        <w:pStyle w:val="EndNoteBibliography"/>
        <w:spacing w:after="0"/>
        <w:ind w:left="720" w:hanging="720"/>
      </w:pPr>
      <w:r w:rsidRPr="00D86B89">
        <w:t xml:space="preserve">O'Brien, E., Asmar, R., Beilin, L., Imai, Y., Mallion, J.-M., Mancia, G., . . . Palatini, P. (2003). European Society of Hypertension recommendations for conventional, ambulatory and home blood pressure measurement. </w:t>
      </w:r>
      <w:r w:rsidRPr="00D86B89">
        <w:rPr>
          <w:i/>
        </w:rPr>
        <w:t>Journal of Hypertension, 21</w:t>
      </w:r>
      <w:r w:rsidRPr="00D86B89">
        <w:t xml:space="preserve">(5), 821-848. </w:t>
      </w:r>
    </w:p>
    <w:p w14:paraId="111E2E60" w14:textId="2CDCFD92" w:rsidR="00D86B89" w:rsidRPr="00D86B89" w:rsidRDefault="00D86B89" w:rsidP="00D86B89">
      <w:pPr>
        <w:pStyle w:val="EndNoteBibliography"/>
        <w:spacing w:after="0"/>
        <w:ind w:left="720" w:hanging="720"/>
      </w:pPr>
      <w:r w:rsidRPr="00D86B89">
        <w:t xml:space="preserve">O’Halloran, S. (2005). </w:t>
      </w:r>
      <w:r w:rsidRPr="00D86B89">
        <w:rPr>
          <w:i/>
        </w:rPr>
        <w:t>Econometrics II Lecture 10: logistical regression II—multinomial data.</w:t>
      </w:r>
      <w:r w:rsidRPr="00D86B89">
        <w:t xml:space="preserve"> Retrieved from New York: </w:t>
      </w:r>
      <w:hyperlink r:id="rId91" w:history="1">
        <w:r w:rsidRPr="00D86B89">
          <w:rPr>
            <w:rStyle w:val="Hyperlink"/>
          </w:rPr>
          <w:t>http://www.columbia.edu/~so33/SusDev/Lecture_10.pdf</w:t>
        </w:r>
      </w:hyperlink>
    </w:p>
    <w:p w14:paraId="2094BAC8" w14:textId="77777777" w:rsidR="00D86B89" w:rsidRPr="00D86B89" w:rsidRDefault="00D86B89" w:rsidP="00D86B89">
      <w:pPr>
        <w:pStyle w:val="EndNoteBibliography"/>
        <w:spacing w:after="0"/>
        <w:ind w:left="720" w:hanging="720"/>
      </w:pPr>
      <w:r w:rsidRPr="00D86B89">
        <w:t xml:space="preserve">Ocansey, S., Kumi-Kyereme, A., Awusabo-Asare, K., Ilechie, A. A., Boadi-Kusi, S. B., &amp; Abraham, C. H. (2013). Utilization of eye care services among Ghanaian elderly population: Evidence from a peri-urban community. </w:t>
      </w:r>
      <w:r w:rsidRPr="00D86B89">
        <w:rPr>
          <w:i/>
        </w:rPr>
        <w:t>Ophthalmology Research: An International Journal, 1</w:t>
      </w:r>
      <w:r w:rsidRPr="00D86B89">
        <w:t xml:space="preserve">(2), 89-101. </w:t>
      </w:r>
    </w:p>
    <w:p w14:paraId="772410AB" w14:textId="77777777" w:rsidR="00D86B89" w:rsidRPr="00D86B89" w:rsidRDefault="00D86B89" w:rsidP="00D86B89">
      <w:pPr>
        <w:pStyle w:val="EndNoteBibliography"/>
        <w:spacing w:after="0"/>
        <w:ind w:left="720" w:hanging="720"/>
      </w:pPr>
      <w:r w:rsidRPr="00D86B89">
        <w:t xml:space="preserve">Ochayi, B., &amp; Thacher, T. (2006). Risk factors for dementia in central Nigeria. </w:t>
      </w:r>
      <w:r w:rsidRPr="00D86B89">
        <w:rPr>
          <w:i/>
        </w:rPr>
        <w:t>Aging Mental Health, 10</w:t>
      </w:r>
      <w:r w:rsidRPr="00D86B89">
        <w:t xml:space="preserve">(6), 616-620. </w:t>
      </w:r>
    </w:p>
    <w:p w14:paraId="6BD0819C" w14:textId="77777777" w:rsidR="00D86B89" w:rsidRPr="00D86B89" w:rsidRDefault="00D86B89" w:rsidP="00D86B89">
      <w:pPr>
        <w:pStyle w:val="EndNoteBibliography"/>
        <w:spacing w:after="0"/>
        <w:ind w:left="720" w:hanging="720"/>
      </w:pPr>
      <w:r w:rsidRPr="00D86B89">
        <w:t xml:space="preserve">Ofori-Asenso, R., Agyeman, A. A., Laar, A., &amp; Boateng, D. (2016). Overweight and obesity epidemic in Ghana—a systematic review and meta-analysis. </w:t>
      </w:r>
      <w:r w:rsidRPr="00D86B89">
        <w:rPr>
          <w:i/>
        </w:rPr>
        <w:t>BMC Public Health, 16</w:t>
      </w:r>
      <w:r w:rsidRPr="00D86B89">
        <w:t xml:space="preserve">(1), 1239. </w:t>
      </w:r>
    </w:p>
    <w:p w14:paraId="6FBC4373" w14:textId="77777777" w:rsidR="00D86B89" w:rsidRPr="00D86B89" w:rsidRDefault="00D86B89" w:rsidP="00D86B89">
      <w:pPr>
        <w:pStyle w:val="EndNoteBibliography"/>
        <w:spacing w:after="0"/>
        <w:ind w:left="720" w:hanging="720"/>
      </w:pPr>
      <w:r w:rsidRPr="00D86B89">
        <w:t xml:space="preserve">Ogedegbe, G., Gyamfi, J., Plange-Rhule, J., Surkis, A., Rosenthal, D. M., Airhihenbuwa, C., . . . Cooper, R. (2014). Task shifting interventions for cardiovascular risk reduction in low-income and middle-income countries: a systematic review of randomised controlled trials. </w:t>
      </w:r>
      <w:r w:rsidRPr="00D86B89">
        <w:rPr>
          <w:i/>
        </w:rPr>
        <w:t>BMJ Open, 4</w:t>
      </w:r>
      <w:r w:rsidRPr="00D86B89">
        <w:t>(10), e005983. doi:10.1136/bmjopen-2014-005983</w:t>
      </w:r>
    </w:p>
    <w:p w14:paraId="0F0806FE" w14:textId="77777777" w:rsidR="00D86B89" w:rsidRPr="00D86B89" w:rsidRDefault="00D86B89" w:rsidP="00D86B89">
      <w:pPr>
        <w:pStyle w:val="EndNoteBibliography"/>
        <w:spacing w:after="0"/>
        <w:ind w:left="720" w:hanging="720"/>
      </w:pPr>
      <w:r w:rsidRPr="00D86B89">
        <w:t xml:space="preserve">Ogedegbe, G., Plange-Rhule, J., Gyamfi, J., Chaplin, W., Ntim, M., Apusiga, K., . . . Cooper, R. (2018). Health insurance coverage with or without a nurse-led task shifting strategy for hypertension control: A pragmatic cluster randomized trial in Ghana. </w:t>
      </w:r>
      <w:r w:rsidRPr="00D86B89">
        <w:rPr>
          <w:i/>
        </w:rPr>
        <w:t>PLoS Med, 15</w:t>
      </w:r>
      <w:r w:rsidRPr="00D86B89">
        <w:t>(5), e1002561. doi:10.1371/journal.pmed.1002561</w:t>
      </w:r>
    </w:p>
    <w:p w14:paraId="20119C8C" w14:textId="5EF8FC89" w:rsidR="00D86B89" w:rsidRPr="00D86B89" w:rsidRDefault="00D86B89" w:rsidP="00D86B89">
      <w:pPr>
        <w:pStyle w:val="EndNoteBibliography"/>
        <w:spacing w:after="0"/>
        <w:ind w:left="720" w:hanging="720"/>
      </w:pPr>
      <w:r w:rsidRPr="00D86B89">
        <w:t xml:space="preserve">Ogunniyi, A., Lane, K. A., Baiyewu, O., Gao, S., Gureje, O., Unverzagt, F. W., . . . Hendrie, H. C. (2011). Hypertension and incident dementia in community-dwelling elderly Yoruba </w:t>
      </w:r>
      <w:r w:rsidRPr="00D86B89">
        <w:lastRenderedPageBreak/>
        <w:t xml:space="preserve">Nigerians. </w:t>
      </w:r>
      <w:r w:rsidRPr="00D86B89">
        <w:rPr>
          <w:i/>
        </w:rPr>
        <w:t>Acta Neurologica Scandinavica, 124</w:t>
      </w:r>
      <w:r w:rsidRPr="00D86B89">
        <w:t>(6), 396-402. doi:</w:t>
      </w:r>
      <w:hyperlink r:id="rId92" w:history="1">
        <w:r w:rsidRPr="00D86B89">
          <w:rPr>
            <w:rStyle w:val="Hyperlink"/>
          </w:rPr>
          <w:t>http://dx.doi.org/10.1111/j.1600-0404.2011.01491.x</w:t>
        </w:r>
      </w:hyperlink>
    </w:p>
    <w:p w14:paraId="0E1702E2" w14:textId="77777777" w:rsidR="00D86B89" w:rsidRPr="00D86B89" w:rsidRDefault="00D86B89" w:rsidP="00D86B89">
      <w:pPr>
        <w:pStyle w:val="EndNoteBibliography"/>
        <w:spacing w:after="0"/>
        <w:ind w:left="720" w:hanging="720"/>
      </w:pPr>
      <w:r w:rsidRPr="00D86B89">
        <w:t xml:space="preserve">Ogwumike, F. O., &amp; Aboderin, I. (2005). Exploring the links between old age and poverty in Anglophone West Africa: evidence from Nigeria and Ghana. </w:t>
      </w:r>
      <w:r w:rsidRPr="00D86B89">
        <w:rPr>
          <w:i/>
        </w:rPr>
        <w:t>Generations Review, 15</w:t>
      </w:r>
      <w:r w:rsidRPr="00D86B89">
        <w:t xml:space="preserve">(2), 7-15. </w:t>
      </w:r>
    </w:p>
    <w:p w14:paraId="701D0775" w14:textId="77777777" w:rsidR="00D86B89" w:rsidRPr="00D86B89" w:rsidRDefault="00D86B89" w:rsidP="00D86B89">
      <w:pPr>
        <w:pStyle w:val="EndNoteBibliography"/>
        <w:spacing w:after="0"/>
        <w:ind w:left="720" w:hanging="720"/>
      </w:pPr>
      <w:r w:rsidRPr="00D86B89">
        <w:t xml:space="preserve">Okai, D. E., Manu, A., Amoah, E. M., Laar, A., Akamah, J., &amp; Torpey, K. (2020). Patient-level factors influencing hypertension control in adults in Accra, Ghana. </w:t>
      </w:r>
      <w:r w:rsidRPr="00D86B89">
        <w:rPr>
          <w:i/>
        </w:rPr>
        <w:t>BMC Cardiovascular Disorders, 20</w:t>
      </w:r>
      <w:r w:rsidRPr="00D86B89">
        <w:t>(1), 123-123. doi:10.1186/s12872-020-01370-y</w:t>
      </w:r>
    </w:p>
    <w:p w14:paraId="47D9A08F" w14:textId="77777777" w:rsidR="00D86B89" w:rsidRPr="00D86B89" w:rsidRDefault="00D86B89" w:rsidP="00D86B89">
      <w:pPr>
        <w:pStyle w:val="EndNoteBibliography"/>
        <w:spacing w:after="0"/>
        <w:ind w:left="720" w:hanging="720"/>
      </w:pPr>
      <w:r w:rsidRPr="00D86B89">
        <w:t xml:space="preserve">Olawuyi, A. T., &amp; Adeoye, I. A. (2018). The prevalence and associated factors of non-communicable disease risk factors among civil servants in Ibadan, Nigeria. </w:t>
      </w:r>
      <w:r w:rsidRPr="00D86B89">
        <w:rPr>
          <w:i/>
        </w:rPr>
        <w:t>PLoS One, 13</w:t>
      </w:r>
      <w:r w:rsidRPr="00D86B89">
        <w:t>(9), e0203587. doi:10.1371/journal.pone.0203587</w:t>
      </w:r>
    </w:p>
    <w:p w14:paraId="4038B80D" w14:textId="77777777" w:rsidR="00D86B89" w:rsidRPr="00D86B89" w:rsidRDefault="00D86B89" w:rsidP="00D86B89">
      <w:pPr>
        <w:pStyle w:val="EndNoteBibliography"/>
        <w:spacing w:after="0"/>
        <w:ind w:left="720" w:hanging="720"/>
      </w:pPr>
      <w:r w:rsidRPr="00D86B89">
        <w:t xml:space="preserve">Olsen, M. H., Angell, S. Y., Asma, S., Boutouyrie, P., Burger, D., Chirinos, J. A., . . . Hering, D. (2016). A call to action and a lifecourse strategy to address the global burden of raised blood pressure on current and future generations: the Lancet Commission on hypertension. </w:t>
      </w:r>
      <w:r w:rsidRPr="00D86B89">
        <w:rPr>
          <w:i/>
        </w:rPr>
        <w:t>The Lancet, 388</w:t>
      </w:r>
      <w:r w:rsidRPr="00D86B89">
        <w:t xml:space="preserve">(10060), 2665-2712. </w:t>
      </w:r>
    </w:p>
    <w:p w14:paraId="797FAFA5" w14:textId="77777777" w:rsidR="00D86B89" w:rsidRPr="00D86B89" w:rsidRDefault="00D86B89" w:rsidP="00D86B89">
      <w:pPr>
        <w:pStyle w:val="EndNoteBibliography"/>
        <w:spacing w:after="0"/>
        <w:ind w:left="720" w:hanging="720"/>
      </w:pPr>
      <w:r w:rsidRPr="00D86B89">
        <w:t xml:space="preserve">Ononamadu, C. J., Ezekwesili, C. N., Onyeukwu, O. F., Umeoguaju, U. F., Ezeigwe, O. C., &amp; Ihegboro, G. O. (2017). Comparative analysis of anthropometric indices of obesity as correlates and potential predictors of risk for hypertension and prehypertension in a population in Nigeria. </w:t>
      </w:r>
      <w:r w:rsidRPr="00D86B89">
        <w:rPr>
          <w:i/>
        </w:rPr>
        <w:t>Cardiovascular Journal of Africa, 28</w:t>
      </w:r>
      <w:r w:rsidRPr="00D86B89">
        <w:t>(2), 92-99. doi:10.5830/CVJA-2016-061</w:t>
      </w:r>
    </w:p>
    <w:p w14:paraId="7563FC18" w14:textId="15CD84A3" w:rsidR="00D86B89" w:rsidRPr="00D86B89" w:rsidRDefault="00D86B89" w:rsidP="00D86B89">
      <w:pPr>
        <w:pStyle w:val="EndNoteBibliography"/>
        <w:spacing w:after="0"/>
        <w:ind w:left="720" w:hanging="720"/>
      </w:pPr>
      <w:r w:rsidRPr="00D86B89">
        <w:t xml:space="preserve">Onyango, E. M., &amp; Onyango, B. M. (2018). The Rise of Noncommunicable Diseases in Kenya: An Examination of the Time Trends and Contribution of the Changes in Diet and Physical Inactivity. </w:t>
      </w:r>
      <w:r w:rsidRPr="00D86B89">
        <w:rPr>
          <w:i/>
        </w:rPr>
        <w:t>Journal of Epidemiology and Global Health, 8</w:t>
      </w:r>
      <w:r w:rsidRPr="00D86B89">
        <w:t>(1-2), 1-7. doi:</w:t>
      </w:r>
      <w:hyperlink r:id="rId93" w:history="1">
        <w:r w:rsidRPr="00D86B89">
          <w:rPr>
            <w:rStyle w:val="Hyperlink"/>
          </w:rPr>
          <w:t>https://doi.org/10.2991/j.jegh.2017.11.004</w:t>
        </w:r>
      </w:hyperlink>
    </w:p>
    <w:p w14:paraId="46CF7E8F" w14:textId="77777777" w:rsidR="00D86B89" w:rsidRPr="00D86B89" w:rsidRDefault="00D86B89" w:rsidP="00D86B89">
      <w:pPr>
        <w:pStyle w:val="EndNoteBibliography"/>
        <w:spacing w:after="0"/>
        <w:ind w:left="720" w:hanging="720"/>
      </w:pPr>
      <w:r w:rsidRPr="00D86B89">
        <w:t xml:space="preserve">Opdenacker, J., Boen, F., Coorevits, N., &amp; Delecluse, C. (2008). Effectiveness of a lifestyle intervention and a structured exercise intervention in older adults. </w:t>
      </w:r>
      <w:r w:rsidRPr="00D86B89">
        <w:rPr>
          <w:i/>
        </w:rPr>
        <w:t>Prev Med, 46</w:t>
      </w:r>
      <w:r w:rsidRPr="00D86B89">
        <w:t>(6), 518-524. doi:10.1016/j.ypmed.2008.02.017</w:t>
      </w:r>
    </w:p>
    <w:p w14:paraId="59FBBA54" w14:textId="77777777" w:rsidR="00D86B89" w:rsidRPr="00D86B89" w:rsidRDefault="00D86B89" w:rsidP="00D86B89">
      <w:pPr>
        <w:pStyle w:val="EndNoteBibliography"/>
        <w:spacing w:after="0"/>
        <w:ind w:left="720" w:hanging="720"/>
      </w:pPr>
      <w:r w:rsidRPr="00D86B89">
        <w:t xml:space="preserve">Osamor, P. E. (2015). Social support and management of hypertension in South-west Nigeria. </w:t>
      </w:r>
      <w:r w:rsidRPr="00D86B89">
        <w:rPr>
          <w:i/>
        </w:rPr>
        <w:t>Cardiovascular Journal of Africa, 26</w:t>
      </w:r>
      <w:r w:rsidRPr="00D86B89">
        <w:t>(1), 29-33. doi:10.5830/cvja-2014-066</w:t>
      </w:r>
    </w:p>
    <w:p w14:paraId="4CA02C9A" w14:textId="77777777" w:rsidR="00D86B89" w:rsidRPr="00D86B89" w:rsidRDefault="00D86B89" w:rsidP="00D86B89">
      <w:pPr>
        <w:pStyle w:val="EndNoteBibliography"/>
        <w:spacing w:after="0"/>
        <w:ind w:left="720" w:hanging="720"/>
      </w:pPr>
      <w:r w:rsidRPr="00D86B89">
        <w:t xml:space="preserve">Osei-Waree, J., &amp; Wilson, D. M. (2016). A qualitative study of the meaning for older people of living alone at home in rural Ghana. </w:t>
      </w:r>
      <w:r w:rsidRPr="00D86B89">
        <w:rPr>
          <w:i/>
        </w:rPr>
        <w:t>International Journal of Nursing Student Scholarship, 3</w:t>
      </w:r>
      <w:r w:rsidRPr="00D86B89">
        <w:t xml:space="preserve">(16), 1-16. </w:t>
      </w:r>
    </w:p>
    <w:p w14:paraId="004589F4" w14:textId="77777777" w:rsidR="00D86B89" w:rsidRPr="00D86B89" w:rsidRDefault="00D86B89" w:rsidP="00D86B89">
      <w:pPr>
        <w:pStyle w:val="EndNoteBibliography"/>
        <w:spacing w:after="0"/>
        <w:ind w:left="720" w:hanging="720"/>
      </w:pPr>
      <w:r w:rsidRPr="00D86B89">
        <w:t xml:space="preserve">Osman, A.-Q. (2017). </w:t>
      </w:r>
      <w:r w:rsidRPr="00D86B89">
        <w:rPr>
          <w:i/>
        </w:rPr>
        <w:t>Nutrition &amp; Health Status, Quality of Life, and Associated Factors among Non-Institutionalized Older Ghanaians.</w:t>
      </w:r>
      <w:r w:rsidRPr="00D86B89">
        <w:t xml:space="preserve"> (MPhil MPhil in Human Nutrition and Dietetics). Kwame Nkrumah University of Science and Technology, Kumasi. </w:t>
      </w:r>
    </w:p>
    <w:p w14:paraId="56576B01" w14:textId="77777777" w:rsidR="00D86B89" w:rsidRPr="00D86B89" w:rsidRDefault="00D86B89" w:rsidP="00D86B89">
      <w:pPr>
        <w:pStyle w:val="EndNoteBibliography"/>
        <w:spacing w:after="0"/>
        <w:ind w:left="720" w:hanging="720"/>
      </w:pPr>
      <w:r w:rsidRPr="00D86B89">
        <w:t xml:space="preserve">Owiredu, W. K. B. A., Adamu, M. S., Amidu, N., Woode, E., Bam, V., Plange-Rhule, J., &amp; Opoku-Okrah, C. (2008). Obesity and cardiovascular risk factors in a pentecostal population in Kumasi-Ghana. </w:t>
      </w:r>
      <w:r w:rsidRPr="00D86B89">
        <w:rPr>
          <w:i/>
        </w:rPr>
        <w:t>J. Med. Sci, 8</w:t>
      </w:r>
      <w:r w:rsidRPr="00D86B89">
        <w:t xml:space="preserve">(8), 682-690. </w:t>
      </w:r>
    </w:p>
    <w:p w14:paraId="3C901424" w14:textId="77777777" w:rsidR="00D86B89" w:rsidRPr="00D86B89" w:rsidRDefault="00D86B89" w:rsidP="00D86B89">
      <w:pPr>
        <w:pStyle w:val="EndNoteBibliography"/>
        <w:spacing w:after="0"/>
        <w:ind w:left="720" w:hanging="720"/>
      </w:pPr>
      <w:r w:rsidRPr="00D86B89">
        <w:t xml:space="preserve">Owolabi, M. O., Sarfo, F., Akinyemi, R., Gebregziabher, M., Akpa, O., Akpalu, A., . . . Ovbiagele, B. (2018). Dominant modifiable risk factors for stroke in Ghana and Nigeria (SIREN): a case-control study. </w:t>
      </w:r>
      <w:r w:rsidRPr="00D86B89">
        <w:rPr>
          <w:i/>
        </w:rPr>
        <w:t>The Lancet Global Health, 6</w:t>
      </w:r>
      <w:r w:rsidRPr="00D86B89">
        <w:t xml:space="preserve">(4), e436-e446. </w:t>
      </w:r>
    </w:p>
    <w:p w14:paraId="6A4B8D30" w14:textId="125BA205" w:rsidR="00D86B89" w:rsidRPr="00D86B89" w:rsidRDefault="00D86B89" w:rsidP="00D86B89">
      <w:pPr>
        <w:pStyle w:val="EndNoteBibliography"/>
        <w:spacing w:after="0"/>
        <w:ind w:left="720" w:hanging="720"/>
      </w:pPr>
      <w:r w:rsidRPr="00D86B89">
        <w:t xml:space="preserve">Paddick, S. M., Kisoli, A., Samuel, M., Higginson, J., Gray, W. K., Dotchin, C. L., . . . Walker, R. W. (2015). Mild cognitive impairment in rural Tanzania: Prevalence, profile, and outcomes at 4-year follow-up. </w:t>
      </w:r>
      <w:r w:rsidRPr="00D86B89">
        <w:rPr>
          <w:i/>
        </w:rPr>
        <w:t>American Journal of Geriatric Psychiatry, 23</w:t>
      </w:r>
      <w:r w:rsidRPr="00D86B89">
        <w:t>(9), 950-959. doi:</w:t>
      </w:r>
      <w:hyperlink r:id="rId94" w:history="1">
        <w:r w:rsidRPr="00D86B89">
          <w:rPr>
            <w:rStyle w:val="Hyperlink"/>
          </w:rPr>
          <w:t>http://dx.doi.org/10.1016/j.jagp.2014.12.005</w:t>
        </w:r>
      </w:hyperlink>
    </w:p>
    <w:p w14:paraId="4CF579F9" w14:textId="77777777" w:rsidR="00D86B89" w:rsidRPr="00D86B89" w:rsidRDefault="00D86B89" w:rsidP="00D86B89">
      <w:pPr>
        <w:pStyle w:val="EndNoteBibliography"/>
        <w:spacing w:after="0"/>
        <w:ind w:left="720" w:hanging="720"/>
      </w:pPr>
      <w:r w:rsidRPr="00D86B89">
        <w:t xml:space="preserve">Paul, C., Ribeiro, O., &amp; Teixeira, L. (2012). Active Ageing: An Empirical Approach to the WHO Model. </w:t>
      </w:r>
      <w:r w:rsidRPr="00D86B89">
        <w:rPr>
          <w:i/>
        </w:rPr>
        <w:t>Curr Gerontol Geriatr Res, 2012</w:t>
      </w:r>
      <w:r w:rsidRPr="00D86B89">
        <w:t>, 382972. doi:10.1155/2012/382972</w:t>
      </w:r>
    </w:p>
    <w:p w14:paraId="5A7F30B9" w14:textId="069A9D3C" w:rsidR="00D86B89" w:rsidRPr="00D86B89" w:rsidRDefault="00D86B89" w:rsidP="00D86B89">
      <w:pPr>
        <w:pStyle w:val="EndNoteBibliography"/>
        <w:spacing w:after="0"/>
        <w:ind w:left="720" w:hanging="720"/>
      </w:pPr>
      <w:r w:rsidRPr="00D86B89">
        <w:t xml:space="preserve">Peace FM. (2020). Healthy Heart Africa Programme Celebrates One Year Of Strong Gains Against Hypertension. Retrieved from </w:t>
      </w:r>
      <w:hyperlink r:id="rId95" w:history="1">
        <w:r w:rsidRPr="00D86B89">
          <w:rPr>
            <w:rStyle w:val="Hyperlink"/>
          </w:rPr>
          <w:t>https://www.peacefmonline.com/pages/local/health/202007/420626.php</w:t>
        </w:r>
      </w:hyperlink>
    </w:p>
    <w:p w14:paraId="7253562C" w14:textId="77777777" w:rsidR="00D86B89" w:rsidRPr="00D86B89" w:rsidRDefault="00D86B89" w:rsidP="00D86B89">
      <w:pPr>
        <w:pStyle w:val="EndNoteBibliography"/>
        <w:spacing w:after="0"/>
        <w:ind w:left="720" w:hanging="720"/>
      </w:pPr>
      <w:r w:rsidRPr="00D86B89">
        <w:lastRenderedPageBreak/>
        <w:t xml:space="preserve">Peel, N., Bartlett, H., &amp; McClure, R. (2004). Healthy ageing: how is it defined and measured? </w:t>
      </w:r>
      <w:r w:rsidRPr="00D86B89">
        <w:rPr>
          <w:i/>
        </w:rPr>
        <w:t>Australian Journal on Ageing, 23</w:t>
      </w:r>
      <w:r w:rsidRPr="00D86B89">
        <w:t>(3), 115-119. doi:10.1111/j.1741-6612.2004.00035.x</w:t>
      </w:r>
    </w:p>
    <w:p w14:paraId="05A5EEE6" w14:textId="77777777" w:rsidR="00D86B89" w:rsidRPr="00D86B89" w:rsidRDefault="00D86B89" w:rsidP="00D86B89">
      <w:pPr>
        <w:pStyle w:val="EndNoteBibliography"/>
        <w:spacing w:after="0"/>
        <w:ind w:left="720" w:hanging="720"/>
      </w:pPr>
      <w:r w:rsidRPr="00D86B89">
        <w:t xml:space="preserve">Peltzer, K., &amp; Pengpid, S. (2018). The Prevalence and Social Determinants of Hypertension among Adults in Indonesia: A Cross-Sectional Population-Based National Survey. </w:t>
      </w:r>
      <w:r w:rsidRPr="00D86B89">
        <w:rPr>
          <w:i/>
        </w:rPr>
        <w:t>International Journal of Hypertension, 2018</w:t>
      </w:r>
      <w:r w:rsidRPr="00D86B89">
        <w:t>, 5610725-5610725. doi:10.1155/2018/5610725</w:t>
      </w:r>
    </w:p>
    <w:p w14:paraId="554D13E3" w14:textId="77777777" w:rsidR="00D86B89" w:rsidRPr="00D86B89" w:rsidRDefault="00D86B89" w:rsidP="00D86B89">
      <w:pPr>
        <w:pStyle w:val="EndNoteBibliography"/>
        <w:spacing w:after="0"/>
        <w:ind w:left="720" w:hanging="720"/>
      </w:pPr>
      <w:r w:rsidRPr="00D86B89">
        <w:t xml:space="preserve">Peltzer, K., &amp; Phaswana-Mafuya, N. (2012). Fruit and vegetable intake and associated factors in older adults in South Africa. </w:t>
      </w:r>
      <w:r w:rsidRPr="00D86B89">
        <w:rPr>
          <w:i/>
        </w:rPr>
        <w:t>Global Health Action, 5</w:t>
      </w:r>
      <w:r w:rsidRPr="00D86B89">
        <w:t xml:space="preserve">(1), 18668. </w:t>
      </w:r>
    </w:p>
    <w:p w14:paraId="4C17A6BD" w14:textId="77777777" w:rsidR="00D86B89" w:rsidRPr="00D86B89" w:rsidRDefault="00D86B89" w:rsidP="00D86B89">
      <w:pPr>
        <w:pStyle w:val="EndNoteBibliography"/>
        <w:spacing w:after="0"/>
        <w:ind w:left="720" w:hanging="720"/>
      </w:pPr>
      <w:r w:rsidRPr="00D86B89">
        <w:t xml:space="preserve">Peltzer, K., &amp; Phaswana-Mafuya, N. (2013a). Hypertension and associated factors in older adults in South Africa. </w:t>
      </w:r>
      <w:r w:rsidRPr="00D86B89">
        <w:rPr>
          <w:i/>
        </w:rPr>
        <w:t>Cardiovascular Journal of Africa, 24</w:t>
      </w:r>
      <w:r w:rsidRPr="00D86B89">
        <w:t>(3), 66-71. doi:10.5830/cvja-2013-002</w:t>
      </w:r>
    </w:p>
    <w:p w14:paraId="22D09CC7" w14:textId="77777777" w:rsidR="00D86B89" w:rsidRPr="00D86B89" w:rsidRDefault="00D86B89" w:rsidP="00D86B89">
      <w:pPr>
        <w:pStyle w:val="EndNoteBibliography"/>
        <w:spacing w:after="0"/>
        <w:ind w:left="720" w:hanging="720"/>
      </w:pPr>
      <w:r w:rsidRPr="00D86B89">
        <w:t xml:space="preserve">Peltzer, K., &amp; Phaswana-Mafuya, N. (2013b). Hypertension and associated factors in older adults in South Africa. </w:t>
      </w:r>
      <w:r w:rsidRPr="00D86B89">
        <w:rPr>
          <w:i/>
        </w:rPr>
        <w:t>Cardiovascular Journal of Africa, 24</w:t>
      </w:r>
      <w:r w:rsidRPr="00D86B89">
        <w:t>(3), 67-72. doi:10.5830/cvja-2013-002</w:t>
      </w:r>
    </w:p>
    <w:p w14:paraId="3220D4F1" w14:textId="77777777" w:rsidR="00D86B89" w:rsidRPr="00D86B89" w:rsidRDefault="00D86B89" w:rsidP="00D86B89">
      <w:pPr>
        <w:pStyle w:val="EndNoteBibliography"/>
        <w:spacing w:after="0"/>
        <w:ind w:left="720" w:hanging="720"/>
      </w:pPr>
      <w:r w:rsidRPr="00D86B89">
        <w:t xml:space="preserve">Peugh, J. L. (2010). A practical guide to multilevel modeling. </w:t>
      </w:r>
      <w:r w:rsidRPr="00D86B89">
        <w:rPr>
          <w:i/>
        </w:rPr>
        <w:t>Journal of Shool Psychology, 48</w:t>
      </w:r>
      <w:r w:rsidRPr="00D86B89">
        <w:t xml:space="preserve">(1), 85-112. </w:t>
      </w:r>
    </w:p>
    <w:p w14:paraId="02F65637" w14:textId="77777777" w:rsidR="00D86B89" w:rsidRPr="00D86B89" w:rsidRDefault="00D86B89" w:rsidP="00D86B89">
      <w:pPr>
        <w:pStyle w:val="EndNoteBibliography"/>
        <w:spacing w:after="0"/>
        <w:ind w:left="720" w:hanging="720"/>
      </w:pPr>
      <w:r w:rsidRPr="00D86B89">
        <w:t xml:space="preserve">Phelan, E. A., Anderson, L. A., LaCroix, A. Z., &amp; Larson, E. B. (2004). Older adults' views of "successful aging"--how do they compare with researchers' definitions? </w:t>
      </w:r>
      <w:r w:rsidRPr="00D86B89">
        <w:rPr>
          <w:i/>
        </w:rPr>
        <w:t>Journal of the American Geriatrics Society, 52</w:t>
      </w:r>
      <w:r w:rsidRPr="00D86B89">
        <w:t xml:space="preserve">(2), 211-216. </w:t>
      </w:r>
    </w:p>
    <w:p w14:paraId="2920D120" w14:textId="27995E47" w:rsidR="00D86B89" w:rsidRPr="00D86B89" w:rsidRDefault="00D86B89" w:rsidP="00D86B89">
      <w:pPr>
        <w:pStyle w:val="EndNoteBibliography"/>
        <w:spacing w:after="0"/>
        <w:ind w:left="720" w:hanging="720"/>
      </w:pPr>
      <w:r w:rsidRPr="00D86B89">
        <w:t xml:space="preserve">Pilleron, S., Aboyans, V., Mbelesso, P., Ndamba-Bandzouzi, B., Desormais, I., Lacroix, P., . . . EPIDEMCA group. (2017). Prevalence, awareness, treatment, and control of hypertension in older people in Central Africa: the EPIDEMCA study. </w:t>
      </w:r>
      <w:r w:rsidRPr="00D86B89">
        <w:rPr>
          <w:i/>
        </w:rPr>
        <w:t>Journal of the American Society of Hypertension : JASH, 11</w:t>
      </w:r>
      <w:r w:rsidRPr="00D86B89">
        <w:t>(7), 449-460. doi:</w:t>
      </w:r>
      <w:hyperlink r:id="rId96" w:history="1">
        <w:r w:rsidRPr="00D86B89">
          <w:rPr>
            <w:rStyle w:val="Hyperlink"/>
          </w:rPr>
          <w:t>https://dx.doi.org/10.1016/j.jash.2017.04.013</w:t>
        </w:r>
      </w:hyperlink>
    </w:p>
    <w:p w14:paraId="0178C388" w14:textId="3F0C4EAF" w:rsidR="00D86B89" w:rsidRPr="00D86B89" w:rsidRDefault="00D86B89" w:rsidP="00D86B89">
      <w:pPr>
        <w:pStyle w:val="EndNoteBibliography"/>
        <w:spacing w:after="0"/>
        <w:ind w:left="720" w:hanging="720"/>
      </w:pPr>
      <w:r w:rsidRPr="00D86B89">
        <w:t xml:space="preserve">Pillinger, R. (2011). Random Intercept Models. Retrieved from </w:t>
      </w:r>
      <w:hyperlink r:id="rId97" w:history="1">
        <w:r w:rsidRPr="00D86B89">
          <w:rPr>
            <w:rStyle w:val="Hyperlink"/>
          </w:rPr>
          <w:t>http://www.bristol.ac.uk/cmm/learning/videos/random-intercepts.html</w:t>
        </w:r>
      </w:hyperlink>
      <w:r w:rsidRPr="00D86B89">
        <w:t xml:space="preserve"> </w:t>
      </w:r>
    </w:p>
    <w:p w14:paraId="42A07CFF" w14:textId="77777777" w:rsidR="00D86B89" w:rsidRPr="00D86B89" w:rsidRDefault="00D86B89" w:rsidP="00D86B89">
      <w:pPr>
        <w:pStyle w:val="EndNoteBibliography"/>
        <w:spacing w:after="0"/>
        <w:ind w:left="720" w:hanging="720"/>
      </w:pPr>
      <w:r w:rsidRPr="00D86B89">
        <w:t xml:space="preserve">Pinto, E. (2007). Blood pressure and ageing. </w:t>
      </w:r>
      <w:r w:rsidRPr="00D86B89">
        <w:rPr>
          <w:i/>
        </w:rPr>
        <w:t>Postgraduate medical journal, 83</w:t>
      </w:r>
      <w:r w:rsidRPr="00D86B89">
        <w:t>(976), 109-114. doi:10.1136/pgmj.2006.048371</w:t>
      </w:r>
    </w:p>
    <w:p w14:paraId="177374E2" w14:textId="27B03491" w:rsidR="00D86B89" w:rsidRPr="00D86B89" w:rsidRDefault="00D86B89" w:rsidP="00D86B89">
      <w:pPr>
        <w:pStyle w:val="EndNoteBibliography"/>
        <w:spacing w:after="0"/>
        <w:ind w:left="720" w:hanging="720"/>
      </w:pPr>
      <w:r w:rsidRPr="00D86B89">
        <w:t xml:space="preserve">Ployhart, R., &amp; MacKenzie, W. (2015). Two waves of measurement do not a longitudinal study make. In C. E. Lance &amp; R. J. Vandenberg (Eds.), </w:t>
      </w:r>
      <w:r w:rsidRPr="00D86B89">
        <w:rPr>
          <w:i/>
        </w:rPr>
        <w:t>More statistical and methodological myths and urban legends</w:t>
      </w:r>
      <w:r w:rsidRPr="00D86B89">
        <w:t xml:space="preserve"> (Retrieved from </w:t>
      </w:r>
      <w:hyperlink r:id="rId98" w:anchor="v=onepage&amp;q=Two%20waves%20of%20measurement%20do%20not%20a%20longitudinal%20study%20make&amp;f=falsepp" w:history="1">
        <w:r w:rsidRPr="00D86B89">
          <w:rPr>
            <w:rStyle w:val="Hyperlink"/>
          </w:rPr>
          <w:t>https://books.google.com/books?hl=en&amp;lr=&amp;id=pAccBQAAQBAJ&amp;oi=fnd&amp;pg=PA85&amp;dq=Two+waves+of+measurement+do+not+a+longitudinal+study+make&amp;ots=i_S1kNuymS&amp;sig=hV4ltx-nVuG1fkPE0LzbUdqzKII&amp;redir_esc=y#v=onepage&amp;q=Two%20waves%20of%20measurement%20do%20not%20a%20longitudinal%20study%20make&amp;f=falsepp</w:t>
        </w:r>
      </w:hyperlink>
      <w:r w:rsidRPr="00D86B89">
        <w:t>. 85-99).</w:t>
      </w:r>
    </w:p>
    <w:p w14:paraId="6B3D4D0E" w14:textId="77777777" w:rsidR="00D86B89" w:rsidRPr="00D86B89" w:rsidRDefault="00D86B89" w:rsidP="00D86B89">
      <w:pPr>
        <w:pStyle w:val="EndNoteBibliography"/>
        <w:spacing w:after="0"/>
        <w:ind w:left="720" w:hanging="720"/>
      </w:pPr>
      <w:r w:rsidRPr="00D86B89">
        <w:t xml:space="preserve">Poorolajal, J., Hooshmand, E., Bahrami, M., &amp; Ameri, P. (2016). How much excess weight loss can reduce the risk of hypertension? </w:t>
      </w:r>
      <w:r w:rsidRPr="00D86B89">
        <w:rPr>
          <w:i/>
        </w:rPr>
        <w:t>Journal of Public Health, 39</w:t>
      </w:r>
      <w:r w:rsidRPr="00D86B89">
        <w:t xml:space="preserve">(3), e95-e102. </w:t>
      </w:r>
    </w:p>
    <w:p w14:paraId="133C2A1E" w14:textId="77777777" w:rsidR="00D86B89" w:rsidRPr="00D86B89" w:rsidRDefault="00D86B89" w:rsidP="00D86B89">
      <w:pPr>
        <w:pStyle w:val="EndNoteBibliography"/>
        <w:spacing w:after="0"/>
        <w:ind w:left="720" w:hanging="720"/>
      </w:pPr>
      <w:r w:rsidRPr="00D86B89">
        <w:t xml:space="preserve">Predovan, D., Julien, A., Esmail, A., &amp; Bherer, L. (2019). Effects of dancing on cognition in healthy older adults: a systematic review. </w:t>
      </w:r>
      <w:r w:rsidRPr="00D86B89">
        <w:rPr>
          <w:i/>
        </w:rPr>
        <w:t>Journal of Cognitive Enhancement, 3</w:t>
      </w:r>
      <w:r w:rsidRPr="00D86B89">
        <w:t xml:space="preserve">(2), 161-167. </w:t>
      </w:r>
    </w:p>
    <w:p w14:paraId="02415DBC" w14:textId="77777777" w:rsidR="00D86B89" w:rsidRPr="00D86B89" w:rsidRDefault="00D86B89" w:rsidP="00D86B89">
      <w:pPr>
        <w:pStyle w:val="EndNoteBibliography"/>
        <w:spacing w:after="0"/>
        <w:ind w:left="720" w:hanging="720"/>
      </w:pPr>
      <w:r w:rsidRPr="00D86B89">
        <w:t xml:space="preserve">Pruchno, R. A., Wilson-Genderson, M., &amp; Cartwright, F. (2010). A Two-Factor Model of Successful Aging. </w:t>
      </w:r>
      <w:r w:rsidRPr="00D86B89">
        <w:rPr>
          <w:i/>
        </w:rPr>
        <w:t>The Journals of Gerontology: Series B, 65B</w:t>
      </w:r>
      <w:r w:rsidRPr="00D86B89">
        <w:t>(6), 671-679. doi:10.1093/geronb/gbq051</w:t>
      </w:r>
    </w:p>
    <w:p w14:paraId="0D94D7B6" w14:textId="77777777" w:rsidR="00D86B89" w:rsidRPr="00D86B89" w:rsidRDefault="00D86B89" w:rsidP="00D86B89">
      <w:pPr>
        <w:pStyle w:val="EndNoteBibliography"/>
        <w:spacing w:after="0"/>
        <w:ind w:left="720" w:hanging="720"/>
      </w:pPr>
      <w:r w:rsidRPr="00D86B89">
        <w:t xml:space="preserve">Putnam, H. W. I., Jones, R., Rogathi, J., Gray, W. K., Swai, B., Dewhurst, M., . . . Walker, R. W. (2018). Hypertension in a resource-limited setting: Is it associated with end organ damage in older adults in rural Tanzania? </w:t>
      </w:r>
      <w:r w:rsidRPr="00D86B89">
        <w:rPr>
          <w:i/>
        </w:rPr>
        <w:t>Journal of Clinical Hypertension, 20</w:t>
      </w:r>
      <w:r w:rsidRPr="00D86B89">
        <w:t>(2), 217-224. doi:10.1111/jch.13187</w:t>
      </w:r>
    </w:p>
    <w:p w14:paraId="7B76E246" w14:textId="5985BA2C" w:rsidR="00D86B89" w:rsidRPr="00D86B89" w:rsidRDefault="00D86B89" w:rsidP="00D86B89">
      <w:pPr>
        <w:pStyle w:val="EndNoteBibliography"/>
        <w:spacing w:after="0"/>
        <w:ind w:left="720" w:hanging="720"/>
      </w:pPr>
      <w:r w:rsidRPr="00D86B89">
        <w:t xml:space="preserve">Raji, Y. R., Abiona, T., &amp; Gureje, O. (2017). Awareness of hypertension and its impact on blood pressure control among elderly Nigerians: report from the Ibadan Study of Aging. </w:t>
      </w:r>
      <w:r w:rsidRPr="00D86B89">
        <w:rPr>
          <w:i/>
        </w:rPr>
        <w:t xml:space="preserve">The </w:t>
      </w:r>
      <w:r w:rsidRPr="00D86B89">
        <w:rPr>
          <w:i/>
        </w:rPr>
        <w:lastRenderedPageBreak/>
        <w:t>Pan African medical journal, 27</w:t>
      </w:r>
      <w:r w:rsidRPr="00D86B89">
        <w:t>, 190. doi:</w:t>
      </w:r>
      <w:hyperlink r:id="rId99" w:history="1">
        <w:r w:rsidRPr="00D86B89">
          <w:rPr>
            <w:rStyle w:val="Hyperlink"/>
          </w:rPr>
          <w:t>https://dx.doi.org/10.11604/pamj.2017.27.190.11682</w:t>
        </w:r>
      </w:hyperlink>
    </w:p>
    <w:p w14:paraId="0A729A56" w14:textId="2CC7761B" w:rsidR="00D86B89" w:rsidRPr="00D86B89" w:rsidRDefault="00D86B89" w:rsidP="00D86B89">
      <w:pPr>
        <w:pStyle w:val="EndNoteBibliography"/>
        <w:spacing w:after="0"/>
        <w:ind w:left="720" w:hanging="720"/>
      </w:pPr>
      <w:r w:rsidRPr="00D86B89">
        <w:t xml:space="preserve">Republic of Ghana. (1992). </w:t>
      </w:r>
      <w:r w:rsidRPr="00D86B89">
        <w:rPr>
          <w:i/>
        </w:rPr>
        <w:t>The Constitution of the Republic of Ghana</w:t>
      </w:r>
      <w:r w:rsidRPr="00D86B89">
        <w:t xml:space="preserve"> (Retrieved from </w:t>
      </w:r>
      <w:hyperlink r:id="rId100" w:history="1">
        <w:r w:rsidRPr="00D86B89">
          <w:rPr>
            <w:rStyle w:val="Hyperlink"/>
          </w:rPr>
          <w:t>http://www.ghana.gov.gh/images/documents/constitution_ghana.pdf</w:t>
        </w:r>
      </w:hyperlink>
      <w:r w:rsidRPr="00D86B89">
        <w:t>). Accra: GOG.</w:t>
      </w:r>
    </w:p>
    <w:p w14:paraId="739EA0F2" w14:textId="77777777" w:rsidR="00D86B89" w:rsidRPr="00D86B89" w:rsidRDefault="00D86B89" w:rsidP="00D86B89">
      <w:pPr>
        <w:pStyle w:val="EndNoteBibliography"/>
        <w:spacing w:after="0"/>
        <w:ind w:left="720" w:hanging="720"/>
      </w:pPr>
      <w:r w:rsidRPr="00D86B89">
        <w:t xml:space="preserve">Republic of Ghana. (2003). </w:t>
      </w:r>
      <w:r w:rsidRPr="00D86B89">
        <w:rPr>
          <w:i/>
        </w:rPr>
        <w:t xml:space="preserve">National Health Insurance Act (Act 650) </w:t>
      </w:r>
      <w:r w:rsidRPr="00D86B89">
        <w:t>Accra: GOG.</w:t>
      </w:r>
    </w:p>
    <w:p w14:paraId="68CAE87C" w14:textId="337E52CC" w:rsidR="00D86B89" w:rsidRPr="00D86B89" w:rsidRDefault="00D86B89" w:rsidP="00D86B89">
      <w:pPr>
        <w:pStyle w:val="EndNoteBibliography"/>
        <w:spacing w:after="0"/>
        <w:ind w:left="720" w:hanging="720"/>
      </w:pPr>
      <w:r w:rsidRPr="00D86B89">
        <w:t xml:space="preserve">Republic of Ghana. (2006). </w:t>
      </w:r>
      <w:r w:rsidRPr="00D86B89">
        <w:rPr>
          <w:i/>
        </w:rPr>
        <w:t>Persons with Disability, Act 715</w:t>
      </w:r>
      <w:r w:rsidRPr="00D86B89">
        <w:t xml:space="preserve"> (Retrieved from </w:t>
      </w:r>
      <w:hyperlink r:id="rId101" w:history="1">
        <w:r w:rsidRPr="00D86B89">
          <w:rPr>
            <w:rStyle w:val="Hyperlink"/>
          </w:rPr>
          <w:t>http://www.gfdgh.org/GHANA%20DISABILITY%20ACT.pdf</w:t>
        </w:r>
      </w:hyperlink>
      <w:r w:rsidRPr="00D86B89">
        <w:t>). Accra: GOG.</w:t>
      </w:r>
    </w:p>
    <w:p w14:paraId="4D834A05" w14:textId="77777777" w:rsidR="00D86B89" w:rsidRPr="00D86B89" w:rsidRDefault="00D86B89" w:rsidP="00D86B89">
      <w:pPr>
        <w:pStyle w:val="EndNoteBibliography"/>
        <w:spacing w:after="0"/>
        <w:ind w:left="720" w:hanging="720"/>
      </w:pPr>
      <w:r w:rsidRPr="00D86B89">
        <w:t xml:space="preserve">Riley, L., Guthold, R., Cowan, M., Savin, S., Bhatti, L., Armstrong, T., &amp; Bonita, R. (2016). The World Health Organization STEPwise approach to noncommunicable disease risk-factor surveillance: methods, challenges, and opportunities. </w:t>
      </w:r>
      <w:r w:rsidRPr="00D86B89">
        <w:rPr>
          <w:i/>
        </w:rPr>
        <w:t>American Journal of Public Health, 106</w:t>
      </w:r>
      <w:r w:rsidRPr="00D86B89">
        <w:t xml:space="preserve">(1), 74-78. </w:t>
      </w:r>
    </w:p>
    <w:p w14:paraId="512FC442" w14:textId="77777777" w:rsidR="00D86B89" w:rsidRPr="00D86B89" w:rsidRDefault="00D86B89" w:rsidP="00D86B89">
      <w:pPr>
        <w:pStyle w:val="EndNoteBibliography"/>
        <w:spacing w:after="0"/>
        <w:ind w:left="720" w:hanging="720"/>
      </w:pPr>
      <w:r w:rsidRPr="00D86B89">
        <w:t xml:space="preserve">Robles, T. F., Slatcher, R. B., Trombello, J. M., &amp; McGinn, M. M. (2014). Marital quality and health: A meta-analytic review. </w:t>
      </w:r>
      <w:r w:rsidRPr="00D86B89">
        <w:rPr>
          <w:i/>
        </w:rPr>
        <w:t>Psychological Bulletin, 140</w:t>
      </w:r>
      <w:r w:rsidRPr="00D86B89">
        <w:t xml:space="preserve">(1), 140-187. </w:t>
      </w:r>
    </w:p>
    <w:p w14:paraId="10F6AD7F" w14:textId="77777777" w:rsidR="00D86B89" w:rsidRPr="00D86B89" w:rsidRDefault="00D86B89" w:rsidP="00D86B89">
      <w:pPr>
        <w:pStyle w:val="EndNoteBibliography"/>
        <w:spacing w:after="0"/>
        <w:ind w:left="720" w:hanging="720"/>
      </w:pPr>
      <w:r w:rsidRPr="00D86B89">
        <w:t xml:space="preserve">Robson, K., &amp; Pevalin, D. (2016). </w:t>
      </w:r>
      <w:r w:rsidRPr="00D86B89">
        <w:rPr>
          <w:i/>
        </w:rPr>
        <w:t>Multilevel modeling in plain language</w:t>
      </w:r>
      <w:r w:rsidRPr="00D86B89">
        <w:t>. London: SAGE Publicaitons Ltd.</w:t>
      </w:r>
    </w:p>
    <w:p w14:paraId="3321022F" w14:textId="77777777" w:rsidR="00D86B89" w:rsidRPr="00D86B89" w:rsidRDefault="00D86B89" w:rsidP="00D86B89">
      <w:pPr>
        <w:pStyle w:val="EndNoteBibliography"/>
        <w:spacing w:after="0"/>
        <w:ind w:left="720" w:hanging="720"/>
      </w:pPr>
      <w:r w:rsidRPr="00D86B89">
        <w:t xml:space="preserve">Rodrigues-Krause, J., Krause, M., &amp; Reischak-Oliveira, A. (2019). Dancing for Healthy Aging: Functional and Metabolic Perspectives. </w:t>
      </w:r>
      <w:r w:rsidRPr="00D86B89">
        <w:rPr>
          <w:i/>
        </w:rPr>
        <w:t>Altern Ther Health Med, 25</w:t>
      </w:r>
      <w:r w:rsidRPr="00D86B89">
        <w:t xml:space="preserve">(1), 44-63. </w:t>
      </w:r>
    </w:p>
    <w:p w14:paraId="6533795C" w14:textId="77777777" w:rsidR="00D86B89" w:rsidRPr="00D86B89" w:rsidRDefault="00D86B89" w:rsidP="00D86B89">
      <w:pPr>
        <w:pStyle w:val="EndNoteBibliography"/>
        <w:spacing w:after="0"/>
        <w:ind w:left="720" w:hanging="720"/>
      </w:pPr>
      <w:r w:rsidRPr="00D86B89">
        <w:t xml:space="preserve">Rowe, J. W., &amp; Kahn, R. L. (1987). Human Aging: Usual and Successful. </w:t>
      </w:r>
      <w:r w:rsidRPr="00D86B89">
        <w:rPr>
          <w:i/>
        </w:rPr>
        <w:t>Science, 237</w:t>
      </w:r>
      <w:r w:rsidRPr="00D86B89">
        <w:t xml:space="preserve">(4811), 143-149. </w:t>
      </w:r>
    </w:p>
    <w:p w14:paraId="2991BC04" w14:textId="77777777" w:rsidR="00D86B89" w:rsidRPr="00D86B89" w:rsidRDefault="00D86B89" w:rsidP="00D86B89">
      <w:pPr>
        <w:pStyle w:val="EndNoteBibliography"/>
        <w:spacing w:after="0"/>
        <w:ind w:left="720" w:hanging="720"/>
      </w:pPr>
      <w:r w:rsidRPr="00D86B89">
        <w:t xml:space="preserve">Rowe, J. W., &amp; Kahn, R. L. (1997). Successful aging. </w:t>
      </w:r>
      <w:r w:rsidRPr="00D86B89">
        <w:rPr>
          <w:i/>
        </w:rPr>
        <w:t>The Gerontologist, 37</w:t>
      </w:r>
      <w:r w:rsidRPr="00D86B89">
        <w:t xml:space="preserve">(4), 433-440. </w:t>
      </w:r>
    </w:p>
    <w:p w14:paraId="3FA55178" w14:textId="77777777" w:rsidR="00D86B89" w:rsidRPr="00D86B89" w:rsidRDefault="00D86B89" w:rsidP="00D86B89">
      <w:pPr>
        <w:pStyle w:val="EndNoteBibliography"/>
        <w:spacing w:after="0"/>
        <w:ind w:left="720" w:hanging="720"/>
      </w:pPr>
      <w:r w:rsidRPr="00D86B89">
        <w:t xml:space="preserve">Rowe, J. W., &amp; Kahn, R. L. (2015). Successful aging 2.0: Conceptual expansions for the 21st century. </w:t>
      </w:r>
      <w:r w:rsidRPr="00D86B89">
        <w:rPr>
          <w:i/>
        </w:rPr>
        <w:t>The Journals of Gerontology: Series B, 70</w:t>
      </w:r>
      <w:r w:rsidRPr="00D86B89">
        <w:t xml:space="preserve">(4), 593-596. </w:t>
      </w:r>
    </w:p>
    <w:p w14:paraId="34DE19E3" w14:textId="77777777" w:rsidR="00D86B89" w:rsidRPr="00920AA1" w:rsidRDefault="00D86B89" w:rsidP="00D86B89">
      <w:pPr>
        <w:pStyle w:val="EndNoteBibliography"/>
        <w:spacing w:after="0"/>
        <w:ind w:left="720" w:hanging="720"/>
        <w:rPr>
          <w:lang w:val="fr-FR"/>
        </w:rPr>
      </w:pPr>
      <w:r w:rsidRPr="00D86B89">
        <w:t xml:space="preserve">Royall, R. M. (1986). Model robust confidence intervals using maximum likelihood estimators. </w:t>
      </w:r>
      <w:r w:rsidRPr="00920AA1">
        <w:rPr>
          <w:i/>
          <w:lang w:val="fr-FR"/>
        </w:rPr>
        <w:t>International Statistical Review/Revue Internationale de Statistique, 54</w:t>
      </w:r>
      <w:r w:rsidRPr="00920AA1">
        <w:rPr>
          <w:lang w:val="fr-FR"/>
        </w:rPr>
        <w:t xml:space="preserve">(2), 221-226. </w:t>
      </w:r>
    </w:p>
    <w:p w14:paraId="12CFBEAA" w14:textId="77777777" w:rsidR="00D86B89" w:rsidRPr="00D86B89" w:rsidRDefault="00D86B89" w:rsidP="00D86B89">
      <w:pPr>
        <w:pStyle w:val="EndNoteBibliography"/>
        <w:spacing w:after="0"/>
        <w:ind w:left="720" w:hanging="720"/>
      </w:pPr>
      <w:r w:rsidRPr="00920AA1">
        <w:rPr>
          <w:lang w:val="fr-FR"/>
        </w:rPr>
        <w:t xml:space="preserve">Rutstein, S. O. (2015). </w:t>
      </w:r>
      <w:r w:rsidRPr="00D86B89">
        <w:t xml:space="preserve">Steps to constructing the new DHS Wealth Index. </w:t>
      </w:r>
      <w:r w:rsidRPr="00D86B89">
        <w:rPr>
          <w:i/>
        </w:rPr>
        <w:t>Rockville, MD: ICF International</w:t>
      </w:r>
      <w:r w:rsidRPr="00D86B89">
        <w:t xml:space="preserve">. </w:t>
      </w:r>
    </w:p>
    <w:p w14:paraId="0A05A0E7" w14:textId="77777777" w:rsidR="00D86B89" w:rsidRPr="00D86B89" w:rsidRDefault="00D86B89" w:rsidP="00D86B89">
      <w:pPr>
        <w:pStyle w:val="EndNoteBibliography"/>
        <w:spacing w:after="0"/>
        <w:ind w:left="720" w:hanging="720"/>
      </w:pPr>
      <w:r w:rsidRPr="00D86B89">
        <w:t xml:space="preserve">Rutstein, S. O., &amp; Johnson, K. (2004). The DHS wealth index. DHS comparative reports no. 6. </w:t>
      </w:r>
      <w:r w:rsidRPr="00D86B89">
        <w:rPr>
          <w:i/>
        </w:rPr>
        <w:t>Calverton: ORC Macro</w:t>
      </w:r>
      <w:r w:rsidRPr="00D86B89">
        <w:t xml:space="preserve">. </w:t>
      </w:r>
    </w:p>
    <w:p w14:paraId="64F73738" w14:textId="77777777" w:rsidR="00D86B89" w:rsidRPr="00D86B89" w:rsidRDefault="00D86B89" w:rsidP="00D86B89">
      <w:pPr>
        <w:pStyle w:val="EndNoteBibliography"/>
        <w:spacing w:after="0"/>
        <w:ind w:left="720" w:hanging="720"/>
      </w:pPr>
      <w:r w:rsidRPr="00D86B89">
        <w:t xml:space="preserve">Ryff, C. D. (1982). Successful Aging: A Developmental Approach. </w:t>
      </w:r>
      <w:r w:rsidRPr="00D86B89">
        <w:rPr>
          <w:i/>
        </w:rPr>
        <w:t>The Gerontologist, 22</w:t>
      </w:r>
      <w:r w:rsidRPr="00D86B89">
        <w:t>(2), 209-214. doi:10.1093/geront/22.2.209</w:t>
      </w:r>
    </w:p>
    <w:p w14:paraId="7B5C57DE" w14:textId="77777777" w:rsidR="00D86B89" w:rsidRPr="00D86B89" w:rsidRDefault="00D86B89" w:rsidP="00D86B89">
      <w:pPr>
        <w:pStyle w:val="EndNoteBibliography"/>
        <w:spacing w:after="0"/>
        <w:ind w:left="720" w:hanging="720"/>
      </w:pPr>
      <w:r w:rsidRPr="00D86B89">
        <w:t xml:space="preserve">Saeed, B. I., Oduro, S. D., Ebenezer, A. M. F., &amp; Zhao, X. (2012). Determinants of healthcare utilization among the ageing population in Ghana. </w:t>
      </w:r>
      <w:r w:rsidRPr="00D86B89">
        <w:rPr>
          <w:i/>
        </w:rPr>
        <w:t>International Journal of Business and Social Science, 3</w:t>
      </w:r>
      <w:r w:rsidRPr="00D86B89">
        <w:t xml:space="preserve">(24), 66-77. </w:t>
      </w:r>
    </w:p>
    <w:p w14:paraId="1F3617A7" w14:textId="77777777" w:rsidR="00D86B89" w:rsidRPr="00D86B89" w:rsidRDefault="00D86B89" w:rsidP="00D86B89">
      <w:pPr>
        <w:pStyle w:val="EndNoteBibliography"/>
        <w:spacing w:after="0"/>
        <w:ind w:left="720" w:hanging="720"/>
      </w:pPr>
      <w:r w:rsidRPr="00D86B89">
        <w:t xml:space="preserve">Sanuade, O. A., Boatemaa, S., &amp; Kushitor, M. K. (2018). Hypertension prevalence, awareness, treatment and control in Ghanaian population: Evidence from the Ghana demographic and health survey. </w:t>
      </w:r>
      <w:r w:rsidRPr="00D86B89">
        <w:rPr>
          <w:i/>
        </w:rPr>
        <w:t>PLoS One, 13</w:t>
      </w:r>
      <w:r w:rsidRPr="00D86B89">
        <w:t xml:space="preserve">(11), e0205985. </w:t>
      </w:r>
    </w:p>
    <w:p w14:paraId="212CC4A8" w14:textId="77777777" w:rsidR="00D86B89" w:rsidRPr="00920AA1" w:rsidRDefault="00D86B89" w:rsidP="00D86B89">
      <w:pPr>
        <w:pStyle w:val="EndNoteBibliography"/>
        <w:spacing w:after="0"/>
        <w:ind w:left="720" w:hanging="720"/>
        <w:rPr>
          <w:lang w:val="fr-FR"/>
        </w:rPr>
      </w:pPr>
      <w:r w:rsidRPr="00D86B89">
        <w:t xml:space="preserve">Sarfo, F. S., Mobula, L. M., Burnham, G., Ansong, D., Plange-Rhule, J., Sarfo-Kantanka, O., &amp; Ofori-Adjei, D. (2018a). Factors associated with uncontrolled blood pressure among Ghanaians: Evidence from a multicenter hospital-based study. </w:t>
      </w:r>
      <w:r w:rsidRPr="00920AA1">
        <w:rPr>
          <w:i/>
          <w:lang w:val="fr-FR"/>
        </w:rPr>
        <w:t>PLoS One, 13</w:t>
      </w:r>
      <w:r w:rsidRPr="00920AA1">
        <w:rPr>
          <w:lang w:val="fr-FR"/>
        </w:rPr>
        <w:t>(3), e0193494. doi:10.1371/journal.pone.0193494</w:t>
      </w:r>
    </w:p>
    <w:p w14:paraId="7259737F" w14:textId="77777777" w:rsidR="00D86B89" w:rsidRPr="00D86B89" w:rsidRDefault="00D86B89" w:rsidP="00D86B89">
      <w:pPr>
        <w:pStyle w:val="EndNoteBibliography"/>
        <w:spacing w:after="0"/>
        <w:ind w:left="720" w:hanging="720"/>
      </w:pPr>
      <w:r w:rsidRPr="00920AA1">
        <w:rPr>
          <w:lang w:val="fr-FR"/>
        </w:rPr>
        <w:t xml:space="preserve">Sarfo, F. S., Mobula, L. M., Plange-Rhule, J., Ansong, D., &amp; Ofori-Adjei, D. (2018b). </w:t>
      </w:r>
      <w:r w:rsidRPr="00D86B89">
        <w:t xml:space="preserve">Incident stroke among Ghanaians with hypertension and diabetes: a multicenter, prospective cohort study. </w:t>
      </w:r>
      <w:r w:rsidRPr="00D86B89">
        <w:rPr>
          <w:i/>
        </w:rPr>
        <w:t>Journal of the neurological sciences, 395</w:t>
      </w:r>
      <w:r w:rsidRPr="00D86B89">
        <w:t xml:space="preserve">, 17-24. </w:t>
      </w:r>
    </w:p>
    <w:p w14:paraId="578DE2D1" w14:textId="77777777" w:rsidR="00D86B89" w:rsidRPr="00D86B89" w:rsidRDefault="00D86B89" w:rsidP="00D86B89">
      <w:pPr>
        <w:pStyle w:val="EndNoteBibliography"/>
        <w:spacing w:after="0"/>
        <w:ind w:left="720" w:hanging="720"/>
      </w:pPr>
      <w:r w:rsidRPr="00D86B89">
        <w:t xml:space="preserve">Schober, P., &amp; Vetter, T. R. (2018). Repeated measures designs and analysis of longitudinal data: if at first you do not succeed—try, try again. </w:t>
      </w:r>
      <w:r w:rsidRPr="00D86B89">
        <w:rPr>
          <w:i/>
        </w:rPr>
        <w:t>Anesthesia and analgesia, 127</w:t>
      </w:r>
      <w:r w:rsidRPr="00D86B89">
        <w:t xml:space="preserve">(2), 569-575. </w:t>
      </w:r>
    </w:p>
    <w:p w14:paraId="61BAD115" w14:textId="77777777" w:rsidR="00D86B89" w:rsidRPr="00D86B89" w:rsidRDefault="00D86B89" w:rsidP="00D86B89">
      <w:pPr>
        <w:pStyle w:val="EndNoteBibliography"/>
        <w:spacing w:after="0"/>
        <w:ind w:left="720" w:hanging="720"/>
      </w:pPr>
      <w:r w:rsidRPr="00D86B89">
        <w:t xml:space="preserve">Scholten, F., Mugisha, J., Seeley, J., Kinyanda, E., Nakubukwa, S., Kowal, P., . . . Grosskurth, H. (2011). Health and functional status among older people with HIV/AIDS in Uganda. </w:t>
      </w:r>
      <w:r w:rsidRPr="00D86B89">
        <w:rPr>
          <w:i/>
        </w:rPr>
        <w:t>BMC Public Health, 11</w:t>
      </w:r>
      <w:r w:rsidRPr="00D86B89">
        <w:t>, 886. doi:10.1186/1471-2458-11-886</w:t>
      </w:r>
    </w:p>
    <w:p w14:paraId="6955CBA6" w14:textId="77777777" w:rsidR="00D86B89" w:rsidRPr="00D86B89" w:rsidRDefault="00D86B89" w:rsidP="00D86B89">
      <w:pPr>
        <w:pStyle w:val="EndNoteBibliography"/>
        <w:spacing w:after="0"/>
        <w:ind w:left="720" w:hanging="720"/>
      </w:pPr>
      <w:r w:rsidRPr="00D86B89">
        <w:lastRenderedPageBreak/>
        <w:t xml:space="preserve">Schroll, J. B., Moustgaard, R., &amp; Gøtzsche, P. C. (2011). Dealing with substantial heterogeneity in Cochrane reviews. Cross-sectional study. </w:t>
      </w:r>
      <w:r w:rsidRPr="00D86B89">
        <w:rPr>
          <w:i/>
        </w:rPr>
        <w:t>BMC medical research methodology, 11</w:t>
      </w:r>
      <w:r w:rsidRPr="00D86B89">
        <w:t>, 22-22. doi:10.1186/1471-2288-11-22</w:t>
      </w:r>
    </w:p>
    <w:p w14:paraId="3A7D4C2B" w14:textId="393D7307" w:rsidR="00D86B89" w:rsidRPr="00D86B89" w:rsidRDefault="00D86B89" w:rsidP="00D86B89">
      <w:pPr>
        <w:pStyle w:val="EndNoteBibliography"/>
        <w:spacing w:after="0"/>
        <w:ind w:left="720" w:hanging="720"/>
      </w:pPr>
      <w:r w:rsidRPr="00D86B89">
        <w:t xml:space="preserve">Seravalle, G., &amp; Grassi, G. (2017). Obesity and hypertension. </w:t>
      </w:r>
      <w:r w:rsidRPr="00D86B89">
        <w:rPr>
          <w:i/>
        </w:rPr>
        <w:t>Pharmacological Research, 122</w:t>
      </w:r>
      <w:r w:rsidRPr="00D86B89">
        <w:t>, 1-7. doi:</w:t>
      </w:r>
      <w:hyperlink r:id="rId102" w:history="1">
        <w:r w:rsidRPr="00D86B89">
          <w:rPr>
            <w:rStyle w:val="Hyperlink"/>
          </w:rPr>
          <w:t>https://doi.org/10.1016/j.phrs.2017.05.013</w:t>
        </w:r>
      </w:hyperlink>
    </w:p>
    <w:p w14:paraId="5AF14ACA" w14:textId="77777777" w:rsidR="00D86B89" w:rsidRPr="00D86B89" w:rsidRDefault="00D86B89" w:rsidP="00D86B89">
      <w:pPr>
        <w:pStyle w:val="EndNoteBibliography"/>
        <w:spacing w:after="0"/>
        <w:ind w:left="720" w:hanging="720"/>
      </w:pPr>
      <w:r w:rsidRPr="00D86B89">
        <w:t xml:space="preserve">Shamseer, L., Moher, D., Clarke, M., Ghersi, D., Liberati, A., Petticrew, M., . . . Stewart, L. A. (2015). Preferred reporting items for systematic review and meta-analysis protocols (PRISMA-P) 2015: elaboration and explanation. </w:t>
      </w:r>
      <w:r w:rsidRPr="00D86B89">
        <w:rPr>
          <w:i/>
        </w:rPr>
        <w:t>BMJ, 349</w:t>
      </w:r>
      <w:r w:rsidRPr="00D86B89">
        <w:t xml:space="preserve">, g7647. </w:t>
      </w:r>
    </w:p>
    <w:p w14:paraId="4532D8E8" w14:textId="77777777" w:rsidR="00D86B89" w:rsidRPr="00D86B89" w:rsidRDefault="00D86B89" w:rsidP="00D86B89">
      <w:pPr>
        <w:pStyle w:val="EndNoteBibliography"/>
        <w:spacing w:after="0"/>
        <w:ind w:left="720" w:hanging="720"/>
      </w:pPr>
      <w:r w:rsidRPr="00D86B89">
        <w:t xml:space="preserve">Smith, G. D. (2007). Life-course approaches to inequalities in adult chronic disease risk: Boyd Orr Lecture. </w:t>
      </w:r>
      <w:r w:rsidRPr="00D86B89">
        <w:rPr>
          <w:i/>
        </w:rPr>
        <w:t>Proceedings of the Nutrition Society, 66</w:t>
      </w:r>
      <w:r w:rsidRPr="00D86B89">
        <w:t xml:space="preserve">(2), 216-236. </w:t>
      </w:r>
    </w:p>
    <w:p w14:paraId="15717B33" w14:textId="77777777" w:rsidR="00D86B89" w:rsidRPr="00D86B89" w:rsidRDefault="00D86B89" w:rsidP="00D86B89">
      <w:pPr>
        <w:pStyle w:val="EndNoteBibliography"/>
        <w:spacing w:after="0"/>
        <w:ind w:left="720" w:hanging="720"/>
      </w:pPr>
      <w:r w:rsidRPr="00D86B89">
        <w:t xml:space="preserve">Spencer, J., Phillips, E., Ogedegbe, G. (2005). Knowledge attitudes, beliefs, and blood pressure control in a community-based sample in Ghana. </w:t>
      </w:r>
      <w:r w:rsidRPr="00D86B89">
        <w:rPr>
          <w:i/>
        </w:rPr>
        <w:t>Ethnicity and Disease, 15</w:t>
      </w:r>
      <w:r w:rsidRPr="00D86B89">
        <w:t xml:space="preserve">, 748-752. </w:t>
      </w:r>
    </w:p>
    <w:p w14:paraId="13EC4171" w14:textId="77777777" w:rsidR="00D86B89" w:rsidRPr="00D86B89" w:rsidRDefault="00D86B89" w:rsidP="00D86B89">
      <w:pPr>
        <w:pStyle w:val="EndNoteBibliography"/>
        <w:spacing w:after="0"/>
        <w:ind w:left="720" w:hanging="720"/>
      </w:pPr>
      <w:r w:rsidRPr="00D86B89">
        <w:t xml:space="preserve">StataCorp. (2017). Stata Statistical Software: Release 15. College Station, TX: StataCorp LLC </w:t>
      </w:r>
    </w:p>
    <w:p w14:paraId="6902C002" w14:textId="77777777" w:rsidR="00D86B89" w:rsidRPr="00D86B89" w:rsidRDefault="00D86B89" w:rsidP="00D86B89">
      <w:pPr>
        <w:pStyle w:val="EndNoteBibliography"/>
        <w:spacing w:after="0"/>
        <w:ind w:left="720" w:hanging="720"/>
      </w:pPr>
      <w:r w:rsidRPr="00D86B89">
        <w:t xml:space="preserve">StataCorp. (2015). Stata Statistical Software: Release 14. : . </w:t>
      </w:r>
    </w:p>
    <w:p w14:paraId="48947C6B" w14:textId="481CF6E3" w:rsidR="00D86B89" w:rsidRPr="00D86B89" w:rsidRDefault="00D86B89" w:rsidP="00D86B89">
      <w:pPr>
        <w:pStyle w:val="EndNoteBibliography"/>
        <w:spacing w:after="0"/>
        <w:ind w:left="720" w:hanging="720"/>
      </w:pPr>
      <w:r w:rsidRPr="00D86B89">
        <w:t xml:space="preserve">Statistical Consulting Group. (2020). Lesson 3 Logistic Regression Diagnostics. Retrieved from </w:t>
      </w:r>
      <w:hyperlink r:id="rId103" w:history="1">
        <w:r w:rsidRPr="00D86B89">
          <w:rPr>
            <w:rStyle w:val="Hyperlink"/>
          </w:rPr>
          <w:t>https://stats.idre.ucla.edu/stata/webbooks/logistic/chapter3/lesson-3-logistic-regression-diagnostics/</w:t>
        </w:r>
      </w:hyperlink>
    </w:p>
    <w:p w14:paraId="602258F7" w14:textId="4637BD55" w:rsidR="00D86B89" w:rsidRPr="00D86B89" w:rsidRDefault="00D86B89" w:rsidP="00D86B89">
      <w:pPr>
        <w:pStyle w:val="EndNoteBibliography"/>
        <w:spacing w:after="0"/>
        <w:ind w:left="720" w:hanging="720"/>
      </w:pPr>
      <w:r w:rsidRPr="00D86B89">
        <w:t xml:space="preserve">Steele, F. (2008). </w:t>
      </w:r>
      <w:r w:rsidRPr="00D86B89">
        <w:rPr>
          <w:i/>
        </w:rPr>
        <w:t>Module 5: Introduction to Multilevel modelling concepts</w:t>
      </w:r>
      <w:r w:rsidRPr="00D86B89">
        <w:t xml:space="preserve">. Retrieved from Bristol: </w:t>
      </w:r>
      <w:hyperlink r:id="rId104" w:history="1">
        <w:r w:rsidRPr="00D86B89">
          <w:rPr>
            <w:rStyle w:val="Hyperlink"/>
          </w:rPr>
          <w:t>https://www.cmm.bris.ac.uk/lemma/mod/resource/view.php?id=193</w:t>
        </w:r>
      </w:hyperlink>
    </w:p>
    <w:p w14:paraId="538EDDB1" w14:textId="412BDD68" w:rsidR="00D86B89" w:rsidRPr="00D86B89" w:rsidRDefault="00D86B89" w:rsidP="00D86B89">
      <w:pPr>
        <w:pStyle w:val="EndNoteBibliography"/>
        <w:spacing w:after="0"/>
        <w:ind w:left="720" w:hanging="720"/>
      </w:pPr>
      <w:r w:rsidRPr="00D86B89">
        <w:t xml:space="preserve">Steele, F. (2009). </w:t>
      </w:r>
      <w:r w:rsidRPr="00D86B89">
        <w:rPr>
          <w:i/>
        </w:rPr>
        <w:t>Multilevel models for binary responses concepts</w:t>
      </w:r>
      <w:r w:rsidRPr="00D86B89">
        <w:t xml:space="preserve">. Retrieved from Bristol, UK: </w:t>
      </w:r>
      <w:hyperlink r:id="rId105" w:history="1">
        <w:r w:rsidRPr="00D86B89">
          <w:rPr>
            <w:rStyle w:val="Hyperlink"/>
          </w:rPr>
          <w:t>https://www.bristol.ac.uk/media-library/sites/cmm/migrated/documents/multi-br-print.pdf</w:t>
        </w:r>
      </w:hyperlink>
    </w:p>
    <w:p w14:paraId="3D22ACF5" w14:textId="77777777" w:rsidR="00D86B89" w:rsidRPr="00D86B89" w:rsidRDefault="00D86B89" w:rsidP="00D86B89">
      <w:pPr>
        <w:pStyle w:val="EndNoteBibliography"/>
        <w:spacing w:after="0"/>
        <w:ind w:left="720" w:hanging="720"/>
      </w:pPr>
      <w:r w:rsidRPr="00D86B89">
        <w:t xml:space="preserve">Steiner-Asiedu, M., Pelenah, S. J. M., Bediako-Amoa, B., &amp; Danquah, A. (2010). The nutrition situation of the elderly in Ghana: A Case Study. </w:t>
      </w:r>
      <w:r w:rsidRPr="00D86B89">
        <w:rPr>
          <w:i/>
        </w:rPr>
        <w:t>Asian Journal of Medical Sciences, 2</w:t>
      </w:r>
      <w:r w:rsidRPr="00D86B89">
        <w:t xml:space="preserve">(3), 95-103. </w:t>
      </w:r>
    </w:p>
    <w:p w14:paraId="36F3EF8D" w14:textId="77777777" w:rsidR="00D86B89" w:rsidRPr="00D86B89" w:rsidRDefault="00D86B89" w:rsidP="00D86B89">
      <w:pPr>
        <w:pStyle w:val="EndNoteBibliography"/>
        <w:spacing w:after="0"/>
        <w:ind w:left="720" w:hanging="720"/>
      </w:pPr>
      <w:r w:rsidRPr="00D86B89">
        <w:t xml:space="preserve">Stowe, J. D., &amp; Cooney, T. M. (2015). Examining Rowe and Kahn's Concept of Successful Aging: Importance of Taking a Life Course Perspective. </w:t>
      </w:r>
      <w:r w:rsidRPr="00D86B89">
        <w:rPr>
          <w:i/>
        </w:rPr>
        <w:t>The Gerontologist, 55</w:t>
      </w:r>
      <w:r w:rsidRPr="00D86B89">
        <w:t>(1), 43-50. doi:10.1093/geront/gnu055</w:t>
      </w:r>
    </w:p>
    <w:p w14:paraId="0C9250CB" w14:textId="77777777" w:rsidR="00D86B89" w:rsidRPr="00D86B89" w:rsidRDefault="00D86B89" w:rsidP="00D86B89">
      <w:pPr>
        <w:pStyle w:val="EndNoteBibliography"/>
        <w:spacing w:after="0"/>
        <w:ind w:left="720" w:hanging="720"/>
      </w:pPr>
      <w:r w:rsidRPr="00D86B89">
        <w:t xml:space="preserve">Strawbridge, W. J., Wallhagen, M. I., &amp; Cohen, R. D. (2002). Successful Aging and Well-Being: Self-Rated Compared With Rowe and Kahn. </w:t>
      </w:r>
      <w:r w:rsidRPr="00D86B89">
        <w:rPr>
          <w:i/>
        </w:rPr>
        <w:t>The Gerontologist, 42</w:t>
      </w:r>
      <w:r w:rsidRPr="00D86B89">
        <w:t>(6), 727-733. doi:10.1093/geront/42.6.727</w:t>
      </w:r>
    </w:p>
    <w:p w14:paraId="40E84E06" w14:textId="77777777" w:rsidR="00D86B89" w:rsidRPr="00D86B89" w:rsidRDefault="00D86B89" w:rsidP="00D86B89">
      <w:pPr>
        <w:pStyle w:val="EndNoteBibliography"/>
        <w:spacing w:after="0"/>
        <w:ind w:left="720" w:hanging="720"/>
      </w:pPr>
      <w:r w:rsidRPr="00D86B89">
        <w:t xml:space="preserve">Su, T. T., Kouyate, B., &amp; Flessa, S. (2006). Catastrophic household expenditure for health care in a low-income society: a study from Nouna District, Burkina Faso. </w:t>
      </w:r>
      <w:r w:rsidRPr="00D86B89">
        <w:rPr>
          <w:i/>
        </w:rPr>
        <w:t>Bulletin of the World Health Organization, 84</w:t>
      </w:r>
      <w:r w:rsidRPr="00D86B89">
        <w:t>(1), 21-27. doi:/S0042-96862006000100010</w:t>
      </w:r>
    </w:p>
    <w:p w14:paraId="1E5A6E16" w14:textId="1E79A049" w:rsidR="00D86B89" w:rsidRPr="00D86B89" w:rsidRDefault="00D86B89" w:rsidP="00D86B89">
      <w:pPr>
        <w:pStyle w:val="EndNoteBibliography"/>
        <w:spacing w:after="0"/>
        <w:ind w:left="720" w:hanging="720"/>
      </w:pPr>
      <w:r w:rsidRPr="00D86B89">
        <w:t xml:space="preserve">Taflin, H. J. (2016). </w:t>
      </w:r>
      <w:r w:rsidRPr="00D86B89">
        <w:rPr>
          <w:i/>
        </w:rPr>
        <w:t>Neighborhood food retail environment and health outcomes among urban Ghanaian women.</w:t>
      </w:r>
      <w:r w:rsidRPr="00D86B89">
        <w:t xml:space="preserve"> (Retrieved from </w:t>
      </w:r>
      <w:hyperlink r:id="rId106" w:history="1">
        <w:r w:rsidRPr="00D86B89">
          <w:rPr>
            <w:rStyle w:val="Hyperlink"/>
          </w:rPr>
          <w:t>https://sdsu-dspace.calstate.edu/bitstream/handle/10211.3/186616/Taflin_sdsu_0220N_11594.pdf?sequence=1</w:t>
        </w:r>
      </w:hyperlink>
      <w:r w:rsidRPr="00D86B89">
        <w:t xml:space="preserve"> Master of Science). San Diego University, San Diego, CA. Retrieved from </w:t>
      </w:r>
      <w:hyperlink r:id="rId107" w:history="1">
        <w:r w:rsidRPr="00D86B89">
          <w:rPr>
            <w:rStyle w:val="Hyperlink"/>
          </w:rPr>
          <w:t>https://sdsu-dspace.calstate.edu/bitstream/handle/10211.3/186616/Taflin_sdsu_0220N_11594.pdf?sequence=1</w:t>
        </w:r>
      </w:hyperlink>
      <w:r w:rsidRPr="00D86B89">
        <w:t xml:space="preserve"> </w:t>
      </w:r>
    </w:p>
    <w:p w14:paraId="7E7C9A88" w14:textId="77777777" w:rsidR="00D86B89" w:rsidRPr="00D86B89" w:rsidRDefault="00D86B89" w:rsidP="00D86B89">
      <w:pPr>
        <w:pStyle w:val="EndNoteBibliography"/>
        <w:spacing w:after="0"/>
        <w:ind w:left="720" w:hanging="720"/>
      </w:pPr>
      <w:r w:rsidRPr="00D86B89">
        <w:t xml:space="preserve">Tawiah, E. (2011). Population ageing in Ghana: a profile and emerging issues. </w:t>
      </w:r>
      <w:r w:rsidRPr="00D86B89">
        <w:rPr>
          <w:i/>
        </w:rPr>
        <w:t>African Population Studies, 25</w:t>
      </w:r>
      <w:r w:rsidRPr="00D86B89">
        <w:t xml:space="preserve">(2), 623-645. </w:t>
      </w:r>
    </w:p>
    <w:p w14:paraId="6A9B4990" w14:textId="77777777" w:rsidR="00D86B89" w:rsidRPr="00D86B89" w:rsidRDefault="00D86B89" w:rsidP="00D86B89">
      <w:pPr>
        <w:pStyle w:val="EndNoteBibliography"/>
        <w:spacing w:after="0"/>
        <w:ind w:left="720" w:hanging="720"/>
      </w:pPr>
      <w:r w:rsidRPr="00D86B89">
        <w:t xml:space="preserve">Tetteh, J., Entsua-Mensah, K., Doku, A., Mohammed, S., Swaray, S. M., Ayanore, M. A., &amp; Yawson, A. E. (2020). Self-reported hypertension as a predictor of chronic health conditions among older adults in Ghana: analysis of the WHO Study on global Ageing and adult health (SAGE) Wave 2. </w:t>
      </w:r>
      <w:r w:rsidRPr="00D86B89">
        <w:rPr>
          <w:i/>
        </w:rPr>
        <w:t>The Pan African Medical Journal, 36</w:t>
      </w:r>
      <w:r w:rsidRPr="00D86B89">
        <w:t>, 4. doi:10.11604/pamj.2020.36.4.21489</w:t>
      </w:r>
    </w:p>
    <w:p w14:paraId="6264B6EE" w14:textId="77777777" w:rsidR="00D86B89" w:rsidRPr="00D86B89" w:rsidRDefault="00D86B89" w:rsidP="00D86B89">
      <w:pPr>
        <w:pStyle w:val="EndNoteBibliography"/>
        <w:spacing w:after="0"/>
        <w:ind w:left="720" w:hanging="720"/>
      </w:pPr>
      <w:r w:rsidRPr="00D86B89">
        <w:t xml:space="preserve">Thow, A. M., Sanders, D., Drury, E., Puoane, T., Chowdhury, S. N., Tsolekile, L., &amp; Negin, J. (2015). Regional trade and the nutrition transition: opportunities to strengthen NCD </w:t>
      </w:r>
      <w:r w:rsidRPr="00D86B89">
        <w:lastRenderedPageBreak/>
        <w:t xml:space="preserve">prevention policy in the Southern African Development Community. </w:t>
      </w:r>
      <w:r w:rsidRPr="00D86B89">
        <w:rPr>
          <w:i/>
        </w:rPr>
        <w:t>Global Health Action, 8</w:t>
      </w:r>
      <w:r w:rsidRPr="00D86B89">
        <w:t>, 28338. doi:10.3402/gha.v8.28338</w:t>
      </w:r>
    </w:p>
    <w:p w14:paraId="784FAA66" w14:textId="77777777" w:rsidR="00D86B89" w:rsidRPr="00D86B89" w:rsidRDefault="00D86B89" w:rsidP="00D86B89">
      <w:pPr>
        <w:pStyle w:val="EndNoteBibliography"/>
        <w:spacing w:after="0"/>
        <w:ind w:left="720" w:hanging="720"/>
      </w:pPr>
      <w:r w:rsidRPr="00D86B89">
        <w:t xml:space="preserve">Tianyi, F. L., Agbor, V. N., &amp; Njamnshi, A. K. J. H. S. R. (2018). Prevalence, awareness, treatment, and control of hypertension in Cameroonians aged 50 years and older: A community‐based study. </w:t>
      </w:r>
      <w:r w:rsidRPr="00D86B89">
        <w:rPr>
          <w:i/>
        </w:rPr>
        <w:t>Health Science Reports, 1</w:t>
      </w:r>
      <w:r w:rsidRPr="00D86B89">
        <w:t xml:space="preserve">(5), e44. </w:t>
      </w:r>
    </w:p>
    <w:p w14:paraId="02FD9EF3" w14:textId="77777777" w:rsidR="00D86B89" w:rsidRPr="00D86B89" w:rsidRDefault="00D86B89" w:rsidP="00D86B89">
      <w:pPr>
        <w:pStyle w:val="EndNoteBibliography"/>
        <w:spacing w:after="0"/>
        <w:ind w:left="720" w:hanging="720"/>
      </w:pPr>
      <w:r w:rsidRPr="00D86B89">
        <w:t xml:space="preserve">Tobin, S. S., &amp; Neugarten, B. L. (1961). Life satisfaction and social interaction in the aging. </w:t>
      </w:r>
      <w:r w:rsidRPr="00D86B89">
        <w:rPr>
          <w:i/>
        </w:rPr>
        <w:t>Journal of gerontology, 16</w:t>
      </w:r>
      <w:r w:rsidRPr="00D86B89">
        <w:t xml:space="preserve">, 344-346. </w:t>
      </w:r>
    </w:p>
    <w:p w14:paraId="4030081D" w14:textId="77777777" w:rsidR="00D86B89" w:rsidRPr="00D86B89" w:rsidRDefault="00D86B89" w:rsidP="00D86B89">
      <w:pPr>
        <w:pStyle w:val="EndNoteBibliography"/>
        <w:spacing w:after="0"/>
        <w:ind w:left="720" w:hanging="720"/>
      </w:pPr>
      <w:r w:rsidRPr="00D86B89">
        <w:t xml:space="preserve">Torres, S. (1999). A culturally-relevant theoretical framework for the study of successful ageing. </w:t>
      </w:r>
      <w:r w:rsidRPr="00D86B89">
        <w:rPr>
          <w:i/>
        </w:rPr>
        <w:t>Ageing &amp; Society, 19</w:t>
      </w:r>
      <w:r w:rsidRPr="00D86B89">
        <w:t xml:space="preserve">(1), 33-51. </w:t>
      </w:r>
    </w:p>
    <w:p w14:paraId="77DCF4DB" w14:textId="77777777" w:rsidR="00D86B89" w:rsidRPr="00D86B89" w:rsidRDefault="00D86B89" w:rsidP="00D86B89">
      <w:pPr>
        <w:pStyle w:val="EndNoteBibliography"/>
        <w:spacing w:after="0"/>
        <w:ind w:left="720" w:hanging="720"/>
      </w:pPr>
      <w:r w:rsidRPr="00D86B89">
        <w:t xml:space="preserve">Tuoyire, D. A., &amp; Ayetey, H. (2019). Gender differences in the association between marital status and hypertension in Ghana. </w:t>
      </w:r>
      <w:r w:rsidRPr="00D86B89">
        <w:rPr>
          <w:i/>
        </w:rPr>
        <w:t>J Biosoc Sci, 51</w:t>
      </w:r>
      <w:r w:rsidRPr="00D86B89">
        <w:t>(3), 313-334. doi:10.1017/s0021932018000147</w:t>
      </w:r>
    </w:p>
    <w:p w14:paraId="621BD9EC" w14:textId="77777777" w:rsidR="00D86B89" w:rsidRPr="00D86B89" w:rsidRDefault="00D86B89" w:rsidP="00D86B89">
      <w:pPr>
        <w:pStyle w:val="EndNoteBibliography"/>
        <w:spacing w:after="0"/>
        <w:ind w:left="720" w:hanging="720"/>
      </w:pPr>
      <w:r w:rsidRPr="00D86B89">
        <w:t xml:space="preserve">Tyrovolas, S., Koyanagi, A., Garin, N., Olaya, B., Ayuso-Mateos, J. L., Miret, M., . . . Haro, J. M. (2015). Determinants of the components of arterial pressure among older adults – The role of anthropometric and clinical factors: A multi-continent study. </w:t>
      </w:r>
      <w:r w:rsidRPr="00D86B89">
        <w:rPr>
          <w:i/>
        </w:rPr>
        <w:t>Atherosclerosis, 238</w:t>
      </w:r>
      <w:r w:rsidRPr="00D86B89">
        <w:t>(2), 240-249. doi:10.1016/j.atherosclerosis.2014.11.029</w:t>
      </w:r>
    </w:p>
    <w:p w14:paraId="4B1D561A" w14:textId="389E8F23" w:rsidR="00D86B89" w:rsidRPr="00D86B89" w:rsidRDefault="00D86B89" w:rsidP="00D86B89">
      <w:pPr>
        <w:pStyle w:val="EndNoteBibliography"/>
        <w:spacing w:after="0"/>
        <w:ind w:left="720" w:hanging="720"/>
      </w:pPr>
      <w:r w:rsidRPr="00D86B89">
        <w:t xml:space="preserve">UN. (2018). World Urbanization Prospects: The 2018 Revision, custom data acquired via website. Retrieved from </w:t>
      </w:r>
      <w:hyperlink r:id="rId108" w:history="1">
        <w:r w:rsidRPr="00D86B89">
          <w:rPr>
            <w:rStyle w:val="Hyperlink"/>
          </w:rPr>
          <w:t>https://population.un.org/wup/DataQuery/</w:t>
        </w:r>
      </w:hyperlink>
      <w:r w:rsidRPr="00D86B89">
        <w:t xml:space="preserve">.  Retrieved 08 June 2020, from Department of Economic and Social Affairs, Population Division, UN </w:t>
      </w:r>
      <w:hyperlink r:id="rId109" w:history="1">
        <w:r w:rsidRPr="00D86B89">
          <w:rPr>
            <w:rStyle w:val="Hyperlink"/>
          </w:rPr>
          <w:t>https://population.un.org/wup/DataQuery/</w:t>
        </w:r>
      </w:hyperlink>
    </w:p>
    <w:p w14:paraId="328AC924" w14:textId="0E88450A" w:rsidR="00D86B89" w:rsidRPr="00D86B89" w:rsidRDefault="00D86B89" w:rsidP="00D86B89">
      <w:pPr>
        <w:pStyle w:val="EndNoteBibliography"/>
        <w:spacing w:after="0"/>
        <w:ind w:left="720" w:hanging="720"/>
      </w:pPr>
      <w:r w:rsidRPr="00D86B89">
        <w:t xml:space="preserve">UN. (2019a). </w:t>
      </w:r>
      <w:r w:rsidRPr="00D86B89">
        <w:rPr>
          <w:i/>
        </w:rPr>
        <w:t>World Population Ageing 2019: Highlights (ST/ESA/SER.A/430)</w:t>
      </w:r>
      <w:r w:rsidRPr="00D86B89">
        <w:t xml:space="preserve">. Retrieved from New York, USA: </w:t>
      </w:r>
      <w:hyperlink r:id="rId110" w:history="1">
        <w:r w:rsidRPr="00D86B89">
          <w:rPr>
            <w:rStyle w:val="Hyperlink"/>
          </w:rPr>
          <w:t>https://www.un.org/en/development/desa/population/publications/pdf/ageing/WorldPopulationAgeing2019-Highlights.pdf</w:t>
        </w:r>
      </w:hyperlink>
    </w:p>
    <w:p w14:paraId="70244703" w14:textId="78C6CD77" w:rsidR="00D86B89" w:rsidRPr="00D86B89" w:rsidRDefault="00D86B89" w:rsidP="00D86B89">
      <w:pPr>
        <w:pStyle w:val="EndNoteBibliography"/>
        <w:spacing w:after="0"/>
        <w:ind w:left="720" w:hanging="720"/>
      </w:pPr>
      <w:r w:rsidRPr="00D86B89">
        <w:t xml:space="preserve">UN. (2019b). World Population Prospects 2019, custom data acquired via website. Retrieved from </w:t>
      </w:r>
      <w:hyperlink r:id="rId111" w:history="1">
        <w:r w:rsidRPr="00D86B89">
          <w:rPr>
            <w:rStyle w:val="Hyperlink"/>
          </w:rPr>
          <w:t>https://esa.un.org/unpd/wpp/DataQuery/</w:t>
        </w:r>
      </w:hyperlink>
      <w:r w:rsidRPr="00D86B89">
        <w:t xml:space="preserve">.  Retrieved 08 June 2020, from Department of Economic and Social Affairs, Population Division, UN </w:t>
      </w:r>
      <w:hyperlink r:id="rId112" w:history="1">
        <w:r w:rsidRPr="00D86B89">
          <w:rPr>
            <w:rStyle w:val="Hyperlink"/>
          </w:rPr>
          <w:t>https://esa.un.org/unpd/wpp/DataQuery/</w:t>
        </w:r>
      </w:hyperlink>
    </w:p>
    <w:p w14:paraId="3DCE75CA" w14:textId="0F429893" w:rsidR="00D86B89" w:rsidRPr="00D86B89" w:rsidRDefault="00D86B89" w:rsidP="00D86B89">
      <w:pPr>
        <w:pStyle w:val="EndNoteBibliography"/>
        <w:spacing w:after="0"/>
        <w:ind w:left="720" w:hanging="720"/>
      </w:pPr>
      <w:r w:rsidRPr="00D86B89">
        <w:t xml:space="preserve">UN. (2019c). World Population Prospects 2019, Online Edition. Rev. 1. Retrieved from </w:t>
      </w:r>
      <w:hyperlink r:id="rId113" w:history="1">
        <w:r w:rsidRPr="00D86B89">
          <w:rPr>
            <w:rStyle w:val="Hyperlink"/>
          </w:rPr>
          <w:t>https://population.un.org/wpp/</w:t>
        </w:r>
      </w:hyperlink>
      <w:r w:rsidRPr="00D86B89">
        <w:t xml:space="preserve">.  Retrieved 02 June 2020, from Department of Economic and Social Affairs, Population Division, UN </w:t>
      </w:r>
      <w:hyperlink r:id="rId114" w:history="1">
        <w:r w:rsidRPr="00D86B89">
          <w:rPr>
            <w:rStyle w:val="Hyperlink"/>
          </w:rPr>
          <w:t>https://population.un.org/wpp/</w:t>
        </w:r>
      </w:hyperlink>
    </w:p>
    <w:p w14:paraId="62B3575F" w14:textId="77777777" w:rsidR="00D86B89" w:rsidRPr="00D86B89" w:rsidRDefault="00D86B89" w:rsidP="00D86B89">
      <w:pPr>
        <w:pStyle w:val="EndNoteBibliography"/>
        <w:spacing w:after="0"/>
        <w:ind w:left="720" w:hanging="720"/>
      </w:pPr>
      <w:r w:rsidRPr="00D86B89">
        <w:t xml:space="preserve">Unger, T., Borghi, C., Charchar, F., Khan, N. A., Poulter, N. R., Prabhakaran, D., . . . Schutte, A. E. (2020). 2020 International Society of Hypertension Global Hypertension Practice Guidelines. </w:t>
      </w:r>
      <w:r w:rsidRPr="00D86B89">
        <w:rPr>
          <w:i/>
        </w:rPr>
        <w:t>Hypertension, 75</w:t>
      </w:r>
      <w:r w:rsidRPr="00D86B89">
        <w:t>(6), 1334-1357. doi:doi:10.1161/HYPERTENSIONAHA.120.15026</w:t>
      </w:r>
    </w:p>
    <w:p w14:paraId="52383D42" w14:textId="50241F4A" w:rsidR="00D86B89" w:rsidRPr="00D86B89" w:rsidRDefault="00D86B89" w:rsidP="00D86B89">
      <w:pPr>
        <w:pStyle w:val="EndNoteBibliography"/>
        <w:spacing w:after="0"/>
        <w:ind w:left="720" w:hanging="720"/>
      </w:pPr>
      <w:r w:rsidRPr="00D86B89">
        <w:t xml:space="preserve">United Nations. (2002). </w:t>
      </w:r>
      <w:r w:rsidRPr="00D86B89">
        <w:rPr>
          <w:i/>
        </w:rPr>
        <w:t>Madrid Political Declaration and International Plan of Action on Ageing.  Second World Assembly on Ageing, Madrid, Spain, 8-12 April 2002</w:t>
      </w:r>
      <w:r w:rsidRPr="00D86B89">
        <w:t xml:space="preserve">. Retrieved from New York: </w:t>
      </w:r>
      <w:hyperlink r:id="rId115" w:history="1">
        <w:r w:rsidRPr="00D86B89">
          <w:rPr>
            <w:rStyle w:val="Hyperlink"/>
          </w:rPr>
          <w:t>http://www.un.org/en/events/pastevents/pdfs/Madrid_plan.pdf</w:t>
        </w:r>
      </w:hyperlink>
    </w:p>
    <w:p w14:paraId="1591D073" w14:textId="787C8F00" w:rsidR="00D86B89" w:rsidRPr="00D86B89" w:rsidRDefault="00D86B89" w:rsidP="00D86B89">
      <w:pPr>
        <w:pStyle w:val="EndNoteBibliography"/>
        <w:spacing w:after="0"/>
        <w:ind w:left="720" w:hanging="720"/>
      </w:pPr>
      <w:r w:rsidRPr="00D86B89">
        <w:t xml:space="preserve">United Nations. (2017). </w:t>
      </w:r>
      <w:r w:rsidRPr="00D86B89">
        <w:rPr>
          <w:i/>
        </w:rPr>
        <w:t>Living arrangements of older persons, 2017: Ghana</w:t>
      </w:r>
      <w:r w:rsidRPr="00D86B89">
        <w:t xml:space="preserve">. Retrieved from New York: </w:t>
      </w:r>
      <w:hyperlink r:id="rId116" w:anchor="/countries" w:history="1">
        <w:r w:rsidRPr="00D86B89">
          <w:rPr>
            <w:rStyle w:val="Hyperlink"/>
          </w:rPr>
          <w:t>https://population.un.org/LivingArrangements/index.html#/countries</w:t>
        </w:r>
      </w:hyperlink>
    </w:p>
    <w:p w14:paraId="4CA43D35" w14:textId="3555F75C" w:rsidR="00D86B89" w:rsidRPr="00D86B89" w:rsidRDefault="00D86B89" w:rsidP="00D86B89">
      <w:pPr>
        <w:pStyle w:val="EndNoteBibliography"/>
        <w:spacing w:after="0"/>
        <w:ind w:left="720" w:hanging="720"/>
      </w:pPr>
      <w:r w:rsidRPr="00D86B89">
        <w:t xml:space="preserve">United Nations. (2018). World Urbanization Prospects: The 2018 Revision, Online Edition. . Retrieved from </w:t>
      </w:r>
      <w:hyperlink r:id="rId117" w:history="1">
        <w:r w:rsidRPr="00D86B89">
          <w:rPr>
            <w:rStyle w:val="Hyperlink"/>
          </w:rPr>
          <w:t>https://population.un.org/wup/Download/</w:t>
        </w:r>
      </w:hyperlink>
      <w:r w:rsidRPr="00D86B89">
        <w:t xml:space="preserve">.  Retrieved 8 December 2019, from United Nations, Department of Economic and Social Affairs, Population Division </w:t>
      </w:r>
      <w:hyperlink r:id="rId118" w:history="1">
        <w:r w:rsidRPr="00D86B89">
          <w:rPr>
            <w:rStyle w:val="Hyperlink"/>
          </w:rPr>
          <w:t>https://population.un.org/wup/Download/</w:t>
        </w:r>
      </w:hyperlink>
    </w:p>
    <w:p w14:paraId="605EBD28" w14:textId="4FE499A3" w:rsidR="00D86B89" w:rsidRPr="00D86B89" w:rsidRDefault="00D86B89" w:rsidP="00D86B89">
      <w:pPr>
        <w:pStyle w:val="EndNoteBibliography"/>
        <w:spacing w:after="0"/>
        <w:ind w:left="720" w:hanging="720"/>
      </w:pPr>
      <w:r w:rsidRPr="00D86B89">
        <w:t xml:space="preserve">University of Ghana. (2016). Centre for Aging Studies established at the University of Ghana. Retrieved from </w:t>
      </w:r>
      <w:hyperlink r:id="rId119" w:history="1">
        <w:r w:rsidRPr="00D86B89">
          <w:rPr>
            <w:rStyle w:val="Hyperlink"/>
          </w:rPr>
          <w:t>https://www.ug.edu.gh/cfas/news/centre-aging-studies-established-university-ghana</w:t>
        </w:r>
      </w:hyperlink>
    </w:p>
    <w:p w14:paraId="5D92984D" w14:textId="77777777" w:rsidR="00D86B89" w:rsidRPr="00D86B89" w:rsidRDefault="00D86B89" w:rsidP="00D86B89">
      <w:pPr>
        <w:pStyle w:val="EndNoteBibliography"/>
        <w:spacing w:after="0"/>
        <w:ind w:left="720" w:hanging="720"/>
      </w:pPr>
      <w:r w:rsidRPr="00D86B89">
        <w:t xml:space="preserve">Vaisanen, H., &amp; Jones, R. K. (2015). Using panel data to examine pregnancy attitudes over time. </w:t>
      </w:r>
      <w:r w:rsidRPr="00D86B89">
        <w:rPr>
          <w:i/>
        </w:rPr>
        <w:t>Int J Popul Stud, 1</w:t>
      </w:r>
      <w:r w:rsidRPr="00D86B89">
        <w:t>(1). doi:10.18063/ijps.2015.01.007</w:t>
      </w:r>
    </w:p>
    <w:p w14:paraId="7B60FA20" w14:textId="38AA61EA" w:rsidR="00D86B89" w:rsidRPr="00D86B89" w:rsidRDefault="00D86B89" w:rsidP="00D86B89">
      <w:pPr>
        <w:pStyle w:val="EndNoteBibliography"/>
        <w:spacing w:after="0"/>
        <w:ind w:left="720" w:hanging="720"/>
      </w:pPr>
      <w:r w:rsidRPr="00D86B89">
        <w:t xml:space="preserve">Veritas Health Innovation. (2018). Covidence systematic review software. Retrieved from </w:t>
      </w:r>
      <w:hyperlink r:id="rId120" w:history="1">
        <w:r w:rsidRPr="00D86B89">
          <w:rPr>
            <w:rStyle w:val="Hyperlink"/>
          </w:rPr>
          <w:t>www.covidence.org</w:t>
        </w:r>
      </w:hyperlink>
    </w:p>
    <w:p w14:paraId="13C07114" w14:textId="77777777" w:rsidR="00D86B89" w:rsidRPr="00D86B89" w:rsidRDefault="00D86B89" w:rsidP="00D86B89">
      <w:pPr>
        <w:pStyle w:val="EndNoteBibliography"/>
        <w:spacing w:after="0"/>
        <w:ind w:left="720" w:hanging="720"/>
      </w:pPr>
      <w:r w:rsidRPr="00D86B89">
        <w:lastRenderedPageBreak/>
        <w:t xml:space="preserve">Vyas, S., &amp; Kumaranayake, L. (2006). Constructing socio-economic status indices: how to use principal components analysis. </w:t>
      </w:r>
      <w:r w:rsidRPr="00D86B89">
        <w:rPr>
          <w:i/>
        </w:rPr>
        <w:t>Health Policy Plan, 21</w:t>
      </w:r>
      <w:r w:rsidRPr="00D86B89">
        <w:t>(6), 459-468. doi:10.1093/heapol/czl029</w:t>
      </w:r>
    </w:p>
    <w:p w14:paraId="70BC8578" w14:textId="77777777" w:rsidR="00D86B89" w:rsidRPr="00D86B89" w:rsidRDefault="00D86B89" w:rsidP="00D86B89">
      <w:pPr>
        <w:pStyle w:val="EndNoteBibliography"/>
        <w:spacing w:after="0"/>
        <w:ind w:left="720" w:hanging="720"/>
      </w:pPr>
      <w:r w:rsidRPr="00D86B89">
        <w:t xml:space="preserve">Wang, Q., Brenner, S., Kalmus, O., Banda, H. T., &amp; De Allegri, M. (2016). The economic burden of chronic non-communicable diseases in rural Malawi: an observational study. </w:t>
      </w:r>
      <w:r w:rsidRPr="00D86B89">
        <w:rPr>
          <w:i/>
        </w:rPr>
        <w:t>BMC Health Services Research, 16</w:t>
      </w:r>
      <w:r w:rsidRPr="00D86B89">
        <w:t>, 457. doi:10.1186/s12913-016-1716-8</w:t>
      </w:r>
    </w:p>
    <w:p w14:paraId="6527BFFA" w14:textId="46030D7F" w:rsidR="00D86B89" w:rsidRPr="00D86B89" w:rsidRDefault="00D86B89" w:rsidP="00D86B89">
      <w:pPr>
        <w:pStyle w:val="EndNoteBibliography"/>
        <w:spacing w:after="0"/>
        <w:ind w:left="720" w:hanging="720"/>
      </w:pPr>
      <w:r w:rsidRPr="00D86B89">
        <w:t xml:space="preserve">Wannamethee, S. G., Shaper, A. G., &amp; Walker, M. (1998). Changes in physical activity, mortality, and incidence of coronary heart disease in older men. </w:t>
      </w:r>
      <w:r w:rsidRPr="00D86B89">
        <w:rPr>
          <w:i/>
        </w:rPr>
        <w:t>The Lancet, 351</w:t>
      </w:r>
      <w:r w:rsidRPr="00D86B89">
        <w:t>(9116), 1603-1608. doi:</w:t>
      </w:r>
      <w:hyperlink r:id="rId121" w:history="1">
        <w:r w:rsidRPr="00D86B89">
          <w:rPr>
            <w:rStyle w:val="Hyperlink"/>
          </w:rPr>
          <w:t>http://dx.doi.org/10.1016/S0140-6736(97)12355-8</w:t>
        </w:r>
      </w:hyperlink>
    </w:p>
    <w:p w14:paraId="24A72728" w14:textId="60A890D7" w:rsidR="00D86B89" w:rsidRPr="00D86B89" w:rsidRDefault="00D86B89" w:rsidP="00D86B89">
      <w:pPr>
        <w:pStyle w:val="EndNoteBibliography"/>
        <w:spacing w:after="0"/>
        <w:ind w:left="720" w:hanging="720"/>
      </w:pPr>
      <w:r w:rsidRPr="00D86B89">
        <w:t xml:space="preserve">Ware, L. J., Charlton, K., Schutte, A. E., Cockeran, M., Naidoo, N., &amp; Kowal, P. (2017). Associations between dietary salt, potassium and blood pressure in South African adults: WHO SAGE Wave 2 Salt &amp; Tobacco. </w:t>
      </w:r>
      <w:r w:rsidRPr="00D86B89">
        <w:rPr>
          <w:i/>
        </w:rPr>
        <w:t>Nutrition, Metabolism and Cardiovascular Diseases, 27</w:t>
      </w:r>
      <w:r w:rsidRPr="00D86B89">
        <w:t>(9), 784-791. doi:</w:t>
      </w:r>
      <w:hyperlink r:id="rId122" w:history="1">
        <w:r w:rsidRPr="00D86B89">
          <w:rPr>
            <w:rStyle w:val="Hyperlink"/>
          </w:rPr>
          <w:t>http://dx.doi.org/10.1016/j.numecd.2017.06.017</w:t>
        </w:r>
      </w:hyperlink>
    </w:p>
    <w:p w14:paraId="029F411F" w14:textId="77777777" w:rsidR="00D86B89" w:rsidRPr="00D86B89" w:rsidRDefault="00D86B89" w:rsidP="00D86B89">
      <w:pPr>
        <w:pStyle w:val="EndNoteBibliography"/>
        <w:spacing w:after="0"/>
        <w:ind w:left="720" w:hanging="720"/>
      </w:pPr>
      <w:r w:rsidRPr="00D86B89">
        <w:t xml:space="preserve">Whitworth, J. A. (2003). 2003 World Health Organization (WHO)/International Society of Hypertension (ISH) statement on management of hypertension. </w:t>
      </w:r>
      <w:r w:rsidRPr="00D86B89">
        <w:rPr>
          <w:i/>
        </w:rPr>
        <w:t>Journal of Hypertension, 21</w:t>
      </w:r>
      <w:r w:rsidRPr="00D86B89">
        <w:t>(11), 1983-1992. doi:10.1097/01.hjh.0000084751.37215.d2</w:t>
      </w:r>
    </w:p>
    <w:p w14:paraId="0CD2A78F" w14:textId="77777777" w:rsidR="00D86B89" w:rsidRPr="00D86B89" w:rsidRDefault="00D86B89" w:rsidP="00D86B89">
      <w:pPr>
        <w:pStyle w:val="EndNoteBibliography"/>
        <w:spacing w:after="0"/>
        <w:ind w:left="720" w:hanging="720"/>
      </w:pPr>
      <w:r w:rsidRPr="00D86B89">
        <w:t xml:space="preserve">WHO. (2000). </w:t>
      </w:r>
      <w:r w:rsidRPr="00D86B89">
        <w:rPr>
          <w:i/>
        </w:rPr>
        <w:t>Obesity: preventing and managing the global epidemic.  Technical Report No. 894.</w:t>
      </w:r>
      <w:r w:rsidRPr="00D86B89">
        <w:t xml:space="preserve"> Geneva: World Health Organization.</w:t>
      </w:r>
    </w:p>
    <w:p w14:paraId="0E130C10" w14:textId="2A85496B" w:rsidR="00D86B89" w:rsidRPr="00D86B89" w:rsidRDefault="00D86B89" w:rsidP="00D86B89">
      <w:pPr>
        <w:pStyle w:val="EndNoteBibliography"/>
        <w:spacing w:after="0"/>
        <w:ind w:left="720" w:hanging="720"/>
      </w:pPr>
      <w:r w:rsidRPr="00D86B89">
        <w:t xml:space="preserve">WHO. (2002). </w:t>
      </w:r>
      <w:r w:rsidRPr="00D86B89">
        <w:rPr>
          <w:i/>
        </w:rPr>
        <w:t>Active aging: a policy framework. WHO/NMP/NPH/02.8</w:t>
      </w:r>
      <w:r w:rsidRPr="00D86B89">
        <w:t xml:space="preserve">. Retrieved from Geneva: </w:t>
      </w:r>
      <w:hyperlink r:id="rId123" w:history="1">
        <w:r w:rsidRPr="00D86B89">
          <w:rPr>
            <w:rStyle w:val="Hyperlink"/>
          </w:rPr>
          <w:t>http://apps.who.int/iris/bitstream/10665/67215/1/WHO_NMH_NPH_02.8.pdf</w:t>
        </w:r>
      </w:hyperlink>
    </w:p>
    <w:p w14:paraId="3CE117A7" w14:textId="618908C0" w:rsidR="00D86B89" w:rsidRPr="00D86B89" w:rsidRDefault="00D86B89" w:rsidP="00D86B89">
      <w:pPr>
        <w:pStyle w:val="EndNoteBibliography"/>
        <w:spacing w:after="0"/>
        <w:ind w:left="720" w:hanging="720"/>
      </w:pPr>
      <w:r w:rsidRPr="00D86B89">
        <w:t xml:space="preserve">WHO. (2003). </w:t>
      </w:r>
      <w:r w:rsidRPr="00D86B89">
        <w:rPr>
          <w:i/>
        </w:rPr>
        <w:t>Joint WHO/FAO Expert Consultation on Diet, Nutrition and the Prevention of Chronic Diseases</w:t>
      </w:r>
      <w:r w:rsidRPr="00D86B89">
        <w:t xml:space="preserve">. Retrieved from Geneva: </w:t>
      </w:r>
      <w:hyperlink r:id="rId124" w:history="1">
        <w:r w:rsidRPr="00D86B89">
          <w:rPr>
            <w:rStyle w:val="Hyperlink"/>
          </w:rPr>
          <w:t>www.who.int/entity/dietphysicalactivity/publications/trs916/en/gsfao_introduction.pdf</w:t>
        </w:r>
      </w:hyperlink>
    </w:p>
    <w:p w14:paraId="630B22E4" w14:textId="13EEF75C" w:rsidR="00D86B89" w:rsidRPr="00D86B89" w:rsidRDefault="00D86B89" w:rsidP="00D86B89">
      <w:pPr>
        <w:pStyle w:val="EndNoteBibliography"/>
        <w:spacing w:after="0"/>
        <w:ind w:left="720" w:hanging="720"/>
      </w:pPr>
      <w:r w:rsidRPr="00D86B89">
        <w:t xml:space="preserve">WHO. (2008). WHO STEPS Surveillance Manual. Retrieved from </w:t>
      </w:r>
      <w:hyperlink r:id="rId125" w:history="1">
        <w:r w:rsidRPr="00D86B89">
          <w:rPr>
            <w:rStyle w:val="Hyperlink"/>
          </w:rPr>
          <w:t>http://www.who.int/chp/steps/manual/en/</w:t>
        </w:r>
      </w:hyperlink>
      <w:r w:rsidRPr="00D86B89">
        <w:t>.</w:t>
      </w:r>
    </w:p>
    <w:p w14:paraId="5C6901DB" w14:textId="1D2B623C" w:rsidR="00D86B89" w:rsidRPr="00D86B89" w:rsidRDefault="00D86B89" w:rsidP="00D86B89">
      <w:pPr>
        <w:pStyle w:val="EndNoteBibliography"/>
        <w:spacing w:after="0"/>
        <w:ind w:left="720" w:hanging="720"/>
      </w:pPr>
      <w:r w:rsidRPr="00D86B89">
        <w:t xml:space="preserve">WHO. (2009). </w:t>
      </w:r>
      <w:r w:rsidRPr="00D86B89">
        <w:rPr>
          <w:i/>
        </w:rPr>
        <w:t>Measuring health and disability: a manual for the World Health Organization Disability Assessment Schedule (WHODAS 2.0).</w:t>
      </w:r>
      <w:r w:rsidRPr="00D86B89">
        <w:t xml:space="preserve"> (Retrieved from </w:t>
      </w:r>
      <w:hyperlink r:id="rId126" w:history="1">
        <w:r w:rsidRPr="00D86B89">
          <w:rPr>
            <w:rStyle w:val="Hyperlink"/>
          </w:rPr>
          <w:t>https://www.who.int/iris/handle/10665/43974</w:t>
        </w:r>
      </w:hyperlink>
      <w:r w:rsidRPr="00D86B89">
        <w:t>). Geneva: WHO.</w:t>
      </w:r>
    </w:p>
    <w:p w14:paraId="18CD79FE" w14:textId="77777777" w:rsidR="00D86B89" w:rsidRPr="00D86B89" w:rsidRDefault="00D86B89" w:rsidP="00D86B89">
      <w:pPr>
        <w:pStyle w:val="EndNoteBibliography"/>
        <w:spacing w:after="0"/>
        <w:ind w:left="720" w:hanging="720"/>
      </w:pPr>
      <w:r w:rsidRPr="00D86B89">
        <w:t xml:space="preserve">WHO. (2010). </w:t>
      </w:r>
      <w:r w:rsidRPr="00D86B89">
        <w:rPr>
          <w:i/>
        </w:rPr>
        <w:t>Global Recommendations on Physical Activity for Health</w:t>
      </w:r>
      <w:r w:rsidRPr="00D86B89">
        <w:t xml:space="preserve">. Retrieved from Geneva: </w:t>
      </w:r>
    </w:p>
    <w:p w14:paraId="602E3534" w14:textId="1719A518" w:rsidR="00D86B89" w:rsidRPr="00D86B89" w:rsidRDefault="00D86B89" w:rsidP="00D86B89">
      <w:pPr>
        <w:pStyle w:val="EndNoteBibliography"/>
        <w:spacing w:after="0"/>
        <w:ind w:left="720" w:hanging="720"/>
      </w:pPr>
      <w:r w:rsidRPr="00D86B89">
        <w:t xml:space="preserve">WHO. (2013a). </w:t>
      </w:r>
      <w:r w:rsidRPr="00D86B89">
        <w:rPr>
          <w:i/>
        </w:rPr>
        <w:t>Global action plan for the prevention and control of NCDs 2013-2020</w:t>
      </w:r>
      <w:r w:rsidRPr="00D86B89">
        <w:t xml:space="preserve">. Retrieved from Geneva: </w:t>
      </w:r>
      <w:hyperlink r:id="rId127" w:history="1">
        <w:r w:rsidRPr="00D86B89">
          <w:rPr>
            <w:rStyle w:val="Hyperlink"/>
          </w:rPr>
          <w:t>http://www.who.int/iris/bitstream/10665/94384/1/9789241506236_eng.pdf?ua=1</w:t>
        </w:r>
      </w:hyperlink>
    </w:p>
    <w:p w14:paraId="7E4BF254" w14:textId="793331E5" w:rsidR="00D86B89" w:rsidRPr="00D86B89" w:rsidRDefault="00D86B89" w:rsidP="00D86B89">
      <w:pPr>
        <w:pStyle w:val="EndNoteBibliography"/>
        <w:spacing w:after="0"/>
        <w:ind w:left="720" w:hanging="720"/>
      </w:pPr>
      <w:r w:rsidRPr="00D86B89">
        <w:t xml:space="preserve">WHO. (2013b). </w:t>
      </w:r>
      <w:r w:rsidRPr="00D86B89">
        <w:rPr>
          <w:i/>
        </w:rPr>
        <w:t>Sixty-sixth World Health Assembly: Follow-up to the Political Declaration of the High-level Meeting of the General Assembly on the Prevention and Control of Non-communicable Diseases. A66/A/CONF./1 Rev.1</w:t>
      </w:r>
      <w:r w:rsidRPr="00D86B89">
        <w:t xml:space="preserve">. Retrieved from Geneva: </w:t>
      </w:r>
      <w:hyperlink r:id="rId128" w:history="1">
        <w:r w:rsidRPr="00D86B89">
          <w:rPr>
            <w:rStyle w:val="Hyperlink"/>
          </w:rPr>
          <w:t>http://apps.who.int/gb/ebwha/pdf_files/WHA66/A66_R10-en.pdf</w:t>
        </w:r>
      </w:hyperlink>
    </w:p>
    <w:p w14:paraId="1FCB996C" w14:textId="32FB0E9B" w:rsidR="00D86B89" w:rsidRPr="00D86B89" w:rsidRDefault="00D86B89" w:rsidP="00D86B89">
      <w:pPr>
        <w:pStyle w:val="EndNoteBibliography"/>
        <w:spacing w:after="0"/>
        <w:ind w:left="720" w:hanging="720"/>
      </w:pPr>
      <w:r w:rsidRPr="00D86B89">
        <w:t xml:space="preserve">WHO. (2015a). </w:t>
      </w:r>
      <w:r w:rsidRPr="00D86B89">
        <w:rPr>
          <w:i/>
        </w:rPr>
        <w:t>The Minsk Declaration: the life-course approach in the context of health 2020</w:t>
      </w:r>
      <w:r w:rsidRPr="00D86B89">
        <w:t xml:space="preserve">. Retrieved from Copenhagen, Denmark: </w:t>
      </w:r>
      <w:hyperlink r:id="rId129" w:history="1">
        <w:r w:rsidRPr="00D86B89">
          <w:rPr>
            <w:rStyle w:val="Hyperlink"/>
          </w:rPr>
          <w:t>http://www.euro.who.int/__data/assets/pdf_file/0009/289962/The-Minsk-Declaration-EN-rev1.pdf?ua=1</w:t>
        </w:r>
      </w:hyperlink>
    </w:p>
    <w:p w14:paraId="2EF370E8" w14:textId="69905688" w:rsidR="00D86B89" w:rsidRPr="00D86B89" w:rsidRDefault="00D86B89" w:rsidP="00D86B89">
      <w:pPr>
        <w:pStyle w:val="EndNoteBibliography"/>
        <w:spacing w:after="0"/>
        <w:ind w:left="720" w:hanging="720"/>
      </w:pPr>
      <w:r w:rsidRPr="00D86B89">
        <w:t xml:space="preserve">WHO. (2015b). </w:t>
      </w:r>
      <w:r w:rsidRPr="00D86B89">
        <w:rPr>
          <w:i/>
        </w:rPr>
        <w:t>World report on ageing and health</w:t>
      </w:r>
      <w:r w:rsidRPr="00D86B89">
        <w:t xml:space="preserve">. Retrieved from Geneva: </w:t>
      </w:r>
      <w:hyperlink r:id="rId130" w:history="1">
        <w:r w:rsidRPr="00D86B89">
          <w:rPr>
            <w:rStyle w:val="Hyperlink"/>
          </w:rPr>
          <w:t>http://apps.who.int/iris/bitstream/10665/186463/1/9789240694811_eng.pdf?ua=1</w:t>
        </w:r>
      </w:hyperlink>
    </w:p>
    <w:p w14:paraId="5E55AEF6" w14:textId="1C7D2535" w:rsidR="00D86B89" w:rsidRPr="00D86B89" w:rsidRDefault="00D86B89" w:rsidP="00D86B89">
      <w:pPr>
        <w:pStyle w:val="EndNoteBibliography"/>
        <w:spacing w:after="0"/>
        <w:ind w:left="720" w:hanging="720"/>
      </w:pPr>
      <w:r w:rsidRPr="00D86B89">
        <w:t xml:space="preserve">WHO. (2016). </w:t>
      </w:r>
      <w:r w:rsidRPr="00D86B89">
        <w:rPr>
          <w:i/>
        </w:rPr>
        <w:t>Global strategy and action plan on ageing and health (2016-2020)</w:t>
      </w:r>
      <w:r w:rsidRPr="00D86B89">
        <w:t xml:space="preserve">. Retrieved from Geneva: </w:t>
      </w:r>
      <w:hyperlink r:id="rId131" w:history="1">
        <w:r w:rsidRPr="00D86B89">
          <w:rPr>
            <w:rStyle w:val="Hyperlink"/>
          </w:rPr>
          <w:t>http://www.who.int/entity/ageing/GSAP-Summary-EN.pdf?ua=1</w:t>
        </w:r>
      </w:hyperlink>
    </w:p>
    <w:p w14:paraId="49732330" w14:textId="1E1E9563" w:rsidR="00D86B89" w:rsidRPr="00D86B89" w:rsidRDefault="00D86B89" w:rsidP="00D86B89">
      <w:pPr>
        <w:pStyle w:val="EndNoteBibliography"/>
        <w:spacing w:after="0"/>
        <w:ind w:left="720" w:hanging="720"/>
      </w:pPr>
      <w:r w:rsidRPr="00D86B89">
        <w:t xml:space="preserve">WHO. (2020). Global Health Expenditure Database. Retrieved from </w:t>
      </w:r>
      <w:hyperlink r:id="rId132" w:history="1">
        <w:r w:rsidRPr="00D86B89">
          <w:rPr>
            <w:rStyle w:val="Hyperlink"/>
          </w:rPr>
          <w:t>https://apps.who.int/nha/database/ViewData/Indicators/en</w:t>
        </w:r>
      </w:hyperlink>
      <w:r w:rsidRPr="00D86B89">
        <w:t xml:space="preserve">.  Retrieved 8 June 2020, from World Health Organization </w:t>
      </w:r>
      <w:hyperlink r:id="rId133" w:history="1">
        <w:r w:rsidRPr="00D86B89">
          <w:rPr>
            <w:rStyle w:val="Hyperlink"/>
          </w:rPr>
          <w:t>https://apps.who.int/nha/database/ViewData/Indicators/en</w:t>
        </w:r>
      </w:hyperlink>
    </w:p>
    <w:p w14:paraId="1A3C0A4F" w14:textId="77777777" w:rsidR="00D86B89" w:rsidRPr="00D86B89" w:rsidRDefault="00D86B89" w:rsidP="00D86B89">
      <w:pPr>
        <w:pStyle w:val="EndNoteBibliography"/>
        <w:spacing w:after="0"/>
        <w:ind w:left="720" w:hanging="720"/>
      </w:pPr>
      <w:r w:rsidRPr="00D86B89">
        <w:lastRenderedPageBreak/>
        <w:t xml:space="preserve">Williams, B. (2016a). Vascular ageing and interventions: lessons and learnings. </w:t>
      </w:r>
      <w:r w:rsidRPr="00D86B89">
        <w:rPr>
          <w:i/>
        </w:rPr>
        <w:t>Ther Adv Cardiovasc Dis, 10</w:t>
      </w:r>
      <w:r w:rsidRPr="00D86B89">
        <w:t>(3), 126-132. doi:10.1177/1753944716642681</w:t>
      </w:r>
    </w:p>
    <w:p w14:paraId="7DB9E114" w14:textId="77777777" w:rsidR="00D86B89" w:rsidRPr="00D86B89" w:rsidRDefault="00D86B89" w:rsidP="00D86B89">
      <w:pPr>
        <w:pStyle w:val="EndNoteBibliography"/>
        <w:spacing w:after="0"/>
        <w:ind w:left="720" w:hanging="720"/>
      </w:pPr>
      <w:r w:rsidRPr="00D86B89">
        <w:t xml:space="preserve">Williams, B., Poulter, N. R., Brown, M. J., Davis, M., McInnes, G. T., Potter, J. F., . . . Thom, S. M. (2004). British Hypertension Society guidelines for hypertension management 2004 (BHS-IV): summary. </w:t>
      </w:r>
      <w:r w:rsidRPr="00D86B89">
        <w:rPr>
          <w:i/>
        </w:rPr>
        <w:t>BMJ, 328</w:t>
      </w:r>
      <w:r w:rsidRPr="00D86B89">
        <w:t xml:space="preserve">(7440), 634-640. </w:t>
      </w:r>
    </w:p>
    <w:p w14:paraId="789CA8CF" w14:textId="77777777" w:rsidR="00D86B89" w:rsidRPr="00D86B89" w:rsidRDefault="00D86B89" w:rsidP="00D86B89">
      <w:pPr>
        <w:pStyle w:val="EndNoteBibliography"/>
        <w:spacing w:after="0"/>
        <w:ind w:left="720" w:hanging="720"/>
      </w:pPr>
      <w:r w:rsidRPr="00D86B89">
        <w:t xml:space="preserve">Williams, R. (2006). Generalized ordered logit/partial proportional odds models for ordinal dependent variables. </w:t>
      </w:r>
      <w:r w:rsidRPr="00D86B89">
        <w:rPr>
          <w:i/>
        </w:rPr>
        <w:t>The Stata Journal, 6</w:t>
      </w:r>
      <w:r w:rsidRPr="00D86B89">
        <w:t xml:space="preserve">(1), 58-82. </w:t>
      </w:r>
    </w:p>
    <w:p w14:paraId="7241A9CE" w14:textId="77777777" w:rsidR="00D86B89" w:rsidRPr="00D86B89" w:rsidRDefault="00D86B89" w:rsidP="00D86B89">
      <w:pPr>
        <w:pStyle w:val="EndNoteBibliography"/>
        <w:spacing w:after="0"/>
        <w:ind w:left="720" w:hanging="720"/>
      </w:pPr>
      <w:r w:rsidRPr="00D86B89">
        <w:t xml:space="preserve">Williams, R. (2016b). Understanding and interpreting generalized ordered logit models. </w:t>
      </w:r>
      <w:r w:rsidRPr="00D86B89">
        <w:rPr>
          <w:i/>
        </w:rPr>
        <w:t>The Journal of Mathematical Sociology, 40</w:t>
      </w:r>
      <w:r w:rsidRPr="00D86B89">
        <w:t xml:space="preserve">(1), 7-20. </w:t>
      </w:r>
    </w:p>
    <w:p w14:paraId="415FDCEB" w14:textId="77777777" w:rsidR="00D86B89" w:rsidRPr="00D86B89" w:rsidRDefault="00D86B89" w:rsidP="00D86B89">
      <w:pPr>
        <w:pStyle w:val="EndNoteBibliography"/>
        <w:spacing w:after="0"/>
        <w:ind w:left="720" w:hanging="720"/>
      </w:pPr>
      <w:r w:rsidRPr="00D86B89">
        <w:t xml:space="preserve">Woltman, H., Feldstain, A., MacKay, J. C., &amp; Rocchi, M. (2012). An introduction to hierarchical linear modeling. </w:t>
      </w:r>
      <w:r w:rsidRPr="00D86B89">
        <w:rPr>
          <w:i/>
        </w:rPr>
        <w:t>Tutorials in Quantitative Methods for Psychology, 8</w:t>
      </w:r>
      <w:r w:rsidRPr="00D86B89">
        <w:t xml:space="preserve">(1), 52-69. </w:t>
      </w:r>
    </w:p>
    <w:p w14:paraId="75FB13E8" w14:textId="77777777" w:rsidR="00D86B89" w:rsidRPr="00D86B89" w:rsidRDefault="00D86B89" w:rsidP="00D86B89">
      <w:pPr>
        <w:pStyle w:val="EndNoteBibliography"/>
        <w:spacing w:after="0"/>
        <w:ind w:left="720" w:hanging="720"/>
      </w:pPr>
      <w:r w:rsidRPr="00D86B89">
        <w:t xml:space="preserve">Wong, C. W., Kwok, C. S., Narain, A., Gulati, M., Mihalidou, A. S., Wu, P., . . . Mamas, M. A. (2018). Marital status and risk of cardiovascular diseases: a systematic review and meta-analysis. </w:t>
      </w:r>
      <w:r w:rsidRPr="00D86B89">
        <w:rPr>
          <w:i/>
        </w:rPr>
        <w:t>Heart, 104</w:t>
      </w:r>
      <w:r w:rsidRPr="00D86B89">
        <w:t>(23), 1937-1948. doi:10.1136/heartjnl-2018-313005</w:t>
      </w:r>
    </w:p>
    <w:p w14:paraId="79FEB652" w14:textId="77777777" w:rsidR="00D86B89" w:rsidRPr="00D86B89" w:rsidRDefault="00D86B89" w:rsidP="00D86B89">
      <w:pPr>
        <w:pStyle w:val="EndNoteBibliography"/>
        <w:spacing w:after="0"/>
        <w:ind w:left="720" w:hanging="720"/>
      </w:pPr>
      <w:r w:rsidRPr="00D86B89">
        <w:t xml:space="preserve">Wu, F., Guo, Y., Chatterji, S., Zheng, Y., Naidoo, N., Jiang, Y., . . . Kowal, P. (2015). Common risk factors for chronic non-communicable diseases among older adults in China, Ghana, Mexico, India, Russia and South Africa: the study on global AGEing and adult health (SAGE) wave 1. </w:t>
      </w:r>
      <w:r w:rsidRPr="00D86B89">
        <w:rPr>
          <w:i/>
        </w:rPr>
        <w:t>BMC Public Health, 15</w:t>
      </w:r>
      <w:r w:rsidRPr="00D86B89">
        <w:t>, 88. doi:10.1186/s12889-015-1407-0</w:t>
      </w:r>
    </w:p>
    <w:p w14:paraId="596AD2B5" w14:textId="77777777" w:rsidR="00D86B89" w:rsidRPr="00D86B89" w:rsidRDefault="00D86B89" w:rsidP="00D86B89">
      <w:pPr>
        <w:pStyle w:val="EndNoteBibliography"/>
        <w:spacing w:after="0"/>
        <w:ind w:left="720" w:hanging="720"/>
      </w:pPr>
      <w:r w:rsidRPr="00D86B89">
        <w:t xml:space="preserve">Yaya, S., Ekholuenetale, M., &amp; Bishwajit, G. (2018). Differentials in prevalence and correlates of metabolic risk factors of non-communicable diseases among women in sub-Saharan Africa: evidence from 33 countries. </w:t>
      </w:r>
      <w:r w:rsidRPr="00D86B89">
        <w:rPr>
          <w:i/>
        </w:rPr>
        <w:t>BMC Public Health, 18</w:t>
      </w:r>
      <w:r w:rsidRPr="00D86B89">
        <w:t>(1), 1168. doi:10.1186/s12889-018-6085-2</w:t>
      </w:r>
    </w:p>
    <w:p w14:paraId="3AB15290" w14:textId="77777777" w:rsidR="00D86B89" w:rsidRPr="00D86B89" w:rsidRDefault="00D86B89" w:rsidP="00D86B89">
      <w:pPr>
        <w:pStyle w:val="EndNoteBibliography"/>
        <w:spacing w:after="0"/>
        <w:ind w:left="720" w:hanging="720"/>
      </w:pPr>
      <w:r w:rsidRPr="00D86B89">
        <w:t xml:space="preserve">Yerly, P., Madeleine, G., Riesen, W., &amp; Bovet, P. (2013). Low prevalence of abdominal aortic aneurysm in the Seychelles population aged 50 to 65 years. </w:t>
      </w:r>
      <w:r w:rsidRPr="00D86B89">
        <w:rPr>
          <w:i/>
        </w:rPr>
        <w:t>Cardiovascular Journal of Africa, 24</w:t>
      </w:r>
      <w:r w:rsidRPr="00D86B89">
        <w:t>(2), 17-18. doi:10.5830/cvja-2012-070</w:t>
      </w:r>
    </w:p>
    <w:p w14:paraId="3E44B202" w14:textId="73519549" w:rsidR="00D86B89" w:rsidRPr="00D86B89" w:rsidRDefault="00D86B89" w:rsidP="00D86B89">
      <w:pPr>
        <w:pStyle w:val="EndNoteBibliography"/>
        <w:ind w:left="720" w:hanging="720"/>
      </w:pPr>
      <w:r w:rsidRPr="00D86B89">
        <w:t xml:space="preserve">Zolnikov, T. R. (2015). Proposing a re-adapted successful aging model addressing chronic diseases in low- and middle-income countries. </w:t>
      </w:r>
      <w:r w:rsidRPr="00D86B89">
        <w:rPr>
          <w:i/>
        </w:rPr>
        <w:t>Quality of Life Research, 24</w:t>
      </w:r>
      <w:r w:rsidRPr="00D86B89">
        <w:t xml:space="preserve">(12), 2945-2949. Retrieved from </w:t>
      </w:r>
      <w:hyperlink r:id="rId134" w:history="1">
        <w:r w:rsidRPr="00D86B89">
          <w:rPr>
            <w:rStyle w:val="Hyperlink"/>
          </w:rPr>
          <w:t>http://www.jstor.org/stable/44849400</w:t>
        </w:r>
      </w:hyperlink>
    </w:p>
    <w:p w14:paraId="115E46E6" w14:textId="3FB92EC9" w:rsidR="00401940" w:rsidRPr="00000849" w:rsidRDefault="00401940" w:rsidP="00401940">
      <w:pPr>
        <w:widowControl w:val="0"/>
        <w:spacing w:line="360" w:lineRule="auto"/>
        <w:jc w:val="both"/>
        <w:rPr>
          <w:rFonts w:cstheme="minorHAnsi"/>
          <w:sz w:val="24"/>
          <w:szCs w:val="24"/>
        </w:rPr>
      </w:pPr>
      <w:r w:rsidRPr="00000849">
        <w:rPr>
          <w:rFonts w:cstheme="minorHAnsi"/>
          <w:sz w:val="24"/>
          <w:szCs w:val="24"/>
        </w:rPr>
        <w:fldChar w:fldCharType="end"/>
      </w:r>
    </w:p>
    <w:p w14:paraId="68D29D00" w14:textId="77777777" w:rsidR="00401940" w:rsidRPr="00000849" w:rsidRDefault="00401940" w:rsidP="00401940">
      <w:pPr>
        <w:widowControl w:val="0"/>
        <w:spacing w:line="360" w:lineRule="auto"/>
        <w:jc w:val="both"/>
        <w:rPr>
          <w:rFonts w:cstheme="minorHAnsi"/>
          <w:sz w:val="24"/>
          <w:szCs w:val="24"/>
        </w:rPr>
      </w:pPr>
    </w:p>
    <w:p w14:paraId="72DDF2B9" w14:textId="77777777" w:rsidR="00401940" w:rsidRPr="00000849" w:rsidRDefault="00401940" w:rsidP="00401940">
      <w:pPr>
        <w:widowControl w:val="0"/>
        <w:spacing w:line="360" w:lineRule="auto"/>
        <w:jc w:val="both"/>
        <w:rPr>
          <w:rFonts w:cstheme="minorHAnsi"/>
          <w:sz w:val="24"/>
          <w:szCs w:val="24"/>
        </w:rPr>
      </w:pPr>
    </w:p>
    <w:p w14:paraId="47B5885C" w14:textId="77777777" w:rsidR="00401940" w:rsidRPr="00000849" w:rsidRDefault="00401940" w:rsidP="00401940">
      <w:pPr>
        <w:spacing w:after="160" w:line="259" w:lineRule="auto"/>
        <w:rPr>
          <w:rFonts w:ascii="Calibri" w:eastAsia="Times New Roman" w:hAnsi="Calibri" w:cs="Times New Roman"/>
          <w:b/>
          <w:bCs/>
          <w:kern w:val="36"/>
          <w:sz w:val="28"/>
          <w:szCs w:val="48"/>
          <w:lang w:eastAsia="en-GB"/>
        </w:rPr>
      </w:pPr>
    </w:p>
    <w:p w14:paraId="1A3D13A8" w14:textId="77777777" w:rsidR="00401940" w:rsidRPr="00000849" w:rsidRDefault="00401940">
      <w:pPr>
        <w:pStyle w:val="Heading1"/>
        <w:sectPr w:rsidR="00401940" w:rsidRPr="00000849" w:rsidSect="009E605B">
          <w:pgSz w:w="11906" w:h="16838"/>
          <w:pgMar w:top="1440" w:right="1440" w:bottom="1440" w:left="2155" w:header="708" w:footer="708" w:gutter="0"/>
          <w:cols w:space="708"/>
          <w:docGrid w:linePitch="360"/>
        </w:sectPr>
      </w:pPr>
    </w:p>
    <w:p w14:paraId="3C8F4368" w14:textId="6897AFFD" w:rsidR="006A25C2" w:rsidRPr="00000849" w:rsidRDefault="006A25C2">
      <w:pPr>
        <w:pStyle w:val="Heading1"/>
      </w:pPr>
      <w:bookmarkStart w:id="134" w:name="_Toc51472164"/>
      <w:r w:rsidRPr="00000849">
        <w:lastRenderedPageBreak/>
        <w:t>Appendices</w:t>
      </w:r>
      <w:bookmarkEnd w:id="134"/>
    </w:p>
    <w:p w14:paraId="2B424015" w14:textId="0440C9C4" w:rsidR="009B47FF" w:rsidRPr="00000849" w:rsidRDefault="009B47FF" w:rsidP="00A61BAB">
      <w:pPr>
        <w:pStyle w:val="Heading2"/>
      </w:pPr>
      <w:bookmarkStart w:id="135" w:name="_Toc51472165"/>
      <w:r w:rsidRPr="00000849">
        <w:t>Appendix 1: Abstract of systematic review protocol on hypertension</w:t>
      </w:r>
      <w:bookmarkEnd w:id="135"/>
    </w:p>
    <w:p w14:paraId="0D53EA8C" w14:textId="28CAA7BB" w:rsidR="006A25C2" w:rsidRPr="00000849" w:rsidRDefault="001F5CF7" w:rsidP="006A25C2">
      <w:pPr>
        <w:widowControl w:val="0"/>
        <w:spacing w:line="360" w:lineRule="auto"/>
        <w:jc w:val="both"/>
      </w:pPr>
      <w:r w:rsidRPr="00000849">
        <w:rPr>
          <w:rFonts w:cstheme="minorHAnsi"/>
          <w:noProof/>
          <w:sz w:val="24"/>
          <w:szCs w:val="24"/>
          <w:lang w:val="en-US"/>
        </w:rPr>
        <w:drawing>
          <wp:inline distT="0" distB="0" distL="0" distR="0" wp14:anchorId="604EA000" wp14:editId="0AF8AB57">
            <wp:extent cx="4740275" cy="7022862"/>
            <wp:effectExtent l="0" t="0" r="3175"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osu_et_al-2017-HTN Older adults protocol Systematic_Reviews.tif"/>
                    <pic:cNvPicPr/>
                  </pic:nvPicPr>
                  <pic:blipFill>
                    <a:blip r:embed="rId135"/>
                    <a:stretch>
                      <a:fillRect/>
                    </a:stretch>
                  </pic:blipFill>
                  <pic:spPr>
                    <a:xfrm>
                      <a:off x="0" y="0"/>
                      <a:ext cx="4745960" cy="7031284"/>
                    </a:xfrm>
                    <a:prstGeom prst="rect">
                      <a:avLst/>
                    </a:prstGeom>
                  </pic:spPr>
                </pic:pic>
              </a:graphicData>
            </a:graphic>
          </wp:inline>
        </w:drawing>
      </w:r>
    </w:p>
    <w:p w14:paraId="01917952" w14:textId="77777777" w:rsidR="00B00ED8" w:rsidRPr="00000849" w:rsidRDefault="00B00ED8" w:rsidP="006A25C2">
      <w:pPr>
        <w:widowControl w:val="0"/>
        <w:spacing w:line="360" w:lineRule="auto"/>
        <w:jc w:val="both"/>
      </w:pPr>
    </w:p>
    <w:p w14:paraId="4F3A7A40" w14:textId="77777777" w:rsidR="00942277" w:rsidRPr="00000849" w:rsidRDefault="00942277" w:rsidP="006A25C2">
      <w:pPr>
        <w:widowControl w:val="0"/>
        <w:spacing w:line="360" w:lineRule="auto"/>
        <w:jc w:val="both"/>
        <w:sectPr w:rsidR="00942277" w:rsidRPr="00000849" w:rsidSect="009E605B">
          <w:pgSz w:w="11906" w:h="16838"/>
          <w:pgMar w:top="1440" w:right="1440" w:bottom="1440" w:left="2155" w:header="708" w:footer="708" w:gutter="0"/>
          <w:cols w:space="708"/>
          <w:docGrid w:linePitch="360"/>
        </w:sectPr>
      </w:pPr>
    </w:p>
    <w:p w14:paraId="2DACD3AB" w14:textId="77777777" w:rsidR="0048443D" w:rsidRPr="00000849" w:rsidRDefault="0048443D" w:rsidP="00A61BAB">
      <w:pPr>
        <w:pStyle w:val="Heading2"/>
      </w:pPr>
      <w:bookmarkStart w:id="136" w:name="_Toc51472166"/>
      <w:r w:rsidRPr="00000849">
        <w:lastRenderedPageBreak/>
        <w:t>Appendix 2: Published Paper – Hypertension in older adults in Africa: a systematic review and meta-analysis</w:t>
      </w:r>
      <w:bookmarkEnd w:id="136"/>
    </w:p>
    <w:p w14:paraId="0E050147" w14:textId="77777777" w:rsidR="0048443D" w:rsidRPr="00000849" w:rsidRDefault="0048443D" w:rsidP="00A617B9">
      <w:pPr>
        <w:spacing w:after="289" w:line="270" w:lineRule="auto"/>
        <w:ind w:right="7"/>
        <w:jc w:val="both"/>
        <w:rPr>
          <w:rFonts w:ascii="Arial" w:eastAsia="Arial" w:hAnsi="Arial" w:cs="Arial"/>
          <w:sz w:val="16"/>
        </w:rPr>
      </w:pPr>
    </w:p>
    <w:p w14:paraId="69C40CF8" w14:textId="5A411665" w:rsidR="00B00ED8" w:rsidRPr="00000849" w:rsidRDefault="00B00ED8" w:rsidP="00A617B9">
      <w:pPr>
        <w:spacing w:after="289" w:line="270" w:lineRule="auto"/>
        <w:ind w:right="7"/>
        <w:jc w:val="both"/>
      </w:pPr>
      <w:r w:rsidRPr="00000849">
        <w:rPr>
          <w:rFonts w:ascii="Arial" w:eastAsia="Arial" w:hAnsi="Arial" w:cs="Arial"/>
          <w:sz w:val="16"/>
        </w:rPr>
        <w:t>RESEARCH ARTICLE</w:t>
      </w:r>
    </w:p>
    <w:p w14:paraId="33A761A4" w14:textId="77777777" w:rsidR="00B00ED8" w:rsidRPr="00000849" w:rsidRDefault="00B00ED8" w:rsidP="00A617B9">
      <w:pPr>
        <w:spacing w:before="68" w:line="254" w:lineRule="auto"/>
        <w:ind w:left="-90" w:right="1191"/>
        <w:jc w:val="both"/>
        <w:rPr>
          <w:rFonts w:ascii="Lucida Sans"/>
          <w:sz w:val="36"/>
        </w:rPr>
      </w:pPr>
      <w:r w:rsidRPr="00000849">
        <w:rPr>
          <w:rFonts w:ascii="Lucida Sans"/>
          <w:spacing w:val="-5"/>
          <w:sz w:val="36"/>
        </w:rPr>
        <w:t>Hypertension</w:t>
      </w:r>
      <w:r w:rsidRPr="00000849">
        <w:rPr>
          <w:rFonts w:ascii="Lucida Sans"/>
          <w:spacing w:val="-73"/>
          <w:sz w:val="36"/>
        </w:rPr>
        <w:t xml:space="preserve"> </w:t>
      </w:r>
      <w:r w:rsidRPr="00000849">
        <w:rPr>
          <w:rFonts w:ascii="Lucida Sans"/>
          <w:spacing w:val="-3"/>
          <w:sz w:val="36"/>
        </w:rPr>
        <w:t>in</w:t>
      </w:r>
      <w:r w:rsidRPr="00000849">
        <w:rPr>
          <w:rFonts w:ascii="Lucida Sans"/>
          <w:spacing w:val="-73"/>
          <w:sz w:val="36"/>
        </w:rPr>
        <w:t xml:space="preserve"> </w:t>
      </w:r>
      <w:r w:rsidRPr="00000849">
        <w:rPr>
          <w:rFonts w:ascii="Lucida Sans"/>
          <w:spacing w:val="-4"/>
          <w:sz w:val="36"/>
        </w:rPr>
        <w:t>older</w:t>
      </w:r>
      <w:r w:rsidRPr="00000849">
        <w:rPr>
          <w:rFonts w:ascii="Lucida Sans"/>
          <w:spacing w:val="-73"/>
          <w:sz w:val="36"/>
        </w:rPr>
        <w:t xml:space="preserve"> </w:t>
      </w:r>
      <w:r w:rsidRPr="00000849">
        <w:rPr>
          <w:rFonts w:ascii="Lucida Sans"/>
          <w:spacing w:val="-5"/>
          <w:sz w:val="36"/>
        </w:rPr>
        <w:t>adults</w:t>
      </w:r>
      <w:r w:rsidRPr="00000849">
        <w:rPr>
          <w:rFonts w:ascii="Lucida Sans"/>
          <w:spacing w:val="-73"/>
          <w:sz w:val="36"/>
        </w:rPr>
        <w:t xml:space="preserve"> </w:t>
      </w:r>
      <w:r w:rsidRPr="00000849">
        <w:rPr>
          <w:rFonts w:ascii="Lucida Sans"/>
          <w:spacing w:val="-3"/>
          <w:sz w:val="36"/>
        </w:rPr>
        <w:t>in</w:t>
      </w:r>
      <w:r w:rsidRPr="00000849">
        <w:rPr>
          <w:rFonts w:ascii="Lucida Sans"/>
          <w:spacing w:val="-74"/>
          <w:sz w:val="36"/>
        </w:rPr>
        <w:t xml:space="preserve"> </w:t>
      </w:r>
      <w:r w:rsidRPr="00000849">
        <w:rPr>
          <w:rFonts w:ascii="Lucida Sans"/>
          <w:spacing w:val="-5"/>
          <w:sz w:val="36"/>
        </w:rPr>
        <w:t>Africa:</w:t>
      </w:r>
      <w:r w:rsidRPr="00000849">
        <w:rPr>
          <w:rFonts w:ascii="Lucida Sans"/>
          <w:spacing w:val="-73"/>
          <w:sz w:val="36"/>
        </w:rPr>
        <w:t xml:space="preserve"> </w:t>
      </w:r>
      <w:r w:rsidRPr="00000849">
        <w:rPr>
          <w:rFonts w:ascii="Lucida Sans"/>
          <w:sz w:val="36"/>
        </w:rPr>
        <w:t xml:space="preserve">A </w:t>
      </w:r>
      <w:r w:rsidRPr="00000849">
        <w:rPr>
          <w:rFonts w:ascii="Lucida Sans"/>
          <w:spacing w:val="-5"/>
          <w:sz w:val="36"/>
        </w:rPr>
        <w:t xml:space="preserve">systematic review </w:t>
      </w:r>
      <w:r w:rsidRPr="00000849">
        <w:rPr>
          <w:rFonts w:ascii="Lucida Sans"/>
          <w:spacing w:val="-4"/>
          <w:sz w:val="36"/>
        </w:rPr>
        <w:t xml:space="preserve">and </w:t>
      </w:r>
      <w:r w:rsidRPr="00000849">
        <w:rPr>
          <w:rFonts w:ascii="Lucida Sans"/>
          <w:spacing w:val="-5"/>
          <w:sz w:val="36"/>
        </w:rPr>
        <w:t>meta-analysis</w:t>
      </w:r>
    </w:p>
    <w:p w14:paraId="375992AA" w14:textId="77777777" w:rsidR="00B00ED8" w:rsidRPr="00000849" w:rsidRDefault="00B00ED8" w:rsidP="00A617B9">
      <w:pPr>
        <w:spacing w:before="219" w:line="249" w:lineRule="auto"/>
        <w:ind w:left="-90" w:right="334" w:hanging="1"/>
        <w:jc w:val="both"/>
        <w:rPr>
          <w:rFonts w:ascii="Arial"/>
          <w:b/>
          <w:sz w:val="18"/>
        </w:rPr>
      </w:pPr>
      <w:r w:rsidRPr="00000849">
        <w:rPr>
          <w:rFonts w:ascii="Arial"/>
          <w:b/>
          <w:sz w:val="18"/>
        </w:rPr>
        <w:t>William</w:t>
      </w:r>
      <w:r w:rsidRPr="00000849">
        <w:rPr>
          <w:rFonts w:ascii="Arial"/>
          <w:b/>
          <w:spacing w:val="-16"/>
          <w:sz w:val="18"/>
        </w:rPr>
        <w:t xml:space="preserve"> </w:t>
      </w:r>
      <w:r w:rsidRPr="00000849">
        <w:rPr>
          <w:rFonts w:ascii="Arial"/>
          <w:b/>
          <w:sz w:val="18"/>
        </w:rPr>
        <w:t>Kofi</w:t>
      </w:r>
      <w:r w:rsidRPr="00000849">
        <w:rPr>
          <w:rFonts w:ascii="Arial"/>
          <w:b/>
          <w:spacing w:val="-15"/>
          <w:sz w:val="18"/>
        </w:rPr>
        <w:t xml:space="preserve"> </w:t>
      </w:r>
      <w:r w:rsidRPr="00000849">
        <w:rPr>
          <w:rFonts w:ascii="Arial"/>
          <w:b/>
          <w:sz w:val="18"/>
        </w:rPr>
        <w:t>Bosu</w:t>
      </w:r>
      <w:r w:rsidRPr="00000849">
        <w:rPr>
          <w:rFonts w:ascii="Arial"/>
          <w:b/>
          <w:noProof/>
          <w:spacing w:val="4"/>
          <w:w w:val="99"/>
          <w:position w:val="-3"/>
          <w:sz w:val="18"/>
        </w:rPr>
        <w:drawing>
          <wp:inline distT="0" distB="0" distL="0" distR="0" wp14:anchorId="5110ED05" wp14:editId="1161A82B">
            <wp:extent cx="97536" cy="97536"/>
            <wp:effectExtent l="0" t="0" r="0" b="0"/>
            <wp:docPr id="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36" cstate="print"/>
                    <a:stretch>
                      <a:fillRect/>
                    </a:stretch>
                  </pic:blipFill>
                  <pic:spPr>
                    <a:xfrm>
                      <a:off x="0" y="0"/>
                      <a:ext cx="97536" cy="97536"/>
                    </a:xfrm>
                    <a:prstGeom prst="rect">
                      <a:avLst/>
                    </a:prstGeom>
                  </pic:spPr>
                </pic:pic>
              </a:graphicData>
            </a:graphic>
          </wp:inline>
        </w:drawing>
      </w:r>
      <w:r w:rsidRPr="00000849">
        <w:rPr>
          <w:rFonts w:ascii="Arial"/>
          <w:b/>
          <w:position w:val="-3"/>
          <w:sz w:val="18"/>
          <w:vertAlign w:val="superscript"/>
        </w:rPr>
        <w:t>1,2</w:t>
      </w:r>
      <w:r w:rsidRPr="00000849">
        <w:rPr>
          <w:rFonts w:ascii="Tahoma"/>
          <w:b/>
          <w:sz w:val="18"/>
        </w:rPr>
        <w:t>*</w:t>
      </w:r>
      <w:r w:rsidRPr="00000849">
        <w:rPr>
          <w:rFonts w:ascii="Arial"/>
          <w:b/>
          <w:sz w:val="18"/>
        </w:rPr>
        <w:t>,</w:t>
      </w:r>
      <w:r w:rsidRPr="00000849">
        <w:rPr>
          <w:rFonts w:ascii="Arial"/>
          <w:b/>
          <w:spacing w:val="-15"/>
          <w:sz w:val="18"/>
        </w:rPr>
        <w:t xml:space="preserve"> </w:t>
      </w:r>
      <w:r w:rsidRPr="00000849">
        <w:rPr>
          <w:rFonts w:ascii="Arial"/>
          <w:b/>
          <w:sz w:val="18"/>
        </w:rPr>
        <w:t>Siobhan</w:t>
      </w:r>
      <w:r w:rsidRPr="00000849">
        <w:rPr>
          <w:rFonts w:ascii="Arial"/>
          <w:b/>
          <w:spacing w:val="-16"/>
          <w:sz w:val="18"/>
        </w:rPr>
        <w:t xml:space="preserve"> </w:t>
      </w:r>
      <w:r w:rsidRPr="00000849">
        <w:rPr>
          <w:rFonts w:ascii="Arial"/>
          <w:b/>
          <w:sz w:val="18"/>
        </w:rPr>
        <w:t>Theresa</w:t>
      </w:r>
      <w:r w:rsidRPr="00000849">
        <w:rPr>
          <w:rFonts w:ascii="Arial"/>
          <w:b/>
          <w:spacing w:val="-15"/>
          <w:sz w:val="18"/>
        </w:rPr>
        <w:t xml:space="preserve"> </w:t>
      </w:r>
      <w:r w:rsidRPr="00000849">
        <w:rPr>
          <w:rFonts w:ascii="Arial"/>
          <w:b/>
          <w:sz w:val="18"/>
        </w:rPr>
        <w:t>Reilly</w:t>
      </w:r>
      <w:r w:rsidRPr="00000849">
        <w:rPr>
          <w:rFonts w:ascii="Arial"/>
          <w:b/>
          <w:sz w:val="18"/>
          <w:vertAlign w:val="superscript"/>
        </w:rPr>
        <w:t>2</w:t>
      </w:r>
      <w:r w:rsidRPr="00000849">
        <w:rPr>
          <w:rFonts w:ascii="Arial"/>
          <w:b/>
          <w:sz w:val="18"/>
        </w:rPr>
        <w:t>,</w:t>
      </w:r>
      <w:r w:rsidRPr="00000849">
        <w:rPr>
          <w:rFonts w:ascii="Arial"/>
          <w:b/>
          <w:spacing w:val="-16"/>
          <w:sz w:val="18"/>
        </w:rPr>
        <w:t xml:space="preserve"> </w:t>
      </w:r>
      <w:r w:rsidRPr="00000849">
        <w:rPr>
          <w:rFonts w:ascii="Arial"/>
          <w:b/>
          <w:sz w:val="18"/>
        </w:rPr>
        <w:t>Justice</w:t>
      </w:r>
      <w:r w:rsidRPr="00000849">
        <w:rPr>
          <w:rFonts w:ascii="Arial"/>
          <w:b/>
          <w:spacing w:val="-15"/>
          <w:sz w:val="18"/>
        </w:rPr>
        <w:t xml:space="preserve"> </w:t>
      </w:r>
      <w:r w:rsidRPr="00000849">
        <w:rPr>
          <w:rFonts w:ascii="Arial"/>
          <w:b/>
          <w:sz w:val="18"/>
        </w:rPr>
        <w:t>Moses</w:t>
      </w:r>
      <w:r w:rsidRPr="00000849">
        <w:rPr>
          <w:rFonts w:ascii="Arial"/>
          <w:b/>
          <w:spacing w:val="-15"/>
          <w:sz w:val="18"/>
        </w:rPr>
        <w:t xml:space="preserve"> </w:t>
      </w:r>
      <w:r w:rsidRPr="00000849">
        <w:rPr>
          <w:rFonts w:ascii="Arial"/>
          <w:b/>
          <w:sz w:val="18"/>
        </w:rPr>
        <w:t>Kwaku</w:t>
      </w:r>
      <w:r w:rsidRPr="00000849">
        <w:rPr>
          <w:rFonts w:ascii="Arial"/>
          <w:b/>
          <w:spacing w:val="-16"/>
          <w:sz w:val="18"/>
        </w:rPr>
        <w:t xml:space="preserve"> </w:t>
      </w:r>
      <w:r w:rsidRPr="00000849">
        <w:rPr>
          <w:rFonts w:ascii="Arial"/>
          <w:b/>
          <w:sz w:val="18"/>
        </w:rPr>
        <w:t>Aheto</w:t>
      </w:r>
      <w:r w:rsidRPr="00000849">
        <w:rPr>
          <w:rFonts w:ascii="Arial"/>
          <w:b/>
          <w:noProof/>
          <w:spacing w:val="3"/>
          <w:w w:val="99"/>
          <w:position w:val="-3"/>
          <w:sz w:val="18"/>
        </w:rPr>
        <w:drawing>
          <wp:inline distT="0" distB="0" distL="0" distR="0" wp14:anchorId="6A7D3ACE" wp14:editId="6145F216">
            <wp:extent cx="97536" cy="97536"/>
            <wp:effectExtent l="0" t="0" r="0" b="0"/>
            <wp:docPr id="2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136" cstate="print"/>
                    <a:stretch>
                      <a:fillRect/>
                    </a:stretch>
                  </pic:blipFill>
                  <pic:spPr>
                    <a:xfrm>
                      <a:off x="0" y="0"/>
                      <a:ext cx="97536" cy="97536"/>
                    </a:xfrm>
                    <a:prstGeom prst="rect">
                      <a:avLst/>
                    </a:prstGeom>
                  </pic:spPr>
                </pic:pic>
              </a:graphicData>
            </a:graphic>
          </wp:inline>
        </w:drawing>
      </w:r>
      <w:r w:rsidRPr="00000849">
        <w:rPr>
          <w:rFonts w:ascii="Arial"/>
          <w:b/>
          <w:position w:val="-3"/>
          <w:sz w:val="18"/>
          <w:vertAlign w:val="superscript"/>
        </w:rPr>
        <w:t>3</w:t>
      </w:r>
      <w:r w:rsidRPr="00000849">
        <w:rPr>
          <w:rFonts w:ascii="Arial"/>
          <w:b/>
          <w:sz w:val="18"/>
        </w:rPr>
        <w:t>, Eugenio</w:t>
      </w:r>
      <w:r w:rsidRPr="00000849">
        <w:rPr>
          <w:rFonts w:ascii="Arial"/>
          <w:b/>
          <w:spacing w:val="-13"/>
          <w:sz w:val="18"/>
        </w:rPr>
        <w:t xml:space="preserve"> </w:t>
      </w:r>
      <w:r w:rsidRPr="00000849">
        <w:rPr>
          <w:rFonts w:ascii="Arial"/>
          <w:b/>
          <w:sz w:val="18"/>
        </w:rPr>
        <w:t>Zucchelli</w:t>
      </w:r>
      <w:r w:rsidRPr="00000849">
        <w:rPr>
          <w:rFonts w:ascii="Arial"/>
          <w:b/>
          <w:sz w:val="18"/>
          <w:vertAlign w:val="superscript"/>
        </w:rPr>
        <w:t>2</w:t>
      </w:r>
    </w:p>
    <w:p w14:paraId="025C658B" w14:textId="77777777" w:rsidR="00B00ED8" w:rsidRPr="00000849" w:rsidRDefault="00B00ED8" w:rsidP="00A617B9">
      <w:pPr>
        <w:spacing w:before="163" w:line="261" w:lineRule="auto"/>
        <w:ind w:left="-90"/>
        <w:jc w:val="both"/>
        <w:rPr>
          <w:rFonts w:ascii="Arial"/>
          <w:sz w:val="16"/>
        </w:rPr>
      </w:pPr>
      <w:r w:rsidRPr="00000849">
        <w:rPr>
          <w:rFonts w:ascii="Arial"/>
          <w:b/>
          <w:sz w:val="16"/>
        </w:rPr>
        <w:t>1</w:t>
      </w:r>
      <w:r w:rsidRPr="00000849">
        <w:rPr>
          <w:rFonts w:ascii="Arial"/>
          <w:b/>
          <w:spacing w:val="10"/>
          <w:sz w:val="16"/>
        </w:rPr>
        <w:t xml:space="preserve"> </w:t>
      </w:r>
      <w:r w:rsidRPr="00000849">
        <w:rPr>
          <w:rFonts w:ascii="Arial"/>
          <w:sz w:val="16"/>
        </w:rPr>
        <w:t>Department</w:t>
      </w:r>
      <w:r w:rsidRPr="00000849">
        <w:rPr>
          <w:rFonts w:ascii="Arial"/>
          <w:spacing w:val="-20"/>
          <w:sz w:val="16"/>
        </w:rPr>
        <w:t xml:space="preserve"> </w:t>
      </w:r>
      <w:r w:rsidRPr="00000849">
        <w:rPr>
          <w:rFonts w:ascii="Arial"/>
          <w:sz w:val="16"/>
        </w:rPr>
        <w:t>of</w:t>
      </w:r>
      <w:r w:rsidRPr="00000849">
        <w:rPr>
          <w:rFonts w:ascii="Arial"/>
          <w:spacing w:val="-18"/>
          <w:sz w:val="16"/>
        </w:rPr>
        <w:t xml:space="preserve"> </w:t>
      </w:r>
      <w:r w:rsidRPr="00000849">
        <w:rPr>
          <w:rFonts w:ascii="Arial"/>
          <w:sz w:val="16"/>
        </w:rPr>
        <w:t>Public</w:t>
      </w:r>
      <w:r w:rsidRPr="00000849">
        <w:rPr>
          <w:rFonts w:ascii="Arial"/>
          <w:spacing w:val="-18"/>
          <w:sz w:val="16"/>
        </w:rPr>
        <w:t xml:space="preserve"> </w:t>
      </w:r>
      <w:r w:rsidRPr="00000849">
        <w:rPr>
          <w:rFonts w:ascii="Arial"/>
          <w:sz w:val="16"/>
        </w:rPr>
        <w:t>Health</w:t>
      </w:r>
      <w:r w:rsidRPr="00000849">
        <w:rPr>
          <w:rFonts w:ascii="Arial"/>
          <w:spacing w:val="-19"/>
          <w:sz w:val="16"/>
        </w:rPr>
        <w:t xml:space="preserve"> </w:t>
      </w:r>
      <w:r w:rsidRPr="00000849">
        <w:rPr>
          <w:rFonts w:ascii="Arial"/>
          <w:sz w:val="16"/>
        </w:rPr>
        <w:t>and</w:t>
      </w:r>
      <w:r w:rsidRPr="00000849">
        <w:rPr>
          <w:rFonts w:ascii="Arial"/>
          <w:spacing w:val="-17"/>
          <w:sz w:val="16"/>
        </w:rPr>
        <w:t xml:space="preserve"> </w:t>
      </w:r>
      <w:r w:rsidRPr="00000849">
        <w:rPr>
          <w:rFonts w:ascii="Arial"/>
          <w:sz w:val="16"/>
        </w:rPr>
        <w:t>Research,</w:t>
      </w:r>
      <w:r w:rsidRPr="00000849">
        <w:rPr>
          <w:rFonts w:ascii="Arial"/>
          <w:spacing w:val="-19"/>
          <w:sz w:val="16"/>
        </w:rPr>
        <w:t xml:space="preserve"> </w:t>
      </w:r>
      <w:r w:rsidRPr="00000849">
        <w:rPr>
          <w:rFonts w:ascii="Arial"/>
          <w:sz w:val="16"/>
        </w:rPr>
        <w:t>West</w:t>
      </w:r>
      <w:r w:rsidRPr="00000849">
        <w:rPr>
          <w:rFonts w:ascii="Arial"/>
          <w:spacing w:val="-19"/>
          <w:sz w:val="16"/>
        </w:rPr>
        <w:t xml:space="preserve"> </w:t>
      </w:r>
      <w:r w:rsidRPr="00000849">
        <w:rPr>
          <w:rFonts w:ascii="Arial"/>
          <w:sz w:val="16"/>
        </w:rPr>
        <w:t>African</w:t>
      </w:r>
      <w:r w:rsidRPr="00000849">
        <w:rPr>
          <w:rFonts w:ascii="Arial"/>
          <w:spacing w:val="-18"/>
          <w:sz w:val="16"/>
        </w:rPr>
        <w:t xml:space="preserve"> </w:t>
      </w:r>
      <w:r w:rsidRPr="00000849">
        <w:rPr>
          <w:rFonts w:ascii="Arial"/>
          <w:sz w:val="16"/>
        </w:rPr>
        <w:t>Health</w:t>
      </w:r>
      <w:r w:rsidRPr="00000849">
        <w:rPr>
          <w:rFonts w:ascii="Arial"/>
          <w:spacing w:val="-18"/>
          <w:sz w:val="16"/>
        </w:rPr>
        <w:t xml:space="preserve"> </w:t>
      </w:r>
      <w:r w:rsidRPr="00000849">
        <w:rPr>
          <w:rFonts w:ascii="Arial"/>
          <w:sz w:val="16"/>
        </w:rPr>
        <w:t>Organisation,</w:t>
      </w:r>
      <w:r w:rsidRPr="00000849">
        <w:rPr>
          <w:rFonts w:ascii="Arial"/>
          <w:spacing w:val="-19"/>
          <w:sz w:val="16"/>
        </w:rPr>
        <w:t xml:space="preserve"> </w:t>
      </w:r>
      <w:r w:rsidRPr="00000849">
        <w:rPr>
          <w:rFonts w:ascii="Arial"/>
          <w:sz w:val="16"/>
        </w:rPr>
        <w:t>Bobo-Dioulasso,</w:t>
      </w:r>
      <w:r w:rsidRPr="00000849">
        <w:rPr>
          <w:rFonts w:ascii="Arial"/>
          <w:spacing w:val="-18"/>
          <w:sz w:val="16"/>
        </w:rPr>
        <w:t xml:space="preserve"> </w:t>
      </w:r>
      <w:r w:rsidRPr="00000849">
        <w:rPr>
          <w:rFonts w:ascii="Arial"/>
          <w:sz w:val="16"/>
        </w:rPr>
        <w:t>Burkina Faso,</w:t>
      </w:r>
      <w:r w:rsidRPr="00000849">
        <w:rPr>
          <w:rFonts w:ascii="Arial"/>
          <w:spacing w:val="-19"/>
          <w:sz w:val="16"/>
        </w:rPr>
        <w:t xml:space="preserve"> </w:t>
      </w:r>
      <w:r w:rsidRPr="00000849">
        <w:rPr>
          <w:rFonts w:ascii="Arial"/>
          <w:b/>
          <w:sz w:val="16"/>
        </w:rPr>
        <w:t>2</w:t>
      </w:r>
      <w:r w:rsidRPr="00000849">
        <w:rPr>
          <w:rFonts w:ascii="Arial"/>
          <w:b/>
          <w:spacing w:val="11"/>
          <w:sz w:val="16"/>
        </w:rPr>
        <w:t xml:space="preserve"> </w:t>
      </w:r>
      <w:r w:rsidRPr="00000849">
        <w:rPr>
          <w:rFonts w:ascii="Arial"/>
          <w:sz w:val="16"/>
        </w:rPr>
        <w:t>Division</w:t>
      </w:r>
      <w:r w:rsidRPr="00000849">
        <w:rPr>
          <w:rFonts w:ascii="Arial"/>
          <w:spacing w:val="-19"/>
          <w:sz w:val="16"/>
        </w:rPr>
        <w:t xml:space="preserve"> </w:t>
      </w:r>
      <w:r w:rsidRPr="00000849">
        <w:rPr>
          <w:rFonts w:ascii="Arial"/>
          <w:sz w:val="16"/>
        </w:rPr>
        <w:t>of</w:t>
      </w:r>
      <w:r w:rsidRPr="00000849">
        <w:rPr>
          <w:rFonts w:ascii="Arial"/>
          <w:spacing w:val="-17"/>
          <w:sz w:val="16"/>
        </w:rPr>
        <w:t xml:space="preserve"> </w:t>
      </w:r>
      <w:r w:rsidRPr="00000849">
        <w:rPr>
          <w:rFonts w:ascii="Arial"/>
          <w:sz w:val="16"/>
        </w:rPr>
        <w:t>Health</w:t>
      </w:r>
      <w:r w:rsidRPr="00000849">
        <w:rPr>
          <w:rFonts w:ascii="Arial"/>
          <w:spacing w:val="-19"/>
          <w:sz w:val="16"/>
        </w:rPr>
        <w:t xml:space="preserve"> </w:t>
      </w:r>
      <w:r w:rsidRPr="00000849">
        <w:rPr>
          <w:rFonts w:ascii="Arial"/>
          <w:sz w:val="16"/>
        </w:rPr>
        <w:t>Research,</w:t>
      </w:r>
      <w:r w:rsidRPr="00000849">
        <w:rPr>
          <w:rFonts w:ascii="Arial"/>
          <w:spacing w:val="-19"/>
          <w:sz w:val="16"/>
        </w:rPr>
        <w:t xml:space="preserve"> </w:t>
      </w:r>
      <w:r w:rsidRPr="00000849">
        <w:rPr>
          <w:rFonts w:ascii="Arial"/>
          <w:sz w:val="16"/>
        </w:rPr>
        <w:t>Faculty</w:t>
      </w:r>
      <w:r w:rsidRPr="00000849">
        <w:rPr>
          <w:rFonts w:ascii="Arial"/>
          <w:spacing w:val="-18"/>
          <w:sz w:val="16"/>
        </w:rPr>
        <w:t xml:space="preserve"> </w:t>
      </w:r>
      <w:r w:rsidRPr="00000849">
        <w:rPr>
          <w:rFonts w:ascii="Arial"/>
          <w:sz w:val="16"/>
        </w:rPr>
        <w:t>of</w:t>
      </w:r>
      <w:r w:rsidRPr="00000849">
        <w:rPr>
          <w:rFonts w:ascii="Arial"/>
          <w:spacing w:val="-18"/>
          <w:sz w:val="16"/>
        </w:rPr>
        <w:t xml:space="preserve"> </w:t>
      </w:r>
      <w:r w:rsidRPr="00000849">
        <w:rPr>
          <w:rFonts w:ascii="Arial"/>
          <w:sz w:val="16"/>
        </w:rPr>
        <w:t>Health</w:t>
      </w:r>
      <w:r w:rsidRPr="00000849">
        <w:rPr>
          <w:rFonts w:ascii="Arial"/>
          <w:spacing w:val="-19"/>
          <w:sz w:val="16"/>
        </w:rPr>
        <w:t xml:space="preserve"> </w:t>
      </w:r>
      <w:r w:rsidRPr="00000849">
        <w:rPr>
          <w:rFonts w:ascii="Arial"/>
          <w:sz w:val="16"/>
        </w:rPr>
        <w:t>&amp;</w:t>
      </w:r>
      <w:r w:rsidRPr="00000849">
        <w:rPr>
          <w:rFonts w:ascii="Arial"/>
          <w:spacing w:val="-17"/>
          <w:sz w:val="16"/>
        </w:rPr>
        <w:t xml:space="preserve"> </w:t>
      </w:r>
      <w:r w:rsidRPr="00000849">
        <w:rPr>
          <w:rFonts w:ascii="Arial"/>
          <w:sz w:val="16"/>
        </w:rPr>
        <w:t>Medicine,</w:t>
      </w:r>
      <w:r w:rsidRPr="00000849">
        <w:rPr>
          <w:rFonts w:ascii="Arial"/>
          <w:spacing w:val="-19"/>
          <w:sz w:val="16"/>
        </w:rPr>
        <w:t xml:space="preserve"> </w:t>
      </w:r>
      <w:r w:rsidRPr="00000849">
        <w:rPr>
          <w:rFonts w:ascii="Arial"/>
          <w:sz w:val="16"/>
        </w:rPr>
        <w:t>Lancaster</w:t>
      </w:r>
      <w:r w:rsidRPr="00000849">
        <w:rPr>
          <w:rFonts w:ascii="Arial"/>
          <w:spacing w:val="-18"/>
          <w:sz w:val="16"/>
        </w:rPr>
        <w:t xml:space="preserve"> </w:t>
      </w:r>
      <w:r w:rsidRPr="00000849">
        <w:rPr>
          <w:rFonts w:ascii="Arial"/>
          <w:sz w:val="16"/>
        </w:rPr>
        <w:t>University,</w:t>
      </w:r>
      <w:r w:rsidRPr="00000849">
        <w:rPr>
          <w:rFonts w:ascii="Arial"/>
          <w:spacing w:val="-17"/>
          <w:sz w:val="16"/>
        </w:rPr>
        <w:t xml:space="preserve"> </w:t>
      </w:r>
      <w:r w:rsidRPr="00000849">
        <w:rPr>
          <w:rFonts w:ascii="Arial"/>
          <w:sz w:val="16"/>
        </w:rPr>
        <w:t>Lancaster,</w:t>
      </w:r>
      <w:r w:rsidRPr="00000849">
        <w:rPr>
          <w:rFonts w:ascii="Arial"/>
          <w:spacing w:val="-18"/>
          <w:sz w:val="16"/>
        </w:rPr>
        <w:t xml:space="preserve"> </w:t>
      </w:r>
      <w:r w:rsidRPr="00000849">
        <w:rPr>
          <w:rFonts w:ascii="Arial"/>
          <w:sz w:val="16"/>
        </w:rPr>
        <w:t>United Kingdom,</w:t>
      </w:r>
      <w:r w:rsidRPr="00000849">
        <w:rPr>
          <w:rFonts w:ascii="Arial"/>
          <w:spacing w:val="-18"/>
          <w:sz w:val="16"/>
        </w:rPr>
        <w:t xml:space="preserve"> </w:t>
      </w:r>
      <w:r w:rsidRPr="00000849">
        <w:rPr>
          <w:rFonts w:ascii="Arial"/>
          <w:b/>
          <w:sz w:val="16"/>
        </w:rPr>
        <w:t>3</w:t>
      </w:r>
      <w:r w:rsidRPr="00000849">
        <w:rPr>
          <w:rFonts w:ascii="Arial"/>
          <w:b/>
          <w:spacing w:val="10"/>
          <w:sz w:val="16"/>
        </w:rPr>
        <w:t xml:space="preserve"> </w:t>
      </w:r>
      <w:r w:rsidRPr="00000849">
        <w:rPr>
          <w:rFonts w:ascii="Arial"/>
          <w:sz w:val="16"/>
        </w:rPr>
        <w:t>Department</w:t>
      </w:r>
      <w:r w:rsidRPr="00000849">
        <w:rPr>
          <w:rFonts w:ascii="Arial"/>
          <w:spacing w:val="-19"/>
          <w:sz w:val="16"/>
        </w:rPr>
        <w:t xml:space="preserve"> </w:t>
      </w:r>
      <w:r w:rsidRPr="00000849">
        <w:rPr>
          <w:rFonts w:ascii="Arial"/>
          <w:sz w:val="16"/>
        </w:rPr>
        <w:t>of</w:t>
      </w:r>
      <w:r w:rsidRPr="00000849">
        <w:rPr>
          <w:rFonts w:ascii="Arial"/>
          <w:spacing w:val="-18"/>
          <w:sz w:val="16"/>
        </w:rPr>
        <w:t xml:space="preserve"> </w:t>
      </w:r>
      <w:r w:rsidRPr="00000849">
        <w:rPr>
          <w:rFonts w:ascii="Arial"/>
          <w:sz w:val="16"/>
        </w:rPr>
        <w:t>Biostatistics,</w:t>
      </w:r>
      <w:r w:rsidRPr="00000849">
        <w:rPr>
          <w:rFonts w:ascii="Arial"/>
          <w:spacing w:val="-17"/>
          <w:sz w:val="16"/>
        </w:rPr>
        <w:t xml:space="preserve"> </w:t>
      </w:r>
      <w:r w:rsidRPr="00000849">
        <w:rPr>
          <w:rFonts w:ascii="Arial"/>
          <w:sz w:val="16"/>
        </w:rPr>
        <w:t>School</w:t>
      </w:r>
      <w:r w:rsidRPr="00000849">
        <w:rPr>
          <w:rFonts w:ascii="Arial"/>
          <w:spacing w:val="-20"/>
          <w:sz w:val="16"/>
        </w:rPr>
        <w:t xml:space="preserve"> </w:t>
      </w:r>
      <w:r w:rsidRPr="00000849">
        <w:rPr>
          <w:rFonts w:ascii="Arial"/>
          <w:sz w:val="16"/>
        </w:rPr>
        <w:t>of</w:t>
      </w:r>
      <w:r w:rsidRPr="00000849">
        <w:rPr>
          <w:rFonts w:ascii="Arial"/>
          <w:spacing w:val="-17"/>
          <w:sz w:val="16"/>
        </w:rPr>
        <w:t xml:space="preserve"> </w:t>
      </w:r>
      <w:r w:rsidRPr="00000849">
        <w:rPr>
          <w:rFonts w:ascii="Arial"/>
          <w:sz w:val="16"/>
        </w:rPr>
        <w:t>Public</w:t>
      </w:r>
      <w:r w:rsidRPr="00000849">
        <w:rPr>
          <w:rFonts w:ascii="Arial"/>
          <w:spacing w:val="-18"/>
          <w:sz w:val="16"/>
        </w:rPr>
        <w:t xml:space="preserve"> </w:t>
      </w:r>
      <w:r w:rsidRPr="00000849">
        <w:rPr>
          <w:rFonts w:ascii="Arial"/>
          <w:sz w:val="16"/>
        </w:rPr>
        <w:t>Health,</w:t>
      </w:r>
      <w:r w:rsidRPr="00000849">
        <w:rPr>
          <w:rFonts w:ascii="Arial"/>
          <w:spacing w:val="-19"/>
          <w:sz w:val="16"/>
        </w:rPr>
        <w:t xml:space="preserve"> </w:t>
      </w:r>
      <w:r w:rsidRPr="00000849">
        <w:rPr>
          <w:rFonts w:ascii="Arial"/>
          <w:sz w:val="16"/>
        </w:rPr>
        <w:t>University</w:t>
      </w:r>
      <w:r w:rsidRPr="00000849">
        <w:rPr>
          <w:rFonts w:ascii="Arial"/>
          <w:spacing w:val="-19"/>
          <w:sz w:val="16"/>
        </w:rPr>
        <w:t xml:space="preserve"> </w:t>
      </w:r>
      <w:r w:rsidRPr="00000849">
        <w:rPr>
          <w:rFonts w:ascii="Arial"/>
          <w:sz w:val="16"/>
        </w:rPr>
        <w:t>of</w:t>
      </w:r>
      <w:r w:rsidRPr="00000849">
        <w:rPr>
          <w:rFonts w:ascii="Arial"/>
          <w:spacing w:val="-19"/>
          <w:sz w:val="16"/>
        </w:rPr>
        <w:t xml:space="preserve"> </w:t>
      </w:r>
      <w:r w:rsidRPr="00000849">
        <w:rPr>
          <w:rFonts w:ascii="Arial"/>
          <w:sz w:val="16"/>
        </w:rPr>
        <w:t>Ghana,</w:t>
      </w:r>
      <w:r w:rsidRPr="00000849">
        <w:rPr>
          <w:rFonts w:ascii="Arial"/>
          <w:spacing w:val="-18"/>
          <w:sz w:val="16"/>
        </w:rPr>
        <w:t xml:space="preserve"> </w:t>
      </w:r>
      <w:r w:rsidRPr="00000849">
        <w:rPr>
          <w:rFonts w:ascii="Arial"/>
          <w:sz w:val="16"/>
        </w:rPr>
        <w:t>Legon,</w:t>
      </w:r>
      <w:r w:rsidRPr="00000849">
        <w:rPr>
          <w:rFonts w:ascii="Arial"/>
          <w:spacing w:val="-19"/>
          <w:sz w:val="16"/>
        </w:rPr>
        <w:t xml:space="preserve"> </w:t>
      </w:r>
      <w:r w:rsidRPr="00000849">
        <w:rPr>
          <w:rFonts w:ascii="Arial"/>
          <w:sz w:val="16"/>
        </w:rPr>
        <w:t>Accra,</w:t>
      </w:r>
      <w:r w:rsidRPr="00000849">
        <w:rPr>
          <w:rFonts w:ascii="Arial"/>
          <w:spacing w:val="-19"/>
          <w:sz w:val="16"/>
        </w:rPr>
        <w:t xml:space="preserve"> </w:t>
      </w:r>
      <w:r w:rsidRPr="00000849">
        <w:rPr>
          <w:rFonts w:ascii="Arial"/>
          <w:sz w:val="16"/>
        </w:rPr>
        <w:t>Ghana</w:t>
      </w:r>
    </w:p>
    <w:p w14:paraId="2DB03A8C" w14:textId="77777777" w:rsidR="00B00ED8" w:rsidRPr="00000849" w:rsidRDefault="00B00ED8" w:rsidP="00A617B9">
      <w:pPr>
        <w:pStyle w:val="BodyText"/>
        <w:spacing w:before="1"/>
        <w:ind w:left="-90"/>
        <w:jc w:val="both"/>
        <w:rPr>
          <w:rFonts w:ascii="Arial"/>
          <w:sz w:val="15"/>
        </w:rPr>
      </w:pPr>
    </w:p>
    <w:p w14:paraId="5CC2D76A" w14:textId="77777777" w:rsidR="00B00ED8" w:rsidRPr="00000849" w:rsidRDefault="00B00ED8" w:rsidP="00A617B9">
      <w:pPr>
        <w:ind w:left="-90"/>
        <w:jc w:val="both"/>
        <w:rPr>
          <w:rFonts w:ascii="Arial"/>
          <w:sz w:val="16"/>
        </w:rPr>
      </w:pPr>
      <w:r w:rsidRPr="00000849">
        <w:rPr>
          <w:rFonts w:ascii="Arial Black"/>
          <w:sz w:val="16"/>
        </w:rPr>
        <w:t>*</w:t>
      </w:r>
      <w:r w:rsidRPr="00000849">
        <w:rPr>
          <w:rFonts w:ascii="Arial Black"/>
          <w:color w:val="3E65AC"/>
          <w:sz w:val="16"/>
        </w:rPr>
        <w:t xml:space="preserve"> </w:t>
      </w:r>
      <w:hyperlink r:id="rId137">
        <w:r w:rsidRPr="00000849">
          <w:rPr>
            <w:rFonts w:ascii="Arial"/>
            <w:color w:val="3E65AC"/>
            <w:sz w:val="16"/>
            <w:u w:val="single" w:color="3E65AC"/>
          </w:rPr>
          <w:t>billybosu@gmail.com</w:t>
        </w:r>
      </w:hyperlink>
    </w:p>
    <w:p w14:paraId="0AC5C37F" w14:textId="77777777" w:rsidR="00CA74F0" w:rsidRPr="00000849" w:rsidRDefault="00CA74F0" w:rsidP="00A617B9">
      <w:pPr>
        <w:spacing w:after="467" w:line="259" w:lineRule="auto"/>
        <w:jc w:val="both"/>
        <w:rPr>
          <w:sz w:val="29"/>
        </w:rPr>
      </w:pPr>
    </w:p>
    <w:p w14:paraId="7F51B21A" w14:textId="77777777" w:rsidR="00CA74F0" w:rsidRPr="00000849" w:rsidRDefault="00CA74F0" w:rsidP="00A617B9">
      <w:pPr>
        <w:spacing w:after="117" w:line="318" w:lineRule="auto"/>
        <w:ind w:left="-5"/>
        <w:jc w:val="both"/>
      </w:pPr>
      <w:r w:rsidRPr="00000849">
        <w:rPr>
          <w:rFonts w:ascii="Arial" w:eastAsia="Arial" w:hAnsi="Arial" w:cs="Arial"/>
          <w:b/>
          <w:sz w:val="16"/>
        </w:rPr>
        <w:t xml:space="preserve">Citation: </w:t>
      </w:r>
      <w:r w:rsidRPr="00000849">
        <w:rPr>
          <w:rFonts w:ascii="Arial" w:eastAsia="Arial" w:hAnsi="Arial" w:cs="Arial"/>
          <w:sz w:val="16"/>
        </w:rPr>
        <w:t xml:space="preserve">Bosu WK, Reilly ST, Aheto JMK, Zucchelli E (2019) Hypertension in older adults in Africa: A systematic review and meta-analysis. PLoS ONE 14(4): e0214934. </w:t>
      </w:r>
      <w:hyperlink r:id="rId138">
        <w:r w:rsidRPr="00000849">
          <w:rPr>
            <w:rFonts w:ascii="Arial" w:eastAsia="Arial" w:hAnsi="Arial" w:cs="Arial"/>
            <w:color w:val="535C96"/>
            <w:sz w:val="16"/>
            <w:u w:val="single" w:color="535C96"/>
          </w:rPr>
          <w:t xml:space="preserve">https://doi.org/10.1371/journal. </w:t>
        </w:r>
      </w:hyperlink>
      <w:hyperlink r:id="rId139">
        <w:r w:rsidRPr="00000849">
          <w:rPr>
            <w:rFonts w:ascii="Arial" w:eastAsia="Arial" w:hAnsi="Arial" w:cs="Arial"/>
            <w:color w:val="535C96"/>
            <w:sz w:val="16"/>
            <w:u w:val="single" w:color="535C96"/>
          </w:rPr>
          <w:t>pone.0214934</w:t>
        </w:r>
      </w:hyperlink>
    </w:p>
    <w:p w14:paraId="7C2A859B" w14:textId="77777777" w:rsidR="00CA74F0" w:rsidRPr="00000849" w:rsidRDefault="00CA74F0" w:rsidP="00A617B9">
      <w:pPr>
        <w:spacing w:after="117" w:line="318" w:lineRule="auto"/>
        <w:ind w:left="-5"/>
        <w:jc w:val="both"/>
      </w:pPr>
      <w:r w:rsidRPr="00000849">
        <w:rPr>
          <w:rFonts w:ascii="Arial" w:eastAsia="Arial" w:hAnsi="Arial" w:cs="Arial"/>
          <w:b/>
          <w:sz w:val="16"/>
        </w:rPr>
        <w:t xml:space="preserve">Editor: </w:t>
      </w:r>
      <w:r w:rsidRPr="00000849">
        <w:rPr>
          <w:rFonts w:ascii="Arial" w:eastAsia="Arial" w:hAnsi="Arial" w:cs="Arial"/>
          <w:sz w:val="16"/>
        </w:rPr>
        <w:t>Geofrey Musinguzi, Makerere University School of Public Health, UGANDA</w:t>
      </w:r>
    </w:p>
    <w:p w14:paraId="06547663" w14:textId="77777777" w:rsidR="00CA74F0" w:rsidRPr="00000849" w:rsidRDefault="00CA74F0" w:rsidP="00A617B9">
      <w:pPr>
        <w:spacing w:after="166" w:line="259" w:lineRule="auto"/>
        <w:ind w:left="-5"/>
        <w:jc w:val="both"/>
      </w:pPr>
      <w:r w:rsidRPr="00000849">
        <w:rPr>
          <w:rFonts w:ascii="Arial" w:eastAsia="Arial" w:hAnsi="Arial" w:cs="Arial"/>
          <w:b/>
          <w:sz w:val="16"/>
        </w:rPr>
        <w:t xml:space="preserve">Received: </w:t>
      </w:r>
      <w:r w:rsidRPr="00000849">
        <w:rPr>
          <w:rFonts w:ascii="Arial" w:eastAsia="Arial" w:hAnsi="Arial" w:cs="Arial"/>
          <w:sz w:val="16"/>
        </w:rPr>
        <w:t>November 12, 2018</w:t>
      </w:r>
    </w:p>
    <w:p w14:paraId="714E56CE" w14:textId="77777777" w:rsidR="00CA74F0" w:rsidRPr="00000849" w:rsidRDefault="00CA74F0" w:rsidP="00A617B9">
      <w:pPr>
        <w:spacing w:after="167" w:line="259" w:lineRule="auto"/>
        <w:ind w:left="-5"/>
        <w:jc w:val="both"/>
      </w:pPr>
      <w:r w:rsidRPr="00000849">
        <w:rPr>
          <w:rFonts w:ascii="Arial" w:eastAsia="Arial" w:hAnsi="Arial" w:cs="Arial"/>
          <w:b/>
          <w:sz w:val="16"/>
        </w:rPr>
        <w:t xml:space="preserve">Accepted: </w:t>
      </w:r>
      <w:r w:rsidRPr="00000849">
        <w:rPr>
          <w:rFonts w:ascii="Arial" w:eastAsia="Arial" w:hAnsi="Arial" w:cs="Arial"/>
          <w:sz w:val="16"/>
        </w:rPr>
        <w:t>March 23, 2019</w:t>
      </w:r>
    </w:p>
    <w:p w14:paraId="6565086E" w14:textId="77777777" w:rsidR="00CA74F0" w:rsidRPr="00000849" w:rsidRDefault="00CA74F0" w:rsidP="00A617B9">
      <w:pPr>
        <w:spacing w:after="185" w:line="259" w:lineRule="auto"/>
        <w:ind w:left="-5"/>
        <w:jc w:val="both"/>
      </w:pPr>
      <w:r w:rsidRPr="00000849">
        <w:rPr>
          <w:rFonts w:ascii="Arial" w:eastAsia="Arial" w:hAnsi="Arial" w:cs="Arial"/>
          <w:b/>
          <w:sz w:val="16"/>
        </w:rPr>
        <w:t xml:space="preserve">Published: </w:t>
      </w:r>
      <w:r w:rsidRPr="00000849">
        <w:rPr>
          <w:rFonts w:ascii="Arial" w:eastAsia="Arial" w:hAnsi="Arial" w:cs="Arial"/>
          <w:sz w:val="16"/>
        </w:rPr>
        <w:t>April 5, 2019</w:t>
      </w:r>
    </w:p>
    <w:p w14:paraId="70015DDE" w14:textId="77777777" w:rsidR="00CA74F0" w:rsidRPr="00000849" w:rsidRDefault="00CA74F0" w:rsidP="00A617B9">
      <w:pPr>
        <w:spacing w:after="117" w:line="318" w:lineRule="auto"/>
        <w:ind w:left="-5"/>
        <w:jc w:val="both"/>
      </w:pPr>
      <w:r w:rsidRPr="00000849">
        <w:rPr>
          <w:rFonts w:ascii="Arial" w:eastAsia="Arial" w:hAnsi="Arial" w:cs="Arial"/>
          <w:b/>
          <w:sz w:val="16"/>
        </w:rPr>
        <w:t>Copyright:</w:t>
      </w:r>
      <w:r w:rsidRPr="00000849">
        <w:rPr>
          <w:rFonts w:ascii="Arial" w:eastAsia="Arial" w:hAnsi="Arial" w:cs="Arial"/>
          <w:sz w:val="16"/>
        </w:rPr>
        <w:t xml:space="preserve">© 2019 Bosu et al. This is an open access article distributed under the terms of the </w:t>
      </w:r>
      <w:hyperlink r:id="rId140">
        <w:r w:rsidRPr="00000849">
          <w:rPr>
            <w:rFonts w:ascii="Arial" w:eastAsia="Arial" w:hAnsi="Arial" w:cs="Arial"/>
            <w:color w:val="535C96"/>
            <w:sz w:val="16"/>
            <w:u w:val="single" w:color="535C96"/>
          </w:rPr>
          <w:t>Creative</w:t>
        </w:r>
      </w:hyperlink>
      <w:r w:rsidRPr="00000849">
        <w:rPr>
          <w:rFonts w:ascii="Arial" w:eastAsia="Arial" w:hAnsi="Arial" w:cs="Arial"/>
          <w:color w:val="535C96"/>
          <w:sz w:val="16"/>
          <w:u w:val="single" w:color="535C96"/>
        </w:rPr>
        <w:t xml:space="preserve"> </w:t>
      </w:r>
      <w:hyperlink r:id="rId141">
        <w:r w:rsidRPr="00000849">
          <w:rPr>
            <w:rFonts w:ascii="Arial" w:eastAsia="Arial" w:hAnsi="Arial" w:cs="Arial"/>
            <w:color w:val="535C96"/>
            <w:sz w:val="16"/>
            <w:u w:val="single" w:color="535C96"/>
          </w:rPr>
          <w:t>Commons</w:t>
        </w:r>
      </w:hyperlink>
      <w:r w:rsidRPr="00000849">
        <w:rPr>
          <w:rFonts w:ascii="Arial" w:eastAsia="Arial" w:hAnsi="Arial" w:cs="Arial"/>
          <w:color w:val="535C96"/>
          <w:sz w:val="16"/>
          <w:u w:val="single" w:color="535C96"/>
        </w:rPr>
        <w:t xml:space="preserve"> </w:t>
      </w:r>
      <w:hyperlink r:id="rId142">
        <w:r w:rsidRPr="00000849">
          <w:rPr>
            <w:rFonts w:ascii="Arial" w:eastAsia="Arial" w:hAnsi="Arial" w:cs="Arial"/>
            <w:color w:val="535C96"/>
            <w:sz w:val="16"/>
            <w:u w:val="single" w:color="535C96"/>
          </w:rPr>
          <w:t>Attribution</w:t>
        </w:r>
      </w:hyperlink>
      <w:r w:rsidRPr="00000849">
        <w:rPr>
          <w:rFonts w:ascii="Arial" w:eastAsia="Arial" w:hAnsi="Arial" w:cs="Arial"/>
          <w:color w:val="535C96"/>
          <w:sz w:val="16"/>
          <w:u w:val="single" w:color="535C96"/>
        </w:rPr>
        <w:t xml:space="preserve"> </w:t>
      </w:r>
      <w:hyperlink r:id="rId143">
        <w:r w:rsidRPr="00000849">
          <w:rPr>
            <w:rFonts w:ascii="Arial" w:eastAsia="Arial" w:hAnsi="Arial" w:cs="Arial"/>
            <w:color w:val="535C96"/>
            <w:sz w:val="16"/>
            <w:u w:val="single" w:color="535C96"/>
          </w:rPr>
          <w:t>License</w:t>
        </w:r>
      </w:hyperlink>
      <w:r w:rsidRPr="00000849">
        <w:rPr>
          <w:rFonts w:ascii="Arial" w:eastAsia="Arial" w:hAnsi="Arial" w:cs="Arial"/>
          <w:sz w:val="16"/>
        </w:rPr>
        <w:t>, which permits unrestricted use, distribution, and reproduction in any medium, provided the original author and source are credited.</w:t>
      </w:r>
    </w:p>
    <w:p w14:paraId="7F7AFBCA" w14:textId="46AB0F1F" w:rsidR="00CA74F0" w:rsidRPr="00000849" w:rsidRDefault="00CA74F0" w:rsidP="00A617B9">
      <w:pPr>
        <w:spacing w:after="148" w:line="265" w:lineRule="auto"/>
        <w:ind w:left="10"/>
        <w:jc w:val="both"/>
      </w:pPr>
      <w:r w:rsidRPr="00000849">
        <w:rPr>
          <w:rFonts w:ascii="Arial" w:eastAsia="Arial" w:hAnsi="Arial" w:cs="Arial"/>
          <w:b/>
          <w:sz w:val="16"/>
        </w:rPr>
        <w:t xml:space="preserve">Data Availability Statement: </w:t>
      </w:r>
      <w:r w:rsidRPr="00000849">
        <w:rPr>
          <w:rFonts w:ascii="Arial" w:eastAsia="Arial" w:hAnsi="Arial" w:cs="Arial"/>
          <w:sz w:val="16"/>
        </w:rPr>
        <w:t xml:space="preserve">Data are available online at </w:t>
      </w:r>
      <w:hyperlink r:id="rId144">
        <w:r w:rsidRPr="00000849">
          <w:rPr>
            <w:rFonts w:ascii="Arial" w:eastAsia="Arial" w:hAnsi="Arial" w:cs="Arial"/>
            <w:color w:val="535C96"/>
            <w:sz w:val="16"/>
            <w:u w:val="single" w:color="535C96"/>
          </w:rPr>
          <w:t xml:space="preserve">https://dx.doi.org/10.17635/lancaster/ </w:t>
        </w:r>
      </w:hyperlink>
      <w:hyperlink r:id="rId145">
        <w:r w:rsidRPr="00000849">
          <w:rPr>
            <w:rFonts w:ascii="Arial" w:eastAsia="Arial" w:hAnsi="Arial" w:cs="Arial"/>
            <w:color w:val="535C96"/>
            <w:sz w:val="16"/>
            <w:u w:val="single" w:color="535C96"/>
          </w:rPr>
          <w:t>researchdata/247</w:t>
        </w:r>
      </w:hyperlink>
      <w:r w:rsidRPr="00000849">
        <w:rPr>
          <w:rFonts w:ascii="Arial" w:eastAsia="Arial" w:hAnsi="Arial" w:cs="Arial"/>
          <w:sz w:val="16"/>
        </w:rPr>
        <w:t>.</w:t>
      </w:r>
    </w:p>
    <w:p w14:paraId="2C1A7530" w14:textId="77777777" w:rsidR="00CA74F0" w:rsidRPr="00000849" w:rsidRDefault="00CA74F0" w:rsidP="00A617B9">
      <w:pPr>
        <w:spacing w:after="117" w:line="318" w:lineRule="auto"/>
        <w:ind w:left="-5"/>
        <w:jc w:val="both"/>
      </w:pPr>
      <w:r w:rsidRPr="00000849">
        <w:rPr>
          <w:rFonts w:ascii="Arial" w:eastAsia="Arial" w:hAnsi="Arial" w:cs="Arial"/>
          <w:b/>
          <w:sz w:val="16"/>
        </w:rPr>
        <w:t xml:space="preserve">Funding: </w:t>
      </w:r>
      <w:r w:rsidRPr="00000849">
        <w:rPr>
          <w:rFonts w:ascii="Arial" w:eastAsia="Arial" w:hAnsi="Arial" w:cs="Arial"/>
          <w:sz w:val="16"/>
        </w:rPr>
        <w:t>The authors received no specific funding for this work.</w:t>
      </w:r>
    </w:p>
    <w:p w14:paraId="0E0E6F35" w14:textId="3D3EFA7E" w:rsidR="00CA74F0" w:rsidRPr="00000849" w:rsidRDefault="00CA74F0" w:rsidP="00A617B9">
      <w:pPr>
        <w:spacing w:after="117" w:line="318" w:lineRule="auto"/>
        <w:ind w:left="-5"/>
        <w:jc w:val="both"/>
      </w:pPr>
      <w:r w:rsidRPr="00000849">
        <w:rPr>
          <w:rFonts w:ascii="Arial" w:eastAsia="Arial" w:hAnsi="Arial" w:cs="Arial"/>
          <w:b/>
          <w:sz w:val="16"/>
        </w:rPr>
        <w:t xml:space="preserve">Competing interests: </w:t>
      </w:r>
      <w:r w:rsidRPr="00000849">
        <w:rPr>
          <w:rFonts w:ascii="Arial" w:eastAsia="Arial" w:hAnsi="Arial" w:cs="Arial"/>
          <w:sz w:val="16"/>
        </w:rPr>
        <w:t>The authors have declared that no competing interests exist.</w:t>
      </w:r>
    </w:p>
    <w:p w14:paraId="1FA19796" w14:textId="77777777" w:rsidR="00CA74F0" w:rsidRPr="00000849" w:rsidRDefault="00CA74F0" w:rsidP="00A617B9">
      <w:pPr>
        <w:spacing w:after="467" w:line="259" w:lineRule="auto"/>
        <w:jc w:val="both"/>
        <w:rPr>
          <w:sz w:val="24"/>
          <w:szCs w:val="18"/>
        </w:rPr>
      </w:pPr>
    </w:p>
    <w:p w14:paraId="1C0A0B57" w14:textId="5FE9990E" w:rsidR="00B00ED8" w:rsidRPr="00000849" w:rsidRDefault="00B00ED8" w:rsidP="00A617B9">
      <w:pPr>
        <w:spacing w:after="467" w:line="259" w:lineRule="auto"/>
        <w:jc w:val="both"/>
        <w:rPr>
          <w:b/>
          <w:bCs/>
        </w:rPr>
      </w:pPr>
      <w:r w:rsidRPr="00000849">
        <w:rPr>
          <w:b/>
          <w:bCs/>
          <w:sz w:val="29"/>
        </w:rPr>
        <w:t>Abstract</w:t>
      </w:r>
    </w:p>
    <w:p w14:paraId="4861D63B" w14:textId="77777777" w:rsidR="00B00ED8" w:rsidRPr="00000849" w:rsidRDefault="00B00ED8" w:rsidP="00A617B9">
      <w:pPr>
        <w:jc w:val="both"/>
        <w:rPr>
          <w:b/>
          <w:bCs/>
          <w:sz w:val="24"/>
          <w:szCs w:val="24"/>
        </w:rPr>
      </w:pPr>
      <w:r w:rsidRPr="00000849">
        <w:rPr>
          <w:b/>
          <w:bCs/>
          <w:sz w:val="24"/>
          <w:szCs w:val="24"/>
        </w:rPr>
        <w:t>Background</w:t>
      </w:r>
    </w:p>
    <w:p w14:paraId="65161634" w14:textId="7820FFC2" w:rsidR="00B00ED8" w:rsidRPr="00000849" w:rsidRDefault="00B00ED8" w:rsidP="00A617B9">
      <w:pPr>
        <w:spacing w:after="5" w:line="340" w:lineRule="auto"/>
        <w:ind w:left="-5"/>
        <w:jc w:val="both"/>
      </w:pPr>
      <w:r w:rsidRPr="00000849">
        <w:rPr>
          <w:rFonts w:ascii="Arial" w:eastAsia="Arial" w:hAnsi="Arial" w:cs="Arial"/>
          <w:sz w:val="19"/>
        </w:rPr>
        <w:t>Hypertension is the leading driver of cardiovascular disease deaths in Africa. Its prevalence is highest in older populations. Yet, this group has received little attention in many African countries. We conducted a systematic review and meta-analysis (PROSPERO registration: CRD42017056474) to estimate the prevalence of hypertension in older adults living in</w:t>
      </w:r>
      <w:r w:rsidR="0048443D" w:rsidRPr="00000849">
        <w:rPr>
          <w:rFonts w:ascii="Arial" w:eastAsia="Arial" w:hAnsi="Arial" w:cs="Arial"/>
          <w:sz w:val="19"/>
        </w:rPr>
        <w:t xml:space="preserve"> </w:t>
      </w:r>
      <w:r w:rsidRPr="00000849">
        <w:rPr>
          <w:rFonts w:ascii="Arial" w:eastAsia="Arial" w:hAnsi="Arial" w:cs="Arial"/>
          <w:sz w:val="19"/>
        </w:rPr>
        <w:t>Africa.</w:t>
      </w:r>
    </w:p>
    <w:p w14:paraId="1B5EA6EE" w14:textId="77777777" w:rsidR="00B00ED8" w:rsidRPr="00000849" w:rsidRDefault="00B00ED8" w:rsidP="00A617B9">
      <w:pPr>
        <w:spacing w:after="467" w:line="259" w:lineRule="auto"/>
        <w:jc w:val="both"/>
        <w:rPr>
          <w:b/>
          <w:bCs/>
          <w:sz w:val="24"/>
          <w:szCs w:val="18"/>
        </w:rPr>
      </w:pPr>
      <w:r w:rsidRPr="00000849">
        <w:rPr>
          <w:b/>
          <w:bCs/>
          <w:sz w:val="24"/>
          <w:szCs w:val="18"/>
        </w:rPr>
        <w:lastRenderedPageBreak/>
        <w:t>Methods</w:t>
      </w:r>
    </w:p>
    <w:p w14:paraId="1936AA5E" w14:textId="77777777" w:rsidR="00B00ED8" w:rsidRPr="00000849" w:rsidRDefault="00B00ED8" w:rsidP="00A617B9">
      <w:pPr>
        <w:spacing w:after="393" w:line="340" w:lineRule="auto"/>
        <w:ind w:left="-5"/>
        <w:jc w:val="both"/>
      </w:pPr>
      <w:r w:rsidRPr="00000849">
        <w:rPr>
          <w:rFonts w:ascii="Arial" w:eastAsia="Arial" w:hAnsi="Arial" w:cs="Arial"/>
          <w:sz w:val="19"/>
        </w:rPr>
        <w:t>We searched grey literature and major electronic databases including PubMed and Embase for population-based studies and published between 1 January 1980 to 28 May 2018 reporting the prevalence of hypertension for adults aged 50 years living in Africa. We employed a random effects model to estimate the pooled prevalence across included studies.</w:t>
      </w:r>
    </w:p>
    <w:p w14:paraId="61328A93" w14:textId="77777777" w:rsidR="00B00ED8" w:rsidRPr="00000849" w:rsidRDefault="00B00ED8" w:rsidP="00A617B9">
      <w:pPr>
        <w:spacing w:after="467" w:line="259" w:lineRule="auto"/>
        <w:jc w:val="both"/>
        <w:rPr>
          <w:b/>
          <w:bCs/>
          <w:sz w:val="24"/>
          <w:szCs w:val="18"/>
        </w:rPr>
      </w:pPr>
      <w:r w:rsidRPr="00000849">
        <w:rPr>
          <w:b/>
          <w:bCs/>
          <w:sz w:val="24"/>
          <w:szCs w:val="18"/>
        </w:rPr>
        <w:t>Findings</w:t>
      </w:r>
    </w:p>
    <w:p w14:paraId="1FF292F7" w14:textId="5712037E" w:rsidR="00B00ED8" w:rsidRPr="00000849" w:rsidRDefault="00B00ED8" w:rsidP="00A617B9">
      <w:pPr>
        <w:spacing w:after="5" w:line="341" w:lineRule="auto"/>
        <w:jc w:val="both"/>
        <w:rPr>
          <w:rFonts w:ascii="Arial" w:eastAsia="Arial" w:hAnsi="Arial" w:cs="Arial"/>
          <w:sz w:val="19"/>
        </w:rPr>
      </w:pPr>
      <w:r w:rsidRPr="00000849">
        <w:rPr>
          <w:rFonts w:ascii="Arial" w:eastAsia="Arial" w:hAnsi="Arial" w:cs="Arial"/>
          <w:sz w:val="19"/>
        </w:rPr>
        <w:t>We screened 10,719 articles and retrieved 103 full-text articles to evaluate for inclusion in the review. Thirty-four unique studies providing 37 data points on 43,025 individuals in 15 African countries were analyzed. The prevalence of hypertension ranged from 22.3% to</w:t>
      </w:r>
      <w:r w:rsidR="00CA74F0" w:rsidRPr="00000849">
        <w:rPr>
          <w:rFonts w:ascii="Arial" w:eastAsia="Arial" w:hAnsi="Arial" w:cs="Arial"/>
          <w:sz w:val="19"/>
        </w:rPr>
        <w:t xml:space="preserve"> </w:t>
      </w:r>
      <w:r w:rsidRPr="00000849">
        <w:rPr>
          <w:rFonts w:ascii="Arial" w:eastAsia="Arial" w:hAnsi="Arial" w:cs="Arial"/>
          <w:sz w:val="19"/>
        </w:rPr>
        <w:t>90.0% from the individual studies while the overall pooled prevalence was 57.0% (95% CI</w:t>
      </w:r>
      <w:r w:rsidR="00CA74F0" w:rsidRPr="00000849">
        <w:rPr>
          <w:rFonts w:ascii="Arial" w:eastAsia="Arial" w:hAnsi="Arial" w:cs="Arial"/>
          <w:sz w:val="19"/>
        </w:rPr>
        <w:t xml:space="preserve"> </w:t>
      </w:r>
      <w:r w:rsidRPr="00000849">
        <w:rPr>
          <w:rFonts w:ascii="Arial" w:eastAsia="Arial" w:hAnsi="Arial" w:cs="Arial"/>
          <w:sz w:val="19"/>
        </w:rPr>
        <w:t>52%-61%). The prevalence was not statistically significantly different by sex, residence, or African sub-region. In individual studies, older age and overweight/obesity were independently associated with hypertension. Twenty-nine (78%) data points were deemed to be of low- or moderate-risk of bias. Eliminating high-risk bias studies made little difference to the pooled estimate of hypertension. Sensitivity analyses, omitting one study at a time, identified three studies with significant but relatively small impact on the pooled estimate. We observed substantial heterogeneity (I2 = 98.9%) across the studies which was further explored by meta-regression analyses. Overall, the GRADE assessment suggested moderate quality evidence in the results.</w:t>
      </w:r>
    </w:p>
    <w:p w14:paraId="63E9DBA6" w14:textId="1D9C55E2" w:rsidR="00CA74F0" w:rsidRPr="00000849" w:rsidRDefault="00CA74F0" w:rsidP="00A617B9">
      <w:pPr>
        <w:spacing w:after="5" w:line="340" w:lineRule="auto"/>
        <w:ind w:left="-5"/>
        <w:jc w:val="both"/>
        <w:rPr>
          <w:rFonts w:ascii="Arial" w:eastAsia="Arial" w:hAnsi="Arial" w:cs="Arial"/>
          <w:sz w:val="19"/>
        </w:rPr>
      </w:pPr>
    </w:p>
    <w:p w14:paraId="771F7954" w14:textId="77777777" w:rsidR="00B00ED8" w:rsidRPr="00000849" w:rsidRDefault="00B00ED8" w:rsidP="00A617B9">
      <w:pPr>
        <w:spacing w:after="467" w:line="259" w:lineRule="auto"/>
        <w:jc w:val="both"/>
        <w:rPr>
          <w:b/>
          <w:bCs/>
          <w:sz w:val="24"/>
          <w:szCs w:val="18"/>
        </w:rPr>
      </w:pPr>
      <w:r w:rsidRPr="00000849">
        <w:rPr>
          <w:b/>
          <w:bCs/>
          <w:sz w:val="24"/>
          <w:szCs w:val="18"/>
        </w:rPr>
        <w:t>Conclusion</w:t>
      </w:r>
    </w:p>
    <w:p w14:paraId="0D7E78EA" w14:textId="77777777" w:rsidR="00B00ED8" w:rsidRPr="00000849" w:rsidRDefault="00B00ED8" w:rsidP="00A617B9">
      <w:pPr>
        <w:spacing w:after="5" w:line="340" w:lineRule="auto"/>
        <w:jc w:val="both"/>
      </w:pPr>
      <w:r w:rsidRPr="00000849">
        <w:rPr>
          <w:rFonts w:ascii="Arial" w:eastAsia="Arial" w:hAnsi="Arial" w:cs="Arial"/>
          <w:sz w:val="19"/>
        </w:rPr>
        <w:t>The persistent high prevalence of hypertension among older adults in Africa, even in rural populations warrants more attention to the cardiovascular health of this group by public health authorities.</w:t>
      </w:r>
    </w:p>
    <w:p w14:paraId="47F163FA" w14:textId="77777777" w:rsidR="00B00ED8" w:rsidRPr="00000849" w:rsidRDefault="00B00ED8" w:rsidP="00A617B9">
      <w:pPr>
        <w:spacing w:after="456" w:line="259" w:lineRule="auto"/>
        <w:jc w:val="both"/>
      </w:pPr>
      <w:r w:rsidRPr="00000849">
        <w:rPr>
          <w:noProof/>
        </w:rPr>
        <mc:AlternateContent>
          <mc:Choice Requires="wpg">
            <w:drawing>
              <wp:inline distT="0" distB="0" distL="0" distR="0" wp14:anchorId="7C97FE37" wp14:editId="6E007E43">
                <wp:extent cx="4775200" cy="6350"/>
                <wp:effectExtent l="0" t="0" r="0" b="0"/>
                <wp:docPr id="106498" name="Group 106498"/>
                <wp:cNvGraphicFramePr/>
                <a:graphic xmlns:a="http://schemas.openxmlformats.org/drawingml/2006/main">
                  <a:graphicData uri="http://schemas.microsoft.com/office/word/2010/wordprocessingGroup">
                    <wpg:wgp>
                      <wpg:cNvGrpSpPr/>
                      <wpg:grpSpPr>
                        <a:xfrm>
                          <a:off x="0" y="0"/>
                          <a:ext cx="4775200" cy="6350"/>
                          <a:chOff x="0" y="0"/>
                          <a:chExt cx="4775200" cy="6350"/>
                        </a:xfrm>
                      </wpg:grpSpPr>
                      <wps:wsp>
                        <wps:cNvPr id="137477" name="Shape 137477"/>
                        <wps:cNvSpPr/>
                        <wps:spPr>
                          <a:xfrm>
                            <a:off x="0" y="0"/>
                            <a:ext cx="4775200" cy="9144"/>
                          </a:xfrm>
                          <a:custGeom>
                            <a:avLst/>
                            <a:gdLst/>
                            <a:ahLst/>
                            <a:cxnLst/>
                            <a:rect l="0" t="0" r="0" b="0"/>
                            <a:pathLst>
                              <a:path w="4775200" h="9144">
                                <a:moveTo>
                                  <a:pt x="0" y="0"/>
                                </a:moveTo>
                                <a:lnTo>
                                  <a:pt x="4775200" y="0"/>
                                </a:lnTo>
                                <a:lnTo>
                                  <a:pt x="4775200" y="9144"/>
                                </a:lnTo>
                                <a:lnTo>
                                  <a:pt x="0" y="9144"/>
                                </a:lnTo>
                                <a:lnTo>
                                  <a:pt x="0" y="0"/>
                                </a:lnTo>
                              </a:path>
                            </a:pathLst>
                          </a:custGeom>
                          <a:ln w="0" cap="flat">
                            <a:miter lim="127000"/>
                          </a:ln>
                        </wps:spPr>
                        <wps:style>
                          <a:lnRef idx="0">
                            <a:srgbClr val="000000">
                              <a:alpha val="0"/>
                            </a:srgbClr>
                          </a:lnRef>
                          <a:fillRef idx="1">
                            <a:srgbClr val="99918C"/>
                          </a:fillRef>
                          <a:effectRef idx="0">
                            <a:scrgbClr r="0" g="0" b="0"/>
                          </a:effectRef>
                          <a:fontRef idx="none"/>
                        </wps:style>
                        <wps:bodyPr/>
                      </wps:wsp>
                    </wpg:wgp>
                  </a:graphicData>
                </a:graphic>
              </wp:inline>
            </w:drawing>
          </mc:Choice>
          <mc:Fallback>
            <w:pict>
              <v:group w14:anchorId="0502ED70" id="Group 106498" o:spid="_x0000_s1026" style="width:376pt;height:.5pt;mso-position-horizontal-relative:char;mso-position-vertical-relative:line" coordsize="4775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">
                <v:shape id="Shape 137477" o:spid="_x0000_s1027" style="position:absolute;width:47752;height:91;visibility:visible;mso-wrap-style:square;v-text-anchor:top" coordsize="47752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" path="m,l4775200,r,9144l,9144,,e" fillcolor="#99918c" stroked="f" strokeweight="0">
                  <v:stroke miterlimit="83231f" joinstyle="miter"/>
                  <v:path arrowok="t" textboxrect="0,0,4775200,9144"/>
                </v:shape>
                <w10:anchorlock/>
              </v:group>
            </w:pict>
          </mc:Fallback>
        </mc:AlternateContent>
      </w:r>
    </w:p>
    <w:p w14:paraId="129545CA" w14:textId="77777777" w:rsidR="00B00ED8" w:rsidRPr="00000849" w:rsidRDefault="00B00ED8" w:rsidP="00A617B9">
      <w:pPr>
        <w:spacing w:after="467" w:line="259" w:lineRule="auto"/>
        <w:jc w:val="both"/>
        <w:rPr>
          <w:b/>
          <w:bCs/>
          <w:sz w:val="29"/>
        </w:rPr>
      </w:pPr>
      <w:r w:rsidRPr="00000849">
        <w:rPr>
          <w:b/>
          <w:bCs/>
          <w:sz w:val="29"/>
        </w:rPr>
        <w:t>Introduction</w:t>
      </w:r>
    </w:p>
    <w:p w14:paraId="03A3134E" w14:textId="54FD0319" w:rsidR="00B00ED8" w:rsidRPr="00000849" w:rsidRDefault="00B00ED8" w:rsidP="00A617B9">
      <w:pPr>
        <w:ind w:right="16"/>
        <w:jc w:val="both"/>
      </w:pPr>
      <w:r w:rsidRPr="00000849">
        <w:t>High systolic blood pressure is the leading risk for deaths in Africa. It resulted in nearly 900,000 deaths (10% of the total deaths on the continent) in 2016 and has increased by 82% since 1990 [</w:t>
      </w:r>
      <w:r w:rsidRPr="00000849">
        <w:rPr>
          <w:color w:val="535C96"/>
          <w:u w:val="single" w:color="535C96"/>
        </w:rPr>
        <w:t>1</w:t>
      </w:r>
      <w:r w:rsidRPr="00000849">
        <w:t xml:space="preserve">]. It is also responsible for more than half of </w:t>
      </w:r>
      <w:r w:rsidR="008B3C61" w:rsidRPr="00000849">
        <w:t>first-time</w:t>
      </w:r>
      <w:r w:rsidRPr="00000849">
        <w:t xml:space="preserve"> acute stroke in Africa [</w:t>
      </w:r>
      <w:r w:rsidRPr="00000849">
        <w:rPr>
          <w:color w:val="535C96"/>
          <w:u w:val="single" w:color="535C96"/>
        </w:rPr>
        <w:t>2</w:t>
      </w:r>
      <w:r w:rsidRPr="00000849">
        <w:t>]. It is also a potentially modifiable risk factor for dementia, a disease of concern in Africa where ageing, stroke and other cardiovascular diseases are rising [</w:t>
      </w:r>
      <w:r w:rsidRPr="00000849">
        <w:rPr>
          <w:color w:val="535C96"/>
          <w:u w:val="single" w:color="535C96"/>
        </w:rPr>
        <w:t>3</w:t>
      </w:r>
      <w:r w:rsidRPr="00000849">
        <w:t xml:space="preserve">, </w:t>
      </w:r>
      <w:r w:rsidRPr="00000849">
        <w:rPr>
          <w:color w:val="535C96"/>
          <w:u w:val="single" w:color="535C96"/>
        </w:rPr>
        <w:t>4</w:t>
      </w:r>
      <w:r w:rsidRPr="00000849">
        <w:t>]. A number of systematic analyses of hypertension in adults and in adolescents in Africa have recently been conducted [</w:t>
      </w:r>
      <w:r w:rsidRPr="00000849">
        <w:rPr>
          <w:color w:val="535C96"/>
          <w:u w:val="single" w:color="535C96"/>
        </w:rPr>
        <w:t>5</w:t>
      </w:r>
      <w:r w:rsidRPr="00000849">
        <w:t xml:space="preserve">– </w:t>
      </w:r>
      <w:r w:rsidRPr="00000849">
        <w:rPr>
          <w:color w:val="535C96"/>
          <w:u w:val="single" w:color="535C96"/>
        </w:rPr>
        <w:t>9</w:t>
      </w:r>
      <w:r w:rsidRPr="00000849">
        <w:t>]. The estimated pooled prevalence of hypertension is about 30.8% in Africa [</w:t>
      </w:r>
      <w:r w:rsidRPr="00000849">
        <w:rPr>
          <w:color w:val="535C96"/>
          <w:u w:val="single" w:color="535C96"/>
        </w:rPr>
        <w:t>5</w:t>
      </w:r>
      <w:r w:rsidRPr="00000849">
        <w:t>] and 30.0%31.1% in Sub-Saharan Africa [</w:t>
      </w:r>
      <w:r w:rsidRPr="00000849">
        <w:rPr>
          <w:color w:val="535C96"/>
          <w:u w:val="single" w:color="535C96"/>
        </w:rPr>
        <w:t>6</w:t>
      </w:r>
      <w:r w:rsidRPr="00000849">
        <w:t xml:space="preserve">, </w:t>
      </w:r>
      <w:r w:rsidRPr="00000849">
        <w:rPr>
          <w:color w:val="535C96"/>
          <w:u w:val="single" w:color="535C96"/>
        </w:rPr>
        <w:t>10</w:t>
      </w:r>
      <w:r w:rsidRPr="00000849">
        <w:t>]. Hypertension is now a significant problem in groups previously thought to be at low risk such as rural populations, poor households and young people [</w:t>
      </w:r>
      <w:r w:rsidRPr="00000849">
        <w:rPr>
          <w:color w:val="535C96"/>
          <w:u w:val="single" w:color="535C96"/>
        </w:rPr>
        <w:t>11</w:t>
      </w:r>
      <w:r w:rsidRPr="00000849">
        <w:t>–</w:t>
      </w:r>
      <w:r w:rsidRPr="00000849">
        <w:rPr>
          <w:color w:val="535C96"/>
          <w:u w:val="single" w:color="535C96"/>
        </w:rPr>
        <w:t>13</w:t>
      </w:r>
      <w:r w:rsidRPr="00000849">
        <w:t>]. It is a common cause of medical admissions in African hospitals [</w:t>
      </w:r>
      <w:r w:rsidRPr="00000849">
        <w:rPr>
          <w:color w:val="535C96"/>
          <w:u w:val="single" w:color="535C96"/>
        </w:rPr>
        <w:t>14</w:t>
      </w:r>
      <w:r w:rsidRPr="00000849">
        <w:t xml:space="preserve">]. With the </w:t>
      </w:r>
      <w:r w:rsidRPr="00000849">
        <w:lastRenderedPageBreak/>
        <w:t>ageing population and the rising urbanization and the attendant stress, westernized diet and low physical activity, high blood pressure will likely continue to rise [</w:t>
      </w:r>
      <w:r w:rsidRPr="00000849">
        <w:rPr>
          <w:color w:val="535C96"/>
          <w:u w:val="single" w:color="535C96"/>
        </w:rPr>
        <w:t>5</w:t>
      </w:r>
      <w:r w:rsidRPr="00000849">
        <w:t xml:space="preserve">, </w:t>
      </w:r>
      <w:r w:rsidRPr="00000849">
        <w:rPr>
          <w:color w:val="535C96"/>
          <w:u w:val="single" w:color="535C96"/>
        </w:rPr>
        <w:t>15</w:t>
      </w:r>
      <w:r w:rsidRPr="00000849">
        <w:t>].</w:t>
      </w:r>
    </w:p>
    <w:p w14:paraId="22283E4D" w14:textId="77777777" w:rsidR="00B00ED8" w:rsidRPr="00000849" w:rsidRDefault="00B00ED8" w:rsidP="00A617B9">
      <w:pPr>
        <w:ind w:right="16" w:firstLine="239"/>
        <w:jc w:val="both"/>
      </w:pPr>
      <w:r w:rsidRPr="00000849">
        <w:t>Hypertension increases steadily with increasing age. Its prevalence in the older adults in Africa is about two to four times that in younger adults [</w:t>
      </w:r>
      <w:r w:rsidRPr="00000849">
        <w:rPr>
          <w:color w:val="535C96"/>
          <w:u w:val="single" w:color="535C96"/>
        </w:rPr>
        <w:t>5</w:t>
      </w:r>
      <w:r w:rsidRPr="00000849">
        <w:t xml:space="preserve">, </w:t>
      </w:r>
      <w:r w:rsidRPr="00000849">
        <w:rPr>
          <w:color w:val="535C96"/>
          <w:u w:val="single" w:color="535C96"/>
        </w:rPr>
        <w:t>10</w:t>
      </w:r>
      <w:r w:rsidRPr="00000849">
        <w:t xml:space="preserve">, </w:t>
      </w:r>
      <w:r w:rsidRPr="00000849">
        <w:rPr>
          <w:color w:val="535C96"/>
          <w:u w:val="single" w:color="535C96"/>
        </w:rPr>
        <w:t>16</w:t>
      </w:r>
      <w:r w:rsidRPr="00000849">
        <w:t>]. Based on the Framingham study, it is estimated that about 90% of surviving normotensive persons aged 55 years will develop hypertension in their lifetime [</w:t>
      </w:r>
      <w:r w:rsidRPr="00000849">
        <w:rPr>
          <w:color w:val="535C96"/>
          <w:u w:val="single" w:color="535C96"/>
        </w:rPr>
        <w:t>17</w:t>
      </w:r>
      <w:r w:rsidRPr="00000849">
        <w:t>]. There is insufficient information on the cardiovascular health of older adults; a situation that partly contributes to the low attention paid to this group [</w:t>
      </w:r>
      <w:r w:rsidRPr="00000849">
        <w:rPr>
          <w:color w:val="535C96"/>
          <w:u w:val="single" w:color="535C96"/>
        </w:rPr>
        <w:t>18</w:t>
      </w:r>
      <w:r w:rsidRPr="00000849">
        <w:t>]. Only one systematic review of studies in older people with hypertension in Africa has been reported to date [</w:t>
      </w:r>
      <w:r w:rsidRPr="00000849">
        <w:rPr>
          <w:color w:val="535C96"/>
          <w:u w:val="single" w:color="535C96"/>
        </w:rPr>
        <w:t>19</w:t>
      </w:r>
      <w:r w:rsidRPr="00000849">
        <w:t>]. However, it did not review studies exclusively undertaken in older adults. Instead, it reviewed studies which sampled other age groups besides those aged 55 years and older. It analyzed 39 studies using the WHO STEPwise approach to surveillance [</w:t>
      </w:r>
      <w:r w:rsidRPr="00000849">
        <w:rPr>
          <w:color w:val="535C96"/>
          <w:u w:val="single" w:color="535C96"/>
        </w:rPr>
        <w:t>20</w:t>
      </w:r>
      <w:r w:rsidRPr="00000849">
        <w:t>] and 52 non-STEPS studies providing a total of 156 separate data contributions. The pooled prevalence was 55.2% [95% confidence interval (CI) 53.1–57.4] with little variation between younger and older age groups or over time. It is against this background that we undertook a systematic review and meta-analysis with the aim of estimating the prevalence of hypertension in adults aged 50 years or older in Africa and its distribution by demographic factors and over time. Our findings could inform the development of targeted policies aimed at improving cardiovascular health outcomes among this group.</w:t>
      </w:r>
    </w:p>
    <w:p w14:paraId="7CEAD4D4" w14:textId="16662A56" w:rsidR="00B00ED8" w:rsidRPr="00000849" w:rsidRDefault="00B00ED8" w:rsidP="00A617B9">
      <w:pPr>
        <w:spacing w:after="348"/>
        <w:ind w:right="16" w:firstLine="239"/>
        <w:jc w:val="both"/>
      </w:pPr>
      <w:r w:rsidRPr="00000849">
        <w:t>The terms “elderly”, “aged” and “older persons”, are sometimes used interchangeably in the literature [</w:t>
      </w:r>
      <w:r w:rsidRPr="00000849">
        <w:rPr>
          <w:color w:val="535C96"/>
          <w:u w:val="single" w:color="535C96"/>
        </w:rPr>
        <w:t>21</w:t>
      </w:r>
      <w:r w:rsidRPr="00000849">
        <w:t>]. In most developed countries, presumably because of their higher life-expectancy, the cut-off age 65 years is used to define older adults. The United Nations conventionally uses 60 years as the threshold for older adults [</w:t>
      </w:r>
      <w:r w:rsidRPr="00000849">
        <w:rPr>
          <w:color w:val="535C96"/>
          <w:u w:val="single" w:color="535C96"/>
        </w:rPr>
        <w:t>22</w:t>
      </w:r>
      <w:r w:rsidRPr="00000849">
        <w:t xml:space="preserve">]. However, the </w:t>
      </w:r>
      <w:r w:rsidR="006942E5" w:rsidRPr="00000849">
        <w:t>60- and 65-year</w:t>
      </w:r>
      <w:r w:rsidR="008B3C61" w:rsidRPr="00000849">
        <w:t xml:space="preserve"> </w:t>
      </w:r>
      <w:r w:rsidRPr="00000849">
        <w:t>thresholds have been criticized as arbitrary and irrelevant for the African setting, where a World Health Organization (WHO)-project considers 50 years to be more appropriate for social and functional reasons [</w:t>
      </w:r>
      <w:r w:rsidRPr="00000849">
        <w:rPr>
          <w:color w:val="535C96"/>
          <w:u w:val="single" w:color="535C96"/>
        </w:rPr>
        <w:t>23</w:t>
      </w:r>
      <w:r w:rsidRPr="00000849">
        <w:t>]. Subsequently, several surveys in Africa have used 50 years and older to define older adults [</w:t>
      </w:r>
      <w:r w:rsidRPr="00000849">
        <w:rPr>
          <w:color w:val="535C96"/>
          <w:u w:val="single" w:color="535C96"/>
        </w:rPr>
        <w:t>16</w:t>
      </w:r>
      <w:r w:rsidRPr="00000849">
        <w:t xml:space="preserve">, </w:t>
      </w:r>
      <w:r w:rsidRPr="00000849">
        <w:rPr>
          <w:color w:val="535C96"/>
          <w:u w:val="single" w:color="535C96"/>
        </w:rPr>
        <w:t>24</w:t>
      </w:r>
      <w:r w:rsidRPr="00000849">
        <w:t xml:space="preserve">, </w:t>
      </w:r>
      <w:r w:rsidRPr="00000849">
        <w:rPr>
          <w:color w:val="535C96"/>
          <w:u w:val="single" w:color="535C96"/>
        </w:rPr>
        <w:t>25</w:t>
      </w:r>
      <w:r w:rsidRPr="00000849">
        <w:t>].</w:t>
      </w:r>
    </w:p>
    <w:p w14:paraId="57F3C672" w14:textId="77777777" w:rsidR="00B00ED8" w:rsidRPr="00000849" w:rsidRDefault="00B00ED8" w:rsidP="00A617B9">
      <w:pPr>
        <w:spacing w:after="467" w:line="259" w:lineRule="auto"/>
        <w:jc w:val="both"/>
        <w:rPr>
          <w:b/>
          <w:bCs/>
          <w:sz w:val="29"/>
        </w:rPr>
      </w:pPr>
      <w:r w:rsidRPr="00000849">
        <w:rPr>
          <w:b/>
          <w:bCs/>
          <w:sz w:val="29"/>
        </w:rPr>
        <w:t>Methods</w:t>
      </w:r>
    </w:p>
    <w:p w14:paraId="3E10DFF3" w14:textId="093D51B4" w:rsidR="00B00ED8" w:rsidRPr="00000849" w:rsidRDefault="00B00ED8" w:rsidP="00A617B9">
      <w:pPr>
        <w:ind w:right="16"/>
        <w:jc w:val="both"/>
      </w:pPr>
      <w:r w:rsidRPr="00000849">
        <w:t>The protocol for the systematic review, registered in PROSPERO under CRD42017056474 has been published elsewhere [</w:t>
      </w:r>
      <w:r w:rsidRPr="00000849">
        <w:rPr>
          <w:color w:val="535C96"/>
          <w:u w:val="single" w:color="535C96"/>
        </w:rPr>
        <w:t>26</w:t>
      </w:r>
      <w:r w:rsidRPr="00000849">
        <w:t>].</w:t>
      </w:r>
    </w:p>
    <w:p w14:paraId="107424F5" w14:textId="77777777" w:rsidR="0048443D" w:rsidRPr="00000849" w:rsidRDefault="0048443D" w:rsidP="00A617B9">
      <w:pPr>
        <w:ind w:right="16"/>
        <w:jc w:val="both"/>
      </w:pPr>
    </w:p>
    <w:p w14:paraId="286C53A2" w14:textId="77777777" w:rsidR="00B00ED8" w:rsidRPr="00000849" w:rsidRDefault="00B00ED8" w:rsidP="00A617B9">
      <w:pPr>
        <w:jc w:val="both"/>
        <w:rPr>
          <w:b/>
          <w:bCs/>
          <w:color w:val="0070C0"/>
          <w:sz w:val="24"/>
          <w:szCs w:val="24"/>
        </w:rPr>
      </w:pPr>
      <w:r w:rsidRPr="00000849">
        <w:rPr>
          <w:b/>
          <w:bCs/>
          <w:color w:val="0070C0"/>
          <w:sz w:val="24"/>
          <w:szCs w:val="24"/>
        </w:rPr>
        <w:t>Exclusion and inclusion criteria</w:t>
      </w:r>
    </w:p>
    <w:p w14:paraId="5ED125F9" w14:textId="77777777" w:rsidR="00B00ED8" w:rsidRPr="00000849" w:rsidRDefault="00B00ED8" w:rsidP="00A617B9">
      <w:pPr>
        <w:ind w:right="16"/>
        <w:jc w:val="both"/>
      </w:pPr>
      <w:r w:rsidRPr="00000849">
        <w:t>Cross-sectional or follow-up studies published between 1 January 1980 and 28 May 2018 which reported a prevalence or incidence of hypertension in adults aged 50 years or above living in Africa were included. Original articles, conference proceedings or abstracts reporting the outcome of interest were also eligible for inclusion.</w:t>
      </w:r>
    </w:p>
    <w:p w14:paraId="18AA9D2C" w14:textId="77777777" w:rsidR="00B00ED8" w:rsidRPr="00000849" w:rsidRDefault="00B00ED8" w:rsidP="00A617B9">
      <w:pPr>
        <w:ind w:right="16" w:firstLine="239"/>
        <w:jc w:val="both"/>
      </w:pPr>
      <w:r w:rsidRPr="00000849">
        <w:t>Hypertension was defined using the blood pressure 140/90 mmHg cut off or those taking anti-hypertensive treatment regardless of their blood pressure on measurement [</w:t>
      </w:r>
      <w:r w:rsidRPr="00000849">
        <w:rPr>
          <w:color w:val="535C96"/>
          <w:u w:val="single" w:color="535C96"/>
        </w:rPr>
        <w:t>27</w:t>
      </w:r>
      <w:r w:rsidRPr="00000849">
        <w:t xml:space="preserve">]. Where </w:t>
      </w:r>
      <w:r w:rsidRPr="00000849">
        <w:lastRenderedPageBreak/>
        <w:t>the definition was not explicitly provided and contact with the study authors to furnish this information had been unfruitful, we assumed that such studies, if published in or after 2010, had defined hypertension based on the 140/90 mmHg cut-off in conformity with the 7th Joint National Committee on Prevention, Detection, Evaluation, and Treatment of High Blood Pressure’s report of 2003 [</w:t>
      </w:r>
      <w:r w:rsidRPr="00000849">
        <w:rPr>
          <w:color w:val="535C96"/>
          <w:u w:val="single" w:color="535C96"/>
        </w:rPr>
        <w:t>27</w:t>
      </w:r>
      <w:r w:rsidRPr="00000849">
        <w:t>].</w:t>
      </w:r>
    </w:p>
    <w:p w14:paraId="645C610C" w14:textId="458F1A80" w:rsidR="00B00ED8" w:rsidRPr="00000849" w:rsidRDefault="00B00ED8" w:rsidP="00A617B9">
      <w:pPr>
        <w:spacing w:after="344"/>
        <w:ind w:right="16" w:firstLine="239"/>
        <w:jc w:val="both"/>
      </w:pPr>
      <w:r w:rsidRPr="00000849">
        <w:t>Articles were excluded if the older adults were pregnant, recruited from hospital patients or institutions for chronic or mental illness, or other restricted settings. They were also excluded when the subjects were African migrants, lived outside of Africa or the main outcome was self</w:t>
      </w:r>
      <w:r w:rsidR="008B3C61" w:rsidRPr="00000849">
        <w:t>-</w:t>
      </w:r>
      <w:r w:rsidRPr="00000849">
        <w:t>reported hypertension or non-systemic hypertension. Review articles or expert opinion commentaries were excluded.</w:t>
      </w:r>
    </w:p>
    <w:p w14:paraId="4703EED0" w14:textId="77777777" w:rsidR="00B00ED8" w:rsidRPr="00000849" w:rsidRDefault="00B00ED8" w:rsidP="00A617B9">
      <w:pPr>
        <w:jc w:val="both"/>
        <w:rPr>
          <w:b/>
          <w:bCs/>
          <w:color w:val="0070C0"/>
          <w:sz w:val="24"/>
          <w:szCs w:val="24"/>
        </w:rPr>
      </w:pPr>
      <w:r w:rsidRPr="00000849">
        <w:rPr>
          <w:b/>
          <w:bCs/>
          <w:color w:val="0070C0"/>
          <w:sz w:val="24"/>
          <w:szCs w:val="24"/>
        </w:rPr>
        <w:t>Search strategy</w:t>
      </w:r>
    </w:p>
    <w:p w14:paraId="7CED7926" w14:textId="77777777" w:rsidR="00B00ED8" w:rsidRPr="00000849" w:rsidRDefault="00B00ED8" w:rsidP="00A617B9">
      <w:pPr>
        <w:ind w:right="16"/>
        <w:jc w:val="both"/>
      </w:pPr>
      <w:r w:rsidRPr="00000849">
        <w:t>We searched the major electronic databases, PubMed and Embase (via Ovid), as well as Academic Search Complete, CINAHL and PsycINFO (via EBSCOhost). In addition, we searched the African Journals Online repository and Google Scholar. The bibliography of the included studies was hand-search to identify additional studies. For grey literature, besides what was obtained via Ovid and Google Scholar, we searched OpenGrey and ProQuest.</w:t>
      </w:r>
    </w:p>
    <w:p w14:paraId="3D4DB3F8" w14:textId="77777777" w:rsidR="00B00ED8" w:rsidRPr="00000849" w:rsidRDefault="00B00ED8" w:rsidP="00A617B9">
      <w:pPr>
        <w:ind w:right="16" w:firstLine="239"/>
        <w:jc w:val="both"/>
      </w:pPr>
      <w:r w:rsidRPr="00000849">
        <w:t>The search terms were based on the population, intervention, comparator, outcome and settings (PICOS) approach modified to suit studies not involving interventions or comparison groups [</w:t>
      </w:r>
      <w:r w:rsidRPr="00000849">
        <w:rPr>
          <w:color w:val="535C96"/>
          <w:u w:val="single" w:color="535C96"/>
        </w:rPr>
        <w:t>28</w:t>
      </w:r>
      <w:r w:rsidRPr="00000849">
        <w:t>]. The terms for the intervention concept were “prevalence”, “proportion”, “survey”, “descriptive”, “cross-sectional”, “cohort”, “longitudinal”, "attributable fraction", and “incidence” (</w:t>
      </w:r>
      <w:r w:rsidRPr="00000849">
        <w:rPr>
          <w:color w:val="535C96"/>
          <w:u w:val="single" w:color="535C96"/>
        </w:rPr>
        <w:t>S1 Table</w:t>
      </w:r>
      <w:r w:rsidRPr="00000849">
        <w:t>). Those for the outcome were “hypertension”, "blood pressure", “cardiovascular” and “cardiometabolic”. Those for the settings were “Africa” and the names of 58 African countries and islands. Within each concept, the terms were linked with the “OR” operator” while the results combined across the concepts with the “AND” operator. We limited the search results to human studies conducted in the middle-aged (45 to 64 years)" or the "aged (65 and over)". Where, this was not possible, we used the terms "older adults", “elderly”, “middle-aged”, “geriatric”, “the aged”, and “senior”.</w:t>
      </w:r>
    </w:p>
    <w:p w14:paraId="68FE1306" w14:textId="77777777" w:rsidR="00B00ED8" w:rsidRPr="00000849" w:rsidRDefault="00B00ED8" w:rsidP="00A617B9">
      <w:pPr>
        <w:ind w:right="16" w:firstLine="239"/>
        <w:jc w:val="both"/>
      </w:pPr>
      <w:r w:rsidRPr="00000849">
        <w:t>The search results from the different databases were managed using the Covidence software [</w:t>
      </w:r>
      <w:r w:rsidRPr="00000849">
        <w:rPr>
          <w:color w:val="535C96"/>
          <w:u w:val="single" w:color="535C96"/>
        </w:rPr>
        <w:t>29</w:t>
      </w:r>
      <w:r w:rsidRPr="00000849">
        <w:t>]. This programme automatically identified and removed duplicate papers. Then, the titles and abstracts were screened guided by the inclusion and exclusion criteria. The screening was facilitated by the use of key words such as “patients”, “African Americans” and “pregnant” which quickly enabled non-eligible studies to be reviewed and excluded. The full-text of potentially analyzable studies were retrieved and evaluated independently by two authors (WKB, JMKA). Discrepancies were resolved by consensus between the two reviewers, without recourse to an arbitrator. The Covidence software automatically generated the Preferred Reporting Items for Systematic Reviews and Meta-Analysis (PRISMA) flow chart of selected studies [</w:t>
      </w:r>
      <w:r w:rsidRPr="00000849">
        <w:rPr>
          <w:color w:val="535C96"/>
          <w:u w:val="single" w:color="535C96"/>
        </w:rPr>
        <w:t>28</w:t>
      </w:r>
      <w:r w:rsidRPr="00000849">
        <w:t>].</w:t>
      </w:r>
    </w:p>
    <w:p w14:paraId="762CB687" w14:textId="77777777" w:rsidR="00B00ED8" w:rsidRPr="00000849" w:rsidRDefault="00B00ED8" w:rsidP="00A617B9">
      <w:pPr>
        <w:spacing w:after="315" w:line="287" w:lineRule="auto"/>
        <w:ind w:right="-3" w:firstLine="239"/>
        <w:jc w:val="both"/>
      </w:pPr>
      <w:r w:rsidRPr="00000849">
        <w:t xml:space="preserve">Where multiple publications existed on the same sample of subjects, we counted all such studies as one unique study. With these multiple papers, it was quite easy to identify the paper that most adequately provided the data for this review. Where necessary, complementary </w:t>
      </w:r>
      <w:r w:rsidRPr="00000849">
        <w:lastRenderedPageBreak/>
        <w:t>data were obtained from the additional reports. If hypertension was estimated in the same cohort at different time points, then these were reckoned as separate studies. Similarly, where a study covered more than one African country, then it was counted as one study that had provided multiple data points (reflecting the number of countries). There was no restriction on language of publication. Study authors were contacted to clarify or provide additional information on participants’ age, definition of hypertension employed or on the prevalence in specific groups as necessary.</w:t>
      </w:r>
    </w:p>
    <w:p w14:paraId="2C6341B8" w14:textId="77777777" w:rsidR="00B00ED8" w:rsidRPr="00000849" w:rsidRDefault="00B00ED8" w:rsidP="00A617B9">
      <w:pPr>
        <w:jc w:val="both"/>
        <w:rPr>
          <w:b/>
          <w:bCs/>
          <w:color w:val="0070C0"/>
          <w:sz w:val="24"/>
          <w:szCs w:val="24"/>
        </w:rPr>
      </w:pPr>
      <w:r w:rsidRPr="00000849">
        <w:rPr>
          <w:b/>
          <w:bCs/>
          <w:color w:val="0070C0"/>
          <w:sz w:val="24"/>
          <w:szCs w:val="24"/>
        </w:rPr>
        <w:t>Data extraction</w:t>
      </w:r>
    </w:p>
    <w:p w14:paraId="76DD003D" w14:textId="77777777" w:rsidR="00B00ED8" w:rsidRPr="00000849" w:rsidRDefault="00B00ED8" w:rsidP="00A617B9">
      <w:pPr>
        <w:spacing w:after="327"/>
        <w:ind w:right="16"/>
        <w:jc w:val="both"/>
      </w:pPr>
      <w:r w:rsidRPr="00000849">
        <w:t>Data were extracted onto a preformatted previously piloted form in Excel. They included the study’s primary author, year of publication, setting, socio-demographics, objective, study design, study population, sampling procedure and size, participation rate, anthropometry, dietary and behavioural lifestyles, method of BP measurement, and the prevalence of hypertension and its grades where available [</w:t>
      </w:r>
      <w:r w:rsidRPr="00000849">
        <w:rPr>
          <w:color w:val="535C96"/>
          <w:u w:val="single" w:color="535C96"/>
        </w:rPr>
        <w:t>26</w:t>
      </w:r>
      <w:r w:rsidRPr="00000849">
        <w:t xml:space="preserve">]. The presence of co-morbidities such as diabetes or chronic kidney disease was recorded. Body mass index (BMI) cut off points of </w:t>
      </w:r>
      <w:r w:rsidRPr="00000849">
        <w:rPr>
          <w:i/>
        </w:rPr>
        <w:t>&lt;</w:t>
      </w:r>
      <w:r w:rsidRPr="00000849">
        <w:t>18.5 kg/m</w:t>
      </w:r>
      <w:r w:rsidRPr="00000849">
        <w:rPr>
          <w:vertAlign w:val="superscript"/>
        </w:rPr>
        <w:t xml:space="preserve">2 </w:t>
      </w:r>
      <w:r w:rsidRPr="00000849">
        <w:t>defined underweight, 18.5–24.9 kg/m</w:t>
      </w:r>
      <w:r w:rsidRPr="00000849">
        <w:rPr>
          <w:vertAlign w:val="superscript"/>
        </w:rPr>
        <w:t xml:space="preserve">2 </w:t>
      </w:r>
      <w:r w:rsidRPr="00000849">
        <w:t>was normal weight, 25.0–29.9 kg/m</w:t>
      </w:r>
      <w:r w:rsidRPr="00000849">
        <w:rPr>
          <w:vertAlign w:val="superscript"/>
        </w:rPr>
        <w:t xml:space="preserve">2 </w:t>
      </w:r>
      <w:r w:rsidRPr="00000849">
        <w:t>was overweight and 30.0 kg/m</w:t>
      </w:r>
      <w:r w:rsidRPr="00000849">
        <w:rPr>
          <w:vertAlign w:val="superscript"/>
        </w:rPr>
        <w:t xml:space="preserve">2 </w:t>
      </w:r>
      <w:r w:rsidRPr="00000849">
        <w:t>was obese [</w:t>
      </w:r>
      <w:r w:rsidRPr="00000849">
        <w:rPr>
          <w:color w:val="535C96"/>
          <w:u w:val="single" w:color="535C96"/>
        </w:rPr>
        <w:t>20</w:t>
      </w:r>
      <w:r w:rsidRPr="00000849">
        <w:t>].</w:t>
      </w:r>
    </w:p>
    <w:p w14:paraId="175F208B" w14:textId="77777777" w:rsidR="00B00ED8" w:rsidRPr="00000849" w:rsidRDefault="00B00ED8" w:rsidP="00A617B9">
      <w:pPr>
        <w:jc w:val="both"/>
        <w:rPr>
          <w:b/>
          <w:bCs/>
          <w:color w:val="0070C0"/>
          <w:sz w:val="24"/>
          <w:szCs w:val="24"/>
        </w:rPr>
      </w:pPr>
      <w:r w:rsidRPr="00000849">
        <w:rPr>
          <w:b/>
          <w:bCs/>
          <w:color w:val="0070C0"/>
          <w:sz w:val="24"/>
          <w:szCs w:val="24"/>
        </w:rPr>
        <w:t>Evaluation of study quality</w:t>
      </w:r>
    </w:p>
    <w:p w14:paraId="37703C0E" w14:textId="77777777" w:rsidR="00B00ED8" w:rsidRPr="00000849" w:rsidRDefault="00B00ED8" w:rsidP="008B3C61">
      <w:pPr>
        <w:spacing w:after="314"/>
        <w:ind w:right="16"/>
        <w:jc w:val="both"/>
      </w:pPr>
      <w:r w:rsidRPr="00000849">
        <w:t>The quality of the included studies was evaluated by two authors (WKB, JMKA) using the Hoy et al [</w:t>
      </w:r>
      <w:r w:rsidRPr="00000849">
        <w:rPr>
          <w:color w:val="535C96"/>
          <w:u w:val="single" w:color="535C96"/>
        </w:rPr>
        <w:t>30</w:t>
      </w:r>
      <w:r w:rsidRPr="00000849">
        <w:t>] tool which has been specifically validated for cross-sectional studies. The tool assesses external validity based on factors such as the representativeness of the sample, participation rate, and sampling methods. The internal validity is based on factors such as direct data collection from subjects or from proxy, suitability of case definition, reliability of study instrument, application of same measurement methods for all subjects and appropriateness of exposure period for the development or presence of hypertension in the subjects. In line with best practice, we avoided scoring the criteria [</w:t>
      </w:r>
      <w:r w:rsidRPr="00000849">
        <w:rPr>
          <w:color w:val="535C96"/>
          <w:u w:val="single" w:color="535C96"/>
        </w:rPr>
        <w:t>31</w:t>
      </w:r>
      <w:r w:rsidRPr="00000849">
        <w:t>] and instead, classified each study’s risk of bias as low, moderate and high based on an overall judgement on our confidence in the prevalence estimate after applying the criteria [</w:t>
      </w:r>
      <w:r w:rsidRPr="00000849">
        <w:rPr>
          <w:color w:val="535C96"/>
          <w:u w:val="single" w:color="535C96"/>
        </w:rPr>
        <w:t>30</w:t>
      </w:r>
      <w:r w:rsidRPr="00000849">
        <w:t>].</w:t>
      </w:r>
    </w:p>
    <w:p w14:paraId="67BCAA78" w14:textId="77777777" w:rsidR="00B00ED8" w:rsidRPr="00000849" w:rsidRDefault="00B00ED8" w:rsidP="008B3C61">
      <w:pPr>
        <w:jc w:val="both"/>
        <w:rPr>
          <w:b/>
          <w:bCs/>
          <w:color w:val="0070C0"/>
          <w:sz w:val="24"/>
          <w:szCs w:val="24"/>
        </w:rPr>
      </w:pPr>
      <w:r w:rsidRPr="00000849">
        <w:rPr>
          <w:b/>
          <w:bCs/>
          <w:color w:val="0070C0"/>
          <w:sz w:val="24"/>
          <w:szCs w:val="24"/>
        </w:rPr>
        <w:t>GRADE assessment of the overall quality of evidence</w:t>
      </w:r>
    </w:p>
    <w:p w14:paraId="4BE49F13" w14:textId="77777777" w:rsidR="00B00ED8" w:rsidRPr="00000849" w:rsidRDefault="00B00ED8" w:rsidP="008B3C61">
      <w:pPr>
        <w:ind w:right="16"/>
        <w:jc w:val="both"/>
      </w:pPr>
      <w:r w:rsidRPr="00000849">
        <w:t>The overall confidence in the estimates from the meta-analysis was assessed using the Grading of Recommendations Assessment, Development and Evaluation (GRADE), adapting the principles for rating systematic review of prognostic studies [</w:t>
      </w:r>
      <w:r w:rsidRPr="00000849">
        <w:rPr>
          <w:color w:val="535C96"/>
          <w:u w:val="single" w:color="535C96"/>
        </w:rPr>
        <w:t>32</w:t>
      </w:r>
      <w:r w:rsidRPr="00000849">
        <w:t>]. The overall level of evidence was rated as “high” where there is a high level of confidence that the pooled estimate lies close to the true population estimate or as “very low” where the confidence was very low. The rating categories in between were “moderate” and “low”. Unlike systematic reviews for treatment studies, the initial level of confidence in the estimates from longitudinal prognostic studies is rated as high [</w:t>
      </w:r>
      <w:r w:rsidRPr="00000849">
        <w:rPr>
          <w:color w:val="535C96"/>
          <w:u w:val="single" w:color="535C96"/>
        </w:rPr>
        <w:t>32</w:t>
      </w:r>
      <w:r w:rsidRPr="00000849">
        <w:t>]. Our initial level of confidence in the estimates from the prevalence studies was rated as moderate.</w:t>
      </w:r>
    </w:p>
    <w:p w14:paraId="1CB781CF" w14:textId="77777777" w:rsidR="00B00ED8" w:rsidRPr="00000849" w:rsidRDefault="00B00ED8" w:rsidP="008B3C61">
      <w:pPr>
        <w:spacing w:after="314"/>
        <w:ind w:right="16" w:firstLine="239"/>
        <w:jc w:val="both"/>
      </w:pPr>
      <w:r w:rsidRPr="00000849">
        <w:t xml:space="preserve">The five domains GRADE—risk of bias, imprecision, inconsistency, indirectness, and publication bias were considered in downgrading confidence in the overall estimate while the </w:t>
      </w:r>
      <w:r w:rsidRPr="00000849">
        <w:lastRenderedPageBreak/>
        <w:t>criteria of large effect, dose response gradient, and direction of plausible confounding were considered in upgrading the confidence in the estimates.</w:t>
      </w:r>
    </w:p>
    <w:p w14:paraId="46FB96E0" w14:textId="77777777" w:rsidR="00B00ED8" w:rsidRPr="00000849" w:rsidRDefault="00B00ED8" w:rsidP="008B3C61">
      <w:pPr>
        <w:jc w:val="both"/>
        <w:rPr>
          <w:b/>
          <w:bCs/>
          <w:color w:val="0070C0"/>
          <w:sz w:val="24"/>
          <w:szCs w:val="24"/>
        </w:rPr>
      </w:pPr>
      <w:r w:rsidRPr="00000849">
        <w:rPr>
          <w:b/>
          <w:bCs/>
          <w:color w:val="0070C0"/>
          <w:sz w:val="24"/>
          <w:szCs w:val="24"/>
        </w:rPr>
        <w:t>Data analysis</w:t>
      </w:r>
    </w:p>
    <w:p w14:paraId="3CD7DD73" w14:textId="335002DB" w:rsidR="00B00ED8" w:rsidRPr="00000849" w:rsidRDefault="00B00ED8" w:rsidP="008B3C61">
      <w:pPr>
        <w:ind w:right="16"/>
        <w:jc w:val="both"/>
      </w:pPr>
      <w:r w:rsidRPr="00000849">
        <w:t>The overall pooled prevalence across studies was estimated using a random effects model which involved first stabilizing the variances of the prevalence estimates through Freeman</w:t>
      </w:r>
      <w:r w:rsidR="004F1933" w:rsidRPr="00000849">
        <w:t xml:space="preserve"> </w:t>
      </w:r>
      <w:r w:rsidRPr="00000849">
        <w:t>Tukey arcsine transformation [</w:t>
      </w:r>
      <w:r w:rsidRPr="00000849">
        <w:rPr>
          <w:color w:val="535C96"/>
          <w:u w:val="single" w:color="535C96"/>
        </w:rPr>
        <w:t>33</w:t>
      </w:r>
      <w:r w:rsidRPr="00000849">
        <w:t>]. Heterogeneity between the included studies was assessed with the chi-squared test on Cochran’s Q (alpha set at 0.1) statistic [</w:t>
      </w:r>
      <w:r w:rsidRPr="00000849">
        <w:rPr>
          <w:color w:val="535C96"/>
          <w:u w:val="single" w:color="535C96"/>
        </w:rPr>
        <w:t>34</w:t>
      </w:r>
      <w:r w:rsidRPr="00000849">
        <w:t>] and the Higgins and Thompson’s I</w:t>
      </w:r>
      <w:r w:rsidRPr="00000849">
        <w:rPr>
          <w:vertAlign w:val="superscript"/>
        </w:rPr>
        <w:t xml:space="preserve">2 </w:t>
      </w:r>
      <w:r w:rsidRPr="00000849">
        <w:t>statistic [</w:t>
      </w:r>
      <w:r w:rsidRPr="00000849">
        <w:rPr>
          <w:color w:val="535C96"/>
          <w:u w:val="single" w:color="535C96"/>
        </w:rPr>
        <w:t>35</w:t>
      </w:r>
      <w:r w:rsidRPr="00000849">
        <w:t>]. Separate sub-group analyses were performed based on sex, age group, urban-rural residence, sub-region, study design and year of publication grouped in 5-year periods. To further explore heterogeneity, we performed a post-hoc random-effects meta-regression analysis using the residual restricted maximum likelihood method [</w:t>
      </w:r>
      <w:r w:rsidRPr="00000849">
        <w:rPr>
          <w:color w:val="535C96"/>
          <w:u w:val="single" w:color="535C96"/>
        </w:rPr>
        <w:t>36</w:t>
      </w:r>
      <w:r w:rsidRPr="00000849">
        <w:t>]. We included five continuous covariates (study year, publication year sample size enrolled, percentage of obesity and percentage with no education in the total sample) and one categorical variable (automated versus manual type blood pressure monitor) individually in the model. In the combined model, we included four covariates which enabled a yield of ten or more observations for analysis.</w:t>
      </w:r>
    </w:p>
    <w:p w14:paraId="405768F5" w14:textId="77777777" w:rsidR="00B00ED8" w:rsidRPr="00000849" w:rsidRDefault="00B00ED8" w:rsidP="008B3C61">
      <w:pPr>
        <w:ind w:right="16" w:firstLine="239"/>
        <w:jc w:val="both"/>
      </w:pPr>
      <w:r w:rsidRPr="00000849">
        <w:t>We assessed the effect of excluding studies deemed to be at high risk of bias on the pooled estimate. We performed an influence analysis by computing the summary estimate of the prevalence of hypertension after removing one included study at a time. Forest plots provided a visual image of the point and 95% interval prevalence estimate as well as the summary estimate. Statistical analyses were performed in Stata version 14 [</w:t>
      </w:r>
      <w:r w:rsidRPr="00000849">
        <w:rPr>
          <w:color w:val="535C96"/>
          <w:u w:val="single" w:color="535C96"/>
        </w:rPr>
        <w:t>37</w:t>
      </w:r>
      <w:r w:rsidRPr="00000849">
        <w:t>].</w:t>
      </w:r>
    </w:p>
    <w:p w14:paraId="74625338" w14:textId="77777777" w:rsidR="00B00ED8" w:rsidRPr="00000849" w:rsidRDefault="00B00ED8" w:rsidP="008B3C61">
      <w:pPr>
        <w:spacing w:after="322" w:line="281" w:lineRule="auto"/>
        <w:ind w:right="75" w:firstLine="239"/>
        <w:jc w:val="both"/>
      </w:pPr>
      <w:r w:rsidRPr="00000849">
        <w:t>The presence of reporting bias was determined through funnel plot asymmetry, Duval and Tweedie’s trim and fill technique [</w:t>
      </w:r>
      <w:r w:rsidRPr="00000849">
        <w:rPr>
          <w:color w:val="535C96"/>
          <w:u w:val="single" w:color="535C96"/>
        </w:rPr>
        <w:t>38</w:t>
      </w:r>
      <w:r w:rsidRPr="00000849">
        <w:t>] and Egger’s test [</w:t>
      </w:r>
      <w:r w:rsidRPr="00000849">
        <w:rPr>
          <w:color w:val="535C96"/>
          <w:u w:val="single" w:color="535C96"/>
        </w:rPr>
        <w:t>39</w:t>
      </w:r>
      <w:r w:rsidRPr="00000849">
        <w:t xml:space="preserve">]. Statistical significance was fixed at p value </w:t>
      </w:r>
      <w:r w:rsidRPr="00000849">
        <w:rPr>
          <w:i/>
        </w:rPr>
        <w:t>&lt;</w:t>
      </w:r>
      <w:r w:rsidRPr="00000849">
        <w:t>0.05. The reporting of this review conforms to the PRISMA 2009 guidelines (</w:t>
      </w:r>
      <w:r w:rsidRPr="00000849">
        <w:rPr>
          <w:color w:val="535C96"/>
          <w:u w:val="single" w:color="535C96"/>
        </w:rPr>
        <w:t>S2 Table</w:t>
      </w:r>
      <w:r w:rsidRPr="00000849">
        <w:t>).</w:t>
      </w:r>
    </w:p>
    <w:p w14:paraId="7B1F91D6" w14:textId="77777777" w:rsidR="00B00ED8" w:rsidRPr="00000849" w:rsidRDefault="00B00ED8" w:rsidP="008B3C61">
      <w:pPr>
        <w:spacing w:after="467" w:line="259" w:lineRule="auto"/>
        <w:jc w:val="both"/>
        <w:rPr>
          <w:b/>
          <w:bCs/>
          <w:sz w:val="29"/>
        </w:rPr>
      </w:pPr>
      <w:r w:rsidRPr="00000849">
        <w:rPr>
          <w:b/>
          <w:bCs/>
          <w:sz w:val="29"/>
        </w:rPr>
        <w:t>Results</w:t>
      </w:r>
    </w:p>
    <w:p w14:paraId="052AC0BF" w14:textId="77777777" w:rsidR="00B00ED8" w:rsidRPr="00000849" w:rsidRDefault="00B00ED8" w:rsidP="008B3C61">
      <w:pPr>
        <w:jc w:val="both"/>
        <w:rPr>
          <w:b/>
          <w:bCs/>
          <w:color w:val="0070C0"/>
          <w:sz w:val="24"/>
          <w:szCs w:val="24"/>
        </w:rPr>
      </w:pPr>
      <w:r w:rsidRPr="00000849">
        <w:rPr>
          <w:b/>
          <w:bCs/>
          <w:color w:val="0070C0"/>
          <w:sz w:val="24"/>
          <w:szCs w:val="24"/>
        </w:rPr>
        <w:t>Study flow and characteristics</w:t>
      </w:r>
    </w:p>
    <w:p w14:paraId="5431188E" w14:textId="77777777" w:rsidR="00B00ED8" w:rsidRPr="00000849" w:rsidRDefault="00B00ED8" w:rsidP="008B3C61">
      <w:pPr>
        <w:ind w:right="16"/>
        <w:jc w:val="both"/>
      </w:pPr>
      <w:r w:rsidRPr="00000849">
        <w:t>The literature search including the hand-search yielded 10,719 articles, out of which 1,944 duplicate studies were excluded (</w:t>
      </w:r>
      <w:r w:rsidRPr="00000849">
        <w:rPr>
          <w:color w:val="535C96"/>
          <w:u w:val="single" w:color="535C96"/>
        </w:rPr>
        <w:t>Fig 1</w:t>
      </w:r>
      <w:r w:rsidRPr="00000849">
        <w:t>). Following the title and abstract review, 103 full-text articles were retrieved and evaluated for inclusion. Forty of these full-text articles were excluded for various reasons such as using self-reported estimate of hypertension or not estimating the prevalence of hypertension at all (</w:t>
      </w:r>
      <w:r w:rsidRPr="00000849">
        <w:rPr>
          <w:color w:val="535C96"/>
          <w:u w:val="single" w:color="535C96"/>
        </w:rPr>
        <w:t>Fig 1</w:t>
      </w:r>
      <w:r w:rsidRPr="00000849">
        <w:t xml:space="preserve">, </w:t>
      </w:r>
      <w:r w:rsidRPr="00000849">
        <w:rPr>
          <w:color w:val="535C96"/>
          <w:u w:val="single" w:color="535C96"/>
        </w:rPr>
        <w:t>S3 Table</w:t>
      </w:r>
      <w:r w:rsidRPr="00000849">
        <w:t>). Of the remaining 63 eligible full text articles, 34 unique studies published from 2005 to 2018 were retained for analysis, after taking into account, multiple studies on the same study subjects (</w:t>
      </w:r>
      <w:r w:rsidRPr="00000849">
        <w:rPr>
          <w:color w:val="535C96"/>
          <w:u w:val="single" w:color="535C96"/>
        </w:rPr>
        <w:t>S4 Table</w:t>
      </w:r>
      <w:r w:rsidRPr="00000849">
        <w:t>). These studies, three of which covered multiple countries or cohorts, provided a total of 37 data contributions (</w:t>
      </w:r>
      <w:r w:rsidRPr="00000849">
        <w:rPr>
          <w:color w:val="535C96"/>
          <w:u w:val="single" w:color="535C96"/>
        </w:rPr>
        <w:t>Table 1</w:t>
      </w:r>
      <w:r w:rsidRPr="00000849">
        <w:t>). Four (11.7%) studies were published in 2005–2009, 18 (52.9%) in 2010–2014 and 12</w:t>
      </w:r>
    </w:p>
    <w:p w14:paraId="7A87F020" w14:textId="77777777" w:rsidR="00B00ED8" w:rsidRPr="00000849" w:rsidRDefault="00B00ED8" w:rsidP="008B3C61">
      <w:pPr>
        <w:ind w:right="16"/>
        <w:jc w:val="both"/>
      </w:pPr>
      <w:r w:rsidRPr="00000849">
        <w:lastRenderedPageBreak/>
        <w:t>(35.3%) in 2015–2018 (</w:t>
      </w:r>
      <w:r w:rsidRPr="00000849">
        <w:rPr>
          <w:color w:val="535C96"/>
          <w:u w:val="single" w:color="535C96"/>
        </w:rPr>
        <w:t>Table 1</w:t>
      </w:r>
      <w:r w:rsidRPr="00000849">
        <w:t>). The earliest reported start year of the data collection was October 2000 [</w:t>
      </w:r>
      <w:r w:rsidRPr="00000849">
        <w:rPr>
          <w:color w:val="535C96"/>
          <w:u w:val="single" w:color="535C96"/>
        </w:rPr>
        <w:t>40</w:t>
      </w:r>
      <w:r w:rsidRPr="00000849">
        <w:t>] while the latest reported end date was 2016 [</w:t>
      </w:r>
      <w:r w:rsidRPr="00000849">
        <w:rPr>
          <w:color w:val="535C96"/>
          <w:u w:val="single" w:color="535C96"/>
        </w:rPr>
        <w:t>65</w:t>
      </w:r>
      <w:r w:rsidRPr="00000849">
        <w:t>]. The duration of data collection ranged from 2.5 months [</w:t>
      </w:r>
      <w:r w:rsidRPr="00000849">
        <w:rPr>
          <w:color w:val="535C96"/>
          <w:u w:val="single" w:color="535C96"/>
        </w:rPr>
        <w:t>69</w:t>
      </w:r>
      <w:r w:rsidRPr="00000849">
        <w:t>] to 24 months [</w:t>
      </w:r>
      <w:r w:rsidRPr="00000849">
        <w:rPr>
          <w:color w:val="535C96"/>
          <w:u w:val="single" w:color="535C96"/>
        </w:rPr>
        <w:t>58</w:t>
      </w:r>
      <w:r w:rsidRPr="00000849">
        <w:t>].</w:t>
      </w:r>
    </w:p>
    <w:p w14:paraId="4C13F515" w14:textId="77777777" w:rsidR="00B00ED8" w:rsidRPr="00000849" w:rsidRDefault="00B00ED8" w:rsidP="008B3C61">
      <w:pPr>
        <w:ind w:right="16" w:firstLine="239"/>
        <w:jc w:val="both"/>
      </w:pPr>
      <w:r w:rsidRPr="00000849">
        <w:t>Two sets of studies covered two different countries (Central African Republic and Congo) were analyzed separately for each country [</w:t>
      </w:r>
      <w:r w:rsidRPr="00000849">
        <w:rPr>
          <w:color w:val="535C96"/>
          <w:u w:val="single" w:color="535C96"/>
        </w:rPr>
        <w:t>48</w:t>
      </w:r>
      <w:r w:rsidRPr="00000849">
        <w:t xml:space="preserve">, </w:t>
      </w:r>
      <w:r w:rsidRPr="00000849">
        <w:rPr>
          <w:color w:val="535C96"/>
          <w:u w:val="single" w:color="535C96"/>
        </w:rPr>
        <w:t>68</w:t>
      </w:r>
      <w:r w:rsidRPr="00000849">
        <w:t>]. One longitudinal study in Nigeria covering two different time periods, six years apart, provided two data points [</w:t>
      </w:r>
      <w:r w:rsidRPr="00000849">
        <w:rPr>
          <w:color w:val="535C96"/>
          <w:u w:val="single" w:color="535C96"/>
        </w:rPr>
        <w:t>64</w:t>
      </w:r>
      <w:r w:rsidRPr="00000849">
        <w:t>]. Multiple publications reporting the prevalence of hypertension on the same study sample was observed in 19 (51.4%) studies. The most prolific involved nine papers published from the Study on global AGEing and adult health (SAGE) in South Africa in which the dataset was publicly available (</w:t>
      </w:r>
      <w:r w:rsidRPr="00000849">
        <w:rPr>
          <w:color w:val="535C96"/>
          <w:u w:val="single" w:color="535C96"/>
        </w:rPr>
        <w:t>S4 Table</w:t>
      </w:r>
      <w:r w:rsidRPr="00000849">
        <w:t>) [</w:t>
      </w:r>
      <w:r w:rsidRPr="00000849">
        <w:rPr>
          <w:color w:val="535C96"/>
          <w:u w:val="single" w:color="535C96"/>
        </w:rPr>
        <w:t>67</w:t>
      </w:r>
      <w:r w:rsidRPr="00000849">
        <w:t>].</w:t>
      </w:r>
    </w:p>
    <w:p w14:paraId="34AE1167" w14:textId="77777777" w:rsidR="00B00ED8" w:rsidRPr="00000849" w:rsidRDefault="00B00ED8" w:rsidP="008B3C61">
      <w:pPr>
        <w:ind w:right="16" w:firstLine="239"/>
        <w:jc w:val="both"/>
      </w:pPr>
      <w:r w:rsidRPr="00000849">
        <w:t>The included studies were all original articles except for one dissertation [</w:t>
      </w:r>
      <w:r w:rsidRPr="00000849">
        <w:rPr>
          <w:color w:val="535C96"/>
          <w:u w:val="single" w:color="535C96"/>
        </w:rPr>
        <w:t>65</w:t>
      </w:r>
      <w:r w:rsidRPr="00000849">
        <w:t>]. Thirty-one data contributions (83.8%) were cross-sectional in design and six were follow-up studies. Eleven (29.7%) involved demographic surveillance sites or a population cohort. In half of the 34 studies, hypertension was part of the main objective of the study.</w:t>
      </w:r>
    </w:p>
    <w:p w14:paraId="14DE700A" w14:textId="77777777" w:rsidR="00B00ED8" w:rsidRPr="00000849" w:rsidRDefault="00B00ED8" w:rsidP="008B3C61">
      <w:pPr>
        <w:spacing w:after="28" w:line="259" w:lineRule="auto"/>
        <w:ind w:right="53" w:firstLine="270"/>
        <w:jc w:val="both"/>
      </w:pPr>
      <w:r w:rsidRPr="00000849">
        <w:t>Thirty-one (91.2%) studies were published in English and three (8.8%) in French. Only five (13.5%) data contributions were from national studies (</w:t>
      </w:r>
      <w:r w:rsidRPr="00000849">
        <w:rPr>
          <w:color w:val="535C96"/>
          <w:u w:val="single" w:color="535C96"/>
        </w:rPr>
        <w:t>Table 1</w:t>
      </w:r>
      <w:r w:rsidRPr="00000849">
        <w:t>). The included data contributions were conducted in 15 countries—eight in Nigeria, five in Tanzania, four studies in Ghana, three in Uganda, two each in Central African Republic (CAR), Congo, Kenya, Senegal, South Africa and Tunisia and one each in Algeria, Burkina Faso, Cameroon, Egypt and Seychelles. Thus, there were two (5.4%) data contributions from southern Africa, four (10.8%) from northern Africa, five (13.5%) from central Africa, 11 (29.7%) from eastern Africa and 15 (40.5%) from western Africa. Nine (24.3%) data contributions covered rural populations, eight (21.6%) covered urban populations while the remaining 20 (54.1%) covered mixed populations.</w:t>
      </w:r>
    </w:p>
    <w:p w14:paraId="347CFE62" w14:textId="77777777" w:rsidR="00B00ED8" w:rsidRPr="00000849" w:rsidRDefault="00B00ED8" w:rsidP="008B3C61">
      <w:pPr>
        <w:ind w:right="16" w:firstLine="239"/>
        <w:jc w:val="both"/>
      </w:pPr>
      <w:r w:rsidRPr="00000849">
        <w:t>A total of 43,025 subjects and a median of 598 subjects were enrolled across the data contributions (</w:t>
      </w:r>
      <w:r w:rsidRPr="00000849">
        <w:rPr>
          <w:color w:val="535C96"/>
          <w:u w:val="single" w:color="535C96"/>
        </w:rPr>
        <w:t>Table 1</w:t>
      </w:r>
      <w:r w:rsidRPr="00000849">
        <w:t>). In the individual studies, the total sample size ranged from 46 to 4,724 participants. The lowest number of participants were observed in studies from the eastern Africa, in urban populations or conducted in the 2005–2009 period. Their ages ranged from 50 to 110 years [</w:t>
      </w:r>
      <w:r w:rsidRPr="00000849">
        <w:rPr>
          <w:color w:val="535C96"/>
          <w:u w:val="single" w:color="535C96"/>
        </w:rPr>
        <w:t>72</w:t>
      </w:r>
      <w:r w:rsidRPr="00000849">
        <w:t>]. The sex distribution of participants was provided by 32 studies which reported a median of 254 males and 391 females. In these studies, females constituted 54.2% of the total number of enrolled subjects. Of the total enrolled subjects, 95.6% (range 12.5% - 100%) had their blood pressures measured.</w:t>
      </w:r>
    </w:p>
    <w:p w14:paraId="3A37CBC5" w14:textId="77777777" w:rsidR="00B00ED8" w:rsidRPr="00000849" w:rsidRDefault="00B00ED8" w:rsidP="008B3C61">
      <w:pPr>
        <w:ind w:right="16"/>
        <w:jc w:val="both"/>
      </w:pPr>
    </w:p>
    <w:p w14:paraId="09911A10" w14:textId="77777777" w:rsidR="00B00ED8" w:rsidRPr="00000849" w:rsidRDefault="00B00ED8" w:rsidP="008B3C61">
      <w:pPr>
        <w:ind w:right="16"/>
        <w:jc w:val="both"/>
      </w:pPr>
    </w:p>
    <w:p w14:paraId="1EA194F5" w14:textId="77777777" w:rsidR="00B00ED8" w:rsidRPr="00000849" w:rsidRDefault="00B00ED8" w:rsidP="008B3C61">
      <w:pPr>
        <w:spacing w:after="155" w:line="259" w:lineRule="auto"/>
        <w:jc w:val="both"/>
      </w:pPr>
      <w:r w:rsidRPr="00000849">
        <w:rPr>
          <w:noProof/>
        </w:rPr>
        <w:lastRenderedPageBreak/>
        <w:drawing>
          <wp:inline distT="0" distB="0" distL="0" distR="0" wp14:anchorId="23F8BAF7" wp14:editId="1139C8C7">
            <wp:extent cx="5029200" cy="6559194"/>
            <wp:effectExtent l="0" t="0" r="0" b="0"/>
            <wp:docPr id="3642" name="Picture 3642"/>
            <wp:cNvGraphicFramePr/>
            <a:graphic xmlns:a="http://schemas.openxmlformats.org/drawingml/2006/main">
              <a:graphicData uri="http://schemas.openxmlformats.org/drawingml/2006/picture">
                <pic:pic xmlns:pic="http://schemas.openxmlformats.org/drawingml/2006/picture">
                  <pic:nvPicPr>
                    <pic:cNvPr id="3642" name="Picture 3642"/>
                    <pic:cNvPicPr/>
                  </pic:nvPicPr>
                  <pic:blipFill>
                    <a:blip r:embed="rId146"/>
                    <a:stretch>
                      <a:fillRect/>
                    </a:stretch>
                  </pic:blipFill>
                  <pic:spPr>
                    <a:xfrm>
                      <a:off x="0" y="0"/>
                      <a:ext cx="5029200" cy="6559194"/>
                    </a:xfrm>
                    <a:prstGeom prst="rect">
                      <a:avLst/>
                    </a:prstGeom>
                  </pic:spPr>
                </pic:pic>
              </a:graphicData>
            </a:graphic>
          </wp:inline>
        </w:drawing>
      </w:r>
    </w:p>
    <w:p w14:paraId="37DC36DF" w14:textId="77777777" w:rsidR="00B00ED8" w:rsidRPr="00000849" w:rsidRDefault="00B00ED8" w:rsidP="008B3C61">
      <w:pPr>
        <w:spacing w:after="0" w:line="259" w:lineRule="auto"/>
        <w:jc w:val="both"/>
      </w:pPr>
      <w:r w:rsidRPr="00000849">
        <w:rPr>
          <w:b/>
          <w:sz w:val="16"/>
        </w:rPr>
        <w:t>Fig 1. PRISMA flow diagram showing study selection.</w:t>
      </w:r>
    </w:p>
    <w:p w14:paraId="1631E7E0" w14:textId="77777777" w:rsidR="00B00ED8" w:rsidRPr="00000849" w:rsidRDefault="00B00ED8" w:rsidP="008B3C61">
      <w:pPr>
        <w:spacing w:after="124" w:line="259" w:lineRule="auto"/>
        <w:jc w:val="both"/>
      </w:pPr>
      <w:r w:rsidRPr="00000849">
        <w:rPr>
          <w:noProof/>
        </w:rPr>
        <mc:AlternateContent>
          <mc:Choice Requires="wpg">
            <w:drawing>
              <wp:inline distT="0" distB="0" distL="0" distR="0" wp14:anchorId="05A7A860" wp14:editId="0BF315D0">
                <wp:extent cx="6400804" cy="6350"/>
                <wp:effectExtent l="0" t="0" r="0" b="0"/>
                <wp:docPr id="105820" name="Group 105820"/>
                <wp:cNvGraphicFramePr/>
                <a:graphic xmlns:a="http://schemas.openxmlformats.org/drawingml/2006/main">
                  <a:graphicData uri="http://schemas.microsoft.com/office/word/2010/wordprocessingGroup">
                    <wpg:wgp>
                      <wpg:cNvGrpSpPr/>
                      <wpg:grpSpPr>
                        <a:xfrm>
                          <a:off x="0" y="0"/>
                          <a:ext cx="6400804" cy="6350"/>
                          <a:chOff x="0" y="0"/>
                          <a:chExt cx="6400804" cy="6350"/>
                        </a:xfrm>
                      </wpg:grpSpPr>
                      <wps:wsp>
                        <wps:cNvPr id="137479" name="Shape 137479"/>
                        <wps:cNvSpPr/>
                        <wps:spPr>
                          <a:xfrm>
                            <a:off x="0" y="0"/>
                            <a:ext cx="6400804" cy="9144"/>
                          </a:xfrm>
                          <a:custGeom>
                            <a:avLst/>
                            <a:gdLst/>
                            <a:ahLst/>
                            <a:cxnLst/>
                            <a:rect l="0" t="0" r="0" b="0"/>
                            <a:pathLst>
                              <a:path w="6400804" h="9144">
                                <a:moveTo>
                                  <a:pt x="0" y="0"/>
                                </a:moveTo>
                                <a:lnTo>
                                  <a:pt x="6400804" y="0"/>
                                </a:lnTo>
                                <a:lnTo>
                                  <a:pt x="6400804" y="9144"/>
                                </a:lnTo>
                                <a:lnTo>
                                  <a:pt x="0" y="9144"/>
                                </a:lnTo>
                                <a:lnTo>
                                  <a:pt x="0" y="0"/>
                                </a:lnTo>
                              </a:path>
                            </a:pathLst>
                          </a:custGeom>
                          <a:ln w="0" cap="rnd">
                            <a:round/>
                          </a:ln>
                        </wps:spPr>
                        <wps:style>
                          <a:lnRef idx="0">
                            <a:srgbClr val="000000">
                              <a:alpha val="0"/>
                            </a:srgbClr>
                          </a:lnRef>
                          <a:fillRef idx="1">
                            <a:srgbClr val="99918C"/>
                          </a:fillRef>
                          <a:effectRef idx="0">
                            <a:scrgbClr r="0" g="0" b="0"/>
                          </a:effectRef>
                          <a:fontRef idx="none"/>
                        </wps:style>
                        <wps:bodyPr/>
                      </wps:wsp>
                    </wpg:wgp>
                  </a:graphicData>
                </a:graphic>
              </wp:inline>
            </w:drawing>
          </mc:Choice>
          <mc:Fallback>
            <w:pict>
              <v:group w14:anchorId="6BCD6997" id="Group 105820" o:spid="_x0000_s1026" style="width:7in;height:.5pt;mso-position-horizontal-relative:char;mso-position-vertical-relative:line" coordsize="6400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">
                <v:shape id="Shape 137479" o:spid="_x0000_s1027" style="position:absolute;width:64008;height:91;visibility:visible;mso-wrap-style:square;v-text-anchor:top" coordsize="64008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" path="m,l6400804,r,9144l,9144,,e" fillcolor="#99918c" stroked="f" strokeweight="0">
                  <v:stroke endcap="round"/>
                  <v:path arrowok="t" textboxrect="0,0,6400804,9144"/>
                </v:shape>
                <w10:anchorlock/>
              </v:group>
            </w:pict>
          </mc:Fallback>
        </mc:AlternateContent>
      </w:r>
    </w:p>
    <w:p w14:paraId="13992E35" w14:textId="77777777" w:rsidR="00B00ED8" w:rsidRPr="00000849" w:rsidRDefault="00C84E75" w:rsidP="008B3C61">
      <w:pPr>
        <w:spacing w:after="363" w:line="265" w:lineRule="auto"/>
        <w:ind w:left="10"/>
        <w:jc w:val="both"/>
      </w:pPr>
      <w:hyperlink r:id="rId147">
        <w:r w:rsidR="00B00ED8" w:rsidRPr="00000849">
          <w:rPr>
            <w:rFonts w:ascii="Arial" w:eastAsia="Arial" w:hAnsi="Arial" w:cs="Arial"/>
            <w:color w:val="535C96"/>
            <w:sz w:val="16"/>
            <w:u w:val="single" w:color="535C96"/>
          </w:rPr>
          <w:t>https://doi.org/10.1371/journal.pone.0214934.g001</w:t>
        </w:r>
      </w:hyperlink>
    </w:p>
    <w:p w14:paraId="768E52B6" w14:textId="77777777" w:rsidR="00B00ED8" w:rsidRPr="00000849" w:rsidRDefault="00B00ED8" w:rsidP="008B3C61">
      <w:pPr>
        <w:spacing w:after="315" w:line="287" w:lineRule="auto"/>
        <w:ind w:right="145"/>
        <w:jc w:val="both"/>
      </w:pPr>
    </w:p>
    <w:p w14:paraId="4D07F771" w14:textId="77777777" w:rsidR="00B00ED8" w:rsidRPr="00000849" w:rsidRDefault="00B00ED8" w:rsidP="008B3C61">
      <w:pPr>
        <w:spacing w:after="0" w:line="259" w:lineRule="auto"/>
        <w:ind w:right="355"/>
        <w:jc w:val="both"/>
      </w:pPr>
      <w:r w:rsidRPr="00000849">
        <w:rPr>
          <w:noProof/>
        </w:rPr>
        <w:lastRenderedPageBreak/>
        <w:drawing>
          <wp:inline distT="0" distB="0" distL="0" distR="0" wp14:anchorId="0798831D" wp14:editId="64DB6029">
            <wp:extent cx="5852160" cy="7498353"/>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852160" cy="7498353"/>
                    </a:xfrm>
                    <a:prstGeom prst="rect">
                      <a:avLst/>
                    </a:prstGeom>
                    <a:noFill/>
                    <a:ln>
                      <a:noFill/>
                    </a:ln>
                  </pic:spPr>
                </pic:pic>
              </a:graphicData>
            </a:graphic>
          </wp:inline>
        </w:drawing>
      </w:r>
    </w:p>
    <w:p w14:paraId="45AC9679" w14:textId="77777777" w:rsidR="00B00ED8" w:rsidRPr="00000849" w:rsidRDefault="00B00ED8" w:rsidP="008B3C61">
      <w:pPr>
        <w:spacing w:after="0" w:line="259" w:lineRule="auto"/>
        <w:ind w:left="-738"/>
        <w:jc w:val="both"/>
      </w:pPr>
      <w:r w:rsidRPr="00000849">
        <w:rPr>
          <w:noProof/>
        </w:rPr>
        <w:lastRenderedPageBreak/>
        <w:drawing>
          <wp:inline distT="0" distB="0" distL="0" distR="0" wp14:anchorId="45D56C3E" wp14:editId="38F4CB8C">
            <wp:extent cx="5760720" cy="8007096"/>
            <wp:effectExtent l="0" t="0" r="0" b="0"/>
            <wp:docPr id="133829" name="Picture 133829"/>
            <wp:cNvGraphicFramePr/>
            <a:graphic xmlns:a="http://schemas.openxmlformats.org/drawingml/2006/main">
              <a:graphicData uri="http://schemas.openxmlformats.org/drawingml/2006/picture">
                <pic:pic xmlns:pic="http://schemas.openxmlformats.org/drawingml/2006/picture">
                  <pic:nvPicPr>
                    <pic:cNvPr id="133829" name="Picture 133829"/>
                    <pic:cNvPicPr/>
                  </pic:nvPicPr>
                  <pic:blipFill>
                    <a:blip r:embed="rId149"/>
                    <a:stretch>
                      <a:fillRect/>
                    </a:stretch>
                  </pic:blipFill>
                  <pic:spPr>
                    <a:xfrm>
                      <a:off x="0" y="0"/>
                      <a:ext cx="5760720" cy="8007096"/>
                    </a:xfrm>
                    <a:prstGeom prst="rect">
                      <a:avLst/>
                    </a:prstGeom>
                  </pic:spPr>
                </pic:pic>
              </a:graphicData>
            </a:graphic>
          </wp:inline>
        </w:drawing>
      </w:r>
    </w:p>
    <w:p w14:paraId="0915736E" w14:textId="77777777" w:rsidR="00B00ED8" w:rsidRPr="00000849" w:rsidRDefault="00B00ED8" w:rsidP="008B3C61">
      <w:pPr>
        <w:spacing w:after="160" w:line="259" w:lineRule="auto"/>
        <w:jc w:val="both"/>
      </w:pPr>
      <w:r w:rsidRPr="00000849">
        <w:rPr>
          <w:noProof/>
        </w:rPr>
        <w:lastRenderedPageBreak/>
        <w:drawing>
          <wp:inline distT="0" distB="0" distL="0" distR="0" wp14:anchorId="355B6675" wp14:editId="06EFE069">
            <wp:extent cx="5303520" cy="6795381"/>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303520" cy="6795381"/>
                    </a:xfrm>
                    <a:prstGeom prst="rect">
                      <a:avLst/>
                    </a:prstGeom>
                    <a:noFill/>
                    <a:ln>
                      <a:noFill/>
                    </a:ln>
                  </pic:spPr>
                </pic:pic>
              </a:graphicData>
            </a:graphic>
          </wp:inline>
        </w:drawing>
      </w:r>
    </w:p>
    <w:p w14:paraId="16FA03C7" w14:textId="77777777" w:rsidR="00B00ED8" w:rsidRPr="00000849" w:rsidRDefault="00B00ED8" w:rsidP="008B3C61">
      <w:pPr>
        <w:spacing w:after="0" w:line="259" w:lineRule="auto"/>
        <w:ind w:left="-738"/>
        <w:jc w:val="both"/>
      </w:pPr>
      <w:r w:rsidRPr="00000849">
        <w:br w:type="page"/>
      </w:r>
    </w:p>
    <w:p w14:paraId="258D5B5A" w14:textId="206EF79C" w:rsidR="00B00ED8" w:rsidRPr="00000849" w:rsidRDefault="00B00ED8" w:rsidP="008B3C61">
      <w:pPr>
        <w:ind w:right="16"/>
        <w:jc w:val="both"/>
      </w:pPr>
      <w:r w:rsidRPr="00000849">
        <w:lastRenderedPageBreak/>
        <w:t>In 23 studies reporting educational attainment of the enrolled participants, the proportion who did not have any formal education ranged from 12.1% [</w:t>
      </w:r>
      <w:r w:rsidRPr="00000849">
        <w:rPr>
          <w:color w:val="535C96"/>
          <w:u w:val="single" w:color="535C96"/>
        </w:rPr>
        <w:t>62</w:t>
      </w:r>
      <w:r w:rsidRPr="00000849">
        <w:t>] to 93.8% [</w:t>
      </w:r>
      <w:r w:rsidRPr="00000849">
        <w:rPr>
          <w:color w:val="535C96"/>
          <w:u w:val="single" w:color="535C96"/>
        </w:rPr>
        <w:t>41</w:t>
      </w:r>
      <w:r w:rsidRPr="00000849">
        <w:t>]. In thirteen of these studies, more than half of participants did not have any education. Study participants were also widely diverse in their body build. In the 13 studies that reported this information, the proportion who were overweight or obese (body mass index  25 kg/m</w:t>
      </w:r>
      <w:r w:rsidRPr="00000849">
        <w:rPr>
          <w:vertAlign w:val="superscript"/>
        </w:rPr>
        <w:t>2</w:t>
      </w:r>
      <w:r w:rsidRPr="00000849">
        <w:t>) ranged from</w:t>
      </w:r>
      <w:r w:rsidR="004F1933" w:rsidRPr="00000849">
        <w:t xml:space="preserve"> </w:t>
      </w:r>
      <w:r w:rsidRPr="00000849">
        <w:t>0.8% [</w:t>
      </w:r>
      <w:r w:rsidRPr="00000849">
        <w:rPr>
          <w:color w:val="535C96"/>
          <w:u w:val="single" w:color="535C96"/>
        </w:rPr>
        <w:t>55</w:t>
      </w:r>
      <w:r w:rsidRPr="00000849">
        <w:t>] to 80.0% [</w:t>
      </w:r>
      <w:r w:rsidRPr="00000849">
        <w:rPr>
          <w:color w:val="535C96"/>
          <w:u w:val="single" w:color="535C96"/>
        </w:rPr>
        <w:t>49</w:t>
      </w:r>
      <w:r w:rsidRPr="00000849">
        <w:t>].</w:t>
      </w:r>
    </w:p>
    <w:p w14:paraId="3AF64FE1" w14:textId="77777777" w:rsidR="00B00ED8" w:rsidRPr="00000849" w:rsidRDefault="00B00ED8" w:rsidP="008B3C61">
      <w:pPr>
        <w:spacing w:after="316"/>
        <w:ind w:right="16" w:firstLine="239"/>
        <w:jc w:val="both"/>
      </w:pPr>
      <w:r w:rsidRPr="00000849">
        <w:t>Two studies [</w:t>
      </w:r>
      <w:r w:rsidRPr="00000849">
        <w:rPr>
          <w:color w:val="535C96"/>
          <w:u w:val="single" w:color="535C96"/>
        </w:rPr>
        <w:t>45</w:t>
      </w:r>
      <w:r w:rsidRPr="00000849">
        <w:t xml:space="preserve">, </w:t>
      </w:r>
      <w:r w:rsidRPr="00000849">
        <w:rPr>
          <w:color w:val="535C96"/>
          <w:u w:val="single" w:color="535C96"/>
        </w:rPr>
        <w:t>52</w:t>
      </w:r>
      <w:r w:rsidRPr="00000849">
        <w:t>], both published in 2013, did not explicitly provide the blood pressure cut-offs used to define hypertension. Contacts with the study authors failed to elicit this information. They were both deemed to have used the 140/90mmHg cut-off in line with the JNC 7.</w:t>
      </w:r>
    </w:p>
    <w:p w14:paraId="16634FD2" w14:textId="77777777" w:rsidR="00B00ED8" w:rsidRPr="00000849" w:rsidRDefault="00B00ED8" w:rsidP="008B3C61">
      <w:pPr>
        <w:jc w:val="both"/>
        <w:rPr>
          <w:b/>
          <w:bCs/>
          <w:color w:val="0070C0"/>
          <w:sz w:val="24"/>
          <w:szCs w:val="24"/>
        </w:rPr>
      </w:pPr>
      <w:r w:rsidRPr="00000849">
        <w:rPr>
          <w:b/>
          <w:bCs/>
          <w:color w:val="0070C0"/>
          <w:sz w:val="24"/>
          <w:szCs w:val="24"/>
        </w:rPr>
        <w:t>Blood pressure measurement</w:t>
      </w:r>
    </w:p>
    <w:p w14:paraId="7AF9E009" w14:textId="77777777" w:rsidR="00B00ED8" w:rsidRPr="00000849" w:rsidRDefault="00B00ED8" w:rsidP="008B3C61">
      <w:pPr>
        <w:ind w:right="16"/>
        <w:jc w:val="both"/>
      </w:pPr>
      <w:r w:rsidRPr="00000849">
        <w:t>Of the 34 included studies, five [</w:t>
      </w:r>
      <w:r w:rsidRPr="00000849">
        <w:rPr>
          <w:color w:val="535C96"/>
          <w:u w:val="single" w:color="535C96"/>
        </w:rPr>
        <w:t>42</w:t>
      </w:r>
      <w:r w:rsidRPr="00000849">
        <w:t xml:space="preserve">, </w:t>
      </w:r>
      <w:r w:rsidRPr="00000849">
        <w:rPr>
          <w:color w:val="535C96"/>
          <w:u w:val="single" w:color="535C96"/>
        </w:rPr>
        <w:t>44</w:t>
      </w:r>
      <w:r w:rsidRPr="00000849">
        <w:t>–</w:t>
      </w:r>
      <w:r w:rsidRPr="00000849">
        <w:rPr>
          <w:color w:val="535C96"/>
          <w:u w:val="single" w:color="535C96"/>
        </w:rPr>
        <w:t>46</w:t>
      </w:r>
      <w:r w:rsidRPr="00000849">
        <w:t xml:space="preserve">, </w:t>
      </w:r>
      <w:r w:rsidRPr="00000849">
        <w:rPr>
          <w:color w:val="535C96"/>
          <w:u w:val="single" w:color="535C96"/>
        </w:rPr>
        <w:t>56</w:t>
      </w:r>
      <w:r w:rsidRPr="00000849">
        <w:t>] did not provide information on how blood pressure was measured. Studies that did, only provided scant information which showed differences in the protocol in terms of the number of visits at which blood pressure was measured, frequency of measurements per visit, the readings used in the analysis, the posture of the subject and the part of the body on which measurements were taken (</w:t>
      </w:r>
      <w:r w:rsidRPr="00000849">
        <w:rPr>
          <w:color w:val="535C96"/>
          <w:u w:val="single" w:color="535C96"/>
        </w:rPr>
        <w:t>Table 2</w:t>
      </w:r>
      <w:r w:rsidRPr="00000849">
        <w:t>).</w:t>
      </w:r>
    </w:p>
    <w:p w14:paraId="5F14B4AD" w14:textId="77777777" w:rsidR="00B00ED8" w:rsidRPr="00000849" w:rsidRDefault="00B00ED8" w:rsidP="008B3C61">
      <w:pPr>
        <w:ind w:right="16" w:firstLine="239"/>
        <w:jc w:val="both"/>
      </w:pPr>
      <w:r w:rsidRPr="00000849">
        <w:t>For most studies, the initial rest period before measurements were taken ranged from 5 minutes to at least 30 minutes. All but one study measured the blood pressure at a single visit. The one study using multiple visits measured blood pressure for all subjects daily for three days along with interviews about food frequency [</w:t>
      </w:r>
      <w:r w:rsidRPr="00000849">
        <w:rPr>
          <w:color w:val="535C96"/>
          <w:u w:val="single" w:color="535C96"/>
        </w:rPr>
        <w:t>65</w:t>
      </w:r>
      <w:r w:rsidRPr="00000849">
        <w:t>]. The frequency of measurements at a visit ranged from one to four. Of the 23 studies reporting which blood pressure measurements were used in the analysis, 11 (47.8%) reported using the mean of the last two of three readings while one used the median of three readings. Five studies reported analysing the mean of the two recorded blood pressures.</w:t>
      </w:r>
    </w:p>
    <w:p w14:paraId="386430FB" w14:textId="1B04A498" w:rsidR="00B00ED8" w:rsidRPr="00000849" w:rsidRDefault="00B00ED8" w:rsidP="008B3C61">
      <w:pPr>
        <w:spacing w:after="317"/>
        <w:ind w:right="16" w:firstLine="239"/>
        <w:jc w:val="both"/>
      </w:pPr>
      <w:r w:rsidRPr="00000849">
        <w:t>Except for three studies which measured the blood pressure in the supine position, all the studies had their subjects seated upright. Blood pressures were mostly taken on the arm but were taken on the wrist in two studies [</w:t>
      </w:r>
      <w:r w:rsidRPr="00000849">
        <w:rPr>
          <w:color w:val="535C96"/>
          <w:u w:val="single" w:color="535C96"/>
        </w:rPr>
        <w:t>59</w:t>
      </w:r>
      <w:r w:rsidRPr="00000849">
        <w:t xml:space="preserve">, </w:t>
      </w:r>
      <w:r w:rsidRPr="00000849">
        <w:rPr>
          <w:color w:val="535C96"/>
          <w:u w:val="single" w:color="535C96"/>
        </w:rPr>
        <w:t>71</w:t>
      </w:r>
      <w:r w:rsidRPr="00000849">
        <w:t>] or on either the either the arm or wrist in one study [</w:t>
      </w:r>
      <w:r w:rsidRPr="00000849">
        <w:rPr>
          <w:color w:val="535C96"/>
          <w:u w:val="single" w:color="535C96"/>
        </w:rPr>
        <w:t>67</w:t>
      </w:r>
      <w:r w:rsidRPr="00000849">
        <w:t>]. Majority of studies measured the blood pressure on right arm although three studies measured it on either arm [</w:t>
      </w:r>
      <w:r w:rsidRPr="00000849">
        <w:rPr>
          <w:color w:val="535C96"/>
          <w:u w:val="single" w:color="535C96"/>
        </w:rPr>
        <w:t>55</w:t>
      </w:r>
      <w:r w:rsidRPr="00000849">
        <w:t>] or on both arms [</w:t>
      </w:r>
      <w:r w:rsidRPr="00000849">
        <w:rPr>
          <w:color w:val="535C96"/>
          <w:u w:val="single" w:color="535C96"/>
        </w:rPr>
        <w:t>48</w:t>
      </w:r>
      <w:r w:rsidRPr="00000849">
        <w:t xml:space="preserve">, </w:t>
      </w:r>
      <w:r w:rsidRPr="00000849">
        <w:rPr>
          <w:color w:val="535C96"/>
          <w:u w:val="single" w:color="535C96"/>
        </w:rPr>
        <w:t>68</w:t>
      </w:r>
      <w:r w:rsidRPr="00000849">
        <w:t xml:space="preserve">]. Electronic automated blood pressure monitors were mostly used although a few studies used the standard mercury sphygmomanometer. Those taking the blood pressure measurements also varied from </w:t>
      </w:r>
      <w:r w:rsidR="006942E5" w:rsidRPr="00000849">
        <w:t>well-trained</w:t>
      </w:r>
      <w:r w:rsidRPr="00000849">
        <w:t xml:space="preserve"> professional doctors to non-medical workers.</w:t>
      </w:r>
    </w:p>
    <w:p w14:paraId="76B7E8BE" w14:textId="77777777" w:rsidR="00B00ED8" w:rsidRPr="00000849" w:rsidRDefault="00B00ED8" w:rsidP="008B3C61">
      <w:pPr>
        <w:jc w:val="both"/>
        <w:rPr>
          <w:b/>
          <w:bCs/>
          <w:color w:val="0070C0"/>
          <w:sz w:val="24"/>
          <w:szCs w:val="24"/>
        </w:rPr>
      </w:pPr>
      <w:r w:rsidRPr="00000849">
        <w:rPr>
          <w:b/>
          <w:bCs/>
          <w:color w:val="0070C0"/>
          <w:sz w:val="24"/>
          <w:szCs w:val="24"/>
        </w:rPr>
        <w:t>Prevalence of hypertension</w:t>
      </w:r>
    </w:p>
    <w:p w14:paraId="71FD52C6" w14:textId="03D64CCA" w:rsidR="004F1933" w:rsidRPr="00000849" w:rsidRDefault="00B00ED8" w:rsidP="00143B7E">
      <w:pPr>
        <w:spacing w:after="3" w:line="289" w:lineRule="auto"/>
        <w:ind w:right="16" w:hanging="10"/>
        <w:jc w:val="both"/>
      </w:pPr>
      <w:r w:rsidRPr="00000849">
        <w:t>The prevalence of hypertension ranged from 22.3% in community-based elderly residents in the Yoruba-speaking areas of Nigeria [</w:t>
      </w:r>
      <w:r w:rsidRPr="00000849">
        <w:rPr>
          <w:color w:val="535C96"/>
          <w:u w:val="single" w:color="535C96"/>
        </w:rPr>
        <w:t>56</w:t>
      </w:r>
      <w:r w:rsidRPr="00000849">
        <w:t>] to 90.0% among elderly residents in Umlazi township in South Africa [</w:t>
      </w:r>
      <w:r w:rsidRPr="00000849">
        <w:rPr>
          <w:color w:val="535C96"/>
          <w:u w:val="single" w:color="535C96"/>
        </w:rPr>
        <w:t>60</w:t>
      </w:r>
      <w:r w:rsidRPr="00000849">
        <w:t xml:space="preserve">, </w:t>
      </w:r>
      <w:r w:rsidRPr="00000849">
        <w:rPr>
          <w:color w:val="535C96"/>
          <w:u w:val="single" w:color="535C96"/>
        </w:rPr>
        <w:t>74</w:t>
      </w:r>
      <w:r w:rsidRPr="00000849">
        <w:t xml:space="preserve">]. A combined total of 23,508 (57.2%) participants across the studies who had their blood pressure measured or who were on anti-hypertensive </w:t>
      </w:r>
      <w:r w:rsidR="008B3C61" w:rsidRPr="00000849">
        <w:t xml:space="preserve">medication </w:t>
      </w:r>
    </w:p>
    <w:p w14:paraId="0868BFE1" w14:textId="6E5946C8" w:rsidR="00B00ED8" w:rsidRPr="00000849" w:rsidRDefault="00B00ED8" w:rsidP="00A617B9">
      <w:pPr>
        <w:spacing w:after="3" w:line="289" w:lineRule="auto"/>
        <w:ind w:right="16" w:hanging="10"/>
      </w:pPr>
      <w:r w:rsidRPr="00000849">
        <w:br w:type="page"/>
      </w:r>
    </w:p>
    <w:p w14:paraId="3595E225" w14:textId="77777777" w:rsidR="00B00ED8" w:rsidRPr="00000849" w:rsidRDefault="00B00ED8" w:rsidP="00B00ED8">
      <w:pPr>
        <w:spacing w:after="0" w:line="259" w:lineRule="auto"/>
        <w:ind w:right="2050"/>
      </w:pPr>
      <w:r w:rsidRPr="00000849">
        <w:rPr>
          <w:noProof/>
        </w:rPr>
        <w:lastRenderedPageBreak/>
        <w:drawing>
          <wp:inline distT="0" distB="0" distL="0" distR="0" wp14:anchorId="6D59B8D3" wp14:editId="5088152C">
            <wp:extent cx="5760720" cy="738119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60720" cy="7381191"/>
                    </a:xfrm>
                    <a:prstGeom prst="rect">
                      <a:avLst/>
                    </a:prstGeom>
                    <a:noFill/>
                    <a:ln>
                      <a:noFill/>
                    </a:ln>
                  </pic:spPr>
                </pic:pic>
              </a:graphicData>
            </a:graphic>
          </wp:inline>
        </w:drawing>
      </w:r>
    </w:p>
    <w:p w14:paraId="52118340" w14:textId="77777777" w:rsidR="00B00ED8" w:rsidRPr="00000849" w:rsidRDefault="00B00ED8" w:rsidP="00B00ED8">
      <w:pPr>
        <w:spacing w:after="0" w:line="259" w:lineRule="auto"/>
        <w:ind w:right="2050"/>
      </w:pPr>
      <w:r w:rsidRPr="00000849">
        <w:rPr>
          <w:noProof/>
        </w:rPr>
        <w:lastRenderedPageBreak/>
        <w:drawing>
          <wp:inline distT="0" distB="0" distL="0" distR="0" wp14:anchorId="77774007" wp14:editId="6A517706">
            <wp:extent cx="5212080" cy="6678219"/>
            <wp:effectExtent l="0" t="0" r="762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12080" cy="6678219"/>
                    </a:xfrm>
                    <a:prstGeom prst="rect">
                      <a:avLst/>
                    </a:prstGeom>
                    <a:noFill/>
                    <a:ln>
                      <a:noFill/>
                    </a:ln>
                  </pic:spPr>
                </pic:pic>
              </a:graphicData>
            </a:graphic>
          </wp:inline>
        </w:drawing>
      </w:r>
      <w:r w:rsidRPr="00000849">
        <w:br w:type="page"/>
      </w:r>
    </w:p>
    <w:p w14:paraId="04E517FA" w14:textId="77777777" w:rsidR="00B00ED8" w:rsidRPr="00000849" w:rsidRDefault="00B00ED8" w:rsidP="00A617B9">
      <w:pPr>
        <w:spacing w:after="124" w:line="259" w:lineRule="auto"/>
      </w:pPr>
      <w:r w:rsidRPr="00000849">
        <w:rPr>
          <w:noProof/>
        </w:rPr>
        <w:lastRenderedPageBreak/>
        <mc:AlternateContent>
          <mc:Choice Requires="wpg">
            <w:drawing>
              <wp:inline distT="0" distB="0" distL="0" distR="0" wp14:anchorId="1AD639C1" wp14:editId="27727230">
                <wp:extent cx="4775200" cy="4162793"/>
                <wp:effectExtent l="0" t="0" r="0" b="0"/>
                <wp:docPr id="128831" name="Group 128831"/>
                <wp:cNvGraphicFramePr/>
                <a:graphic xmlns:a="http://schemas.openxmlformats.org/drawingml/2006/main">
                  <a:graphicData uri="http://schemas.microsoft.com/office/word/2010/wordprocessingGroup">
                    <wpg:wgp>
                      <wpg:cNvGrpSpPr/>
                      <wpg:grpSpPr>
                        <a:xfrm>
                          <a:off x="0" y="0"/>
                          <a:ext cx="4775200" cy="4162793"/>
                          <a:chOff x="0" y="0"/>
                          <a:chExt cx="4775200" cy="4162793"/>
                        </a:xfrm>
                      </wpg:grpSpPr>
                      <wps:wsp>
                        <wps:cNvPr id="143309" name="Shape 143309"/>
                        <wps:cNvSpPr/>
                        <wps:spPr>
                          <a:xfrm>
                            <a:off x="0" y="4156443"/>
                            <a:ext cx="4775200" cy="9144"/>
                          </a:xfrm>
                          <a:custGeom>
                            <a:avLst/>
                            <a:gdLst/>
                            <a:ahLst/>
                            <a:cxnLst/>
                            <a:rect l="0" t="0" r="0" b="0"/>
                            <a:pathLst>
                              <a:path w="4775200" h="9144">
                                <a:moveTo>
                                  <a:pt x="0" y="0"/>
                                </a:moveTo>
                                <a:lnTo>
                                  <a:pt x="4775200" y="0"/>
                                </a:lnTo>
                                <a:lnTo>
                                  <a:pt x="4775200" y="9144"/>
                                </a:lnTo>
                                <a:lnTo>
                                  <a:pt x="0" y="9144"/>
                                </a:lnTo>
                                <a:lnTo>
                                  <a:pt x="0" y="0"/>
                                </a:lnTo>
                              </a:path>
                            </a:pathLst>
                          </a:custGeom>
                          <a:ln w="0" cap="rnd">
                            <a:round/>
                          </a:ln>
                        </wps:spPr>
                        <wps:style>
                          <a:lnRef idx="0">
                            <a:srgbClr val="000000">
                              <a:alpha val="0"/>
                            </a:srgbClr>
                          </a:lnRef>
                          <a:fillRef idx="1">
                            <a:srgbClr val="99918C"/>
                          </a:fillRef>
                          <a:effectRef idx="0">
                            <a:scrgbClr r="0" g="0" b="0"/>
                          </a:effectRef>
                          <a:fontRef idx="none"/>
                        </wps:style>
                        <wps:bodyPr/>
                      </wps:wsp>
                      <pic:pic xmlns:pic="http://schemas.openxmlformats.org/drawingml/2006/picture">
                        <pic:nvPicPr>
                          <pic:cNvPr id="10300" name="Picture 10300"/>
                          <pic:cNvPicPr/>
                        </pic:nvPicPr>
                        <pic:blipFill>
                          <a:blip r:embed="rId153"/>
                          <a:stretch>
                            <a:fillRect/>
                          </a:stretch>
                        </pic:blipFill>
                        <pic:spPr>
                          <a:xfrm>
                            <a:off x="165" y="0"/>
                            <a:ext cx="3657600" cy="3947046"/>
                          </a:xfrm>
                          <a:prstGeom prst="rect">
                            <a:avLst/>
                          </a:prstGeom>
                        </pic:spPr>
                      </pic:pic>
                      <wps:wsp>
                        <wps:cNvPr id="10301" name="Rectangle 10301"/>
                        <wps:cNvSpPr/>
                        <wps:spPr>
                          <a:xfrm>
                            <a:off x="152" y="4045256"/>
                            <a:ext cx="178637" cy="121613"/>
                          </a:xfrm>
                          <a:prstGeom prst="rect">
                            <a:avLst/>
                          </a:prstGeom>
                          <a:ln>
                            <a:noFill/>
                          </a:ln>
                        </wps:spPr>
                        <wps:txbx>
                          <w:txbxContent>
                            <w:p w14:paraId="1399D63F" w14:textId="77777777" w:rsidR="00AC2BE6" w:rsidRDefault="00AC2BE6" w:rsidP="00B00ED8">
                              <w:pPr>
                                <w:spacing w:after="160" w:line="259" w:lineRule="auto"/>
                              </w:pPr>
                              <w:r>
                                <w:rPr>
                                  <w:b/>
                                  <w:spacing w:val="-1"/>
                                  <w:w w:val="115"/>
                                  <w:sz w:val="16"/>
                                </w:rPr>
                                <w:t>Fig</w:t>
                              </w:r>
                            </w:p>
                          </w:txbxContent>
                        </wps:txbx>
                        <wps:bodyPr horzOverflow="overflow" vert="horz" lIns="0" tIns="0" rIns="0" bIns="0" rtlCol="0">
                          <a:noAutofit/>
                        </wps:bodyPr>
                      </wps:wsp>
                      <wps:wsp>
                        <wps:cNvPr id="10302" name="Rectangle 10302"/>
                        <wps:cNvSpPr/>
                        <wps:spPr>
                          <a:xfrm>
                            <a:off x="155670" y="4045256"/>
                            <a:ext cx="100669" cy="121613"/>
                          </a:xfrm>
                          <a:prstGeom prst="rect">
                            <a:avLst/>
                          </a:prstGeom>
                          <a:ln>
                            <a:noFill/>
                          </a:ln>
                        </wps:spPr>
                        <wps:txbx>
                          <w:txbxContent>
                            <w:p w14:paraId="5CE2F458" w14:textId="77777777" w:rsidR="00AC2BE6" w:rsidRDefault="00AC2BE6" w:rsidP="00B00ED8">
                              <w:pPr>
                                <w:spacing w:after="160" w:line="259" w:lineRule="auto"/>
                              </w:pPr>
                              <w:r>
                                <w:rPr>
                                  <w:b/>
                                  <w:spacing w:val="-1"/>
                                  <w:w w:val="99"/>
                                  <w:sz w:val="16"/>
                                </w:rPr>
                                <w:t>2.</w:t>
                              </w:r>
                            </w:p>
                          </w:txbxContent>
                        </wps:txbx>
                        <wps:bodyPr horzOverflow="overflow" vert="horz" lIns="0" tIns="0" rIns="0" bIns="0" rtlCol="0">
                          <a:noAutofit/>
                        </wps:bodyPr>
                      </wps:wsp>
                      <wps:wsp>
                        <wps:cNvPr id="10303" name="Rectangle 10303"/>
                        <wps:cNvSpPr/>
                        <wps:spPr>
                          <a:xfrm>
                            <a:off x="264390" y="4045256"/>
                            <a:ext cx="605636" cy="121613"/>
                          </a:xfrm>
                          <a:prstGeom prst="rect">
                            <a:avLst/>
                          </a:prstGeom>
                          <a:ln>
                            <a:noFill/>
                          </a:ln>
                        </wps:spPr>
                        <wps:txbx>
                          <w:txbxContent>
                            <w:p w14:paraId="59C28A91" w14:textId="77777777" w:rsidR="00AC2BE6" w:rsidRDefault="00AC2BE6" w:rsidP="00B00ED8">
                              <w:pPr>
                                <w:spacing w:after="160" w:line="259" w:lineRule="auto"/>
                              </w:pPr>
                              <w:r>
                                <w:rPr>
                                  <w:b/>
                                  <w:spacing w:val="-1"/>
                                  <w:w w:val="101"/>
                                  <w:sz w:val="16"/>
                                </w:rPr>
                                <w:t>Prevalence</w:t>
                              </w:r>
                            </w:p>
                          </w:txbxContent>
                        </wps:txbx>
                        <wps:bodyPr horzOverflow="overflow" vert="horz" lIns="0" tIns="0" rIns="0" bIns="0" rtlCol="0">
                          <a:noAutofit/>
                        </wps:bodyPr>
                      </wps:wsp>
                      <wps:wsp>
                        <wps:cNvPr id="10304" name="Rectangle 10304"/>
                        <wps:cNvSpPr/>
                        <wps:spPr>
                          <a:xfrm>
                            <a:off x="741020" y="4045256"/>
                            <a:ext cx="525912" cy="121613"/>
                          </a:xfrm>
                          <a:prstGeom prst="rect">
                            <a:avLst/>
                          </a:prstGeom>
                          <a:ln>
                            <a:noFill/>
                          </a:ln>
                        </wps:spPr>
                        <wps:txbx>
                          <w:txbxContent>
                            <w:p w14:paraId="2BA430F5" w14:textId="77777777" w:rsidR="00AC2BE6" w:rsidRDefault="00AC2BE6" w:rsidP="00B00ED8">
                              <w:pPr>
                                <w:spacing w:after="160" w:line="259" w:lineRule="auto"/>
                              </w:pPr>
                              <w:r>
                                <w:rPr>
                                  <w:b/>
                                  <w:spacing w:val="-1"/>
                                  <w:w w:val="99"/>
                                  <w:sz w:val="16"/>
                                </w:rPr>
                                <w:t>estimates</w:t>
                              </w:r>
                            </w:p>
                          </w:txbxContent>
                        </wps:txbx>
                        <wps:bodyPr horzOverflow="overflow" vert="horz" lIns="0" tIns="0" rIns="0" bIns="0" rtlCol="0">
                          <a:noAutofit/>
                        </wps:bodyPr>
                      </wps:wsp>
                      <wps:wsp>
                        <wps:cNvPr id="10305" name="Rectangle 10305"/>
                        <wps:cNvSpPr/>
                        <wps:spPr>
                          <a:xfrm>
                            <a:off x="1157179" y="4045256"/>
                            <a:ext cx="114587" cy="121613"/>
                          </a:xfrm>
                          <a:prstGeom prst="rect">
                            <a:avLst/>
                          </a:prstGeom>
                          <a:ln>
                            <a:noFill/>
                          </a:ln>
                        </wps:spPr>
                        <wps:txbx>
                          <w:txbxContent>
                            <w:p w14:paraId="222798CF" w14:textId="77777777" w:rsidR="00AC2BE6" w:rsidRDefault="00AC2BE6" w:rsidP="00B00ED8">
                              <w:pPr>
                                <w:spacing w:after="160" w:line="259" w:lineRule="auto"/>
                              </w:pPr>
                              <w:r>
                                <w:rPr>
                                  <w:b/>
                                  <w:spacing w:val="-1"/>
                                  <w:w w:val="103"/>
                                  <w:sz w:val="16"/>
                                </w:rPr>
                                <w:t>of</w:t>
                              </w:r>
                            </w:p>
                          </w:txbxContent>
                        </wps:txbx>
                        <wps:bodyPr horzOverflow="overflow" vert="horz" lIns="0" tIns="0" rIns="0" bIns="0" rtlCol="0">
                          <a:noAutofit/>
                        </wps:bodyPr>
                      </wps:wsp>
                      <wps:wsp>
                        <wps:cNvPr id="10306" name="Rectangle 10306"/>
                        <wps:cNvSpPr/>
                        <wps:spPr>
                          <a:xfrm>
                            <a:off x="1265179" y="4045256"/>
                            <a:ext cx="736371" cy="121613"/>
                          </a:xfrm>
                          <a:prstGeom prst="rect">
                            <a:avLst/>
                          </a:prstGeom>
                          <a:ln>
                            <a:noFill/>
                          </a:ln>
                        </wps:spPr>
                        <wps:txbx>
                          <w:txbxContent>
                            <w:p w14:paraId="6CB8023B" w14:textId="77777777" w:rsidR="00AC2BE6" w:rsidRDefault="00AC2BE6" w:rsidP="00B00ED8">
                              <w:pPr>
                                <w:spacing w:after="160" w:line="259" w:lineRule="auto"/>
                              </w:pPr>
                              <w:r>
                                <w:rPr>
                                  <w:b/>
                                  <w:spacing w:val="-1"/>
                                  <w:w w:val="102"/>
                                  <w:sz w:val="16"/>
                                </w:rPr>
                                <w:t>hypertension</w:t>
                              </w:r>
                            </w:p>
                          </w:txbxContent>
                        </wps:txbx>
                        <wps:bodyPr horzOverflow="overflow" vert="horz" lIns="0" tIns="0" rIns="0" bIns="0" rtlCol="0">
                          <a:noAutofit/>
                        </wps:bodyPr>
                      </wps:wsp>
                      <wps:wsp>
                        <wps:cNvPr id="10307" name="Rectangle 10307"/>
                        <wps:cNvSpPr/>
                        <wps:spPr>
                          <a:xfrm>
                            <a:off x="1840461" y="4045256"/>
                            <a:ext cx="134316" cy="121613"/>
                          </a:xfrm>
                          <a:prstGeom prst="rect">
                            <a:avLst/>
                          </a:prstGeom>
                          <a:ln>
                            <a:noFill/>
                          </a:ln>
                        </wps:spPr>
                        <wps:txbx>
                          <w:txbxContent>
                            <w:p w14:paraId="62B2DA3D" w14:textId="77777777" w:rsidR="00AC2BE6" w:rsidRDefault="00AC2BE6" w:rsidP="00B00ED8">
                              <w:pPr>
                                <w:spacing w:after="160" w:line="259" w:lineRule="auto"/>
                              </w:pPr>
                              <w:r>
                                <w:rPr>
                                  <w:b/>
                                  <w:spacing w:val="-1"/>
                                  <w:w w:val="103"/>
                                  <w:sz w:val="16"/>
                                </w:rPr>
                                <w:t>by</w:t>
                              </w:r>
                            </w:p>
                          </w:txbxContent>
                        </wps:txbx>
                        <wps:bodyPr horzOverflow="overflow" vert="horz" lIns="0" tIns="0" rIns="0" bIns="0" rtlCol="0">
                          <a:noAutofit/>
                        </wps:bodyPr>
                      </wps:wsp>
                      <wps:wsp>
                        <wps:cNvPr id="10308" name="Rectangle 10308"/>
                        <wps:cNvSpPr/>
                        <wps:spPr>
                          <a:xfrm>
                            <a:off x="1962857" y="4045256"/>
                            <a:ext cx="427675" cy="121613"/>
                          </a:xfrm>
                          <a:prstGeom prst="rect">
                            <a:avLst/>
                          </a:prstGeom>
                          <a:ln>
                            <a:noFill/>
                          </a:ln>
                        </wps:spPr>
                        <wps:txbx>
                          <w:txbxContent>
                            <w:p w14:paraId="6A5BA546" w14:textId="77777777" w:rsidR="00AC2BE6" w:rsidRDefault="00AC2BE6" w:rsidP="00B00ED8">
                              <w:pPr>
                                <w:spacing w:after="160" w:line="259" w:lineRule="auto"/>
                              </w:pPr>
                              <w:r>
                                <w:rPr>
                                  <w:b/>
                                  <w:spacing w:val="-1"/>
                                  <w:w w:val="111"/>
                                  <w:sz w:val="16"/>
                                </w:rPr>
                                <w:t>African</w:t>
                              </w:r>
                            </w:p>
                          </w:txbxContent>
                        </wps:txbx>
                        <wps:bodyPr horzOverflow="overflow" vert="horz" lIns="0" tIns="0" rIns="0" bIns="0" rtlCol="0">
                          <a:noAutofit/>
                        </wps:bodyPr>
                      </wps:wsp>
                      <wps:wsp>
                        <wps:cNvPr id="10309" name="Rectangle 10309"/>
                        <wps:cNvSpPr/>
                        <wps:spPr>
                          <a:xfrm>
                            <a:off x="2305580" y="4045256"/>
                            <a:ext cx="637256" cy="121613"/>
                          </a:xfrm>
                          <a:prstGeom prst="rect">
                            <a:avLst/>
                          </a:prstGeom>
                          <a:ln>
                            <a:noFill/>
                          </a:ln>
                        </wps:spPr>
                        <wps:txbx>
                          <w:txbxContent>
                            <w:p w14:paraId="33FB914C" w14:textId="77777777" w:rsidR="00AC2BE6" w:rsidRDefault="00AC2BE6" w:rsidP="00B00ED8">
                              <w:pPr>
                                <w:spacing w:after="160" w:line="259" w:lineRule="auto"/>
                              </w:pPr>
                              <w:r>
                                <w:rPr>
                                  <w:b/>
                                  <w:spacing w:val="-1"/>
                                  <w:w w:val="103"/>
                                  <w:sz w:val="16"/>
                                </w:rPr>
                                <w:t>sub-region.</w:t>
                              </w:r>
                            </w:p>
                          </w:txbxContent>
                        </wps:txbx>
                        <wps:bodyPr horzOverflow="overflow" vert="horz" lIns="0" tIns="0" rIns="0" bIns="0" rtlCol="0">
                          <a:noAutofit/>
                        </wps:bodyPr>
                      </wps:wsp>
                    </wpg:wgp>
                  </a:graphicData>
                </a:graphic>
              </wp:inline>
            </w:drawing>
          </mc:Choice>
          <mc:Fallback>
            <w:pict>
              <v:group w14:anchorId="1AD639C1" id="Group 128831" o:spid="_x0000_s1026" style="width:376pt;height:327.8pt;mso-position-horizontal-relative:char;mso-position-vertical-relative:line" coordsize="47752,416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">
                <v:shape id="Shape 143309" o:spid="_x0000_s1027" style="position:absolute;top:41564;width:47752;height:91;visibility:visible;mso-wrap-style:square;v-text-anchor:top" coordsize="47752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" path="m,l4775200,r,9144l,9144,,e" fillcolor="#99918c" stroked="f" strokeweight="0">
                  <v:stroke endcap="round"/>
                  <v:path arrowok="t" textboxrect="0,0,4775200,9144"/>
                </v:shape>
                <v:shape id="Picture 10300" o:spid="_x0000_s1028" type="#_x0000_t75" style="position:absolute;left:1;width:36576;height:39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">
                  <v:imagedata r:id="rId154" o:title=""/>
                </v:shape>
                <v:rect id="Rectangle 10301" o:spid="_x0000_s1029" style="position:absolute;left:1;top:40452;width:178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" filled="f" stroked="f">
                  <v:textbox inset="0,0,0,0">
                    <w:txbxContent>
                      <w:p w14:paraId="1399D63F" w14:textId="77777777" w:rsidR="00AC2BE6" w:rsidRDefault="00AC2BE6" w:rsidP="00B00ED8">
                        <w:pPr>
                          <w:spacing w:after="160" w:line="259" w:lineRule="auto"/>
                        </w:pPr>
                        <w:r>
                          <w:rPr>
                            <w:b/>
                            <w:spacing w:val="-1"/>
                            <w:w w:val="115"/>
                            <w:sz w:val="16"/>
                          </w:rPr>
                          <w:t>Fig</w:t>
                        </w:r>
                      </w:p>
                    </w:txbxContent>
                  </v:textbox>
                </v:rect>
                <v:rect id="Rectangle 10302" o:spid="_x0000_s1030" style="position:absolute;left:1556;top:40452;width:100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" filled="f" stroked="f">
                  <v:textbox inset="0,0,0,0">
                    <w:txbxContent>
                      <w:p w14:paraId="5CE2F458" w14:textId="77777777" w:rsidR="00AC2BE6" w:rsidRDefault="00AC2BE6" w:rsidP="00B00ED8">
                        <w:pPr>
                          <w:spacing w:after="160" w:line="259" w:lineRule="auto"/>
                        </w:pPr>
                        <w:r>
                          <w:rPr>
                            <w:b/>
                            <w:spacing w:val="-1"/>
                            <w:w w:val="99"/>
                            <w:sz w:val="16"/>
                          </w:rPr>
                          <w:t>2.</w:t>
                        </w:r>
                      </w:p>
                    </w:txbxContent>
                  </v:textbox>
                </v:rect>
                <v:rect id="Rectangle 10303" o:spid="_x0000_s1031" style="position:absolute;left:2643;top:40452;width:605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" filled="f" stroked="f">
                  <v:textbox inset="0,0,0,0">
                    <w:txbxContent>
                      <w:p w14:paraId="59C28A91" w14:textId="77777777" w:rsidR="00AC2BE6" w:rsidRDefault="00AC2BE6" w:rsidP="00B00ED8">
                        <w:pPr>
                          <w:spacing w:after="160" w:line="259" w:lineRule="auto"/>
                        </w:pPr>
                        <w:r>
                          <w:rPr>
                            <w:b/>
                            <w:spacing w:val="-1"/>
                            <w:w w:val="101"/>
                            <w:sz w:val="16"/>
                          </w:rPr>
                          <w:t>Prevalence</w:t>
                        </w:r>
                      </w:p>
                    </w:txbxContent>
                  </v:textbox>
                </v:rect>
                <v:rect id="Rectangle 10304" o:spid="_x0000_s1032" style="position:absolute;left:7410;top:40452;width:5259;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" filled="f" stroked="f">
                  <v:textbox inset="0,0,0,0">
                    <w:txbxContent>
                      <w:p w14:paraId="2BA430F5" w14:textId="77777777" w:rsidR="00AC2BE6" w:rsidRDefault="00AC2BE6" w:rsidP="00B00ED8">
                        <w:pPr>
                          <w:spacing w:after="160" w:line="259" w:lineRule="auto"/>
                        </w:pPr>
                        <w:r>
                          <w:rPr>
                            <w:b/>
                            <w:spacing w:val="-1"/>
                            <w:w w:val="99"/>
                            <w:sz w:val="16"/>
                          </w:rPr>
                          <w:t>estimates</w:t>
                        </w:r>
                      </w:p>
                    </w:txbxContent>
                  </v:textbox>
                </v:rect>
                <v:rect id="Rectangle 10305" o:spid="_x0000_s1033" style="position:absolute;left:11571;top:40452;width:114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" filled="f" stroked="f">
                  <v:textbox inset="0,0,0,0">
                    <w:txbxContent>
                      <w:p w14:paraId="222798CF" w14:textId="77777777" w:rsidR="00AC2BE6" w:rsidRDefault="00AC2BE6" w:rsidP="00B00ED8">
                        <w:pPr>
                          <w:spacing w:after="160" w:line="259" w:lineRule="auto"/>
                        </w:pPr>
                        <w:r>
                          <w:rPr>
                            <w:b/>
                            <w:spacing w:val="-1"/>
                            <w:w w:val="103"/>
                            <w:sz w:val="16"/>
                          </w:rPr>
                          <w:t>of</w:t>
                        </w:r>
                      </w:p>
                    </w:txbxContent>
                  </v:textbox>
                </v:rect>
                <v:rect id="Rectangle 10306" o:spid="_x0000_s1034" style="position:absolute;left:12651;top:40452;width:7364;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" filled="f" stroked="f">
                  <v:textbox inset="0,0,0,0">
                    <w:txbxContent>
                      <w:p w14:paraId="6CB8023B" w14:textId="77777777" w:rsidR="00AC2BE6" w:rsidRDefault="00AC2BE6" w:rsidP="00B00ED8">
                        <w:pPr>
                          <w:spacing w:after="160" w:line="259" w:lineRule="auto"/>
                        </w:pPr>
                        <w:r>
                          <w:rPr>
                            <w:b/>
                            <w:spacing w:val="-1"/>
                            <w:w w:val="102"/>
                            <w:sz w:val="16"/>
                          </w:rPr>
                          <w:t>hypertension</w:t>
                        </w:r>
                      </w:p>
                    </w:txbxContent>
                  </v:textbox>
                </v:rect>
                <v:rect id="Rectangle 10307" o:spid="_x0000_s1035" style="position:absolute;left:18404;top:40452;width:1343;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" filled="f" stroked="f">
                  <v:textbox inset="0,0,0,0">
                    <w:txbxContent>
                      <w:p w14:paraId="62B2DA3D" w14:textId="77777777" w:rsidR="00AC2BE6" w:rsidRDefault="00AC2BE6" w:rsidP="00B00ED8">
                        <w:pPr>
                          <w:spacing w:after="160" w:line="259" w:lineRule="auto"/>
                        </w:pPr>
                        <w:r>
                          <w:rPr>
                            <w:b/>
                            <w:spacing w:val="-1"/>
                            <w:w w:val="103"/>
                            <w:sz w:val="16"/>
                          </w:rPr>
                          <w:t>by</w:t>
                        </w:r>
                      </w:p>
                    </w:txbxContent>
                  </v:textbox>
                </v:rect>
                <v:rect id="Rectangle 10308" o:spid="_x0000_s1036" style="position:absolute;left:19628;top:40452;width:427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" filled="f" stroked="f">
                  <v:textbox inset="0,0,0,0">
                    <w:txbxContent>
                      <w:p w14:paraId="6A5BA546" w14:textId="77777777" w:rsidR="00AC2BE6" w:rsidRDefault="00AC2BE6" w:rsidP="00B00ED8">
                        <w:pPr>
                          <w:spacing w:after="160" w:line="259" w:lineRule="auto"/>
                        </w:pPr>
                        <w:r>
                          <w:rPr>
                            <w:b/>
                            <w:spacing w:val="-1"/>
                            <w:w w:val="111"/>
                            <w:sz w:val="16"/>
                          </w:rPr>
                          <w:t>African</w:t>
                        </w:r>
                      </w:p>
                    </w:txbxContent>
                  </v:textbox>
                </v:rect>
                <v:rect id="Rectangle 10309" o:spid="_x0000_s1037" style="position:absolute;left:23055;top:40452;width:6373;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" filled="f" stroked="f">
                  <v:textbox inset="0,0,0,0">
                    <w:txbxContent>
                      <w:p w14:paraId="33FB914C" w14:textId="77777777" w:rsidR="00AC2BE6" w:rsidRDefault="00AC2BE6" w:rsidP="00B00ED8">
                        <w:pPr>
                          <w:spacing w:after="160" w:line="259" w:lineRule="auto"/>
                        </w:pPr>
                        <w:r>
                          <w:rPr>
                            <w:b/>
                            <w:spacing w:val="-1"/>
                            <w:w w:val="103"/>
                            <w:sz w:val="16"/>
                          </w:rPr>
                          <w:t>sub-region.</w:t>
                        </w:r>
                      </w:p>
                    </w:txbxContent>
                  </v:textbox>
                </v:rect>
                <w10:anchorlock/>
              </v:group>
            </w:pict>
          </mc:Fallback>
        </mc:AlternateContent>
      </w:r>
    </w:p>
    <w:p w14:paraId="63D5909C" w14:textId="77777777" w:rsidR="00B00ED8" w:rsidRPr="00000849" w:rsidRDefault="00C84E75" w:rsidP="00A617B9">
      <w:pPr>
        <w:spacing w:after="244" w:line="265" w:lineRule="auto"/>
      </w:pPr>
      <w:hyperlink r:id="rId155">
        <w:r w:rsidR="00B00ED8" w:rsidRPr="00000849">
          <w:rPr>
            <w:rFonts w:ascii="Arial" w:eastAsia="Arial" w:hAnsi="Arial" w:cs="Arial"/>
            <w:color w:val="535C96"/>
            <w:sz w:val="16"/>
            <w:u w:val="single" w:color="535C96"/>
          </w:rPr>
          <w:t>https://doi.org/10.1371/journal.pone.0214934.g002</w:t>
        </w:r>
      </w:hyperlink>
    </w:p>
    <w:p w14:paraId="131992C2" w14:textId="4F4C83A0" w:rsidR="00B00ED8" w:rsidRPr="00000849" w:rsidRDefault="008B3C61" w:rsidP="00702C75">
      <w:pPr>
        <w:ind w:right="16"/>
        <w:jc w:val="both"/>
      </w:pPr>
      <w:r w:rsidRPr="00000849">
        <w:t xml:space="preserve">were reported to have hypertension. The overall pooled estimate across 37 data points from the random effects model was 57.0% (95% CI 52%-61%; </w:t>
      </w:r>
      <w:r w:rsidRPr="00000849">
        <w:rPr>
          <w:color w:val="535C96"/>
          <w:u w:val="single" w:color="535C96"/>
        </w:rPr>
        <w:t>Fig 2</w:t>
      </w:r>
      <w:r w:rsidRPr="00000849">
        <w:t xml:space="preserve">). It was not </w:t>
      </w:r>
      <w:r w:rsidR="00B00ED8" w:rsidRPr="00000849">
        <w:t>statistically significantly different between cross-sectional studies [56.0% (95% CI 51.0%-61.0%)] and follow-up studies [59.0% (51.0%-67.0%)].</w:t>
      </w:r>
    </w:p>
    <w:p w14:paraId="571FC709" w14:textId="77777777" w:rsidR="00B00ED8" w:rsidRPr="00000849" w:rsidRDefault="00B00ED8" w:rsidP="00702C75">
      <w:pPr>
        <w:ind w:right="16" w:firstLine="239"/>
        <w:jc w:val="both"/>
      </w:pPr>
      <w:r w:rsidRPr="00000849">
        <w:t>The pooled prevalence of hypertension of 78.0% (95% CI 77.0%-80.0%) in southern Africa was much higher than that in the other sub-regions of Africa where it ranged from 53% to 58% (</w:t>
      </w:r>
      <w:r w:rsidRPr="00000849">
        <w:rPr>
          <w:color w:val="535C96"/>
          <w:u w:val="single" w:color="535C96"/>
        </w:rPr>
        <w:t>Fig 2</w:t>
      </w:r>
      <w:r w:rsidRPr="00000849">
        <w:t xml:space="preserve">). The differences in the pooled prevalence of hypertension in the sub-regions other than southern Africa were not statistically significant. In terms of geolocality, the pooled prevalence of hypertension in urban residents was slightly higher than in rural populations but the difference was not statistically significant [57.0% (95% CI 52.0%-61.0%) versus 56.0% (95% 41.0%70.0%); </w:t>
      </w:r>
      <w:r w:rsidRPr="00000849">
        <w:rPr>
          <w:color w:val="535C96"/>
          <w:u w:val="single" w:color="535C96"/>
        </w:rPr>
        <w:t>Fig 3</w:t>
      </w:r>
      <w:r w:rsidRPr="00000849">
        <w:t>]. Five of the nine studies in rural populations involved subjects aged 70 years and older. In the studies involving residents from both rural and urban areas, the pooled prevalence was 53.0% (95% CI 48.0%-59.0%).</w:t>
      </w:r>
    </w:p>
    <w:p w14:paraId="792384B3" w14:textId="77777777" w:rsidR="00B00ED8" w:rsidRPr="00000849" w:rsidRDefault="00B00ED8" w:rsidP="00702C75">
      <w:pPr>
        <w:ind w:right="16" w:firstLine="239"/>
        <w:jc w:val="both"/>
      </w:pPr>
      <w:r w:rsidRPr="00000849">
        <w:t xml:space="preserve">The overall pooled estimate from 13 studies reporting sex-specific prevalence of hypertension was 55.0% (95% CI 46.0%-63.0%) among males and 56.0% (95% CI 45.0%-67.0%) among females (Figs </w:t>
      </w:r>
      <w:r w:rsidRPr="00000849">
        <w:rPr>
          <w:color w:val="535C96"/>
          <w:u w:val="single" w:color="535C96"/>
        </w:rPr>
        <w:t xml:space="preserve">4 </w:t>
      </w:r>
      <w:r w:rsidRPr="00000849">
        <w:t xml:space="preserve">and </w:t>
      </w:r>
      <w:r w:rsidRPr="00000849">
        <w:rPr>
          <w:color w:val="535C96"/>
          <w:u w:val="single" w:color="535C96"/>
        </w:rPr>
        <w:t>5</w:t>
      </w:r>
      <w:r w:rsidRPr="00000849">
        <w:t>). In eight studies, the prevalence of hypertension was higher in females than in males [</w:t>
      </w:r>
      <w:r w:rsidRPr="00000849">
        <w:rPr>
          <w:color w:val="535C96"/>
          <w:u w:val="single" w:color="535C96"/>
        </w:rPr>
        <w:t>43</w:t>
      </w:r>
      <w:r w:rsidRPr="00000849">
        <w:t xml:space="preserve">, </w:t>
      </w:r>
      <w:r w:rsidRPr="00000849">
        <w:rPr>
          <w:color w:val="535C96"/>
          <w:u w:val="single" w:color="535C96"/>
        </w:rPr>
        <w:t>49</w:t>
      </w:r>
      <w:r w:rsidRPr="00000849">
        <w:t xml:space="preserve">, </w:t>
      </w:r>
      <w:r w:rsidRPr="00000849">
        <w:rPr>
          <w:color w:val="535C96"/>
          <w:u w:val="single" w:color="535C96"/>
        </w:rPr>
        <w:t>50</w:t>
      </w:r>
      <w:r w:rsidRPr="00000849">
        <w:t xml:space="preserve">, </w:t>
      </w:r>
      <w:r w:rsidRPr="00000849">
        <w:rPr>
          <w:color w:val="535C96"/>
          <w:u w:val="single" w:color="535C96"/>
        </w:rPr>
        <w:t>57</w:t>
      </w:r>
      <w:r w:rsidRPr="00000849">
        <w:t xml:space="preserve">, </w:t>
      </w:r>
      <w:r w:rsidRPr="00000849">
        <w:rPr>
          <w:color w:val="535C96"/>
          <w:u w:val="single" w:color="535C96"/>
        </w:rPr>
        <w:t>61</w:t>
      </w:r>
      <w:r w:rsidRPr="00000849">
        <w:t xml:space="preserve">, </w:t>
      </w:r>
      <w:r w:rsidRPr="00000849">
        <w:rPr>
          <w:color w:val="535C96"/>
          <w:u w:val="single" w:color="535C96"/>
        </w:rPr>
        <w:t>67</w:t>
      </w:r>
      <w:r w:rsidRPr="00000849">
        <w:t xml:space="preserve">, </w:t>
      </w:r>
      <w:r w:rsidRPr="00000849">
        <w:rPr>
          <w:color w:val="535C96"/>
          <w:u w:val="single" w:color="535C96"/>
        </w:rPr>
        <w:t>70</w:t>
      </w:r>
      <w:r w:rsidRPr="00000849">
        <w:t xml:space="preserve">, </w:t>
      </w:r>
      <w:r w:rsidRPr="00000849">
        <w:rPr>
          <w:color w:val="535C96"/>
          <w:u w:val="single" w:color="535C96"/>
        </w:rPr>
        <w:t>71</w:t>
      </w:r>
      <w:r w:rsidRPr="00000849">
        <w:t>] while in the other five, it was higher in males (</w:t>
      </w:r>
      <w:r w:rsidRPr="00000849">
        <w:rPr>
          <w:color w:val="535C96"/>
          <w:u w:val="single" w:color="535C96"/>
        </w:rPr>
        <w:t>Table 1</w:t>
      </w:r>
      <w:r w:rsidRPr="00000849">
        <w:t>) [</w:t>
      </w:r>
      <w:r w:rsidRPr="00000849">
        <w:rPr>
          <w:color w:val="535C96"/>
          <w:u w:val="single" w:color="535C96"/>
        </w:rPr>
        <w:t>52</w:t>
      </w:r>
      <w:r w:rsidRPr="00000849">
        <w:t xml:space="preserve">, </w:t>
      </w:r>
      <w:r w:rsidRPr="00000849">
        <w:rPr>
          <w:color w:val="535C96"/>
          <w:u w:val="single" w:color="535C96"/>
        </w:rPr>
        <w:t>55</w:t>
      </w:r>
      <w:r w:rsidRPr="00000849">
        <w:t xml:space="preserve">, </w:t>
      </w:r>
      <w:r w:rsidRPr="00000849">
        <w:rPr>
          <w:color w:val="535C96"/>
          <w:u w:val="single" w:color="535C96"/>
        </w:rPr>
        <w:t>59</w:t>
      </w:r>
      <w:r w:rsidRPr="00000849">
        <w:t xml:space="preserve">, </w:t>
      </w:r>
      <w:r w:rsidRPr="00000849">
        <w:rPr>
          <w:color w:val="535C96"/>
          <w:u w:val="single" w:color="535C96"/>
        </w:rPr>
        <w:t>65</w:t>
      </w:r>
      <w:r w:rsidRPr="00000849">
        <w:t xml:space="preserve">, </w:t>
      </w:r>
      <w:r w:rsidRPr="00000849">
        <w:rPr>
          <w:color w:val="535C96"/>
          <w:u w:val="single" w:color="535C96"/>
        </w:rPr>
        <w:t>72</w:t>
      </w:r>
      <w:r w:rsidRPr="00000849">
        <w:t>].</w:t>
      </w:r>
    </w:p>
    <w:p w14:paraId="62A6BE76" w14:textId="77777777" w:rsidR="00B00ED8" w:rsidRPr="00000849" w:rsidRDefault="00B00ED8" w:rsidP="00702C75">
      <w:pPr>
        <w:ind w:right="16" w:firstLine="229"/>
        <w:jc w:val="both"/>
      </w:pPr>
      <w:r w:rsidRPr="00000849">
        <w:t>The prevalence of hypertension increased with age. Twenty-six data contributions reported the age distribution of the older subjects (</w:t>
      </w:r>
      <w:r w:rsidRPr="00000849">
        <w:rPr>
          <w:color w:val="535C96"/>
          <w:u w:val="single" w:color="535C96"/>
        </w:rPr>
        <w:t>S1 Fig</w:t>
      </w:r>
      <w:r w:rsidRPr="00000849">
        <w:t xml:space="preserve">). In 14 of them, less than half of the subjects </w:t>
      </w:r>
      <w:r w:rsidRPr="00000849">
        <w:lastRenderedPageBreak/>
        <w:t>were aged 70 years and older. In the other twelve, this age group constituted at least half of the sample. The pooled prevalence of hypertension of the younger sample from the random effects model was 53.0% (95% CI 45.0%-61.0%) while that of the older sample as 61.0% (95% CI 54.0%-68.0%). In the third category in which the age distribution with respect to those aged 70 years and older was unknown, the summary prevalence was 57.0% (95% CI 52.0%-61.0%).</w:t>
      </w:r>
    </w:p>
    <w:p w14:paraId="31E5A363" w14:textId="77777777" w:rsidR="00B00ED8" w:rsidRPr="00000849" w:rsidRDefault="00B00ED8" w:rsidP="00702C75">
      <w:pPr>
        <w:spacing w:after="0" w:line="259" w:lineRule="auto"/>
        <w:ind w:right="185"/>
        <w:jc w:val="both"/>
      </w:pPr>
    </w:p>
    <w:p w14:paraId="51B9E3BB" w14:textId="77777777" w:rsidR="00B00ED8" w:rsidRPr="00000849" w:rsidRDefault="00B00ED8" w:rsidP="00702C75">
      <w:pPr>
        <w:spacing w:after="125" w:line="259" w:lineRule="auto"/>
        <w:jc w:val="both"/>
      </w:pPr>
      <w:r w:rsidRPr="00000849">
        <w:rPr>
          <w:noProof/>
        </w:rPr>
        <mc:AlternateContent>
          <mc:Choice Requires="wpg">
            <w:drawing>
              <wp:inline distT="0" distB="0" distL="0" distR="0" wp14:anchorId="6C936371" wp14:editId="6D5AD53E">
                <wp:extent cx="4775200" cy="3958730"/>
                <wp:effectExtent l="0" t="0" r="0" b="0"/>
                <wp:docPr id="106063" name="Group 106063"/>
                <wp:cNvGraphicFramePr/>
                <a:graphic xmlns:a="http://schemas.openxmlformats.org/drawingml/2006/main">
                  <a:graphicData uri="http://schemas.microsoft.com/office/word/2010/wordprocessingGroup">
                    <wpg:wgp>
                      <wpg:cNvGrpSpPr/>
                      <wpg:grpSpPr>
                        <a:xfrm>
                          <a:off x="0" y="0"/>
                          <a:ext cx="4775200" cy="3958730"/>
                          <a:chOff x="0" y="0"/>
                          <a:chExt cx="4775200" cy="3958730"/>
                        </a:xfrm>
                      </wpg:grpSpPr>
                      <wps:wsp>
                        <wps:cNvPr id="143347" name="Shape 143347"/>
                        <wps:cNvSpPr/>
                        <wps:spPr>
                          <a:xfrm>
                            <a:off x="0" y="3952380"/>
                            <a:ext cx="4775200" cy="9144"/>
                          </a:xfrm>
                          <a:custGeom>
                            <a:avLst/>
                            <a:gdLst/>
                            <a:ahLst/>
                            <a:cxnLst/>
                            <a:rect l="0" t="0" r="0" b="0"/>
                            <a:pathLst>
                              <a:path w="4775200" h="9144">
                                <a:moveTo>
                                  <a:pt x="0" y="0"/>
                                </a:moveTo>
                                <a:lnTo>
                                  <a:pt x="4775200" y="0"/>
                                </a:lnTo>
                                <a:lnTo>
                                  <a:pt x="4775200" y="9144"/>
                                </a:lnTo>
                                <a:lnTo>
                                  <a:pt x="0" y="9144"/>
                                </a:lnTo>
                                <a:lnTo>
                                  <a:pt x="0" y="0"/>
                                </a:lnTo>
                              </a:path>
                            </a:pathLst>
                          </a:custGeom>
                          <a:ln w="0" cap="flat">
                            <a:miter lim="127000"/>
                          </a:ln>
                        </wps:spPr>
                        <wps:style>
                          <a:lnRef idx="0">
                            <a:srgbClr val="000000">
                              <a:alpha val="0"/>
                            </a:srgbClr>
                          </a:lnRef>
                          <a:fillRef idx="1">
                            <a:srgbClr val="99918C"/>
                          </a:fillRef>
                          <a:effectRef idx="0">
                            <a:scrgbClr r="0" g="0" b="0"/>
                          </a:effectRef>
                          <a:fontRef idx="none"/>
                        </wps:style>
                        <wps:bodyPr/>
                      </wps:wsp>
                      <pic:pic xmlns:pic="http://schemas.openxmlformats.org/drawingml/2006/picture">
                        <pic:nvPicPr>
                          <pic:cNvPr id="10412" name="Picture 10412"/>
                          <pic:cNvPicPr/>
                        </pic:nvPicPr>
                        <pic:blipFill>
                          <a:blip r:embed="rId156"/>
                          <a:stretch>
                            <a:fillRect/>
                          </a:stretch>
                        </pic:blipFill>
                        <pic:spPr>
                          <a:xfrm>
                            <a:off x="165" y="0"/>
                            <a:ext cx="3657600" cy="3742563"/>
                          </a:xfrm>
                          <a:prstGeom prst="rect">
                            <a:avLst/>
                          </a:prstGeom>
                        </pic:spPr>
                      </pic:pic>
                      <wps:wsp>
                        <wps:cNvPr id="10413" name="Rectangle 10413"/>
                        <wps:cNvSpPr/>
                        <wps:spPr>
                          <a:xfrm>
                            <a:off x="152" y="3840773"/>
                            <a:ext cx="178637" cy="121613"/>
                          </a:xfrm>
                          <a:prstGeom prst="rect">
                            <a:avLst/>
                          </a:prstGeom>
                          <a:ln>
                            <a:noFill/>
                          </a:ln>
                        </wps:spPr>
                        <wps:txbx>
                          <w:txbxContent>
                            <w:p w14:paraId="42D46EBF" w14:textId="77777777" w:rsidR="00AC2BE6" w:rsidRDefault="00AC2BE6" w:rsidP="00B00ED8">
                              <w:pPr>
                                <w:spacing w:after="160" w:line="259" w:lineRule="auto"/>
                              </w:pPr>
                              <w:r>
                                <w:rPr>
                                  <w:b/>
                                  <w:spacing w:val="-1"/>
                                  <w:w w:val="115"/>
                                  <w:sz w:val="16"/>
                                </w:rPr>
                                <w:t>Fig</w:t>
                              </w:r>
                            </w:p>
                          </w:txbxContent>
                        </wps:txbx>
                        <wps:bodyPr horzOverflow="overflow" vert="horz" lIns="0" tIns="0" rIns="0" bIns="0" rtlCol="0">
                          <a:noAutofit/>
                        </wps:bodyPr>
                      </wps:wsp>
                      <wps:wsp>
                        <wps:cNvPr id="10414" name="Rectangle 10414"/>
                        <wps:cNvSpPr/>
                        <wps:spPr>
                          <a:xfrm>
                            <a:off x="155670" y="3840773"/>
                            <a:ext cx="100669" cy="121613"/>
                          </a:xfrm>
                          <a:prstGeom prst="rect">
                            <a:avLst/>
                          </a:prstGeom>
                          <a:ln>
                            <a:noFill/>
                          </a:ln>
                        </wps:spPr>
                        <wps:txbx>
                          <w:txbxContent>
                            <w:p w14:paraId="0105D6C8" w14:textId="77777777" w:rsidR="00AC2BE6" w:rsidRDefault="00AC2BE6" w:rsidP="00B00ED8">
                              <w:pPr>
                                <w:spacing w:after="160" w:line="259" w:lineRule="auto"/>
                              </w:pPr>
                              <w:r>
                                <w:rPr>
                                  <w:b/>
                                  <w:spacing w:val="-1"/>
                                  <w:w w:val="99"/>
                                  <w:sz w:val="16"/>
                                </w:rPr>
                                <w:t>3.</w:t>
                              </w:r>
                            </w:p>
                          </w:txbxContent>
                        </wps:txbx>
                        <wps:bodyPr horzOverflow="overflow" vert="horz" lIns="0" tIns="0" rIns="0" bIns="0" rtlCol="0">
                          <a:noAutofit/>
                        </wps:bodyPr>
                      </wps:wsp>
                      <wps:wsp>
                        <wps:cNvPr id="10415" name="Rectangle 10415"/>
                        <wps:cNvSpPr/>
                        <wps:spPr>
                          <a:xfrm>
                            <a:off x="264390" y="3840773"/>
                            <a:ext cx="605636" cy="121613"/>
                          </a:xfrm>
                          <a:prstGeom prst="rect">
                            <a:avLst/>
                          </a:prstGeom>
                          <a:ln>
                            <a:noFill/>
                          </a:ln>
                        </wps:spPr>
                        <wps:txbx>
                          <w:txbxContent>
                            <w:p w14:paraId="14CD361D" w14:textId="77777777" w:rsidR="00AC2BE6" w:rsidRDefault="00AC2BE6" w:rsidP="00B00ED8">
                              <w:pPr>
                                <w:spacing w:after="160" w:line="259" w:lineRule="auto"/>
                              </w:pPr>
                              <w:r>
                                <w:rPr>
                                  <w:b/>
                                  <w:spacing w:val="-1"/>
                                  <w:w w:val="101"/>
                                  <w:sz w:val="16"/>
                                </w:rPr>
                                <w:t>Prevalence</w:t>
                              </w:r>
                            </w:p>
                          </w:txbxContent>
                        </wps:txbx>
                        <wps:bodyPr horzOverflow="overflow" vert="horz" lIns="0" tIns="0" rIns="0" bIns="0" rtlCol="0">
                          <a:noAutofit/>
                        </wps:bodyPr>
                      </wps:wsp>
                      <wps:wsp>
                        <wps:cNvPr id="10416" name="Rectangle 10416"/>
                        <wps:cNvSpPr/>
                        <wps:spPr>
                          <a:xfrm>
                            <a:off x="741020" y="3840773"/>
                            <a:ext cx="525912" cy="121613"/>
                          </a:xfrm>
                          <a:prstGeom prst="rect">
                            <a:avLst/>
                          </a:prstGeom>
                          <a:ln>
                            <a:noFill/>
                          </a:ln>
                        </wps:spPr>
                        <wps:txbx>
                          <w:txbxContent>
                            <w:p w14:paraId="1BD83AAA" w14:textId="77777777" w:rsidR="00AC2BE6" w:rsidRDefault="00AC2BE6" w:rsidP="00B00ED8">
                              <w:pPr>
                                <w:spacing w:after="160" w:line="259" w:lineRule="auto"/>
                              </w:pPr>
                              <w:r>
                                <w:rPr>
                                  <w:b/>
                                  <w:spacing w:val="-1"/>
                                  <w:w w:val="99"/>
                                  <w:sz w:val="16"/>
                                </w:rPr>
                                <w:t>estimates</w:t>
                              </w:r>
                            </w:p>
                          </w:txbxContent>
                        </wps:txbx>
                        <wps:bodyPr horzOverflow="overflow" vert="horz" lIns="0" tIns="0" rIns="0" bIns="0" rtlCol="0">
                          <a:noAutofit/>
                        </wps:bodyPr>
                      </wps:wsp>
                      <wps:wsp>
                        <wps:cNvPr id="10417" name="Rectangle 10417"/>
                        <wps:cNvSpPr/>
                        <wps:spPr>
                          <a:xfrm>
                            <a:off x="1157179" y="3840773"/>
                            <a:ext cx="114587" cy="121613"/>
                          </a:xfrm>
                          <a:prstGeom prst="rect">
                            <a:avLst/>
                          </a:prstGeom>
                          <a:ln>
                            <a:noFill/>
                          </a:ln>
                        </wps:spPr>
                        <wps:txbx>
                          <w:txbxContent>
                            <w:p w14:paraId="6A47BACD" w14:textId="77777777" w:rsidR="00AC2BE6" w:rsidRDefault="00AC2BE6" w:rsidP="00B00ED8">
                              <w:pPr>
                                <w:spacing w:after="160" w:line="259" w:lineRule="auto"/>
                              </w:pPr>
                              <w:r>
                                <w:rPr>
                                  <w:b/>
                                  <w:spacing w:val="-1"/>
                                  <w:w w:val="103"/>
                                  <w:sz w:val="16"/>
                                </w:rPr>
                                <w:t>of</w:t>
                              </w:r>
                            </w:p>
                          </w:txbxContent>
                        </wps:txbx>
                        <wps:bodyPr horzOverflow="overflow" vert="horz" lIns="0" tIns="0" rIns="0" bIns="0" rtlCol="0">
                          <a:noAutofit/>
                        </wps:bodyPr>
                      </wps:wsp>
                      <wps:wsp>
                        <wps:cNvPr id="10418" name="Rectangle 10418"/>
                        <wps:cNvSpPr/>
                        <wps:spPr>
                          <a:xfrm>
                            <a:off x="1265179" y="3840773"/>
                            <a:ext cx="736371" cy="121613"/>
                          </a:xfrm>
                          <a:prstGeom prst="rect">
                            <a:avLst/>
                          </a:prstGeom>
                          <a:ln>
                            <a:noFill/>
                          </a:ln>
                        </wps:spPr>
                        <wps:txbx>
                          <w:txbxContent>
                            <w:p w14:paraId="2021ACE1" w14:textId="77777777" w:rsidR="00AC2BE6" w:rsidRDefault="00AC2BE6" w:rsidP="00B00ED8">
                              <w:pPr>
                                <w:spacing w:after="160" w:line="259" w:lineRule="auto"/>
                              </w:pPr>
                              <w:r>
                                <w:rPr>
                                  <w:b/>
                                  <w:spacing w:val="-1"/>
                                  <w:w w:val="102"/>
                                  <w:sz w:val="16"/>
                                </w:rPr>
                                <w:t>hypertension</w:t>
                              </w:r>
                            </w:p>
                          </w:txbxContent>
                        </wps:txbx>
                        <wps:bodyPr horzOverflow="overflow" vert="horz" lIns="0" tIns="0" rIns="0" bIns="0" rtlCol="0">
                          <a:noAutofit/>
                        </wps:bodyPr>
                      </wps:wsp>
                      <wps:wsp>
                        <wps:cNvPr id="10419" name="Rectangle 10419"/>
                        <wps:cNvSpPr/>
                        <wps:spPr>
                          <a:xfrm>
                            <a:off x="1840461" y="3840773"/>
                            <a:ext cx="134316" cy="121613"/>
                          </a:xfrm>
                          <a:prstGeom prst="rect">
                            <a:avLst/>
                          </a:prstGeom>
                          <a:ln>
                            <a:noFill/>
                          </a:ln>
                        </wps:spPr>
                        <wps:txbx>
                          <w:txbxContent>
                            <w:p w14:paraId="4E0B636E" w14:textId="77777777" w:rsidR="00AC2BE6" w:rsidRDefault="00AC2BE6" w:rsidP="00B00ED8">
                              <w:pPr>
                                <w:spacing w:after="160" w:line="259" w:lineRule="auto"/>
                              </w:pPr>
                              <w:r>
                                <w:rPr>
                                  <w:b/>
                                  <w:spacing w:val="-1"/>
                                  <w:w w:val="103"/>
                                  <w:sz w:val="16"/>
                                </w:rPr>
                                <w:t>by</w:t>
                              </w:r>
                            </w:p>
                          </w:txbxContent>
                        </wps:txbx>
                        <wps:bodyPr horzOverflow="overflow" vert="horz" lIns="0" tIns="0" rIns="0" bIns="0" rtlCol="0">
                          <a:noAutofit/>
                        </wps:bodyPr>
                      </wps:wsp>
                      <wps:wsp>
                        <wps:cNvPr id="10420" name="Rectangle 10420"/>
                        <wps:cNvSpPr/>
                        <wps:spPr>
                          <a:xfrm>
                            <a:off x="1962857" y="3840773"/>
                            <a:ext cx="559288" cy="121613"/>
                          </a:xfrm>
                          <a:prstGeom prst="rect">
                            <a:avLst/>
                          </a:prstGeom>
                          <a:ln>
                            <a:noFill/>
                          </a:ln>
                        </wps:spPr>
                        <wps:txbx>
                          <w:txbxContent>
                            <w:p w14:paraId="5C287E41" w14:textId="77777777" w:rsidR="00AC2BE6" w:rsidRDefault="00AC2BE6" w:rsidP="00B00ED8">
                              <w:pPr>
                                <w:spacing w:after="160" w:line="259" w:lineRule="auto"/>
                              </w:pPr>
                              <w:r>
                                <w:rPr>
                                  <w:b/>
                                  <w:spacing w:val="-1"/>
                                  <w:w w:val="99"/>
                                  <w:sz w:val="16"/>
                                </w:rPr>
                                <w:t>residence.</w:t>
                              </w:r>
                            </w:p>
                          </w:txbxContent>
                        </wps:txbx>
                        <wps:bodyPr horzOverflow="overflow" vert="horz" lIns="0" tIns="0" rIns="0" bIns="0" rtlCol="0">
                          <a:noAutofit/>
                        </wps:bodyPr>
                      </wps:wsp>
                    </wpg:wgp>
                  </a:graphicData>
                </a:graphic>
              </wp:inline>
            </w:drawing>
          </mc:Choice>
          <mc:Fallback>
            <w:pict>
              <v:group w14:anchorId="6C936371" id="Group 106063" o:spid="_x0000_s1038" style="width:376pt;height:311.7pt;mso-position-horizontal-relative:char;mso-position-vertical-relative:line" coordsize="47752,395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">
                <v:shape id="Shape 143347" o:spid="_x0000_s1039" style="position:absolute;top:39523;width:47752;height:92;visibility:visible;mso-wrap-style:square;v-text-anchor:top" coordsize="47752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" path="m,l4775200,r,9144l,9144,,e" fillcolor="#99918c" stroked="f" strokeweight="0">
                  <v:stroke miterlimit="83231f" joinstyle="miter"/>
                  <v:path arrowok="t" textboxrect="0,0,4775200,9144"/>
                </v:shape>
                <v:shape id="Picture 10412" o:spid="_x0000_s1040" type="#_x0000_t75" style="position:absolute;left:1;width:36576;height:3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">
                  <v:imagedata r:id="rId157" o:title=""/>
                </v:shape>
                <v:rect id="Rectangle 10413" o:spid="_x0000_s1041" style="position:absolute;left:1;top:38407;width:178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" filled="f" stroked="f">
                  <v:textbox inset="0,0,0,0">
                    <w:txbxContent>
                      <w:p w14:paraId="42D46EBF" w14:textId="77777777" w:rsidR="00AC2BE6" w:rsidRDefault="00AC2BE6" w:rsidP="00B00ED8">
                        <w:pPr>
                          <w:spacing w:after="160" w:line="259" w:lineRule="auto"/>
                        </w:pPr>
                        <w:r>
                          <w:rPr>
                            <w:b/>
                            <w:spacing w:val="-1"/>
                            <w:w w:val="115"/>
                            <w:sz w:val="16"/>
                          </w:rPr>
                          <w:t>Fig</w:t>
                        </w:r>
                      </w:p>
                    </w:txbxContent>
                  </v:textbox>
                </v:rect>
                <v:rect id="Rectangle 10414" o:spid="_x0000_s1042" style="position:absolute;left:1556;top:38407;width:100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" filled="f" stroked="f">
                  <v:textbox inset="0,0,0,0">
                    <w:txbxContent>
                      <w:p w14:paraId="0105D6C8" w14:textId="77777777" w:rsidR="00AC2BE6" w:rsidRDefault="00AC2BE6" w:rsidP="00B00ED8">
                        <w:pPr>
                          <w:spacing w:after="160" w:line="259" w:lineRule="auto"/>
                        </w:pPr>
                        <w:r>
                          <w:rPr>
                            <w:b/>
                            <w:spacing w:val="-1"/>
                            <w:w w:val="99"/>
                            <w:sz w:val="16"/>
                          </w:rPr>
                          <w:t>3.</w:t>
                        </w:r>
                      </w:p>
                    </w:txbxContent>
                  </v:textbox>
                </v:rect>
                <v:rect id="Rectangle 10415" o:spid="_x0000_s1043" style="position:absolute;left:2643;top:38407;width:605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" filled="f" stroked="f">
                  <v:textbox inset="0,0,0,0">
                    <w:txbxContent>
                      <w:p w14:paraId="14CD361D" w14:textId="77777777" w:rsidR="00AC2BE6" w:rsidRDefault="00AC2BE6" w:rsidP="00B00ED8">
                        <w:pPr>
                          <w:spacing w:after="160" w:line="259" w:lineRule="auto"/>
                        </w:pPr>
                        <w:r>
                          <w:rPr>
                            <w:b/>
                            <w:spacing w:val="-1"/>
                            <w:w w:val="101"/>
                            <w:sz w:val="16"/>
                          </w:rPr>
                          <w:t>Prevalence</w:t>
                        </w:r>
                      </w:p>
                    </w:txbxContent>
                  </v:textbox>
                </v:rect>
                <v:rect id="Rectangle 10416" o:spid="_x0000_s1044" style="position:absolute;left:7410;top:38407;width:5259;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" filled="f" stroked="f">
                  <v:textbox inset="0,0,0,0">
                    <w:txbxContent>
                      <w:p w14:paraId="1BD83AAA" w14:textId="77777777" w:rsidR="00AC2BE6" w:rsidRDefault="00AC2BE6" w:rsidP="00B00ED8">
                        <w:pPr>
                          <w:spacing w:after="160" w:line="259" w:lineRule="auto"/>
                        </w:pPr>
                        <w:r>
                          <w:rPr>
                            <w:b/>
                            <w:spacing w:val="-1"/>
                            <w:w w:val="99"/>
                            <w:sz w:val="16"/>
                          </w:rPr>
                          <w:t>estimates</w:t>
                        </w:r>
                      </w:p>
                    </w:txbxContent>
                  </v:textbox>
                </v:rect>
                <v:rect id="Rectangle 10417" o:spid="_x0000_s1045" style="position:absolute;left:11571;top:38407;width:114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" filled="f" stroked="f">
                  <v:textbox inset="0,0,0,0">
                    <w:txbxContent>
                      <w:p w14:paraId="6A47BACD" w14:textId="77777777" w:rsidR="00AC2BE6" w:rsidRDefault="00AC2BE6" w:rsidP="00B00ED8">
                        <w:pPr>
                          <w:spacing w:after="160" w:line="259" w:lineRule="auto"/>
                        </w:pPr>
                        <w:r>
                          <w:rPr>
                            <w:b/>
                            <w:spacing w:val="-1"/>
                            <w:w w:val="103"/>
                            <w:sz w:val="16"/>
                          </w:rPr>
                          <w:t>of</w:t>
                        </w:r>
                      </w:p>
                    </w:txbxContent>
                  </v:textbox>
                </v:rect>
                <v:rect id="Rectangle 10418" o:spid="_x0000_s1046" style="position:absolute;left:12651;top:38407;width:7364;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" filled="f" stroked="f">
                  <v:textbox inset="0,0,0,0">
                    <w:txbxContent>
                      <w:p w14:paraId="2021ACE1" w14:textId="77777777" w:rsidR="00AC2BE6" w:rsidRDefault="00AC2BE6" w:rsidP="00B00ED8">
                        <w:pPr>
                          <w:spacing w:after="160" w:line="259" w:lineRule="auto"/>
                        </w:pPr>
                        <w:r>
                          <w:rPr>
                            <w:b/>
                            <w:spacing w:val="-1"/>
                            <w:w w:val="102"/>
                            <w:sz w:val="16"/>
                          </w:rPr>
                          <w:t>hypertension</w:t>
                        </w:r>
                      </w:p>
                    </w:txbxContent>
                  </v:textbox>
                </v:rect>
                <v:rect id="Rectangle 10419" o:spid="_x0000_s1047" style="position:absolute;left:18404;top:38407;width:1343;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" filled="f" stroked="f">
                  <v:textbox inset="0,0,0,0">
                    <w:txbxContent>
                      <w:p w14:paraId="4E0B636E" w14:textId="77777777" w:rsidR="00AC2BE6" w:rsidRDefault="00AC2BE6" w:rsidP="00B00ED8">
                        <w:pPr>
                          <w:spacing w:after="160" w:line="259" w:lineRule="auto"/>
                        </w:pPr>
                        <w:r>
                          <w:rPr>
                            <w:b/>
                            <w:spacing w:val="-1"/>
                            <w:w w:val="103"/>
                            <w:sz w:val="16"/>
                          </w:rPr>
                          <w:t>by</w:t>
                        </w:r>
                      </w:p>
                    </w:txbxContent>
                  </v:textbox>
                </v:rect>
                <v:rect id="Rectangle 10420" o:spid="_x0000_s1048" style="position:absolute;left:19628;top:38407;width:5593;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" filled="f" stroked="f">
                  <v:textbox inset="0,0,0,0">
                    <w:txbxContent>
                      <w:p w14:paraId="5C287E41" w14:textId="77777777" w:rsidR="00AC2BE6" w:rsidRDefault="00AC2BE6" w:rsidP="00B00ED8">
                        <w:pPr>
                          <w:spacing w:after="160" w:line="259" w:lineRule="auto"/>
                        </w:pPr>
                        <w:r>
                          <w:rPr>
                            <w:b/>
                            <w:spacing w:val="-1"/>
                            <w:w w:val="99"/>
                            <w:sz w:val="16"/>
                          </w:rPr>
                          <w:t>residence.</w:t>
                        </w:r>
                      </w:p>
                    </w:txbxContent>
                  </v:textbox>
                </v:rect>
                <w10:anchorlock/>
              </v:group>
            </w:pict>
          </mc:Fallback>
        </mc:AlternateContent>
      </w:r>
    </w:p>
    <w:p w14:paraId="636263CF" w14:textId="77777777" w:rsidR="00B00ED8" w:rsidRPr="00000849" w:rsidRDefault="00C84E75" w:rsidP="00702C75">
      <w:pPr>
        <w:spacing w:after="426" w:line="265" w:lineRule="auto"/>
        <w:jc w:val="both"/>
        <w:rPr>
          <w:rFonts w:ascii="Arial" w:eastAsia="Arial" w:hAnsi="Arial" w:cs="Arial"/>
          <w:color w:val="535C96"/>
          <w:sz w:val="16"/>
          <w:u w:val="single" w:color="535C96"/>
        </w:rPr>
      </w:pPr>
      <w:hyperlink r:id="rId158">
        <w:r w:rsidR="00B00ED8" w:rsidRPr="00000849">
          <w:rPr>
            <w:rFonts w:ascii="Arial" w:eastAsia="Arial" w:hAnsi="Arial" w:cs="Arial"/>
            <w:color w:val="535C96"/>
            <w:sz w:val="16"/>
            <w:u w:val="single" w:color="535C96"/>
          </w:rPr>
          <w:t>https://doi.org/10.1371/journal.pone.0214934.g003</w:t>
        </w:r>
      </w:hyperlink>
    </w:p>
    <w:p w14:paraId="509BE519" w14:textId="77777777" w:rsidR="00B00ED8" w:rsidRPr="00000849" w:rsidRDefault="00B00ED8" w:rsidP="00702C75">
      <w:pPr>
        <w:ind w:right="16" w:firstLine="239"/>
        <w:jc w:val="both"/>
      </w:pPr>
      <w:r w:rsidRPr="00000849">
        <w:t>In the few individual studies reporting age-specific prevalence of hypertension, the prevalence was 3.5 to 13.5 percentage points higher in the oldest age group than in the youngest age group [</w:t>
      </w:r>
      <w:r w:rsidRPr="00000849">
        <w:rPr>
          <w:color w:val="535C96"/>
          <w:u w:val="single" w:color="535C96"/>
        </w:rPr>
        <w:t>43</w:t>
      </w:r>
      <w:r w:rsidRPr="00000849">
        <w:t xml:space="preserve">, </w:t>
      </w:r>
      <w:r w:rsidRPr="00000849">
        <w:rPr>
          <w:color w:val="535C96"/>
          <w:u w:val="single" w:color="535C96"/>
        </w:rPr>
        <w:t>65</w:t>
      </w:r>
      <w:r w:rsidRPr="00000849">
        <w:t xml:space="preserve">, </w:t>
      </w:r>
      <w:r w:rsidRPr="00000849">
        <w:rPr>
          <w:color w:val="535C96"/>
          <w:u w:val="single" w:color="535C96"/>
        </w:rPr>
        <w:t>68</w:t>
      </w:r>
      <w:r w:rsidRPr="00000849">
        <w:t xml:space="preserve">, </w:t>
      </w:r>
      <w:r w:rsidRPr="00000849">
        <w:rPr>
          <w:color w:val="535C96"/>
          <w:u w:val="single" w:color="535C96"/>
        </w:rPr>
        <w:t>75</w:t>
      </w:r>
      <w:r w:rsidRPr="00000849">
        <w:t>]. The increase in the prevalence of hypertension with age was rarely monotonic [</w:t>
      </w:r>
      <w:r w:rsidRPr="00000849">
        <w:rPr>
          <w:color w:val="535C96"/>
          <w:u w:val="single" w:color="535C96"/>
        </w:rPr>
        <w:t>65</w:t>
      </w:r>
      <w:r w:rsidRPr="00000849">
        <w:t>] and tended to peak in the middle or penultimate age group [</w:t>
      </w:r>
      <w:r w:rsidRPr="00000849">
        <w:rPr>
          <w:color w:val="535C96"/>
          <w:u w:val="single" w:color="535C96"/>
        </w:rPr>
        <w:t>49</w:t>
      </w:r>
      <w:r w:rsidRPr="00000849">
        <w:t xml:space="preserve">, </w:t>
      </w:r>
      <w:r w:rsidRPr="00000849">
        <w:rPr>
          <w:color w:val="535C96"/>
          <w:u w:val="single" w:color="535C96"/>
        </w:rPr>
        <w:t>68</w:t>
      </w:r>
      <w:r w:rsidRPr="00000849">
        <w:t xml:space="preserve">, </w:t>
      </w:r>
      <w:r w:rsidRPr="00000849">
        <w:rPr>
          <w:color w:val="535C96"/>
          <w:u w:val="single" w:color="535C96"/>
        </w:rPr>
        <w:t>72</w:t>
      </w:r>
      <w:r w:rsidRPr="00000849">
        <w:t xml:space="preserve">, </w:t>
      </w:r>
      <w:r w:rsidRPr="00000849">
        <w:rPr>
          <w:color w:val="535C96"/>
          <w:u w:val="single" w:color="535C96"/>
        </w:rPr>
        <w:t>75</w:t>
      </w:r>
      <w:r w:rsidRPr="00000849">
        <w:t>]. In all the studies in which the relationship between age and hypertension was investigated through multivariate analysis, older age group was independently associated with hypertension [</w:t>
      </w:r>
      <w:r w:rsidRPr="00000849">
        <w:rPr>
          <w:color w:val="535C96"/>
          <w:u w:val="single" w:color="535C96"/>
        </w:rPr>
        <w:t>43</w:t>
      </w:r>
      <w:r w:rsidRPr="00000849">
        <w:t xml:space="preserve">, </w:t>
      </w:r>
      <w:r w:rsidRPr="00000849">
        <w:rPr>
          <w:color w:val="535C96"/>
          <w:u w:val="single" w:color="535C96"/>
        </w:rPr>
        <w:t>57</w:t>
      </w:r>
      <w:r w:rsidRPr="00000849">
        <w:t xml:space="preserve">, </w:t>
      </w:r>
      <w:r w:rsidRPr="00000849">
        <w:rPr>
          <w:color w:val="535C96"/>
          <w:u w:val="single" w:color="535C96"/>
        </w:rPr>
        <w:t>68</w:t>
      </w:r>
      <w:r w:rsidRPr="00000849">
        <w:t xml:space="preserve">, </w:t>
      </w:r>
      <w:r w:rsidRPr="00000849">
        <w:rPr>
          <w:color w:val="535C96"/>
          <w:u w:val="single" w:color="535C96"/>
        </w:rPr>
        <w:t>76</w:t>
      </w:r>
      <w:r w:rsidRPr="00000849">
        <w:t xml:space="preserve">, </w:t>
      </w:r>
      <w:r w:rsidRPr="00000849">
        <w:rPr>
          <w:color w:val="535C96"/>
          <w:u w:val="single" w:color="535C96"/>
        </w:rPr>
        <w:t>77</w:t>
      </w:r>
      <w:r w:rsidRPr="00000849">
        <w:t>].</w:t>
      </w:r>
    </w:p>
    <w:p w14:paraId="07B0D550" w14:textId="77777777" w:rsidR="00B00ED8" w:rsidRPr="00000849" w:rsidRDefault="00B00ED8" w:rsidP="00702C75">
      <w:pPr>
        <w:spacing w:after="426" w:line="265" w:lineRule="auto"/>
        <w:ind w:firstLine="229"/>
        <w:jc w:val="both"/>
      </w:pPr>
      <w:r w:rsidRPr="00000849">
        <w:t>The prevalence of hypertension increased by the year group of publication, but the differences were not statistically significant. In the four data contributions published in 2005–2009, the prevalence ranged from 24.0% to 70.0% with a pooled estimate of 51.0% (95% CI 30.0%71.0%). The overall pooled estimate for the 20 data points from studies published in 2010– 2014 was 54.0% (95% CI 47.0%-61.0%) while that for the 13 data points from studies published in 2015–2019 was 62.0% (95% CI 55.0%-69.0%). However, the difference became statistically significantly when the studies were dichotomized into those</w:t>
      </w:r>
    </w:p>
    <w:p w14:paraId="25F420C0" w14:textId="77777777" w:rsidR="00B00ED8" w:rsidRPr="00000849" w:rsidRDefault="00B00ED8" w:rsidP="00A617B9">
      <w:pPr>
        <w:spacing w:after="124" w:line="259" w:lineRule="auto"/>
      </w:pPr>
      <w:r w:rsidRPr="00000849">
        <w:rPr>
          <w:noProof/>
        </w:rPr>
        <w:lastRenderedPageBreak/>
        <mc:AlternateContent>
          <mc:Choice Requires="wpg">
            <w:drawing>
              <wp:inline distT="0" distB="0" distL="0" distR="0" wp14:anchorId="50B39AA4" wp14:editId="15406DCE">
                <wp:extent cx="4775200" cy="3373656"/>
                <wp:effectExtent l="0" t="0" r="0" b="0"/>
                <wp:docPr id="106064" name="Group 106064"/>
                <wp:cNvGraphicFramePr/>
                <a:graphic xmlns:a="http://schemas.openxmlformats.org/drawingml/2006/main">
                  <a:graphicData uri="http://schemas.microsoft.com/office/word/2010/wordprocessingGroup">
                    <wpg:wgp>
                      <wpg:cNvGrpSpPr/>
                      <wpg:grpSpPr>
                        <a:xfrm>
                          <a:off x="0" y="0"/>
                          <a:ext cx="4775200" cy="3373656"/>
                          <a:chOff x="0" y="0"/>
                          <a:chExt cx="4775200" cy="3373656"/>
                        </a:xfrm>
                      </wpg:grpSpPr>
                      <wps:wsp>
                        <wps:cNvPr id="143381" name="Shape 143381"/>
                        <wps:cNvSpPr/>
                        <wps:spPr>
                          <a:xfrm>
                            <a:off x="0" y="3367305"/>
                            <a:ext cx="4775200" cy="9144"/>
                          </a:xfrm>
                          <a:custGeom>
                            <a:avLst/>
                            <a:gdLst/>
                            <a:ahLst/>
                            <a:cxnLst/>
                            <a:rect l="0" t="0" r="0" b="0"/>
                            <a:pathLst>
                              <a:path w="4775200" h="9144">
                                <a:moveTo>
                                  <a:pt x="0" y="0"/>
                                </a:moveTo>
                                <a:lnTo>
                                  <a:pt x="4775200" y="0"/>
                                </a:lnTo>
                                <a:lnTo>
                                  <a:pt x="4775200" y="9144"/>
                                </a:lnTo>
                                <a:lnTo>
                                  <a:pt x="0" y="9144"/>
                                </a:lnTo>
                                <a:lnTo>
                                  <a:pt x="0" y="0"/>
                                </a:lnTo>
                              </a:path>
                            </a:pathLst>
                          </a:custGeom>
                          <a:ln w="0" cap="rnd">
                            <a:round/>
                          </a:ln>
                        </wps:spPr>
                        <wps:style>
                          <a:lnRef idx="0">
                            <a:srgbClr val="000000">
                              <a:alpha val="0"/>
                            </a:srgbClr>
                          </a:lnRef>
                          <a:fillRef idx="1">
                            <a:srgbClr val="99918C"/>
                          </a:fillRef>
                          <a:effectRef idx="0">
                            <a:scrgbClr r="0" g="0" b="0"/>
                          </a:effectRef>
                          <a:fontRef idx="none"/>
                        </wps:style>
                        <wps:bodyPr/>
                      </wps:wsp>
                      <pic:pic xmlns:pic="http://schemas.openxmlformats.org/drawingml/2006/picture">
                        <pic:nvPicPr>
                          <pic:cNvPr id="10425" name="Picture 10425"/>
                          <pic:cNvPicPr/>
                        </pic:nvPicPr>
                        <pic:blipFill>
                          <a:blip r:embed="rId159"/>
                          <a:stretch>
                            <a:fillRect/>
                          </a:stretch>
                        </pic:blipFill>
                        <pic:spPr>
                          <a:xfrm>
                            <a:off x="165" y="0"/>
                            <a:ext cx="4626725" cy="3157195"/>
                          </a:xfrm>
                          <a:prstGeom prst="rect">
                            <a:avLst/>
                          </a:prstGeom>
                        </pic:spPr>
                      </pic:pic>
                      <wps:wsp>
                        <wps:cNvPr id="10426" name="Rectangle 10426"/>
                        <wps:cNvSpPr/>
                        <wps:spPr>
                          <a:xfrm>
                            <a:off x="152" y="3256129"/>
                            <a:ext cx="178637" cy="121614"/>
                          </a:xfrm>
                          <a:prstGeom prst="rect">
                            <a:avLst/>
                          </a:prstGeom>
                          <a:ln>
                            <a:noFill/>
                          </a:ln>
                        </wps:spPr>
                        <wps:txbx>
                          <w:txbxContent>
                            <w:p w14:paraId="120EFFFA" w14:textId="77777777" w:rsidR="00AC2BE6" w:rsidRDefault="00AC2BE6" w:rsidP="00B00ED8">
                              <w:pPr>
                                <w:spacing w:after="160" w:line="259" w:lineRule="auto"/>
                              </w:pPr>
                              <w:r>
                                <w:rPr>
                                  <w:b/>
                                  <w:spacing w:val="-1"/>
                                  <w:w w:val="115"/>
                                  <w:sz w:val="16"/>
                                </w:rPr>
                                <w:t>Fig</w:t>
                              </w:r>
                            </w:p>
                          </w:txbxContent>
                        </wps:txbx>
                        <wps:bodyPr horzOverflow="overflow" vert="horz" lIns="0" tIns="0" rIns="0" bIns="0" rtlCol="0">
                          <a:noAutofit/>
                        </wps:bodyPr>
                      </wps:wsp>
                      <wps:wsp>
                        <wps:cNvPr id="10427" name="Rectangle 10427"/>
                        <wps:cNvSpPr/>
                        <wps:spPr>
                          <a:xfrm>
                            <a:off x="155670" y="3256129"/>
                            <a:ext cx="100669" cy="121614"/>
                          </a:xfrm>
                          <a:prstGeom prst="rect">
                            <a:avLst/>
                          </a:prstGeom>
                          <a:ln>
                            <a:noFill/>
                          </a:ln>
                        </wps:spPr>
                        <wps:txbx>
                          <w:txbxContent>
                            <w:p w14:paraId="6FC78C15" w14:textId="77777777" w:rsidR="00AC2BE6" w:rsidRDefault="00AC2BE6" w:rsidP="00B00ED8">
                              <w:pPr>
                                <w:spacing w:after="160" w:line="259" w:lineRule="auto"/>
                              </w:pPr>
                              <w:r>
                                <w:rPr>
                                  <w:b/>
                                  <w:spacing w:val="-1"/>
                                  <w:w w:val="99"/>
                                  <w:sz w:val="16"/>
                                </w:rPr>
                                <w:t>4.</w:t>
                              </w:r>
                            </w:p>
                          </w:txbxContent>
                        </wps:txbx>
                        <wps:bodyPr horzOverflow="overflow" vert="horz" lIns="0" tIns="0" rIns="0" bIns="0" rtlCol="0">
                          <a:noAutofit/>
                        </wps:bodyPr>
                      </wps:wsp>
                      <wps:wsp>
                        <wps:cNvPr id="10428" name="Rectangle 10428"/>
                        <wps:cNvSpPr/>
                        <wps:spPr>
                          <a:xfrm>
                            <a:off x="264390" y="3256129"/>
                            <a:ext cx="605636" cy="121614"/>
                          </a:xfrm>
                          <a:prstGeom prst="rect">
                            <a:avLst/>
                          </a:prstGeom>
                          <a:ln>
                            <a:noFill/>
                          </a:ln>
                        </wps:spPr>
                        <wps:txbx>
                          <w:txbxContent>
                            <w:p w14:paraId="5ABFF1AE" w14:textId="77777777" w:rsidR="00AC2BE6" w:rsidRDefault="00AC2BE6" w:rsidP="00B00ED8">
                              <w:pPr>
                                <w:spacing w:after="160" w:line="259" w:lineRule="auto"/>
                              </w:pPr>
                              <w:r>
                                <w:rPr>
                                  <w:b/>
                                  <w:spacing w:val="-1"/>
                                  <w:w w:val="101"/>
                                  <w:sz w:val="16"/>
                                </w:rPr>
                                <w:t>Prevalence</w:t>
                              </w:r>
                            </w:p>
                          </w:txbxContent>
                        </wps:txbx>
                        <wps:bodyPr horzOverflow="overflow" vert="horz" lIns="0" tIns="0" rIns="0" bIns="0" rtlCol="0">
                          <a:noAutofit/>
                        </wps:bodyPr>
                      </wps:wsp>
                      <wps:wsp>
                        <wps:cNvPr id="10429" name="Rectangle 10429"/>
                        <wps:cNvSpPr/>
                        <wps:spPr>
                          <a:xfrm>
                            <a:off x="741020" y="3256129"/>
                            <a:ext cx="525912" cy="121614"/>
                          </a:xfrm>
                          <a:prstGeom prst="rect">
                            <a:avLst/>
                          </a:prstGeom>
                          <a:ln>
                            <a:noFill/>
                          </a:ln>
                        </wps:spPr>
                        <wps:txbx>
                          <w:txbxContent>
                            <w:p w14:paraId="0683198F" w14:textId="77777777" w:rsidR="00AC2BE6" w:rsidRDefault="00AC2BE6" w:rsidP="00B00ED8">
                              <w:pPr>
                                <w:spacing w:after="160" w:line="259" w:lineRule="auto"/>
                              </w:pPr>
                              <w:r>
                                <w:rPr>
                                  <w:b/>
                                  <w:spacing w:val="-1"/>
                                  <w:w w:val="99"/>
                                  <w:sz w:val="16"/>
                                </w:rPr>
                                <w:t>estimates</w:t>
                              </w:r>
                            </w:p>
                          </w:txbxContent>
                        </wps:txbx>
                        <wps:bodyPr horzOverflow="overflow" vert="horz" lIns="0" tIns="0" rIns="0" bIns="0" rtlCol="0">
                          <a:noAutofit/>
                        </wps:bodyPr>
                      </wps:wsp>
                      <wps:wsp>
                        <wps:cNvPr id="10430" name="Rectangle 10430"/>
                        <wps:cNvSpPr/>
                        <wps:spPr>
                          <a:xfrm>
                            <a:off x="1157179" y="3256129"/>
                            <a:ext cx="114587" cy="121614"/>
                          </a:xfrm>
                          <a:prstGeom prst="rect">
                            <a:avLst/>
                          </a:prstGeom>
                          <a:ln>
                            <a:noFill/>
                          </a:ln>
                        </wps:spPr>
                        <wps:txbx>
                          <w:txbxContent>
                            <w:p w14:paraId="14FDA313" w14:textId="77777777" w:rsidR="00AC2BE6" w:rsidRDefault="00AC2BE6" w:rsidP="00B00ED8">
                              <w:pPr>
                                <w:spacing w:after="160" w:line="259" w:lineRule="auto"/>
                              </w:pPr>
                              <w:r>
                                <w:rPr>
                                  <w:b/>
                                  <w:spacing w:val="-1"/>
                                  <w:w w:val="103"/>
                                  <w:sz w:val="16"/>
                                </w:rPr>
                                <w:t>of</w:t>
                              </w:r>
                            </w:p>
                          </w:txbxContent>
                        </wps:txbx>
                        <wps:bodyPr horzOverflow="overflow" vert="horz" lIns="0" tIns="0" rIns="0" bIns="0" rtlCol="0">
                          <a:noAutofit/>
                        </wps:bodyPr>
                      </wps:wsp>
                      <wps:wsp>
                        <wps:cNvPr id="10431" name="Rectangle 10431"/>
                        <wps:cNvSpPr/>
                        <wps:spPr>
                          <a:xfrm>
                            <a:off x="1265179" y="3256129"/>
                            <a:ext cx="736371" cy="121614"/>
                          </a:xfrm>
                          <a:prstGeom prst="rect">
                            <a:avLst/>
                          </a:prstGeom>
                          <a:ln>
                            <a:noFill/>
                          </a:ln>
                        </wps:spPr>
                        <wps:txbx>
                          <w:txbxContent>
                            <w:p w14:paraId="18F6A70D" w14:textId="77777777" w:rsidR="00AC2BE6" w:rsidRDefault="00AC2BE6" w:rsidP="00B00ED8">
                              <w:pPr>
                                <w:spacing w:after="160" w:line="259" w:lineRule="auto"/>
                              </w:pPr>
                              <w:r>
                                <w:rPr>
                                  <w:b/>
                                  <w:spacing w:val="-1"/>
                                  <w:w w:val="102"/>
                                  <w:sz w:val="16"/>
                                </w:rPr>
                                <w:t>hypertension</w:t>
                              </w:r>
                            </w:p>
                          </w:txbxContent>
                        </wps:txbx>
                        <wps:bodyPr horzOverflow="overflow" vert="horz" lIns="0" tIns="0" rIns="0" bIns="0" rtlCol="0">
                          <a:noAutofit/>
                        </wps:bodyPr>
                      </wps:wsp>
                      <wps:wsp>
                        <wps:cNvPr id="10432" name="Rectangle 10432"/>
                        <wps:cNvSpPr/>
                        <wps:spPr>
                          <a:xfrm>
                            <a:off x="1840461" y="3256129"/>
                            <a:ext cx="114587" cy="121614"/>
                          </a:xfrm>
                          <a:prstGeom prst="rect">
                            <a:avLst/>
                          </a:prstGeom>
                          <a:ln>
                            <a:noFill/>
                          </a:ln>
                        </wps:spPr>
                        <wps:txbx>
                          <w:txbxContent>
                            <w:p w14:paraId="67CB2586" w14:textId="77777777" w:rsidR="00AC2BE6" w:rsidRDefault="00AC2BE6" w:rsidP="00B00ED8">
                              <w:pPr>
                                <w:spacing w:after="160" w:line="259" w:lineRule="auto"/>
                              </w:pPr>
                              <w:r>
                                <w:rPr>
                                  <w:b/>
                                  <w:spacing w:val="-1"/>
                                  <w:w w:val="114"/>
                                  <w:sz w:val="16"/>
                                </w:rPr>
                                <w:t>in</w:t>
                              </w:r>
                            </w:p>
                          </w:txbxContent>
                        </wps:txbx>
                        <wps:bodyPr horzOverflow="overflow" vert="horz" lIns="0" tIns="0" rIns="0" bIns="0" rtlCol="0">
                          <a:noAutofit/>
                        </wps:bodyPr>
                      </wps:wsp>
                      <wps:wsp>
                        <wps:cNvPr id="10433" name="Rectangle 10433"/>
                        <wps:cNvSpPr/>
                        <wps:spPr>
                          <a:xfrm>
                            <a:off x="1948460" y="3256129"/>
                            <a:ext cx="272144" cy="121614"/>
                          </a:xfrm>
                          <a:prstGeom prst="rect">
                            <a:avLst/>
                          </a:prstGeom>
                          <a:ln>
                            <a:noFill/>
                          </a:ln>
                        </wps:spPr>
                        <wps:txbx>
                          <w:txbxContent>
                            <w:p w14:paraId="728905F2" w14:textId="77777777" w:rsidR="00AC2BE6" w:rsidRDefault="00AC2BE6" w:rsidP="00B00ED8">
                              <w:pPr>
                                <w:spacing w:after="160" w:line="259" w:lineRule="auto"/>
                              </w:pPr>
                              <w:r>
                                <w:rPr>
                                  <w:b/>
                                  <w:spacing w:val="-1"/>
                                  <w:w w:val="101"/>
                                  <w:sz w:val="16"/>
                                </w:rPr>
                                <w:t>male</w:t>
                              </w:r>
                            </w:p>
                          </w:txbxContent>
                        </wps:txbx>
                        <wps:bodyPr horzOverflow="overflow" vert="horz" lIns="0" tIns="0" rIns="0" bIns="0" rtlCol="0">
                          <a:noAutofit/>
                        </wps:bodyPr>
                      </wps:wsp>
                      <wps:wsp>
                        <wps:cNvPr id="10434" name="Rectangle 10434"/>
                        <wps:cNvSpPr/>
                        <wps:spPr>
                          <a:xfrm>
                            <a:off x="2174538" y="3256129"/>
                            <a:ext cx="481185" cy="121614"/>
                          </a:xfrm>
                          <a:prstGeom prst="rect">
                            <a:avLst/>
                          </a:prstGeom>
                          <a:ln>
                            <a:noFill/>
                          </a:ln>
                        </wps:spPr>
                        <wps:txbx>
                          <w:txbxContent>
                            <w:p w14:paraId="193EA0B9" w14:textId="77777777" w:rsidR="00AC2BE6" w:rsidRDefault="00AC2BE6" w:rsidP="00B00ED8">
                              <w:pPr>
                                <w:spacing w:after="160" w:line="259" w:lineRule="auto"/>
                              </w:pPr>
                              <w:r>
                                <w:rPr>
                                  <w:b/>
                                  <w:spacing w:val="-1"/>
                                  <w:sz w:val="16"/>
                                </w:rPr>
                                <w:t>subjects.</w:t>
                              </w:r>
                            </w:p>
                          </w:txbxContent>
                        </wps:txbx>
                        <wps:bodyPr horzOverflow="overflow" vert="horz" lIns="0" tIns="0" rIns="0" bIns="0" rtlCol="0">
                          <a:noAutofit/>
                        </wps:bodyPr>
                      </wps:wsp>
                    </wpg:wgp>
                  </a:graphicData>
                </a:graphic>
              </wp:inline>
            </w:drawing>
          </mc:Choice>
          <mc:Fallback>
            <w:pict>
              <v:group w14:anchorId="50B39AA4" id="Group 106064" o:spid="_x0000_s1049" style="width:376pt;height:265.65pt;mso-position-horizontal-relative:char;mso-position-vertical-relative:line" coordsize="47752,337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EfG3/lJIP+yVx/8Ap1av&#10;vevgj42/8pJB/wBkrj/9OrUAdd/wTt/5D37S/wD2VTV//QxX2TXxt/wTt/5D37S//ZVNX/8AQxX2&#10;TQAUUUUAFFFFABRRRQAUUUUAFFFFABRRRQAUUUUAFFFFABRRSUALRRRQAUUUUAFFFFABRRSUAL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CPjb/ykkH/AGSuP/06tX3vXwR8bf8AlJIP+yVx&#10;/wDp1agDrv8Agnb/AMh79pf/ALKpq/8A6GK+ya+Nv+Cdv/Ie/aX/AOyqav8A+hivsm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">
                <v:shape id="Shape 143381" o:spid="_x0000_s1050" style="position:absolute;top:33673;width:47752;height:91;visibility:visible;mso-wrap-style:square;v-text-anchor:top" coordsize="47752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" path="m,l4775200,r,9144l,9144,,e" fillcolor="#99918c" stroked="f" strokeweight="0">
                  <v:stroke endcap="round"/>
                  <v:path arrowok="t" textboxrect="0,0,4775200,9144"/>
                </v:shape>
                <v:shape id="Picture 10425" o:spid="_x0000_s1051" type="#_x0000_t75" style="position:absolute;left:1;width:46267;height:3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">
                  <v:imagedata r:id="rId160" o:title=""/>
                </v:shape>
                <v:rect id="Rectangle 10426" o:spid="_x0000_s1052" style="position:absolute;left:1;top:32561;width:178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" filled="f" stroked="f">
                  <v:textbox inset="0,0,0,0">
                    <w:txbxContent>
                      <w:p w14:paraId="120EFFFA" w14:textId="77777777" w:rsidR="00AC2BE6" w:rsidRDefault="00AC2BE6" w:rsidP="00B00ED8">
                        <w:pPr>
                          <w:spacing w:after="160" w:line="259" w:lineRule="auto"/>
                        </w:pPr>
                        <w:r>
                          <w:rPr>
                            <w:b/>
                            <w:spacing w:val="-1"/>
                            <w:w w:val="115"/>
                            <w:sz w:val="16"/>
                          </w:rPr>
                          <w:t>Fig</w:t>
                        </w:r>
                      </w:p>
                    </w:txbxContent>
                  </v:textbox>
                </v:rect>
                <v:rect id="Rectangle 10427" o:spid="_x0000_s1053" style="position:absolute;left:1556;top:32561;width:100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" filled="f" stroked="f">
                  <v:textbox inset="0,0,0,0">
                    <w:txbxContent>
                      <w:p w14:paraId="6FC78C15" w14:textId="77777777" w:rsidR="00AC2BE6" w:rsidRDefault="00AC2BE6" w:rsidP="00B00ED8">
                        <w:pPr>
                          <w:spacing w:after="160" w:line="259" w:lineRule="auto"/>
                        </w:pPr>
                        <w:r>
                          <w:rPr>
                            <w:b/>
                            <w:spacing w:val="-1"/>
                            <w:w w:val="99"/>
                            <w:sz w:val="16"/>
                          </w:rPr>
                          <w:t>4.</w:t>
                        </w:r>
                      </w:p>
                    </w:txbxContent>
                  </v:textbox>
                </v:rect>
                <v:rect id="Rectangle 10428" o:spid="_x0000_s1054" style="position:absolute;left:2643;top:32561;width:605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" filled="f" stroked="f">
                  <v:textbox inset="0,0,0,0">
                    <w:txbxContent>
                      <w:p w14:paraId="5ABFF1AE" w14:textId="77777777" w:rsidR="00AC2BE6" w:rsidRDefault="00AC2BE6" w:rsidP="00B00ED8">
                        <w:pPr>
                          <w:spacing w:after="160" w:line="259" w:lineRule="auto"/>
                        </w:pPr>
                        <w:r>
                          <w:rPr>
                            <w:b/>
                            <w:spacing w:val="-1"/>
                            <w:w w:val="101"/>
                            <w:sz w:val="16"/>
                          </w:rPr>
                          <w:t>Prevalence</w:t>
                        </w:r>
                      </w:p>
                    </w:txbxContent>
                  </v:textbox>
                </v:rect>
                <v:rect id="Rectangle 10429" o:spid="_x0000_s1055" style="position:absolute;left:7410;top:32561;width:5259;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" filled="f" stroked="f">
                  <v:textbox inset="0,0,0,0">
                    <w:txbxContent>
                      <w:p w14:paraId="0683198F" w14:textId="77777777" w:rsidR="00AC2BE6" w:rsidRDefault="00AC2BE6" w:rsidP="00B00ED8">
                        <w:pPr>
                          <w:spacing w:after="160" w:line="259" w:lineRule="auto"/>
                        </w:pPr>
                        <w:r>
                          <w:rPr>
                            <w:b/>
                            <w:spacing w:val="-1"/>
                            <w:w w:val="99"/>
                            <w:sz w:val="16"/>
                          </w:rPr>
                          <w:t>estimates</w:t>
                        </w:r>
                      </w:p>
                    </w:txbxContent>
                  </v:textbox>
                </v:rect>
                <v:rect id="Rectangle 10430" o:spid="_x0000_s1056" style="position:absolute;left:11571;top:32561;width:114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" filled="f" stroked="f">
                  <v:textbox inset="0,0,0,0">
                    <w:txbxContent>
                      <w:p w14:paraId="14FDA313" w14:textId="77777777" w:rsidR="00AC2BE6" w:rsidRDefault="00AC2BE6" w:rsidP="00B00ED8">
                        <w:pPr>
                          <w:spacing w:after="160" w:line="259" w:lineRule="auto"/>
                        </w:pPr>
                        <w:r>
                          <w:rPr>
                            <w:b/>
                            <w:spacing w:val="-1"/>
                            <w:w w:val="103"/>
                            <w:sz w:val="16"/>
                          </w:rPr>
                          <w:t>of</w:t>
                        </w:r>
                      </w:p>
                    </w:txbxContent>
                  </v:textbox>
                </v:rect>
                <v:rect id="Rectangle 10431" o:spid="_x0000_s1057" style="position:absolute;left:12651;top:32561;width:7364;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" filled="f" stroked="f">
                  <v:textbox inset="0,0,0,0">
                    <w:txbxContent>
                      <w:p w14:paraId="18F6A70D" w14:textId="77777777" w:rsidR="00AC2BE6" w:rsidRDefault="00AC2BE6" w:rsidP="00B00ED8">
                        <w:pPr>
                          <w:spacing w:after="160" w:line="259" w:lineRule="auto"/>
                        </w:pPr>
                        <w:r>
                          <w:rPr>
                            <w:b/>
                            <w:spacing w:val="-1"/>
                            <w:w w:val="102"/>
                            <w:sz w:val="16"/>
                          </w:rPr>
                          <w:t>hypertension</w:t>
                        </w:r>
                      </w:p>
                    </w:txbxContent>
                  </v:textbox>
                </v:rect>
                <v:rect id="Rectangle 10432" o:spid="_x0000_s1058" style="position:absolute;left:18404;top:32561;width:114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" filled="f" stroked="f">
                  <v:textbox inset="0,0,0,0">
                    <w:txbxContent>
                      <w:p w14:paraId="67CB2586" w14:textId="77777777" w:rsidR="00AC2BE6" w:rsidRDefault="00AC2BE6" w:rsidP="00B00ED8">
                        <w:pPr>
                          <w:spacing w:after="160" w:line="259" w:lineRule="auto"/>
                        </w:pPr>
                        <w:r>
                          <w:rPr>
                            <w:b/>
                            <w:spacing w:val="-1"/>
                            <w:w w:val="114"/>
                            <w:sz w:val="16"/>
                          </w:rPr>
                          <w:t>in</w:t>
                        </w:r>
                      </w:p>
                    </w:txbxContent>
                  </v:textbox>
                </v:rect>
                <v:rect id="Rectangle 10433" o:spid="_x0000_s1059" style="position:absolute;left:19484;top:32561;width:2722;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" filled="f" stroked="f">
                  <v:textbox inset="0,0,0,0">
                    <w:txbxContent>
                      <w:p w14:paraId="728905F2" w14:textId="77777777" w:rsidR="00AC2BE6" w:rsidRDefault="00AC2BE6" w:rsidP="00B00ED8">
                        <w:pPr>
                          <w:spacing w:after="160" w:line="259" w:lineRule="auto"/>
                        </w:pPr>
                        <w:r>
                          <w:rPr>
                            <w:b/>
                            <w:spacing w:val="-1"/>
                            <w:w w:val="101"/>
                            <w:sz w:val="16"/>
                          </w:rPr>
                          <w:t>male</w:t>
                        </w:r>
                      </w:p>
                    </w:txbxContent>
                  </v:textbox>
                </v:rect>
                <v:rect id="Rectangle 10434" o:spid="_x0000_s1060" style="position:absolute;left:21745;top:32561;width:4812;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" filled="f" stroked="f">
                  <v:textbox inset="0,0,0,0">
                    <w:txbxContent>
                      <w:p w14:paraId="193EA0B9" w14:textId="77777777" w:rsidR="00AC2BE6" w:rsidRDefault="00AC2BE6" w:rsidP="00B00ED8">
                        <w:pPr>
                          <w:spacing w:after="160" w:line="259" w:lineRule="auto"/>
                        </w:pPr>
                        <w:r>
                          <w:rPr>
                            <w:b/>
                            <w:spacing w:val="-1"/>
                            <w:sz w:val="16"/>
                          </w:rPr>
                          <w:t>subjects.</w:t>
                        </w:r>
                      </w:p>
                    </w:txbxContent>
                  </v:textbox>
                </v:rect>
                <w10:anchorlock/>
              </v:group>
            </w:pict>
          </mc:Fallback>
        </mc:AlternateContent>
      </w:r>
    </w:p>
    <w:p w14:paraId="2199328E" w14:textId="77777777" w:rsidR="00B00ED8" w:rsidRPr="00000849" w:rsidRDefault="00C84E75" w:rsidP="00A617B9">
      <w:pPr>
        <w:spacing w:after="244" w:line="265" w:lineRule="auto"/>
      </w:pPr>
      <w:hyperlink r:id="rId161">
        <w:r w:rsidR="00B00ED8" w:rsidRPr="00000849">
          <w:rPr>
            <w:rFonts w:ascii="Arial" w:eastAsia="Arial" w:hAnsi="Arial" w:cs="Arial"/>
            <w:color w:val="535C96"/>
            <w:sz w:val="16"/>
            <w:u w:val="single" w:color="535C96"/>
          </w:rPr>
          <w:t>https://doi.org/10.1371/journal.pone.0214934.g004</w:t>
        </w:r>
      </w:hyperlink>
    </w:p>
    <w:p w14:paraId="0D352C09" w14:textId="77777777" w:rsidR="00B00ED8" w:rsidRPr="00000849" w:rsidRDefault="00B00ED8" w:rsidP="00A617B9">
      <w:pPr>
        <w:spacing w:after="124" w:line="259" w:lineRule="auto"/>
      </w:pPr>
      <w:r w:rsidRPr="00000849">
        <w:rPr>
          <w:noProof/>
        </w:rPr>
        <mc:AlternateContent>
          <mc:Choice Requires="wpg">
            <w:drawing>
              <wp:inline distT="0" distB="0" distL="0" distR="0" wp14:anchorId="63C144B6" wp14:editId="0875E1E6">
                <wp:extent cx="4699000" cy="3255602"/>
                <wp:effectExtent l="0" t="0" r="6350" b="21590"/>
                <wp:docPr id="106402" name="Group 106402"/>
                <wp:cNvGraphicFramePr/>
                <a:graphic xmlns:a="http://schemas.openxmlformats.org/drawingml/2006/main">
                  <a:graphicData uri="http://schemas.microsoft.com/office/word/2010/wordprocessingGroup">
                    <wpg:wgp>
                      <wpg:cNvGrpSpPr/>
                      <wpg:grpSpPr>
                        <a:xfrm>
                          <a:off x="0" y="0"/>
                          <a:ext cx="4699000" cy="3255602"/>
                          <a:chOff x="0" y="0"/>
                          <a:chExt cx="4775200" cy="3373666"/>
                        </a:xfrm>
                      </wpg:grpSpPr>
                      <wps:wsp>
                        <wps:cNvPr id="143419" name="Shape 143419"/>
                        <wps:cNvSpPr/>
                        <wps:spPr>
                          <a:xfrm>
                            <a:off x="0" y="3367316"/>
                            <a:ext cx="4775200" cy="9144"/>
                          </a:xfrm>
                          <a:custGeom>
                            <a:avLst/>
                            <a:gdLst/>
                            <a:ahLst/>
                            <a:cxnLst/>
                            <a:rect l="0" t="0" r="0" b="0"/>
                            <a:pathLst>
                              <a:path w="4775200" h="9144">
                                <a:moveTo>
                                  <a:pt x="0" y="0"/>
                                </a:moveTo>
                                <a:lnTo>
                                  <a:pt x="4775200" y="0"/>
                                </a:lnTo>
                                <a:lnTo>
                                  <a:pt x="4775200" y="9144"/>
                                </a:lnTo>
                                <a:lnTo>
                                  <a:pt x="0" y="9144"/>
                                </a:lnTo>
                                <a:lnTo>
                                  <a:pt x="0" y="0"/>
                                </a:lnTo>
                              </a:path>
                            </a:pathLst>
                          </a:custGeom>
                          <a:ln w="0" cap="rnd">
                            <a:round/>
                          </a:ln>
                        </wps:spPr>
                        <wps:style>
                          <a:lnRef idx="0">
                            <a:srgbClr val="000000">
                              <a:alpha val="0"/>
                            </a:srgbClr>
                          </a:lnRef>
                          <a:fillRef idx="1">
                            <a:srgbClr val="99918C"/>
                          </a:fillRef>
                          <a:effectRef idx="0">
                            <a:scrgbClr r="0" g="0" b="0"/>
                          </a:effectRef>
                          <a:fontRef idx="none"/>
                        </wps:style>
                        <wps:bodyPr/>
                      </wps:wsp>
                      <pic:pic xmlns:pic="http://schemas.openxmlformats.org/drawingml/2006/picture">
                        <pic:nvPicPr>
                          <pic:cNvPr id="10899" name="Picture 10899"/>
                          <pic:cNvPicPr/>
                        </pic:nvPicPr>
                        <pic:blipFill>
                          <a:blip r:embed="rId162"/>
                          <a:stretch>
                            <a:fillRect/>
                          </a:stretch>
                        </pic:blipFill>
                        <pic:spPr>
                          <a:xfrm>
                            <a:off x="165" y="0"/>
                            <a:ext cx="4626725" cy="3157195"/>
                          </a:xfrm>
                          <a:prstGeom prst="rect">
                            <a:avLst/>
                          </a:prstGeom>
                        </pic:spPr>
                      </pic:pic>
                      <wps:wsp>
                        <wps:cNvPr id="10900" name="Rectangle 10900"/>
                        <wps:cNvSpPr/>
                        <wps:spPr>
                          <a:xfrm>
                            <a:off x="152" y="3256129"/>
                            <a:ext cx="178637" cy="121613"/>
                          </a:xfrm>
                          <a:prstGeom prst="rect">
                            <a:avLst/>
                          </a:prstGeom>
                          <a:ln>
                            <a:noFill/>
                          </a:ln>
                        </wps:spPr>
                        <wps:txbx>
                          <w:txbxContent>
                            <w:p w14:paraId="68B97545" w14:textId="77777777" w:rsidR="00AC2BE6" w:rsidRDefault="00AC2BE6" w:rsidP="00B00ED8">
                              <w:pPr>
                                <w:spacing w:after="160" w:line="259" w:lineRule="auto"/>
                              </w:pPr>
                              <w:r>
                                <w:rPr>
                                  <w:b/>
                                  <w:spacing w:val="-1"/>
                                  <w:w w:val="115"/>
                                  <w:sz w:val="16"/>
                                </w:rPr>
                                <w:t>Fig</w:t>
                              </w:r>
                            </w:p>
                          </w:txbxContent>
                        </wps:txbx>
                        <wps:bodyPr horzOverflow="overflow" vert="horz" lIns="0" tIns="0" rIns="0" bIns="0" rtlCol="0">
                          <a:noAutofit/>
                        </wps:bodyPr>
                      </wps:wsp>
                      <wps:wsp>
                        <wps:cNvPr id="10901" name="Rectangle 10901"/>
                        <wps:cNvSpPr/>
                        <wps:spPr>
                          <a:xfrm>
                            <a:off x="155670" y="3256129"/>
                            <a:ext cx="100669" cy="121613"/>
                          </a:xfrm>
                          <a:prstGeom prst="rect">
                            <a:avLst/>
                          </a:prstGeom>
                          <a:ln>
                            <a:noFill/>
                          </a:ln>
                        </wps:spPr>
                        <wps:txbx>
                          <w:txbxContent>
                            <w:p w14:paraId="540D3F34" w14:textId="77777777" w:rsidR="00AC2BE6" w:rsidRDefault="00AC2BE6" w:rsidP="00B00ED8">
                              <w:pPr>
                                <w:spacing w:after="160" w:line="259" w:lineRule="auto"/>
                              </w:pPr>
                              <w:r>
                                <w:rPr>
                                  <w:b/>
                                  <w:spacing w:val="-1"/>
                                  <w:w w:val="99"/>
                                  <w:sz w:val="16"/>
                                </w:rPr>
                                <w:t>5.</w:t>
                              </w:r>
                            </w:p>
                          </w:txbxContent>
                        </wps:txbx>
                        <wps:bodyPr horzOverflow="overflow" vert="horz" lIns="0" tIns="0" rIns="0" bIns="0" rtlCol="0">
                          <a:noAutofit/>
                        </wps:bodyPr>
                      </wps:wsp>
                      <wps:wsp>
                        <wps:cNvPr id="10902" name="Rectangle 10902"/>
                        <wps:cNvSpPr/>
                        <wps:spPr>
                          <a:xfrm>
                            <a:off x="264390" y="3256129"/>
                            <a:ext cx="605636" cy="121613"/>
                          </a:xfrm>
                          <a:prstGeom prst="rect">
                            <a:avLst/>
                          </a:prstGeom>
                          <a:ln>
                            <a:noFill/>
                          </a:ln>
                        </wps:spPr>
                        <wps:txbx>
                          <w:txbxContent>
                            <w:p w14:paraId="482F0B03" w14:textId="77777777" w:rsidR="00AC2BE6" w:rsidRDefault="00AC2BE6" w:rsidP="00B00ED8">
                              <w:pPr>
                                <w:spacing w:after="160" w:line="259" w:lineRule="auto"/>
                              </w:pPr>
                              <w:r>
                                <w:rPr>
                                  <w:b/>
                                  <w:spacing w:val="-1"/>
                                  <w:w w:val="101"/>
                                  <w:sz w:val="16"/>
                                </w:rPr>
                                <w:t>Prevalence</w:t>
                              </w:r>
                            </w:p>
                          </w:txbxContent>
                        </wps:txbx>
                        <wps:bodyPr horzOverflow="overflow" vert="horz" lIns="0" tIns="0" rIns="0" bIns="0" rtlCol="0">
                          <a:noAutofit/>
                        </wps:bodyPr>
                      </wps:wsp>
                      <wps:wsp>
                        <wps:cNvPr id="10903" name="Rectangle 10903"/>
                        <wps:cNvSpPr/>
                        <wps:spPr>
                          <a:xfrm>
                            <a:off x="741020" y="3256129"/>
                            <a:ext cx="525912" cy="121613"/>
                          </a:xfrm>
                          <a:prstGeom prst="rect">
                            <a:avLst/>
                          </a:prstGeom>
                          <a:ln>
                            <a:noFill/>
                          </a:ln>
                        </wps:spPr>
                        <wps:txbx>
                          <w:txbxContent>
                            <w:p w14:paraId="05309D14" w14:textId="77777777" w:rsidR="00AC2BE6" w:rsidRDefault="00AC2BE6" w:rsidP="00B00ED8">
                              <w:pPr>
                                <w:spacing w:after="160" w:line="259" w:lineRule="auto"/>
                              </w:pPr>
                              <w:r>
                                <w:rPr>
                                  <w:b/>
                                  <w:spacing w:val="-1"/>
                                  <w:w w:val="99"/>
                                  <w:sz w:val="16"/>
                                </w:rPr>
                                <w:t>estimates</w:t>
                              </w:r>
                            </w:p>
                          </w:txbxContent>
                        </wps:txbx>
                        <wps:bodyPr horzOverflow="overflow" vert="horz" lIns="0" tIns="0" rIns="0" bIns="0" rtlCol="0">
                          <a:noAutofit/>
                        </wps:bodyPr>
                      </wps:wsp>
                      <wps:wsp>
                        <wps:cNvPr id="10904" name="Rectangle 10904"/>
                        <wps:cNvSpPr/>
                        <wps:spPr>
                          <a:xfrm>
                            <a:off x="1157179" y="3256129"/>
                            <a:ext cx="114587" cy="121613"/>
                          </a:xfrm>
                          <a:prstGeom prst="rect">
                            <a:avLst/>
                          </a:prstGeom>
                          <a:ln>
                            <a:noFill/>
                          </a:ln>
                        </wps:spPr>
                        <wps:txbx>
                          <w:txbxContent>
                            <w:p w14:paraId="5C0FF435" w14:textId="77777777" w:rsidR="00AC2BE6" w:rsidRDefault="00AC2BE6" w:rsidP="00B00ED8">
                              <w:pPr>
                                <w:spacing w:after="160" w:line="259" w:lineRule="auto"/>
                              </w:pPr>
                              <w:r>
                                <w:rPr>
                                  <w:b/>
                                  <w:spacing w:val="-1"/>
                                  <w:w w:val="103"/>
                                  <w:sz w:val="16"/>
                                </w:rPr>
                                <w:t>of</w:t>
                              </w:r>
                            </w:p>
                          </w:txbxContent>
                        </wps:txbx>
                        <wps:bodyPr horzOverflow="overflow" vert="horz" lIns="0" tIns="0" rIns="0" bIns="0" rtlCol="0">
                          <a:noAutofit/>
                        </wps:bodyPr>
                      </wps:wsp>
                      <wps:wsp>
                        <wps:cNvPr id="10905" name="Rectangle 10905"/>
                        <wps:cNvSpPr/>
                        <wps:spPr>
                          <a:xfrm>
                            <a:off x="1265179" y="3256129"/>
                            <a:ext cx="736371" cy="121613"/>
                          </a:xfrm>
                          <a:prstGeom prst="rect">
                            <a:avLst/>
                          </a:prstGeom>
                          <a:ln>
                            <a:noFill/>
                          </a:ln>
                        </wps:spPr>
                        <wps:txbx>
                          <w:txbxContent>
                            <w:p w14:paraId="23791CBF" w14:textId="77777777" w:rsidR="00AC2BE6" w:rsidRDefault="00AC2BE6" w:rsidP="00B00ED8">
                              <w:pPr>
                                <w:spacing w:after="160" w:line="259" w:lineRule="auto"/>
                              </w:pPr>
                              <w:r>
                                <w:rPr>
                                  <w:b/>
                                  <w:spacing w:val="-1"/>
                                  <w:w w:val="102"/>
                                  <w:sz w:val="16"/>
                                </w:rPr>
                                <w:t>hypertension</w:t>
                              </w:r>
                            </w:p>
                          </w:txbxContent>
                        </wps:txbx>
                        <wps:bodyPr horzOverflow="overflow" vert="horz" lIns="0" tIns="0" rIns="0" bIns="0" rtlCol="0">
                          <a:noAutofit/>
                        </wps:bodyPr>
                      </wps:wsp>
                      <wps:wsp>
                        <wps:cNvPr id="10906" name="Rectangle 10906"/>
                        <wps:cNvSpPr/>
                        <wps:spPr>
                          <a:xfrm>
                            <a:off x="1840461" y="3256129"/>
                            <a:ext cx="114587" cy="121613"/>
                          </a:xfrm>
                          <a:prstGeom prst="rect">
                            <a:avLst/>
                          </a:prstGeom>
                          <a:ln>
                            <a:noFill/>
                          </a:ln>
                        </wps:spPr>
                        <wps:txbx>
                          <w:txbxContent>
                            <w:p w14:paraId="45BA97F4" w14:textId="77777777" w:rsidR="00AC2BE6" w:rsidRDefault="00AC2BE6" w:rsidP="00B00ED8">
                              <w:pPr>
                                <w:spacing w:after="160" w:line="259" w:lineRule="auto"/>
                              </w:pPr>
                              <w:r>
                                <w:rPr>
                                  <w:b/>
                                  <w:spacing w:val="-1"/>
                                  <w:w w:val="114"/>
                                  <w:sz w:val="16"/>
                                </w:rPr>
                                <w:t>in</w:t>
                              </w:r>
                            </w:p>
                          </w:txbxContent>
                        </wps:txbx>
                        <wps:bodyPr horzOverflow="overflow" vert="horz" lIns="0" tIns="0" rIns="0" bIns="0" rtlCol="0">
                          <a:noAutofit/>
                        </wps:bodyPr>
                      </wps:wsp>
                      <wps:wsp>
                        <wps:cNvPr id="10907" name="Rectangle 10907"/>
                        <wps:cNvSpPr/>
                        <wps:spPr>
                          <a:xfrm>
                            <a:off x="1948460" y="3256129"/>
                            <a:ext cx="374840" cy="121613"/>
                          </a:xfrm>
                          <a:prstGeom prst="rect">
                            <a:avLst/>
                          </a:prstGeom>
                          <a:ln>
                            <a:noFill/>
                          </a:ln>
                        </wps:spPr>
                        <wps:txbx>
                          <w:txbxContent>
                            <w:p w14:paraId="7C31CCB2" w14:textId="77777777" w:rsidR="00AC2BE6" w:rsidRDefault="00AC2BE6" w:rsidP="00B00ED8">
                              <w:pPr>
                                <w:spacing w:after="160" w:line="259" w:lineRule="auto"/>
                              </w:pPr>
                              <w:r>
                                <w:rPr>
                                  <w:b/>
                                  <w:spacing w:val="-1"/>
                                  <w:sz w:val="16"/>
                                </w:rPr>
                                <w:t>female</w:t>
                              </w:r>
                            </w:p>
                          </w:txbxContent>
                        </wps:txbx>
                        <wps:bodyPr horzOverflow="overflow" vert="horz" lIns="0" tIns="0" rIns="0" bIns="0" rtlCol="0">
                          <a:noAutofit/>
                        </wps:bodyPr>
                      </wps:wsp>
                      <wps:wsp>
                        <wps:cNvPr id="10908" name="Rectangle 10908"/>
                        <wps:cNvSpPr/>
                        <wps:spPr>
                          <a:xfrm>
                            <a:off x="2251581" y="3256129"/>
                            <a:ext cx="481185" cy="121613"/>
                          </a:xfrm>
                          <a:prstGeom prst="rect">
                            <a:avLst/>
                          </a:prstGeom>
                          <a:ln>
                            <a:noFill/>
                          </a:ln>
                        </wps:spPr>
                        <wps:txbx>
                          <w:txbxContent>
                            <w:p w14:paraId="5786F660" w14:textId="77777777" w:rsidR="00AC2BE6" w:rsidRDefault="00AC2BE6" w:rsidP="00B00ED8">
                              <w:pPr>
                                <w:spacing w:after="160" w:line="259" w:lineRule="auto"/>
                              </w:pPr>
                              <w:r>
                                <w:rPr>
                                  <w:b/>
                                  <w:spacing w:val="-1"/>
                                  <w:sz w:val="16"/>
                                </w:rPr>
                                <w:t>subjects.</w:t>
                              </w:r>
                            </w:p>
                          </w:txbxContent>
                        </wps:txbx>
                        <wps:bodyPr horzOverflow="overflow" vert="horz" lIns="0" tIns="0" rIns="0" bIns="0" rtlCol="0">
                          <a:noAutofit/>
                        </wps:bodyPr>
                      </wps:wsp>
                    </wpg:wgp>
                  </a:graphicData>
                </a:graphic>
              </wp:inline>
            </w:drawing>
          </mc:Choice>
          <mc:Fallback>
            <w:pict>
              <v:group w14:anchorId="63C144B6" id="Group 106402" o:spid="_x0000_s1061" style="width:370pt;height:256.35pt;mso-position-horizontal-relative:char;mso-position-vertical-relative:line" coordsize="47752,337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EfG3/lJIP+yV&#10;x/8Ap1avvevgj42/8pJB/wBkrj/9OrUAdd/wTt/5D37S/wD2VTV//QxX2TXxt/wTt/5D37S//ZVN&#10;X/8AQxX2TQAUUUUAFFFFABRRRQAUUUUAFFFFABRRRQAUUUUAFFFFABRRSUALRRRQAUUUUAFFFFAB&#10;RRSUAL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&#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CPjb/ykkH/AGSuP/06tX3vXwR8bf8A&#10;lJIP+yVx/wDp1agDrv8Agnb/AMh79pf/ALKpq/8A6GK+ya+Nv+Cdv/Ie/aX/AOyqav8A+hivsm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">
                <v:shape id="Shape 143419" o:spid="_x0000_s1062" style="position:absolute;top:33673;width:47752;height:91;visibility:visible;mso-wrap-style:square;v-text-anchor:top" coordsize="47752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" path="m,l4775200,r,9144l,9144,,e" fillcolor="#99918c" stroked="f" strokeweight="0">
                  <v:stroke endcap="round"/>
                  <v:path arrowok="t" textboxrect="0,0,4775200,9144"/>
                </v:shape>
                <v:shape id="Picture 10899" o:spid="_x0000_s1063" type="#_x0000_t75" style="position:absolute;left:1;width:46267;height:3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">
                  <v:imagedata r:id="rId163" o:title=""/>
                </v:shape>
                <v:rect id="Rectangle 10900" o:spid="_x0000_s1064" style="position:absolute;left:1;top:32561;width:178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" filled="f" stroked="f">
                  <v:textbox inset="0,0,0,0">
                    <w:txbxContent>
                      <w:p w14:paraId="68B97545" w14:textId="77777777" w:rsidR="00AC2BE6" w:rsidRDefault="00AC2BE6" w:rsidP="00B00ED8">
                        <w:pPr>
                          <w:spacing w:after="160" w:line="259" w:lineRule="auto"/>
                        </w:pPr>
                        <w:r>
                          <w:rPr>
                            <w:b/>
                            <w:spacing w:val="-1"/>
                            <w:w w:val="115"/>
                            <w:sz w:val="16"/>
                          </w:rPr>
                          <w:t>Fig</w:t>
                        </w:r>
                      </w:p>
                    </w:txbxContent>
                  </v:textbox>
                </v:rect>
                <v:rect id="Rectangle 10901" o:spid="_x0000_s1065" style="position:absolute;left:1556;top:32561;width:100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" filled="f" stroked="f">
                  <v:textbox inset="0,0,0,0">
                    <w:txbxContent>
                      <w:p w14:paraId="540D3F34" w14:textId="77777777" w:rsidR="00AC2BE6" w:rsidRDefault="00AC2BE6" w:rsidP="00B00ED8">
                        <w:pPr>
                          <w:spacing w:after="160" w:line="259" w:lineRule="auto"/>
                        </w:pPr>
                        <w:r>
                          <w:rPr>
                            <w:b/>
                            <w:spacing w:val="-1"/>
                            <w:w w:val="99"/>
                            <w:sz w:val="16"/>
                          </w:rPr>
                          <w:t>5.</w:t>
                        </w:r>
                      </w:p>
                    </w:txbxContent>
                  </v:textbox>
                </v:rect>
                <v:rect id="Rectangle 10902" o:spid="_x0000_s1066" style="position:absolute;left:2643;top:32561;width:605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" filled="f" stroked="f">
                  <v:textbox inset="0,0,0,0">
                    <w:txbxContent>
                      <w:p w14:paraId="482F0B03" w14:textId="77777777" w:rsidR="00AC2BE6" w:rsidRDefault="00AC2BE6" w:rsidP="00B00ED8">
                        <w:pPr>
                          <w:spacing w:after="160" w:line="259" w:lineRule="auto"/>
                        </w:pPr>
                        <w:r>
                          <w:rPr>
                            <w:b/>
                            <w:spacing w:val="-1"/>
                            <w:w w:val="101"/>
                            <w:sz w:val="16"/>
                          </w:rPr>
                          <w:t>Prevalence</w:t>
                        </w:r>
                      </w:p>
                    </w:txbxContent>
                  </v:textbox>
                </v:rect>
                <v:rect id="Rectangle 10903" o:spid="_x0000_s1067" style="position:absolute;left:7410;top:32561;width:5259;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" filled="f" stroked="f">
                  <v:textbox inset="0,0,0,0">
                    <w:txbxContent>
                      <w:p w14:paraId="05309D14" w14:textId="77777777" w:rsidR="00AC2BE6" w:rsidRDefault="00AC2BE6" w:rsidP="00B00ED8">
                        <w:pPr>
                          <w:spacing w:after="160" w:line="259" w:lineRule="auto"/>
                        </w:pPr>
                        <w:r>
                          <w:rPr>
                            <w:b/>
                            <w:spacing w:val="-1"/>
                            <w:w w:val="99"/>
                            <w:sz w:val="16"/>
                          </w:rPr>
                          <w:t>estimates</w:t>
                        </w:r>
                      </w:p>
                    </w:txbxContent>
                  </v:textbox>
                </v:rect>
                <v:rect id="Rectangle 10904" o:spid="_x0000_s1068" style="position:absolute;left:11571;top:32561;width:114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" filled="f" stroked="f">
                  <v:textbox inset="0,0,0,0">
                    <w:txbxContent>
                      <w:p w14:paraId="5C0FF435" w14:textId="77777777" w:rsidR="00AC2BE6" w:rsidRDefault="00AC2BE6" w:rsidP="00B00ED8">
                        <w:pPr>
                          <w:spacing w:after="160" w:line="259" w:lineRule="auto"/>
                        </w:pPr>
                        <w:r>
                          <w:rPr>
                            <w:b/>
                            <w:spacing w:val="-1"/>
                            <w:w w:val="103"/>
                            <w:sz w:val="16"/>
                          </w:rPr>
                          <w:t>of</w:t>
                        </w:r>
                      </w:p>
                    </w:txbxContent>
                  </v:textbox>
                </v:rect>
                <v:rect id="Rectangle 10905" o:spid="_x0000_s1069" style="position:absolute;left:12651;top:32561;width:7364;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" filled="f" stroked="f">
                  <v:textbox inset="0,0,0,0">
                    <w:txbxContent>
                      <w:p w14:paraId="23791CBF" w14:textId="77777777" w:rsidR="00AC2BE6" w:rsidRDefault="00AC2BE6" w:rsidP="00B00ED8">
                        <w:pPr>
                          <w:spacing w:after="160" w:line="259" w:lineRule="auto"/>
                        </w:pPr>
                        <w:r>
                          <w:rPr>
                            <w:b/>
                            <w:spacing w:val="-1"/>
                            <w:w w:val="102"/>
                            <w:sz w:val="16"/>
                          </w:rPr>
                          <w:t>hypertension</w:t>
                        </w:r>
                      </w:p>
                    </w:txbxContent>
                  </v:textbox>
                </v:rect>
                <v:rect id="Rectangle 10906" o:spid="_x0000_s1070" style="position:absolute;left:18404;top:32561;width:1146;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" filled="f" stroked="f">
                  <v:textbox inset="0,0,0,0">
                    <w:txbxContent>
                      <w:p w14:paraId="45BA97F4" w14:textId="77777777" w:rsidR="00AC2BE6" w:rsidRDefault="00AC2BE6" w:rsidP="00B00ED8">
                        <w:pPr>
                          <w:spacing w:after="160" w:line="259" w:lineRule="auto"/>
                        </w:pPr>
                        <w:r>
                          <w:rPr>
                            <w:b/>
                            <w:spacing w:val="-1"/>
                            <w:w w:val="114"/>
                            <w:sz w:val="16"/>
                          </w:rPr>
                          <w:t>in</w:t>
                        </w:r>
                      </w:p>
                    </w:txbxContent>
                  </v:textbox>
                </v:rect>
                <v:rect id="Rectangle 10907" o:spid="_x0000_s1071" style="position:absolute;left:19484;top:32561;width:3749;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" filled="f" stroked="f">
                  <v:textbox inset="0,0,0,0">
                    <w:txbxContent>
                      <w:p w14:paraId="7C31CCB2" w14:textId="77777777" w:rsidR="00AC2BE6" w:rsidRDefault="00AC2BE6" w:rsidP="00B00ED8">
                        <w:pPr>
                          <w:spacing w:after="160" w:line="259" w:lineRule="auto"/>
                        </w:pPr>
                        <w:r>
                          <w:rPr>
                            <w:b/>
                            <w:spacing w:val="-1"/>
                            <w:sz w:val="16"/>
                          </w:rPr>
                          <w:t>female</w:t>
                        </w:r>
                      </w:p>
                    </w:txbxContent>
                  </v:textbox>
                </v:rect>
                <v:rect id="Rectangle 10908" o:spid="_x0000_s1072" style="position:absolute;left:22515;top:32561;width:4812;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" filled="f" stroked="f">
                  <v:textbox inset="0,0,0,0">
                    <w:txbxContent>
                      <w:p w14:paraId="5786F660" w14:textId="77777777" w:rsidR="00AC2BE6" w:rsidRDefault="00AC2BE6" w:rsidP="00B00ED8">
                        <w:pPr>
                          <w:spacing w:after="160" w:line="259" w:lineRule="auto"/>
                        </w:pPr>
                        <w:r>
                          <w:rPr>
                            <w:b/>
                            <w:spacing w:val="-1"/>
                            <w:sz w:val="16"/>
                          </w:rPr>
                          <w:t>subjects.</w:t>
                        </w:r>
                      </w:p>
                    </w:txbxContent>
                  </v:textbox>
                </v:rect>
                <w10:anchorlock/>
              </v:group>
            </w:pict>
          </mc:Fallback>
        </mc:AlternateContent>
      </w:r>
    </w:p>
    <w:p w14:paraId="4BE6FC75" w14:textId="77777777" w:rsidR="00B00ED8" w:rsidRPr="00000849" w:rsidRDefault="00C84E75" w:rsidP="00A617B9">
      <w:pPr>
        <w:spacing w:after="244" w:line="265" w:lineRule="auto"/>
      </w:pPr>
      <w:hyperlink r:id="rId164">
        <w:r w:rsidR="00B00ED8" w:rsidRPr="00000849">
          <w:rPr>
            <w:rFonts w:ascii="Arial" w:eastAsia="Arial" w:hAnsi="Arial" w:cs="Arial"/>
            <w:color w:val="535C96"/>
            <w:sz w:val="16"/>
            <w:u w:val="single" w:color="535C96"/>
          </w:rPr>
          <w:t>https://doi.org/10.1371/journal.pone.0214934.g005</w:t>
        </w:r>
      </w:hyperlink>
    </w:p>
    <w:p w14:paraId="776FEE44" w14:textId="77777777" w:rsidR="00B00ED8" w:rsidRPr="00000849" w:rsidRDefault="00B00ED8" w:rsidP="008B3C61">
      <w:pPr>
        <w:spacing w:after="426" w:line="265" w:lineRule="auto"/>
        <w:jc w:val="both"/>
      </w:pPr>
      <w:r w:rsidRPr="00000849">
        <w:t>published before the median publication year, 2013 (47.0%, 95% CI 40.0%-55.0%) versus those published at or after the median year (63.0%, 95% CI 57.0%-69.0%). In a cohort of elderly adults in the Ibadan Ageing Study in Nigeria, the prevalence of hypertension declined slightly from a baseline of 62.1% to 60.9% six years later [</w:t>
      </w:r>
      <w:r w:rsidRPr="00000849">
        <w:rPr>
          <w:color w:val="535C96"/>
          <w:u w:val="single" w:color="535C96"/>
        </w:rPr>
        <w:t>64</w:t>
      </w:r>
      <w:r w:rsidRPr="00000849">
        <w:t>]</w:t>
      </w:r>
    </w:p>
    <w:p w14:paraId="1C1497C6" w14:textId="77777777" w:rsidR="00B00ED8" w:rsidRPr="00000849" w:rsidRDefault="00B00ED8" w:rsidP="008B3C61">
      <w:pPr>
        <w:ind w:right="16" w:firstLine="239"/>
        <w:jc w:val="both"/>
      </w:pPr>
      <w:r w:rsidRPr="00000849">
        <w:t xml:space="preserve">The relationship between body mass index (BMI) and hypertension was reported by 13 studies. In multivariate analyses, older adults who were overweight or obese were up to 3.5 </w:t>
      </w:r>
      <w:r w:rsidRPr="00000849">
        <w:lastRenderedPageBreak/>
        <w:t>times as likely as those with normal BMI to have hypertension [</w:t>
      </w:r>
      <w:r w:rsidRPr="00000849">
        <w:rPr>
          <w:color w:val="535C96"/>
          <w:u w:val="single" w:color="535C96"/>
        </w:rPr>
        <w:t>72</w:t>
      </w:r>
      <w:r w:rsidRPr="00000849">
        <w:t xml:space="preserve">, </w:t>
      </w:r>
      <w:r w:rsidRPr="00000849">
        <w:rPr>
          <w:color w:val="535C96"/>
          <w:u w:val="single" w:color="535C96"/>
        </w:rPr>
        <w:t>76</w:t>
      </w:r>
      <w:r w:rsidRPr="00000849">
        <w:t xml:space="preserve">, </w:t>
      </w:r>
      <w:r w:rsidRPr="00000849">
        <w:rPr>
          <w:color w:val="535C96"/>
          <w:u w:val="single" w:color="535C96"/>
        </w:rPr>
        <w:t>77</w:t>
      </w:r>
      <w:r w:rsidRPr="00000849">
        <w:t>]. A dose-response relationship was observed in several studies [</w:t>
      </w:r>
      <w:r w:rsidRPr="00000849">
        <w:rPr>
          <w:color w:val="535C96"/>
          <w:u w:val="single" w:color="535C96"/>
        </w:rPr>
        <w:t>49</w:t>
      </w:r>
      <w:r w:rsidRPr="00000849">
        <w:t xml:space="preserve">, </w:t>
      </w:r>
      <w:r w:rsidRPr="00000849">
        <w:rPr>
          <w:color w:val="535C96"/>
          <w:u w:val="single" w:color="535C96"/>
        </w:rPr>
        <w:t>78</w:t>
      </w:r>
      <w:r w:rsidRPr="00000849">
        <w:t xml:space="preserve">, </w:t>
      </w:r>
      <w:r w:rsidRPr="00000849">
        <w:rPr>
          <w:color w:val="535C96"/>
          <w:u w:val="single" w:color="535C96"/>
        </w:rPr>
        <w:t>79</w:t>
      </w:r>
      <w:r w:rsidRPr="00000849">
        <w:t>].</w:t>
      </w:r>
    </w:p>
    <w:p w14:paraId="5D0F3E27" w14:textId="77777777" w:rsidR="00B00ED8" w:rsidRPr="00000849" w:rsidRDefault="00B00ED8" w:rsidP="008B3C61">
      <w:pPr>
        <w:ind w:right="16" w:firstLine="239"/>
        <w:jc w:val="both"/>
      </w:pPr>
    </w:p>
    <w:p w14:paraId="2CD032FD" w14:textId="77777777" w:rsidR="00B00ED8" w:rsidRPr="00000849" w:rsidRDefault="00B00ED8" w:rsidP="008B3C61">
      <w:pPr>
        <w:jc w:val="both"/>
        <w:rPr>
          <w:b/>
          <w:bCs/>
          <w:color w:val="0070C0"/>
          <w:sz w:val="24"/>
          <w:szCs w:val="24"/>
        </w:rPr>
      </w:pPr>
      <w:r w:rsidRPr="00000849">
        <w:rPr>
          <w:b/>
          <w:bCs/>
          <w:color w:val="0070C0"/>
          <w:sz w:val="24"/>
          <w:szCs w:val="24"/>
        </w:rPr>
        <w:t>Evaluation of bias and sensitivity analysis</w:t>
      </w:r>
    </w:p>
    <w:p w14:paraId="4A40DF10" w14:textId="77777777" w:rsidR="00B00ED8" w:rsidRPr="00000849" w:rsidRDefault="00B00ED8" w:rsidP="008B3C61">
      <w:pPr>
        <w:ind w:right="16"/>
        <w:jc w:val="both"/>
      </w:pPr>
      <w:r w:rsidRPr="00000849">
        <w:t>Using the Hoy tool [</w:t>
      </w:r>
      <w:r w:rsidRPr="00000849">
        <w:rPr>
          <w:color w:val="535C96"/>
          <w:u w:val="single" w:color="535C96"/>
        </w:rPr>
        <w:t>30</w:t>
      </w:r>
      <w:r w:rsidRPr="00000849">
        <w:t>], we determined that eight studies had a high risk of biased estimate [</w:t>
      </w:r>
      <w:r w:rsidRPr="00000849">
        <w:rPr>
          <w:color w:val="535C96"/>
          <w:u w:val="single" w:color="535C96"/>
        </w:rPr>
        <w:t>44</w:t>
      </w:r>
      <w:r w:rsidRPr="00000849">
        <w:t xml:space="preserve">, </w:t>
      </w:r>
      <w:r w:rsidRPr="00000849">
        <w:rPr>
          <w:color w:val="535C96"/>
          <w:u w:val="single" w:color="535C96"/>
        </w:rPr>
        <w:t>46</w:t>
      </w:r>
      <w:r w:rsidRPr="00000849">
        <w:t xml:space="preserve">, </w:t>
      </w:r>
      <w:r w:rsidRPr="00000849">
        <w:rPr>
          <w:color w:val="535C96"/>
          <w:u w:val="single" w:color="535C96"/>
        </w:rPr>
        <w:t>51</w:t>
      </w:r>
      <w:r w:rsidRPr="00000849">
        <w:t xml:space="preserve">, </w:t>
      </w:r>
      <w:r w:rsidRPr="00000849">
        <w:rPr>
          <w:color w:val="535C96"/>
          <w:u w:val="single" w:color="535C96"/>
        </w:rPr>
        <w:t>52</w:t>
      </w:r>
      <w:r w:rsidRPr="00000849">
        <w:t xml:space="preserve">, </w:t>
      </w:r>
      <w:r w:rsidRPr="00000849">
        <w:rPr>
          <w:color w:val="535C96"/>
          <w:u w:val="single" w:color="535C96"/>
        </w:rPr>
        <w:t>54</w:t>
      </w:r>
      <w:r w:rsidRPr="00000849">
        <w:t xml:space="preserve">, </w:t>
      </w:r>
      <w:r w:rsidRPr="00000849">
        <w:rPr>
          <w:color w:val="535C96"/>
          <w:u w:val="single" w:color="535C96"/>
        </w:rPr>
        <w:t>62</w:t>
      </w:r>
      <w:r w:rsidRPr="00000849">
        <w:t xml:space="preserve">, </w:t>
      </w:r>
      <w:r w:rsidRPr="00000849">
        <w:rPr>
          <w:color w:val="535C96"/>
          <w:u w:val="single" w:color="535C96"/>
        </w:rPr>
        <w:t>65</w:t>
      </w:r>
      <w:r w:rsidRPr="00000849">
        <w:t xml:space="preserve">, </w:t>
      </w:r>
      <w:r w:rsidRPr="00000849">
        <w:rPr>
          <w:color w:val="535C96"/>
          <w:u w:val="single" w:color="535C96"/>
        </w:rPr>
        <w:t>66</w:t>
      </w:r>
      <w:r w:rsidRPr="00000849">
        <w:t>] and nine studies [</w:t>
      </w:r>
      <w:r w:rsidRPr="00000849">
        <w:rPr>
          <w:color w:val="535C96"/>
          <w:u w:val="single" w:color="535C96"/>
        </w:rPr>
        <w:t>40</w:t>
      </w:r>
      <w:r w:rsidRPr="00000849">
        <w:t xml:space="preserve">, </w:t>
      </w:r>
      <w:r w:rsidRPr="00000849">
        <w:rPr>
          <w:color w:val="535C96"/>
          <w:u w:val="single" w:color="535C96"/>
        </w:rPr>
        <w:t>47</w:t>
      </w:r>
      <w:r w:rsidRPr="00000849">
        <w:t xml:space="preserve">, </w:t>
      </w:r>
      <w:r w:rsidRPr="00000849">
        <w:rPr>
          <w:color w:val="535C96"/>
          <w:u w:val="single" w:color="535C96"/>
        </w:rPr>
        <w:t>53</w:t>
      </w:r>
      <w:r w:rsidRPr="00000849">
        <w:t xml:space="preserve">, </w:t>
      </w:r>
      <w:r w:rsidRPr="00000849">
        <w:rPr>
          <w:color w:val="535C96"/>
          <w:u w:val="single" w:color="535C96"/>
        </w:rPr>
        <w:t>56</w:t>
      </w:r>
      <w:r w:rsidRPr="00000849">
        <w:t xml:space="preserve">, </w:t>
      </w:r>
      <w:r w:rsidRPr="00000849">
        <w:rPr>
          <w:color w:val="535C96"/>
          <w:u w:val="single" w:color="535C96"/>
        </w:rPr>
        <w:t>57</w:t>
      </w:r>
      <w:r w:rsidRPr="00000849">
        <w:t xml:space="preserve">, </w:t>
      </w:r>
      <w:r w:rsidRPr="00000849">
        <w:rPr>
          <w:color w:val="535C96"/>
          <w:u w:val="single" w:color="535C96"/>
        </w:rPr>
        <w:t>61</w:t>
      </w:r>
      <w:r w:rsidRPr="00000849">
        <w:t xml:space="preserve">, </w:t>
      </w:r>
      <w:r w:rsidRPr="00000849">
        <w:rPr>
          <w:color w:val="535C96"/>
          <w:u w:val="single" w:color="535C96"/>
        </w:rPr>
        <w:t>67</w:t>
      </w:r>
      <w:r w:rsidRPr="00000849">
        <w:t xml:space="preserve">, </w:t>
      </w:r>
      <w:r w:rsidRPr="00000849">
        <w:rPr>
          <w:color w:val="535C96"/>
          <w:u w:val="single" w:color="535C96"/>
        </w:rPr>
        <w:t>69</w:t>
      </w:r>
      <w:r w:rsidRPr="00000849">
        <w:t xml:space="preserve">, </w:t>
      </w:r>
      <w:r w:rsidRPr="00000849">
        <w:rPr>
          <w:color w:val="535C96"/>
          <w:u w:val="single" w:color="535C96"/>
        </w:rPr>
        <w:t>70</w:t>
      </w:r>
      <w:r w:rsidRPr="00000849">
        <w:t>] had a moderate-risk of bias while the remaining 17 studies had low risk of bias (</w:t>
      </w:r>
      <w:r w:rsidRPr="00000849">
        <w:rPr>
          <w:color w:val="535C96"/>
          <w:u w:val="single" w:color="535C96"/>
        </w:rPr>
        <w:t>S5 Table</w:t>
      </w:r>
      <w:r w:rsidRPr="00000849">
        <w:t>). The pooled prevalence of hypertension did not differ by the study’s evaluated risk of bias (</w:t>
      </w:r>
      <w:r w:rsidRPr="00000849">
        <w:rPr>
          <w:color w:val="535C96"/>
          <w:u w:val="single" w:color="535C96"/>
        </w:rPr>
        <w:t>S2 Fig</w:t>
      </w:r>
      <w:r w:rsidRPr="00000849">
        <w:t>). The prevalence of hypertension in high and low risk biased studies was 50.0% (95% CI 42.0%59.0%) and 56.0% (95% CI 50.0%-62.0%) respectively. Excluding the studies with high risk of bias did not have any significant impact of the pooled prevalence of hypertension.</w:t>
      </w:r>
    </w:p>
    <w:p w14:paraId="35BA49C5" w14:textId="77777777" w:rsidR="00B00ED8" w:rsidRPr="00000849" w:rsidRDefault="00B00ED8" w:rsidP="008B3C61">
      <w:pPr>
        <w:spacing w:after="322"/>
        <w:ind w:right="16" w:firstLine="239"/>
        <w:jc w:val="both"/>
      </w:pPr>
      <w:r w:rsidRPr="00000849">
        <w:t>In the influence analysis, the removal of a high prevalence (77.4%, 95% CI 76.0%-78.7%) study [</w:t>
      </w:r>
      <w:r w:rsidRPr="00000849">
        <w:rPr>
          <w:color w:val="535C96"/>
          <w:u w:val="single" w:color="535C96"/>
        </w:rPr>
        <w:t>67</w:t>
      </w:r>
      <w:r w:rsidRPr="00000849">
        <w:t>] resulted in a significant reduction in the pooled estimate from 57.0% (95% CI 52%61%) to 55.9% (95% CI 55.4%-56.4%) (</w:t>
      </w:r>
      <w:r w:rsidRPr="00000849">
        <w:rPr>
          <w:color w:val="535C96"/>
          <w:u w:val="single" w:color="535C96"/>
        </w:rPr>
        <w:t>S3 Fig</w:t>
      </w:r>
      <w:r w:rsidRPr="00000849">
        <w:t>). Conversely, the omission of two studies, one at a time, with respective low prevalence of 24.1% (95% CI 21.4%-27.0%) [</w:t>
      </w:r>
      <w:r w:rsidRPr="00000849">
        <w:rPr>
          <w:color w:val="535C96"/>
          <w:u w:val="single" w:color="535C96"/>
        </w:rPr>
        <w:t>55</w:t>
      </w:r>
      <w:r w:rsidRPr="00000849">
        <w:t>] and 47.8% (95% CI 46.3%-49.3%) [</w:t>
      </w:r>
      <w:r w:rsidRPr="00000849">
        <w:rPr>
          <w:color w:val="535C96"/>
          <w:u w:val="single" w:color="535C96"/>
        </w:rPr>
        <w:t>62</w:t>
      </w:r>
      <w:r w:rsidRPr="00000849">
        <w:t>] resulted in a significant increase of the overall pooled prevalence to 59.3% (95% CI 58.9%-59.8%) and 59.5% (95% CI 59.0%-60.0%). Thus, while the removal of these three studies, in turn, resulted in a significant change in the summary estimate, the magnitude of the change was small—within 2.5 percentage points of the original summary estimate.</w:t>
      </w:r>
    </w:p>
    <w:p w14:paraId="46ACE60E" w14:textId="77777777" w:rsidR="00B00ED8" w:rsidRPr="00000849" w:rsidRDefault="00B00ED8" w:rsidP="008B3C61">
      <w:pPr>
        <w:jc w:val="both"/>
        <w:rPr>
          <w:b/>
          <w:bCs/>
          <w:color w:val="0070C0"/>
          <w:sz w:val="24"/>
          <w:szCs w:val="24"/>
        </w:rPr>
      </w:pPr>
      <w:r w:rsidRPr="00000849">
        <w:rPr>
          <w:b/>
          <w:bCs/>
          <w:color w:val="0070C0"/>
          <w:sz w:val="24"/>
          <w:szCs w:val="24"/>
        </w:rPr>
        <w:t>Sources of heterogeneity</w:t>
      </w:r>
    </w:p>
    <w:p w14:paraId="7202789B" w14:textId="77777777" w:rsidR="00B00ED8" w:rsidRPr="00000849" w:rsidRDefault="00B00ED8" w:rsidP="008B3C61">
      <w:pPr>
        <w:ind w:right="16"/>
        <w:jc w:val="both"/>
      </w:pPr>
      <w:r w:rsidRPr="00000849">
        <w:t>The I</w:t>
      </w:r>
      <w:r w:rsidRPr="00000849">
        <w:rPr>
          <w:vertAlign w:val="superscript"/>
        </w:rPr>
        <w:t xml:space="preserve">2 </w:t>
      </w:r>
      <w:r w:rsidRPr="00000849">
        <w:t>statistic measures the proportion of the total variability explained by heterogeneity while the Cochran’s Q statistic tests whether all studies are evaluating the same effect. There was substantial heterogeneity across the included studies as indicated by the I</w:t>
      </w:r>
      <w:r w:rsidRPr="00000849">
        <w:rPr>
          <w:vertAlign w:val="superscript"/>
        </w:rPr>
        <w:t xml:space="preserve">2 </w:t>
      </w:r>
      <w:r w:rsidRPr="00000849">
        <w:t xml:space="preserve">statistic of 98.9% and the heterogeneity chi-square test (p </w:t>
      </w:r>
      <w:r w:rsidRPr="00000849">
        <w:rPr>
          <w:i/>
        </w:rPr>
        <w:t>&lt;</w:t>
      </w:r>
      <w:r w:rsidRPr="00000849">
        <w:t xml:space="preserve">0.0001). The sub-group analysis based on sex, study design, type of residence or sub-region failed to reveal any source for the heterogeneity. The chi-squared statistical tests for subgroup differences consistently yielded p values </w:t>
      </w:r>
      <w:r w:rsidRPr="00000849">
        <w:rPr>
          <w:i/>
        </w:rPr>
        <w:t>&lt;</w:t>
      </w:r>
      <w:r w:rsidRPr="00000849">
        <w:t>0.001.</w:t>
      </w:r>
    </w:p>
    <w:p w14:paraId="63D9C41F" w14:textId="77777777" w:rsidR="00B00ED8" w:rsidRPr="00000849" w:rsidRDefault="00B00ED8" w:rsidP="008B3C61">
      <w:pPr>
        <w:spacing w:after="321"/>
        <w:ind w:right="16" w:firstLine="239"/>
        <w:jc w:val="both"/>
      </w:pPr>
      <w:r w:rsidRPr="00000849">
        <w:t>In the univariate meta-regressions, the percentage of obesity in the total sample was the only statistically significant covariate, explaining 23.2% of the between-study heterogeneity in the prevalence of hypertension (</w:t>
      </w:r>
      <w:r w:rsidRPr="00000849">
        <w:rPr>
          <w:color w:val="535C96"/>
          <w:u w:val="single" w:color="535C96"/>
        </w:rPr>
        <w:t>S6 Table</w:t>
      </w:r>
      <w:r w:rsidRPr="00000849">
        <w:t>). The study year, publication year, sample size, percentage with no education and the type of blood pressure device did not explain any of the heterogeneity. However, in the combined model, the study year, publication year and the percentage obesity explained more of the heterogeneity (I</w:t>
      </w:r>
      <w:r w:rsidRPr="00000849">
        <w:rPr>
          <w:vertAlign w:val="superscript"/>
        </w:rPr>
        <w:t xml:space="preserve">2 </w:t>
      </w:r>
      <w:r w:rsidRPr="00000849">
        <w:t>= 87.5%, tau</w:t>
      </w:r>
      <w:r w:rsidRPr="00000849">
        <w:rPr>
          <w:vertAlign w:val="superscript"/>
        </w:rPr>
        <w:t xml:space="preserve">2 </w:t>
      </w:r>
      <w:r w:rsidRPr="00000849">
        <w:t>= 0.008 and adjusted R</w:t>
      </w:r>
      <w:r w:rsidRPr="00000849">
        <w:rPr>
          <w:vertAlign w:val="superscript"/>
        </w:rPr>
        <w:t xml:space="preserve">2 </w:t>
      </w:r>
      <w:r w:rsidRPr="00000849">
        <w:t>= 50.0%). The prevalence of hypertension increased with increasing year of publication and percentage obesity.</w:t>
      </w:r>
    </w:p>
    <w:p w14:paraId="3445D62B" w14:textId="77777777" w:rsidR="00B00ED8" w:rsidRPr="00000849" w:rsidRDefault="00B00ED8" w:rsidP="00143B7E">
      <w:pPr>
        <w:keepNext/>
        <w:keepLines/>
        <w:jc w:val="both"/>
        <w:rPr>
          <w:b/>
          <w:bCs/>
          <w:color w:val="0070C0"/>
          <w:sz w:val="24"/>
          <w:szCs w:val="24"/>
        </w:rPr>
      </w:pPr>
      <w:r w:rsidRPr="00000849">
        <w:rPr>
          <w:b/>
          <w:bCs/>
          <w:color w:val="0070C0"/>
          <w:sz w:val="24"/>
          <w:szCs w:val="24"/>
        </w:rPr>
        <w:lastRenderedPageBreak/>
        <w:t>Reporting bias</w:t>
      </w:r>
    </w:p>
    <w:p w14:paraId="76360197" w14:textId="77777777" w:rsidR="00B00ED8" w:rsidRPr="00000849" w:rsidRDefault="00B00ED8" w:rsidP="00143B7E">
      <w:pPr>
        <w:keepNext/>
        <w:keepLines/>
        <w:ind w:right="84"/>
        <w:jc w:val="both"/>
      </w:pPr>
      <w:r w:rsidRPr="00000849">
        <w:t>The presence of reporting bias was assessed by visually inspecting funnel plots for asymmetry. There was no evidence of asymmetry across all studies or by subgroups (</w:t>
      </w:r>
      <w:r w:rsidRPr="00000849">
        <w:rPr>
          <w:color w:val="535C96"/>
          <w:u w:val="single" w:color="535C96"/>
        </w:rPr>
        <w:t>S4 Fig</w:t>
      </w:r>
      <w:r w:rsidRPr="00000849">
        <w:t>). The Egger test failed to provide evidence for small-study effects on the prevalence (p value for bias = 0.711). Consistent with the Egger test, the ‘Duval and Tweedie’s trim and fill technique, which adjusts the pooled effect estimates to account for funnel plot asymmetry did not show evidence of reporting bias. The estimated prevalence from the random effects model between the observed and the adjusted values from filled model were the same (56.0%, 95% CI 51.4%-</w:t>
      </w:r>
    </w:p>
    <w:p w14:paraId="10E7F31F" w14:textId="77777777" w:rsidR="00B00ED8" w:rsidRPr="00000849" w:rsidRDefault="00B00ED8" w:rsidP="008B3C61">
      <w:pPr>
        <w:spacing w:after="315"/>
        <w:ind w:right="16"/>
        <w:jc w:val="both"/>
      </w:pPr>
      <w:r w:rsidRPr="00000849">
        <w:t>60.7%).</w:t>
      </w:r>
    </w:p>
    <w:p w14:paraId="2D66AA14" w14:textId="77777777" w:rsidR="00B00ED8" w:rsidRPr="00000849" w:rsidRDefault="00B00ED8" w:rsidP="008B3C61">
      <w:pPr>
        <w:jc w:val="both"/>
        <w:rPr>
          <w:b/>
          <w:bCs/>
          <w:color w:val="0070C0"/>
          <w:sz w:val="24"/>
          <w:szCs w:val="24"/>
        </w:rPr>
      </w:pPr>
      <w:r w:rsidRPr="00000849">
        <w:rPr>
          <w:b/>
          <w:bCs/>
          <w:color w:val="0070C0"/>
          <w:sz w:val="24"/>
          <w:szCs w:val="24"/>
        </w:rPr>
        <w:t>GRADE assessment of quality of evidence</w:t>
      </w:r>
    </w:p>
    <w:p w14:paraId="5697957C" w14:textId="77777777" w:rsidR="00B00ED8" w:rsidRPr="00000849" w:rsidRDefault="00B00ED8" w:rsidP="008B3C61">
      <w:pPr>
        <w:ind w:right="16"/>
        <w:jc w:val="both"/>
      </w:pPr>
      <w:r w:rsidRPr="00000849">
        <w:t>The data provided moderate quality evidence of the overall pooled prevalence although the study designs of the included studies were observational and so precluded blinding or randomization to reduce bias. We did not find any statistically significant differences in the pooled estimate by the level of bias in the studies. The influence analysis identified three studies with significant but small effect on the pooled estimate.</w:t>
      </w:r>
    </w:p>
    <w:p w14:paraId="104E962F" w14:textId="77777777" w:rsidR="00B00ED8" w:rsidRPr="00000849" w:rsidRDefault="00B00ED8" w:rsidP="008B3C61">
      <w:pPr>
        <w:spacing w:after="427"/>
        <w:ind w:right="16" w:firstLine="239"/>
        <w:jc w:val="both"/>
      </w:pPr>
      <w:r w:rsidRPr="00000849">
        <w:t>The evidence is however rated as very low on consistency due to the considerable heterogeneity and as moderate on precision due to the narrow confidence intervals engendered by the large sample size. Many studies recruited representative samples drawn from the general population and so we are moderately confident about their generalizability or applicability. On the publication bias domain, we have moderate confidence in the findings as we did not find sufficient evidence of publication bias from the funnel plots or Egger’s test.</w:t>
      </w:r>
    </w:p>
    <w:p w14:paraId="31E43E46" w14:textId="77777777" w:rsidR="00B00ED8" w:rsidRPr="00000849" w:rsidRDefault="00B00ED8" w:rsidP="008B3C61">
      <w:pPr>
        <w:spacing w:after="467" w:line="259" w:lineRule="auto"/>
        <w:jc w:val="both"/>
        <w:rPr>
          <w:b/>
          <w:bCs/>
          <w:sz w:val="29"/>
        </w:rPr>
      </w:pPr>
      <w:r w:rsidRPr="00000849">
        <w:rPr>
          <w:b/>
          <w:bCs/>
          <w:sz w:val="29"/>
        </w:rPr>
        <w:t>Discussion</w:t>
      </w:r>
    </w:p>
    <w:p w14:paraId="1C35DBEC" w14:textId="77777777" w:rsidR="00B00ED8" w:rsidRPr="00000849" w:rsidRDefault="00B00ED8" w:rsidP="008B3C61">
      <w:pPr>
        <w:ind w:right="16"/>
        <w:jc w:val="both"/>
      </w:pPr>
      <w:r w:rsidRPr="00000849">
        <w:t>We estimated that 57% of the adults aged 50 years in Africa had hypertension. This estimate is similar to the only other published review in which 55.2% of adults aged 55 years and older had hypertension [</w:t>
      </w:r>
      <w:r w:rsidRPr="00000849">
        <w:rPr>
          <w:color w:val="535C96"/>
          <w:u w:val="single" w:color="535C96"/>
        </w:rPr>
        <w:t>19</w:t>
      </w:r>
      <w:r w:rsidRPr="00000849">
        <w:t>]. In younger adults, the estimated prevalence is 30.0% to 30.8% [</w:t>
      </w:r>
      <w:r w:rsidRPr="00000849">
        <w:rPr>
          <w:color w:val="535C96"/>
          <w:u w:val="single" w:color="535C96"/>
        </w:rPr>
        <w:t>5</w:t>
      </w:r>
      <w:r w:rsidRPr="00000849">
        <w:t xml:space="preserve">, </w:t>
      </w:r>
      <w:r w:rsidRPr="00000849">
        <w:rPr>
          <w:color w:val="535C96"/>
          <w:u w:val="single" w:color="535C96"/>
        </w:rPr>
        <w:t>6</w:t>
      </w:r>
      <w:r w:rsidRPr="00000849">
        <w:t>] in Africa or Sub-Saharan Africa [</w:t>
      </w:r>
      <w:r w:rsidRPr="00000849">
        <w:rPr>
          <w:color w:val="535C96"/>
          <w:u w:val="single" w:color="535C96"/>
        </w:rPr>
        <w:t>10</w:t>
      </w:r>
      <w:r w:rsidRPr="00000849">
        <w:t>].</w:t>
      </w:r>
    </w:p>
    <w:p w14:paraId="5942B411" w14:textId="77777777" w:rsidR="00B00ED8" w:rsidRPr="00000849" w:rsidRDefault="00B00ED8" w:rsidP="008B3C61">
      <w:pPr>
        <w:ind w:right="16" w:firstLine="239"/>
        <w:jc w:val="both"/>
      </w:pPr>
      <w:r w:rsidRPr="00000849">
        <w:t>As with other reviews in Africa, the pooled prevalence in our review was higher in urban than in rural populations but the difference was not statistically significant [</w:t>
      </w:r>
      <w:r w:rsidRPr="00000849">
        <w:rPr>
          <w:color w:val="535C96"/>
          <w:u w:val="single" w:color="535C96"/>
        </w:rPr>
        <w:t>6</w:t>
      </w:r>
      <w:r w:rsidRPr="00000849">
        <w:t xml:space="preserve">, </w:t>
      </w:r>
      <w:r w:rsidRPr="00000849">
        <w:rPr>
          <w:color w:val="535C96"/>
          <w:u w:val="single" w:color="535C96"/>
        </w:rPr>
        <w:t>10</w:t>
      </w:r>
      <w:r w:rsidRPr="00000849">
        <w:t xml:space="preserve">, </w:t>
      </w:r>
      <w:r w:rsidRPr="00000849">
        <w:rPr>
          <w:color w:val="535C96"/>
          <w:u w:val="single" w:color="535C96"/>
        </w:rPr>
        <w:t>80</w:t>
      </w:r>
      <w:r w:rsidRPr="00000849">
        <w:t>]. However, it is generally held that, a significantly greater proportion of urban populations are affected than rural populations [</w:t>
      </w:r>
      <w:r w:rsidRPr="00000849">
        <w:rPr>
          <w:color w:val="535C96"/>
          <w:u w:val="single" w:color="535C96"/>
        </w:rPr>
        <w:t>19</w:t>
      </w:r>
      <w:r w:rsidRPr="00000849">
        <w:t>]. The prevalence of hypertension in rural Africa appears to be much higher than previously thought and the urban-rural differences appear to be declining probably due to nutritional transition [</w:t>
      </w:r>
      <w:r w:rsidRPr="00000849">
        <w:rPr>
          <w:color w:val="535C96"/>
          <w:u w:val="single" w:color="535C96"/>
        </w:rPr>
        <w:t>5</w:t>
      </w:r>
      <w:r w:rsidRPr="00000849">
        <w:t xml:space="preserve">, </w:t>
      </w:r>
      <w:r w:rsidRPr="00000849">
        <w:rPr>
          <w:color w:val="535C96"/>
          <w:u w:val="single" w:color="535C96"/>
        </w:rPr>
        <w:t>11</w:t>
      </w:r>
      <w:r w:rsidRPr="00000849">
        <w:t xml:space="preserve">, </w:t>
      </w:r>
      <w:r w:rsidRPr="00000849">
        <w:rPr>
          <w:color w:val="535C96"/>
          <w:u w:val="single" w:color="535C96"/>
        </w:rPr>
        <w:t>12</w:t>
      </w:r>
      <w:r w:rsidRPr="00000849">
        <w:t xml:space="preserve">, </w:t>
      </w:r>
      <w:r w:rsidRPr="00000849">
        <w:rPr>
          <w:color w:val="535C96"/>
          <w:u w:val="single" w:color="535C96"/>
        </w:rPr>
        <w:t>81</w:t>
      </w:r>
      <w:r w:rsidRPr="00000849">
        <w:t>–</w:t>
      </w:r>
      <w:r w:rsidRPr="00000849">
        <w:rPr>
          <w:color w:val="535C96"/>
          <w:u w:val="single" w:color="535C96"/>
        </w:rPr>
        <w:t>83</w:t>
      </w:r>
      <w:r w:rsidRPr="00000849">
        <w:t>].</w:t>
      </w:r>
    </w:p>
    <w:p w14:paraId="6F02C704" w14:textId="77777777" w:rsidR="00B00ED8" w:rsidRPr="00000849" w:rsidRDefault="00B00ED8" w:rsidP="008B3C61">
      <w:pPr>
        <w:ind w:right="16" w:firstLine="239"/>
        <w:jc w:val="both"/>
      </w:pPr>
      <w:r w:rsidRPr="00000849">
        <w:t>Consistent with the recent review in older persons, we did not find statistically significant differences in the prevalence of hypertension by sub-region or sex [</w:t>
      </w:r>
      <w:r w:rsidRPr="00000849">
        <w:rPr>
          <w:color w:val="535C96"/>
          <w:u w:val="single" w:color="535C96"/>
        </w:rPr>
        <w:t>19</w:t>
      </w:r>
      <w:r w:rsidRPr="00000849">
        <w:t>]. Our findings are consistent with one review that found that the highest prevalence occurred in northern and southern Africa [</w:t>
      </w:r>
      <w:r w:rsidRPr="00000849">
        <w:rPr>
          <w:color w:val="535C96"/>
          <w:u w:val="single" w:color="535C96"/>
        </w:rPr>
        <w:t>5</w:t>
      </w:r>
      <w:r w:rsidRPr="00000849">
        <w:t xml:space="preserve">] but differ from those of another review that found that the lowest </w:t>
      </w:r>
      <w:r w:rsidRPr="00000849">
        <w:lastRenderedPageBreak/>
        <w:t>prevalence occurred in southern Africa [</w:t>
      </w:r>
      <w:r w:rsidRPr="00000849">
        <w:rPr>
          <w:color w:val="535C96"/>
          <w:u w:val="single" w:color="535C96"/>
        </w:rPr>
        <w:t>19</w:t>
      </w:r>
      <w:r w:rsidRPr="00000849">
        <w:t>]. The distribution of hypertension on the African continent may reflect that of body mass index, one of its major determinants [</w:t>
      </w:r>
      <w:r w:rsidRPr="00000849">
        <w:rPr>
          <w:color w:val="535C96"/>
          <w:u w:val="single" w:color="535C96"/>
        </w:rPr>
        <w:t>84</w:t>
      </w:r>
      <w:r w:rsidRPr="00000849">
        <w:t>–</w:t>
      </w:r>
      <w:r w:rsidRPr="00000849">
        <w:rPr>
          <w:color w:val="535C96"/>
          <w:u w:val="single" w:color="535C96"/>
        </w:rPr>
        <w:t>86</w:t>
      </w:r>
      <w:r w:rsidRPr="00000849">
        <w:t>].</w:t>
      </w:r>
    </w:p>
    <w:p w14:paraId="5899D24C" w14:textId="77777777" w:rsidR="00B00ED8" w:rsidRPr="00000849" w:rsidRDefault="00B00ED8" w:rsidP="008B3C61">
      <w:pPr>
        <w:ind w:right="16" w:firstLine="239"/>
        <w:jc w:val="both"/>
      </w:pPr>
      <w:r w:rsidRPr="00000849">
        <w:t>The sex differences in hypertension have been variable. Consistent with our findings, other regional meta-analyses in Africa did not find significant sex differences [</w:t>
      </w:r>
      <w:r w:rsidRPr="00000849">
        <w:rPr>
          <w:color w:val="535C96"/>
          <w:u w:val="single" w:color="535C96"/>
        </w:rPr>
        <w:t>6</w:t>
      </w:r>
      <w:r w:rsidRPr="00000849">
        <w:t xml:space="preserve">, </w:t>
      </w:r>
      <w:r w:rsidRPr="00000849">
        <w:rPr>
          <w:color w:val="535C96"/>
          <w:u w:val="single" w:color="535C96"/>
        </w:rPr>
        <w:t>10</w:t>
      </w:r>
      <w:r w:rsidRPr="00000849">
        <w:t>] while others reported higher male prevalence [</w:t>
      </w:r>
      <w:r w:rsidRPr="00000849">
        <w:rPr>
          <w:color w:val="535C96"/>
          <w:u w:val="single" w:color="535C96"/>
        </w:rPr>
        <w:t>5</w:t>
      </w:r>
      <w:r w:rsidRPr="00000849">
        <w:t xml:space="preserve">, </w:t>
      </w:r>
      <w:r w:rsidRPr="00000849">
        <w:rPr>
          <w:color w:val="535C96"/>
          <w:u w:val="single" w:color="535C96"/>
        </w:rPr>
        <w:t>7</w:t>
      </w:r>
      <w:r w:rsidRPr="00000849">
        <w:t>]. In individual studies in older persons in Africa in which multivariable analyses were performed, female sex predicted a higher prevalence of hypertension [</w:t>
      </w:r>
      <w:r w:rsidRPr="00000849">
        <w:rPr>
          <w:color w:val="535C96"/>
          <w:u w:val="single" w:color="535C96"/>
        </w:rPr>
        <w:t>41</w:t>
      </w:r>
      <w:r w:rsidRPr="00000849">
        <w:t xml:space="preserve">, </w:t>
      </w:r>
      <w:r w:rsidRPr="00000849">
        <w:rPr>
          <w:color w:val="535C96"/>
          <w:u w:val="single" w:color="535C96"/>
        </w:rPr>
        <w:t>43</w:t>
      </w:r>
      <w:r w:rsidRPr="00000849">
        <w:t xml:space="preserve">, </w:t>
      </w:r>
      <w:r w:rsidRPr="00000849">
        <w:rPr>
          <w:color w:val="535C96"/>
          <w:u w:val="single" w:color="535C96"/>
        </w:rPr>
        <w:t>76</w:t>
      </w:r>
      <w:r w:rsidRPr="00000849">
        <w:t xml:space="preserve">, </w:t>
      </w:r>
      <w:r w:rsidRPr="00000849">
        <w:rPr>
          <w:color w:val="535C96"/>
          <w:u w:val="single" w:color="535C96"/>
        </w:rPr>
        <w:t>77</w:t>
      </w:r>
      <w:r w:rsidRPr="00000849">
        <w:t xml:space="preserve">, </w:t>
      </w:r>
      <w:r w:rsidRPr="00000849">
        <w:rPr>
          <w:color w:val="535C96"/>
          <w:u w:val="single" w:color="535C96"/>
        </w:rPr>
        <w:t>87</w:t>
      </w:r>
      <w:r w:rsidRPr="00000849">
        <w:t>] while in others sex was not independently associated with hypertension [</w:t>
      </w:r>
      <w:r w:rsidRPr="00000849">
        <w:rPr>
          <w:color w:val="535C96"/>
          <w:u w:val="single" w:color="535C96"/>
        </w:rPr>
        <w:t>49</w:t>
      </w:r>
      <w:r w:rsidRPr="00000849">
        <w:t xml:space="preserve">, </w:t>
      </w:r>
      <w:r w:rsidRPr="00000849">
        <w:rPr>
          <w:color w:val="535C96"/>
          <w:u w:val="single" w:color="535C96"/>
        </w:rPr>
        <w:t>57</w:t>
      </w:r>
      <w:r w:rsidRPr="00000849">
        <w:t xml:space="preserve">, </w:t>
      </w:r>
      <w:r w:rsidRPr="00000849">
        <w:rPr>
          <w:color w:val="535C96"/>
          <w:u w:val="single" w:color="535C96"/>
        </w:rPr>
        <w:t>67</w:t>
      </w:r>
      <w:r w:rsidRPr="00000849">
        <w:t>].</w:t>
      </w:r>
    </w:p>
    <w:p w14:paraId="2025928A" w14:textId="77777777" w:rsidR="00B00ED8" w:rsidRPr="00000849" w:rsidRDefault="00B00ED8" w:rsidP="008B3C61">
      <w:pPr>
        <w:ind w:right="16" w:firstLine="239"/>
        <w:jc w:val="both"/>
      </w:pPr>
      <w:r w:rsidRPr="00000849">
        <w:t>Very few systematic reviews and meta-analyses in Africa have assessed trends over time in the prevalence of hypertension. One review estimated an increase in the pooled prevalence from 19.7% in 1990 to 27.4% in 2000 and to 30.8% in 2010 [</w:t>
      </w:r>
      <w:r w:rsidRPr="00000849">
        <w:rPr>
          <w:color w:val="535C96"/>
          <w:u w:val="single" w:color="535C96"/>
        </w:rPr>
        <w:t>5</w:t>
      </w:r>
      <w:r w:rsidRPr="00000849">
        <w:t>]. Another study estimated an increase from 16.2% (95% CI 14.2–20.3) in 2008 to 17.4% (95% CI 15.4–22.6%) in 2025 [</w:t>
      </w:r>
      <w:r w:rsidRPr="00000849">
        <w:rPr>
          <w:color w:val="535C96"/>
          <w:u w:val="single" w:color="535C96"/>
        </w:rPr>
        <w:t>88</w:t>
      </w:r>
      <w:r w:rsidRPr="00000849">
        <w:t>]. More recently, the NCD Risk Factor Collaboration estimated that the age-standardized prevalence of raised blood pressure decreased globally but remained unchanged at around 34% in Sub-Saharan Africa in adults aged 18 years and older from 1975 to 2015 [</w:t>
      </w:r>
      <w:r w:rsidRPr="00000849">
        <w:rPr>
          <w:color w:val="535C96"/>
          <w:u w:val="single" w:color="535C96"/>
        </w:rPr>
        <w:t>89</w:t>
      </w:r>
      <w:r w:rsidRPr="00000849">
        <w:t>]. In Seychelles, the prevalence declined from 45% to 40% after a period of 15 years [</w:t>
      </w:r>
      <w:r w:rsidRPr="00000849">
        <w:rPr>
          <w:color w:val="535C96"/>
          <w:u w:val="single" w:color="535C96"/>
        </w:rPr>
        <w:t>90</w:t>
      </w:r>
      <w:r w:rsidRPr="00000849">
        <w:t>]. In the current review, the prevalence of hypertension increased by year of publication in the multivariate meta-regression model but not in the univariate model. More longitudinal studies are needed to better understand the trends in hypertension in Africa.</w:t>
      </w:r>
    </w:p>
    <w:p w14:paraId="5C73854F" w14:textId="77777777" w:rsidR="00B00ED8" w:rsidRPr="00000849" w:rsidRDefault="00B00ED8" w:rsidP="008B3C61">
      <w:pPr>
        <w:ind w:right="16" w:firstLine="239"/>
        <w:jc w:val="both"/>
      </w:pPr>
      <w:r w:rsidRPr="00000849">
        <w:t>As expected, the prevalence of hypertension increased with BMI status in older people even after adjusting for potential confounders. A study involving institutional older adults in Tunisia also found that hypertension was 80% higher in obese subjects (86.9%) than in subjects with normal BMI [</w:t>
      </w:r>
      <w:r w:rsidRPr="00000849">
        <w:rPr>
          <w:color w:val="535C96"/>
          <w:u w:val="single" w:color="535C96"/>
        </w:rPr>
        <w:t>91</w:t>
      </w:r>
      <w:r w:rsidRPr="00000849">
        <w:t>]. Obesity is a well-recognized driver of hypertension in Africa with obese subjects being up to eight times as likely as those non-obese to have hypertension [</w:t>
      </w:r>
      <w:r w:rsidRPr="00000849">
        <w:rPr>
          <w:color w:val="535C96"/>
          <w:u w:val="single" w:color="535C96"/>
        </w:rPr>
        <w:t>86</w:t>
      </w:r>
      <w:r w:rsidRPr="00000849">
        <w:t xml:space="preserve">, </w:t>
      </w:r>
      <w:r w:rsidRPr="00000849">
        <w:rPr>
          <w:color w:val="535C96"/>
          <w:u w:val="single" w:color="535C96"/>
        </w:rPr>
        <w:t>92</w:t>
      </w:r>
      <w:r w:rsidRPr="00000849">
        <w:t xml:space="preserve">, </w:t>
      </w:r>
      <w:r w:rsidRPr="00000849">
        <w:rPr>
          <w:color w:val="535C96"/>
          <w:u w:val="single" w:color="535C96"/>
        </w:rPr>
        <w:t>93</w:t>
      </w:r>
      <w:r w:rsidRPr="00000849">
        <w:t>]. In view of the predominant association of overweight/obesity with hypertension and its increasing trend in Africa, there is an opportunity to explore the role of lifestyle interventions on improving the cardiovascular health of older adults [</w:t>
      </w:r>
      <w:r w:rsidRPr="00000849">
        <w:rPr>
          <w:color w:val="535C96"/>
          <w:u w:val="single" w:color="535C96"/>
        </w:rPr>
        <w:t>94</w:t>
      </w:r>
      <w:r w:rsidRPr="00000849">
        <w:t xml:space="preserve">, </w:t>
      </w:r>
      <w:r w:rsidRPr="00000849">
        <w:rPr>
          <w:color w:val="535C96"/>
          <w:u w:val="single" w:color="535C96"/>
        </w:rPr>
        <w:t>95</w:t>
      </w:r>
      <w:r w:rsidRPr="00000849">
        <w:t>].</w:t>
      </w:r>
    </w:p>
    <w:p w14:paraId="56CE04FC" w14:textId="77777777" w:rsidR="00B00ED8" w:rsidRPr="00000849" w:rsidRDefault="00B00ED8" w:rsidP="008B3C61">
      <w:pPr>
        <w:spacing w:after="451"/>
        <w:ind w:right="16" w:firstLine="239"/>
        <w:jc w:val="both"/>
      </w:pPr>
      <w:r w:rsidRPr="00000849">
        <w:t>Overall, our review provided greater accuracy but confirmed most of the findings of the only other published review [</w:t>
      </w:r>
      <w:r w:rsidRPr="00000849">
        <w:rPr>
          <w:color w:val="535C96"/>
          <w:u w:val="single" w:color="535C96"/>
        </w:rPr>
        <w:t>19</w:t>
      </w:r>
      <w:r w:rsidRPr="00000849">
        <w:t>]. In particular, the pooled prevalence of hypertension was similar, and it did not vary significantly by age group, sex or sub-region. This was in spite of the fact that the target age group differed between the two reviews and there were only nine overlapping studies.</w:t>
      </w:r>
    </w:p>
    <w:p w14:paraId="38A216DB" w14:textId="77777777" w:rsidR="00B00ED8" w:rsidRPr="00000849" w:rsidRDefault="00B00ED8" w:rsidP="008B3C61">
      <w:pPr>
        <w:jc w:val="both"/>
        <w:rPr>
          <w:b/>
          <w:bCs/>
          <w:color w:val="0070C0"/>
          <w:sz w:val="24"/>
          <w:szCs w:val="24"/>
        </w:rPr>
      </w:pPr>
      <w:r w:rsidRPr="00000849">
        <w:rPr>
          <w:b/>
          <w:bCs/>
          <w:color w:val="0070C0"/>
          <w:sz w:val="24"/>
          <w:szCs w:val="24"/>
        </w:rPr>
        <w:t>Strengths and limitations</w:t>
      </w:r>
    </w:p>
    <w:p w14:paraId="3D53AB32" w14:textId="77777777" w:rsidR="00B00ED8" w:rsidRPr="00000849" w:rsidRDefault="00B00ED8" w:rsidP="008B3C61">
      <w:pPr>
        <w:ind w:right="16"/>
        <w:jc w:val="both"/>
      </w:pPr>
      <w:r w:rsidRPr="00000849">
        <w:t xml:space="preserve">Our review adds to the scant knowledge on the prevalence of hypertension in older adults in Africa. To our knowledge, it is the first to focus on studies conducted exclusively among older adults aged 50 years and older in Africa. It is comprehensive in scope–covering multiple languages, study designs and article types. A major strength Is that the review captured studies in which the estimation of the prevalence was not the main objective of the study. It respects the PRISMA guidelines. We performed several quality assessments including the </w:t>
      </w:r>
      <w:r w:rsidRPr="00000849">
        <w:lastRenderedPageBreak/>
        <w:t>evaluation of the risk of bias in the included studies, performing sensitivity analysis, influence analysis and GRADE assessment of the meta-analysis.</w:t>
      </w:r>
    </w:p>
    <w:p w14:paraId="4DDB7C9F" w14:textId="77777777" w:rsidR="00B00ED8" w:rsidRPr="00000849" w:rsidRDefault="00B00ED8" w:rsidP="008B3C61">
      <w:pPr>
        <w:ind w:right="16" w:firstLine="239"/>
        <w:jc w:val="both"/>
      </w:pPr>
      <w:r w:rsidRPr="00000849">
        <w:t>Our review has some limitations. The major one is the substantial heterogeneity which undermine the pooling of the prevalence estimates and suggest that chance could be responsible for the between-study variability. Several other meta-analyses have reported similarly high levels of heterogeneity (</w:t>
      </w:r>
      <w:r w:rsidRPr="00000849">
        <w:rPr>
          <w:i/>
        </w:rPr>
        <w:t>I</w:t>
      </w:r>
      <w:r w:rsidRPr="00000849">
        <w:rPr>
          <w:i/>
          <w:vertAlign w:val="superscript"/>
        </w:rPr>
        <w:t xml:space="preserve">2 </w:t>
      </w:r>
      <w:r w:rsidRPr="00000849">
        <w:t>statistic 96%-99.5%) which may be due to the differences in the study participants, measurement methods and study design [</w:t>
      </w:r>
      <w:r w:rsidRPr="00000849">
        <w:rPr>
          <w:color w:val="535C96"/>
          <w:u w:val="single" w:color="535C96"/>
        </w:rPr>
        <w:t>6</w:t>
      </w:r>
      <w:r w:rsidRPr="00000849">
        <w:t xml:space="preserve">, </w:t>
      </w:r>
      <w:r w:rsidRPr="00000849">
        <w:rPr>
          <w:color w:val="535C96"/>
          <w:u w:val="single" w:color="535C96"/>
        </w:rPr>
        <w:t>19</w:t>
      </w:r>
      <w:r w:rsidRPr="00000849">
        <w:t xml:space="preserve">, </w:t>
      </w:r>
      <w:r w:rsidRPr="00000849">
        <w:rPr>
          <w:color w:val="535C96"/>
          <w:u w:val="single" w:color="535C96"/>
        </w:rPr>
        <w:t>96</w:t>
      </w:r>
      <w:r w:rsidRPr="00000849">
        <w:t xml:space="preserve">, </w:t>
      </w:r>
      <w:r w:rsidRPr="00000849">
        <w:rPr>
          <w:color w:val="535C96"/>
          <w:u w:val="single" w:color="535C96"/>
        </w:rPr>
        <w:t>97</w:t>
      </w:r>
      <w:r w:rsidRPr="00000849">
        <w:t>]. We found that the participants included in our review differed widely in terms of their age distribution, proportion with no education and proportion who were obese. Moreover, their blood pressures were measured and captured for analysis using different methods. Sub-group analyses could not identify the sources of the heterogeneity. However, meta-regression analyses suggested that the obesity, year of publication and the study year explained some of the heterogeneity. Given the high heterogeneity, caution needs to be exercised in the interpretation of the findings. The cross-sectional design of most of the included studies is liable to such biases as selection and survival bias and explain moderate GRADE quality assessment of the meta-analysis. Future and on-going longitudinal studies in older adults may reduce some of these biases while allowing the trends in the prevalence of hypertension to be better measured.</w:t>
      </w:r>
    </w:p>
    <w:p w14:paraId="7848C955" w14:textId="77777777" w:rsidR="00B00ED8" w:rsidRPr="00000849" w:rsidRDefault="00B00ED8" w:rsidP="008B3C61">
      <w:pPr>
        <w:ind w:right="16" w:firstLine="239"/>
        <w:jc w:val="both"/>
      </w:pPr>
      <w:r w:rsidRPr="00000849">
        <w:t>It is not possible to impute causality between the explanatory variables and the main outcome in our review. Information on several variables was incomplete in some studies making comparison difficult. Given the low level of literacy among this older population, the date of birth of some participants was not always known and so their age was estimated using prominent historical local or national events [</w:t>
      </w:r>
      <w:r w:rsidRPr="00000849">
        <w:rPr>
          <w:color w:val="535C96"/>
          <w:u w:val="single" w:color="535C96"/>
        </w:rPr>
        <w:t>46</w:t>
      </w:r>
      <w:r w:rsidRPr="00000849">
        <w:t xml:space="preserve">, </w:t>
      </w:r>
      <w:r w:rsidRPr="00000849">
        <w:rPr>
          <w:color w:val="535C96"/>
          <w:u w:val="single" w:color="535C96"/>
        </w:rPr>
        <w:t>63</w:t>
      </w:r>
      <w:r w:rsidRPr="00000849">
        <w:t>].</w:t>
      </w:r>
    </w:p>
    <w:p w14:paraId="1B60BF76" w14:textId="77777777" w:rsidR="00B00ED8" w:rsidRPr="00000849" w:rsidRDefault="00B00ED8" w:rsidP="008B3C61">
      <w:pPr>
        <w:ind w:right="16" w:firstLine="239"/>
        <w:jc w:val="both"/>
      </w:pPr>
      <w:r w:rsidRPr="00000849">
        <w:t>Two of the 34 papers did not explicitly provide information on the blood pressure threshold used to define hypertension. As the papers had been published recently, we assumed that they had used the 140/90mmHg cut-off. We do not think that this assumption had any impact on our findings. Support for our assumption was obtained in a paper published by the authors of one of the two studies in an adjoining governorate in Egypt in the same year in which their stated definition of hypertension was consistent with the above cut-off [</w:t>
      </w:r>
      <w:r w:rsidRPr="00000849">
        <w:rPr>
          <w:color w:val="535C96"/>
          <w:u w:val="single" w:color="535C96"/>
        </w:rPr>
        <w:t>98</w:t>
      </w:r>
      <w:r w:rsidRPr="00000849">
        <w:t>]. Moreover, the sensitivity analysis did not show that the findings from these papers had unduly affected the overall pooled estimate.</w:t>
      </w:r>
    </w:p>
    <w:p w14:paraId="699DD5D3" w14:textId="77777777" w:rsidR="00B00ED8" w:rsidRPr="00000849" w:rsidRDefault="00B00ED8" w:rsidP="008B3C61">
      <w:pPr>
        <w:spacing w:after="261"/>
        <w:ind w:right="16" w:firstLine="239"/>
        <w:jc w:val="both"/>
      </w:pPr>
      <w:r w:rsidRPr="00000849">
        <w:t>All but one of the included studies involved single visit blood pressure measurements, and so could overestimate the true prevalence of hypertension. One included study which used ambulatory blood pressure monitoring reported a 55.7% prevalence compared with 78.5% prevalence on the same subjects measured using conventional methods [</w:t>
      </w:r>
      <w:r w:rsidRPr="00000849">
        <w:rPr>
          <w:color w:val="535C96"/>
          <w:u w:val="single" w:color="535C96"/>
        </w:rPr>
        <w:t>53</w:t>
      </w:r>
      <w:r w:rsidRPr="00000849">
        <w:t>].</w:t>
      </w:r>
    </w:p>
    <w:p w14:paraId="6720F630" w14:textId="77777777" w:rsidR="00B00ED8" w:rsidRPr="00000849" w:rsidRDefault="00B00ED8" w:rsidP="008B3C61">
      <w:pPr>
        <w:spacing w:after="467" w:line="259" w:lineRule="auto"/>
        <w:jc w:val="both"/>
        <w:rPr>
          <w:b/>
          <w:bCs/>
          <w:sz w:val="29"/>
        </w:rPr>
      </w:pPr>
      <w:r w:rsidRPr="00000849">
        <w:rPr>
          <w:b/>
          <w:bCs/>
          <w:sz w:val="29"/>
        </w:rPr>
        <w:t>Conclusions</w:t>
      </w:r>
    </w:p>
    <w:p w14:paraId="769176E9" w14:textId="77777777" w:rsidR="00B00ED8" w:rsidRPr="00000849" w:rsidRDefault="00B00ED8" w:rsidP="008B3C61">
      <w:pPr>
        <w:ind w:right="16"/>
        <w:jc w:val="both"/>
      </w:pPr>
      <w:r w:rsidRPr="00000849">
        <w:t xml:space="preserve">In conclusion, we have estimated, after a comprehensive and meticulous study selection and analysis that, nearly three out of five older adults in rural and urban Africa have raised blood pressure. This review shows that the proportion has gradually increased between 2005 and 2018 and is high in the different sub-regions. Increasing obesity likely explains some of the </w:t>
      </w:r>
      <w:r w:rsidRPr="00000849">
        <w:lastRenderedPageBreak/>
        <w:t>increase in the prevalence of hypertension in older adults. Unfortunately, the older age group receives little priority in national and regional health programmes [</w:t>
      </w:r>
      <w:r w:rsidRPr="00000849">
        <w:rPr>
          <w:color w:val="535C96"/>
          <w:u w:val="single" w:color="535C96"/>
        </w:rPr>
        <w:t>99</w:t>
      </w:r>
      <w:r w:rsidRPr="00000849">
        <w:t>]. Given that, cardiovascular diseases can be prevented or managed in older adults, we call on health authorities to prioritize policies and commission and develop programmes to support the improvement of the cardiovascular health of older population in Africa while ensuring that younger adults stay healthy. Our findings suggest that weight reduction should be an important component of such programmes. These policies and programmes ought to be evaluated to see what works to promote active ageing. It is imperative that this is addressed within the framework of a life course approach and a national ageing programme, with support from the African Union, United Nations, Regional Economic Communities and the civil society. Older adults should be empowered and supported to organise themselves into active social and functional groups to serve as advocates and channels for improved health and social service delivery.</w:t>
      </w:r>
    </w:p>
    <w:p w14:paraId="458BC2ED" w14:textId="77777777" w:rsidR="00B00ED8" w:rsidRPr="00000849" w:rsidRDefault="00B00ED8" w:rsidP="008B3C61">
      <w:pPr>
        <w:spacing w:after="275"/>
        <w:ind w:right="16" w:firstLine="239"/>
        <w:jc w:val="both"/>
      </w:pPr>
      <w:r w:rsidRPr="00000849">
        <w:t>There is an urgent need for further research on hypertension in older adults on the continent. Longitudinal studies which use consistent study methods and blood pressure measurement protocol can fill in some of the data gaps including the trends and determinants of hypertension.</w:t>
      </w:r>
    </w:p>
    <w:p w14:paraId="1DC1E8B9" w14:textId="77777777" w:rsidR="00B00ED8" w:rsidRPr="00000849" w:rsidRDefault="00B00ED8" w:rsidP="008B3C61">
      <w:pPr>
        <w:spacing w:after="467" w:line="259" w:lineRule="auto"/>
        <w:jc w:val="both"/>
        <w:rPr>
          <w:b/>
          <w:bCs/>
          <w:sz w:val="29"/>
        </w:rPr>
      </w:pPr>
      <w:r w:rsidRPr="00000849">
        <w:rPr>
          <w:b/>
          <w:bCs/>
          <w:sz w:val="29"/>
        </w:rPr>
        <w:t>Supporting information</w:t>
      </w:r>
    </w:p>
    <w:p w14:paraId="3309C6E4" w14:textId="77777777" w:rsidR="00B00ED8" w:rsidRPr="00000849" w:rsidRDefault="00C84E75" w:rsidP="008B3C61">
      <w:pPr>
        <w:spacing w:after="1" w:line="268" w:lineRule="auto"/>
        <w:jc w:val="both"/>
      </w:pPr>
      <w:hyperlink r:id="rId165">
        <w:r w:rsidR="00B00ED8" w:rsidRPr="00000849">
          <w:rPr>
            <w:b/>
          </w:rPr>
          <w:t>S1</w:t>
        </w:r>
      </w:hyperlink>
      <w:r w:rsidR="00B00ED8" w:rsidRPr="00000849">
        <w:rPr>
          <w:b/>
        </w:rPr>
        <w:t xml:space="preserve"> </w:t>
      </w:r>
      <w:hyperlink r:id="rId166">
        <w:r w:rsidR="00B00ED8" w:rsidRPr="00000849">
          <w:rPr>
            <w:b/>
          </w:rPr>
          <w:t>Table.</w:t>
        </w:r>
      </w:hyperlink>
      <w:r w:rsidR="00B00ED8" w:rsidRPr="00000849">
        <w:rPr>
          <w:b/>
        </w:rPr>
        <w:t xml:space="preserve"> Search strategy for ovid medline and ovid embase databases.</w:t>
      </w:r>
    </w:p>
    <w:p w14:paraId="191FEFD3" w14:textId="77777777" w:rsidR="00B00ED8" w:rsidRPr="00000849" w:rsidRDefault="00B00ED8" w:rsidP="008B3C61">
      <w:pPr>
        <w:spacing w:after="110"/>
        <w:ind w:right="16"/>
        <w:jc w:val="both"/>
      </w:pPr>
      <w:r w:rsidRPr="00000849">
        <w:t>(DOCX)</w:t>
      </w:r>
    </w:p>
    <w:p w14:paraId="794020B4" w14:textId="77777777" w:rsidR="00B00ED8" w:rsidRPr="00000849" w:rsidRDefault="00C84E75" w:rsidP="008B3C61">
      <w:pPr>
        <w:spacing w:after="124" w:line="268" w:lineRule="auto"/>
        <w:ind w:right="238"/>
        <w:jc w:val="both"/>
      </w:pPr>
      <w:hyperlink r:id="rId167">
        <w:r w:rsidR="00B00ED8" w:rsidRPr="00000849">
          <w:rPr>
            <w:b/>
          </w:rPr>
          <w:t>S2</w:t>
        </w:r>
      </w:hyperlink>
      <w:r w:rsidR="00B00ED8" w:rsidRPr="00000849">
        <w:rPr>
          <w:b/>
        </w:rPr>
        <w:t xml:space="preserve"> </w:t>
      </w:r>
      <w:hyperlink r:id="rId168">
        <w:r w:rsidR="00B00ED8" w:rsidRPr="00000849">
          <w:rPr>
            <w:b/>
          </w:rPr>
          <w:t>Table.</w:t>
        </w:r>
      </w:hyperlink>
      <w:r w:rsidR="00B00ED8" w:rsidRPr="00000849">
        <w:rPr>
          <w:b/>
        </w:rPr>
        <w:t xml:space="preserve"> Preferred reporting items for systematic reviews and meta-analysis (PRISMA) 2009 checklist. </w:t>
      </w:r>
      <w:r w:rsidR="00B00ED8" w:rsidRPr="00000849">
        <w:t>(DOC)</w:t>
      </w:r>
    </w:p>
    <w:p w14:paraId="2C339C4B" w14:textId="77777777" w:rsidR="00B00ED8" w:rsidRPr="00000849" w:rsidRDefault="00C84E75" w:rsidP="008B3C61">
      <w:pPr>
        <w:spacing w:after="1" w:line="268" w:lineRule="auto"/>
        <w:jc w:val="both"/>
      </w:pPr>
      <w:hyperlink r:id="rId169">
        <w:r w:rsidR="00B00ED8" w:rsidRPr="00000849">
          <w:rPr>
            <w:b/>
          </w:rPr>
          <w:t>S3</w:t>
        </w:r>
      </w:hyperlink>
      <w:r w:rsidR="00B00ED8" w:rsidRPr="00000849">
        <w:rPr>
          <w:b/>
        </w:rPr>
        <w:t xml:space="preserve"> </w:t>
      </w:r>
      <w:hyperlink r:id="rId170">
        <w:r w:rsidR="00B00ED8" w:rsidRPr="00000849">
          <w:rPr>
            <w:b/>
          </w:rPr>
          <w:t>Table.</w:t>
        </w:r>
      </w:hyperlink>
      <w:r w:rsidR="00B00ED8" w:rsidRPr="00000849">
        <w:rPr>
          <w:b/>
        </w:rPr>
        <w:t xml:space="preserve"> Full-text articles excluded after assessed for eligibility and reasons for exclusion.</w:t>
      </w:r>
    </w:p>
    <w:p w14:paraId="52FFA94F" w14:textId="77777777" w:rsidR="00B00ED8" w:rsidRPr="00000849" w:rsidRDefault="00B00ED8" w:rsidP="008B3C61">
      <w:pPr>
        <w:spacing w:after="110"/>
        <w:ind w:right="16"/>
        <w:jc w:val="both"/>
      </w:pPr>
      <w:r w:rsidRPr="00000849">
        <w:t>(DOCX)</w:t>
      </w:r>
    </w:p>
    <w:p w14:paraId="350F2127" w14:textId="77777777" w:rsidR="00B00ED8" w:rsidRPr="00000849" w:rsidRDefault="00C84E75" w:rsidP="008B3C61">
      <w:pPr>
        <w:spacing w:after="124" w:line="268" w:lineRule="auto"/>
        <w:ind w:right="446"/>
        <w:jc w:val="both"/>
      </w:pPr>
      <w:hyperlink r:id="rId171">
        <w:r w:rsidR="00B00ED8" w:rsidRPr="00000849">
          <w:rPr>
            <w:b/>
          </w:rPr>
          <w:t>S4</w:t>
        </w:r>
      </w:hyperlink>
      <w:r w:rsidR="00B00ED8" w:rsidRPr="00000849">
        <w:rPr>
          <w:b/>
        </w:rPr>
        <w:t xml:space="preserve"> </w:t>
      </w:r>
      <w:hyperlink r:id="rId172">
        <w:r w:rsidR="00B00ED8" w:rsidRPr="00000849">
          <w:rPr>
            <w:b/>
          </w:rPr>
          <w:t>Table.</w:t>
        </w:r>
      </w:hyperlink>
      <w:r w:rsidR="00B00ED8" w:rsidRPr="00000849">
        <w:rPr>
          <w:b/>
        </w:rPr>
        <w:t xml:space="preserve"> List of multiple studies on same subjects and their primary (unique) studies included in analysis. </w:t>
      </w:r>
      <w:r w:rsidR="00B00ED8" w:rsidRPr="00000849">
        <w:t>(DOCX)</w:t>
      </w:r>
    </w:p>
    <w:p w14:paraId="2077ACC3" w14:textId="77777777" w:rsidR="00B00ED8" w:rsidRPr="00000849" w:rsidRDefault="00C84E75" w:rsidP="008B3C61">
      <w:pPr>
        <w:spacing w:after="1" w:line="268" w:lineRule="auto"/>
        <w:jc w:val="both"/>
      </w:pPr>
      <w:hyperlink r:id="rId173">
        <w:r w:rsidR="00B00ED8" w:rsidRPr="00000849">
          <w:rPr>
            <w:b/>
          </w:rPr>
          <w:t>S5</w:t>
        </w:r>
      </w:hyperlink>
      <w:r w:rsidR="00B00ED8" w:rsidRPr="00000849">
        <w:rPr>
          <w:b/>
        </w:rPr>
        <w:t xml:space="preserve"> </w:t>
      </w:r>
      <w:hyperlink r:id="rId174">
        <w:r w:rsidR="00B00ED8" w:rsidRPr="00000849">
          <w:rPr>
            <w:b/>
          </w:rPr>
          <w:t>Table.</w:t>
        </w:r>
      </w:hyperlink>
      <w:r w:rsidR="00B00ED8" w:rsidRPr="00000849">
        <w:rPr>
          <w:b/>
        </w:rPr>
        <w:t xml:space="preserve"> Quality assessment of included observational cohort and cross-sectional studies.</w:t>
      </w:r>
    </w:p>
    <w:p w14:paraId="2A2B7548" w14:textId="77777777" w:rsidR="00B00ED8" w:rsidRPr="00000849" w:rsidRDefault="00B00ED8" w:rsidP="008B3C61">
      <w:pPr>
        <w:spacing w:after="110"/>
        <w:ind w:right="16"/>
        <w:jc w:val="both"/>
      </w:pPr>
      <w:r w:rsidRPr="00000849">
        <w:t>(DOCX)</w:t>
      </w:r>
    </w:p>
    <w:p w14:paraId="603F06B9" w14:textId="77777777" w:rsidR="00B00ED8" w:rsidRPr="00000849" w:rsidRDefault="00C84E75" w:rsidP="008B3C61">
      <w:pPr>
        <w:spacing w:after="124" w:line="268" w:lineRule="auto"/>
        <w:jc w:val="both"/>
      </w:pPr>
      <w:hyperlink r:id="rId175">
        <w:r w:rsidR="00B00ED8" w:rsidRPr="00000849">
          <w:rPr>
            <w:b/>
          </w:rPr>
          <w:t>S6</w:t>
        </w:r>
      </w:hyperlink>
      <w:r w:rsidR="00B00ED8" w:rsidRPr="00000849">
        <w:rPr>
          <w:b/>
        </w:rPr>
        <w:t xml:space="preserve"> </w:t>
      </w:r>
      <w:hyperlink r:id="rId176">
        <w:r w:rsidR="00B00ED8" w:rsidRPr="00000849">
          <w:rPr>
            <w:b/>
          </w:rPr>
          <w:t>Table.</w:t>
        </w:r>
      </w:hyperlink>
      <w:r w:rsidR="00B00ED8" w:rsidRPr="00000849">
        <w:rPr>
          <w:b/>
        </w:rPr>
        <w:t xml:space="preserve"> Univariate and multivariate meta-regression exploring potential sources of heterogeneity in the prevalence of hypertension. </w:t>
      </w:r>
      <w:r w:rsidR="00B00ED8" w:rsidRPr="00000849">
        <w:t>(DOCX)</w:t>
      </w:r>
    </w:p>
    <w:p w14:paraId="6CF1D08E" w14:textId="77777777" w:rsidR="00B00ED8" w:rsidRPr="00000849" w:rsidRDefault="00C84E75" w:rsidP="008B3C61">
      <w:pPr>
        <w:spacing w:after="1" w:line="268" w:lineRule="auto"/>
        <w:jc w:val="both"/>
      </w:pPr>
      <w:hyperlink r:id="rId177">
        <w:r w:rsidR="00B00ED8" w:rsidRPr="00000849">
          <w:rPr>
            <w:b/>
          </w:rPr>
          <w:t>S1</w:t>
        </w:r>
      </w:hyperlink>
      <w:r w:rsidR="00B00ED8" w:rsidRPr="00000849">
        <w:rPr>
          <w:b/>
        </w:rPr>
        <w:t xml:space="preserve"> </w:t>
      </w:r>
      <w:hyperlink r:id="rId178">
        <w:r w:rsidR="00B00ED8" w:rsidRPr="00000849">
          <w:rPr>
            <w:b/>
          </w:rPr>
          <w:t>Fig.</w:t>
        </w:r>
      </w:hyperlink>
      <w:r w:rsidR="00B00ED8" w:rsidRPr="00000849">
        <w:rPr>
          <w:b/>
        </w:rPr>
        <w:t xml:space="preserve"> Prevalence estimates of hypertension by age group.</w:t>
      </w:r>
    </w:p>
    <w:p w14:paraId="13DAC044" w14:textId="77777777" w:rsidR="00B00ED8" w:rsidRPr="00000849" w:rsidRDefault="00B00ED8" w:rsidP="008B3C61">
      <w:pPr>
        <w:spacing w:after="110"/>
        <w:ind w:right="16"/>
        <w:jc w:val="both"/>
      </w:pPr>
      <w:r w:rsidRPr="00000849">
        <w:t>(TIF)</w:t>
      </w:r>
    </w:p>
    <w:p w14:paraId="4A0E9ABD" w14:textId="77777777" w:rsidR="00B00ED8" w:rsidRPr="00000849" w:rsidRDefault="00C84E75" w:rsidP="008B3C61">
      <w:pPr>
        <w:spacing w:after="1" w:line="268" w:lineRule="auto"/>
        <w:jc w:val="both"/>
      </w:pPr>
      <w:hyperlink r:id="rId179">
        <w:r w:rsidR="00B00ED8" w:rsidRPr="00000849">
          <w:rPr>
            <w:b/>
          </w:rPr>
          <w:t>S2</w:t>
        </w:r>
      </w:hyperlink>
      <w:r w:rsidR="00B00ED8" w:rsidRPr="00000849">
        <w:rPr>
          <w:b/>
        </w:rPr>
        <w:t xml:space="preserve"> </w:t>
      </w:r>
      <w:hyperlink r:id="rId180">
        <w:r w:rsidR="00B00ED8" w:rsidRPr="00000849">
          <w:rPr>
            <w:b/>
          </w:rPr>
          <w:t>Fig.</w:t>
        </w:r>
      </w:hyperlink>
      <w:r w:rsidR="00B00ED8" w:rsidRPr="00000849">
        <w:rPr>
          <w:b/>
        </w:rPr>
        <w:t xml:space="preserve"> Prevalence estimates of hypertension by risk of bias.</w:t>
      </w:r>
    </w:p>
    <w:p w14:paraId="2D531AAE" w14:textId="77777777" w:rsidR="00B00ED8" w:rsidRPr="00000849" w:rsidRDefault="00B00ED8" w:rsidP="008B3C61">
      <w:pPr>
        <w:ind w:right="16"/>
        <w:jc w:val="both"/>
      </w:pPr>
      <w:r w:rsidRPr="00000849">
        <w:t>(TIF)</w:t>
      </w:r>
    </w:p>
    <w:p w14:paraId="68334CC4" w14:textId="77777777" w:rsidR="00B00ED8" w:rsidRPr="00000849" w:rsidRDefault="00C84E75" w:rsidP="008B3C61">
      <w:pPr>
        <w:spacing w:after="1" w:line="268" w:lineRule="auto"/>
        <w:jc w:val="both"/>
      </w:pPr>
      <w:hyperlink r:id="rId181">
        <w:r w:rsidR="00B00ED8" w:rsidRPr="00000849">
          <w:rPr>
            <w:b/>
          </w:rPr>
          <w:t>S3</w:t>
        </w:r>
      </w:hyperlink>
      <w:r w:rsidR="00B00ED8" w:rsidRPr="00000849">
        <w:rPr>
          <w:b/>
        </w:rPr>
        <w:t xml:space="preserve"> </w:t>
      </w:r>
      <w:hyperlink r:id="rId182">
        <w:r w:rsidR="00B00ED8" w:rsidRPr="00000849">
          <w:rPr>
            <w:b/>
          </w:rPr>
          <w:t>Fig.</w:t>
        </w:r>
      </w:hyperlink>
      <w:r w:rsidR="00B00ED8" w:rsidRPr="00000849">
        <w:rPr>
          <w:b/>
        </w:rPr>
        <w:t xml:space="preserve"> Influence analysis omitting one study at a time from meta-analysis.</w:t>
      </w:r>
    </w:p>
    <w:p w14:paraId="1314E6F4" w14:textId="77777777" w:rsidR="00B00ED8" w:rsidRPr="00000849" w:rsidRDefault="00B00ED8" w:rsidP="008B3C61">
      <w:pPr>
        <w:spacing w:after="110"/>
        <w:ind w:right="16"/>
        <w:jc w:val="both"/>
      </w:pPr>
      <w:r w:rsidRPr="00000849">
        <w:t>(TIF)</w:t>
      </w:r>
    </w:p>
    <w:p w14:paraId="23ECD9C3" w14:textId="77777777" w:rsidR="00B00ED8" w:rsidRPr="00000849" w:rsidRDefault="00C84E75" w:rsidP="008B3C61">
      <w:pPr>
        <w:spacing w:after="1" w:line="268" w:lineRule="auto"/>
        <w:jc w:val="both"/>
      </w:pPr>
      <w:hyperlink r:id="rId183">
        <w:r w:rsidR="00B00ED8" w:rsidRPr="00000849">
          <w:rPr>
            <w:b/>
          </w:rPr>
          <w:t>S4</w:t>
        </w:r>
      </w:hyperlink>
      <w:r w:rsidR="00B00ED8" w:rsidRPr="00000849">
        <w:rPr>
          <w:b/>
        </w:rPr>
        <w:t xml:space="preserve"> </w:t>
      </w:r>
      <w:hyperlink r:id="rId184">
        <w:r w:rsidR="00B00ED8" w:rsidRPr="00000849">
          <w:rPr>
            <w:b/>
          </w:rPr>
          <w:t>Fig.</w:t>
        </w:r>
      </w:hyperlink>
      <w:r w:rsidR="00B00ED8" w:rsidRPr="00000849">
        <w:rPr>
          <w:b/>
        </w:rPr>
        <w:t xml:space="preserve"> Funnel plot for studies on the prevalence of hypertension.</w:t>
      </w:r>
    </w:p>
    <w:p w14:paraId="506ACD61" w14:textId="77777777" w:rsidR="00B00ED8" w:rsidRPr="00000849" w:rsidRDefault="00B00ED8" w:rsidP="008B3C61">
      <w:pPr>
        <w:spacing w:after="504"/>
        <w:ind w:right="16"/>
        <w:jc w:val="both"/>
      </w:pPr>
      <w:r w:rsidRPr="00000849">
        <w:t>(TIF)</w:t>
      </w:r>
    </w:p>
    <w:p w14:paraId="2C55DD47" w14:textId="77777777" w:rsidR="00B00ED8" w:rsidRPr="00000849" w:rsidRDefault="00B00ED8" w:rsidP="008B3C61">
      <w:pPr>
        <w:spacing w:after="467" w:line="259" w:lineRule="auto"/>
        <w:jc w:val="both"/>
        <w:rPr>
          <w:b/>
          <w:bCs/>
          <w:sz w:val="29"/>
        </w:rPr>
      </w:pPr>
      <w:r w:rsidRPr="00000849">
        <w:rPr>
          <w:b/>
          <w:bCs/>
          <w:sz w:val="29"/>
        </w:rPr>
        <w:lastRenderedPageBreak/>
        <w:t>Acknowledgments</w:t>
      </w:r>
    </w:p>
    <w:p w14:paraId="7516BADE" w14:textId="77777777" w:rsidR="00B00ED8" w:rsidRPr="00000849" w:rsidRDefault="00B00ED8" w:rsidP="008B3C61">
      <w:pPr>
        <w:spacing w:after="414"/>
        <w:ind w:right="16"/>
        <w:jc w:val="both"/>
      </w:pPr>
      <w:r w:rsidRPr="00000849">
        <w:t>We thank our respective institutions for their support for this work. We are grateful to the authors who provided full-text articles or clarifications during this review. The Lancaster University library provided access to the many papers. The Covidence team kindly provided the software to manage the systematic review.</w:t>
      </w:r>
    </w:p>
    <w:p w14:paraId="040BBAD5" w14:textId="77777777" w:rsidR="00B00ED8" w:rsidRPr="00000849" w:rsidRDefault="00B00ED8" w:rsidP="008B3C61">
      <w:pPr>
        <w:spacing w:after="467" w:line="259" w:lineRule="auto"/>
        <w:jc w:val="both"/>
        <w:rPr>
          <w:b/>
          <w:bCs/>
          <w:sz w:val="29"/>
        </w:rPr>
      </w:pPr>
      <w:r w:rsidRPr="00000849">
        <w:rPr>
          <w:b/>
          <w:bCs/>
          <w:sz w:val="29"/>
        </w:rPr>
        <w:t>Author Contributions</w:t>
      </w:r>
    </w:p>
    <w:p w14:paraId="510B2B4F" w14:textId="77777777" w:rsidR="00B00ED8" w:rsidRPr="00000849" w:rsidRDefault="00B00ED8" w:rsidP="008B3C61">
      <w:pPr>
        <w:spacing w:after="104"/>
        <w:ind w:right="16"/>
        <w:jc w:val="both"/>
      </w:pPr>
      <w:r w:rsidRPr="00000849">
        <w:rPr>
          <w:b/>
        </w:rPr>
        <w:t xml:space="preserve">Conceptualization: </w:t>
      </w:r>
      <w:r w:rsidRPr="00000849">
        <w:t>William Kofi Bosu, Siobhan Theresa Reilly.</w:t>
      </w:r>
    </w:p>
    <w:p w14:paraId="34895CCD" w14:textId="77777777" w:rsidR="00B00ED8" w:rsidRPr="00000849" w:rsidRDefault="00B00ED8" w:rsidP="008B3C61">
      <w:pPr>
        <w:spacing w:after="102"/>
        <w:ind w:right="16"/>
        <w:jc w:val="both"/>
      </w:pPr>
      <w:r w:rsidRPr="00000849">
        <w:rPr>
          <w:b/>
        </w:rPr>
        <w:t xml:space="preserve">Data curation: </w:t>
      </w:r>
      <w:r w:rsidRPr="00000849">
        <w:t>William Kofi Bosu, Justice Moses Kwaku Aheto.</w:t>
      </w:r>
    </w:p>
    <w:p w14:paraId="14B9FBEB" w14:textId="77777777" w:rsidR="00B00ED8" w:rsidRPr="00000849" w:rsidRDefault="00B00ED8" w:rsidP="008B3C61">
      <w:pPr>
        <w:spacing w:after="104"/>
        <w:ind w:right="16"/>
        <w:jc w:val="both"/>
      </w:pPr>
      <w:r w:rsidRPr="00000849">
        <w:rPr>
          <w:b/>
        </w:rPr>
        <w:t xml:space="preserve">Formal analysis: </w:t>
      </w:r>
      <w:r w:rsidRPr="00000849">
        <w:t>William Kofi Bosu.</w:t>
      </w:r>
    </w:p>
    <w:p w14:paraId="3E0218E0" w14:textId="77777777" w:rsidR="00B00ED8" w:rsidRPr="00000849" w:rsidRDefault="00B00ED8" w:rsidP="008B3C61">
      <w:pPr>
        <w:spacing w:after="102"/>
        <w:ind w:right="16"/>
        <w:jc w:val="both"/>
      </w:pPr>
      <w:r w:rsidRPr="00000849">
        <w:rPr>
          <w:b/>
        </w:rPr>
        <w:t xml:space="preserve">Methodology: </w:t>
      </w:r>
      <w:r w:rsidRPr="00000849">
        <w:t>William Kofi Bosu.</w:t>
      </w:r>
    </w:p>
    <w:p w14:paraId="71810D2F" w14:textId="77777777" w:rsidR="00B00ED8" w:rsidRPr="00000849" w:rsidRDefault="00B00ED8" w:rsidP="008B3C61">
      <w:pPr>
        <w:spacing w:after="121" w:line="268" w:lineRule="auto"/>
        <w:jc w:val="both"/>
      </w:pPr>
      <w:r w:rsidRPr="00000849">
        <w:rPr>
          <w:b/>
        </w:rPr>
        <w:t xml:space="preserve">Project administration: </w:t>
      </w:r>
      <w:r w:rsidRPr="00000849">
        <w:t>William Kofi Bosu.</w:t>
      </w:r>
    </w:p>
    <w:p w14:paraId="7EE3ACAC" w14:textId="77777777" w:rsidR="00B00ED8" w:rsidRPr="00000849" w:rsidRDefault="00B00ED8" w:rsidP="008B3C61">
      <w:pPr>
        <w:spacing w:after="103"/>
        <w:ind w:right="16"/>
        <w:jc w:val="both"/>
      </w:pPr>
      <w:r w:rsidRPr="00000849">
        <w:rPr>
          <w:b/>
        </w:rPr>
        <w:t xml:space="preserve">Software: </w:t>
      </w:r>
      <w:r w:rsidRPr="00000849">
        <w:t>William Kofi Bosu.</w:t>
      </w:r>
    </w:p>
    <w:p w14:paraId="7F643233" w14:textId="77777777" w:rsidR="00B00ED8" w:rsidRPr="00000849" w:rsidRDefault="00B00ED8" w:rsidP="008B3C61">
      <w:pPr>
        <w:spacing w:after="104"/>
        <w:ind w:right="16"/>
        <w:jc w:val="both"/>
      </w:pPr>
      <w:r w:rsidRPr="00000849">
        <w:rPr>
          <w:b/>
        </w:rPr>
        <w:t xml:space="preserve">Supervision: </w:t>
      </w:r>
      <w:r w:rsidRPr="00000849">
        <w:t>Siobhan Theresa Reilly, Eugenio Zucchelli.</w:t>
      </w:r>
    </w:p>
    <w:p w14:paraId="41E6C823" w14:textId="77777777" w:rsidR="00B00ED8" w:rsidRPr="00000849" w:rsidRDefault="00B00ED8" w:rsidP="008B3C61">
      <w:pPr>
        <w:spacing w:after="120" w:line="268" w:lineRule="auto"/>
        <w:jc w:val="both"/>
      </w:pPr>
      <w:r w:rsidRPr="00000849">
        <w:rPr>
          <w:b/>
        </w:rPr>
        <w:t xml:space="preserve">Writing – original draft: </w:t>
      </w:r>
      <w:r w:rsidRPr="00000849">
        <w:t>William Kofi Bosu.</w:t>
      </w:r>
    </w:p>
    <w:p w14:paraId="4D98B90F" w14:textId="77777777" w:rsidR="00B00ED8" w:rsidRPr="00000849" w:rsidRDefault="00B00ED8" w:rsidP="008B3C61">
      <w:pPr>
        <w:spacing w:after="491"/>
        <w:ind w:right="16" w:hanging="239"/>
        <w:jc w:val="both"/>
      </w:pPr>
      <w:r w:rsidRPr="00000849">
        <w:rPr>
          <w:b/>
        </w:rPr>
        <w:t xml:space="preserve">Writing – review &amp; editing: </w:t>
      </w:r>
      <w:r w:rsidRPr="00000849">
        <w:t>William Kofi Bosu, Siobhan Theresa Reilly, Justice Moses Kwaku Aheto, Eugenio Zucchelli.</w:t>
      </w:r>
    </w:p>
    <w:p w14:paraId="77006630" w14:textId="77777777" w:rsidR="00B00ED8" w:rsidRPr="00000849" w:rsidRDefault="00B00ED8" w:rsidP="008B3C61">
      <w:pPr>
        <w:spacing w:after="467" w:line="259" w:lineRule="auto"/>
        <w:jc w:val="both"/>
        <w:rPr>
          <w:b/>
          <w:bCs/>
          <w:sz w:val="29"/>
        </w:rPr>
      </w:pPr>
      <w:r w:rsidRPr="00000849">
        <w:rPr>
          <w:b/>
          <w:bCs/>
          <w:sz w:val="29"/>
        </w:rPr>
        <w:t>References</w:t>
      </w:r>
    </w:p>
    <w:p w14:paraId="655D354C"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Institute for Health Metrics and Evaluation (IHME). Global Burden of Disease: GBD Compare Data Visualization Seattle, WA: IHME, University of Washington; 2018 [updated 28 December 2018; cited 2018]. Available from: </w:t>
      </w:r>
      <w:hyperlink r:id="rId185">
        <w:r w:rsidRPr="00000849">
          <w:rPr>
            <w:rFonts w:ascii="Arial" w:eastAsia="Arial" w:hAnsi="Arial" w:cs="Arial"/>
            <w:color w:val="535C96"/>
            <w:sz w:val="16"/>
            <w:u w:val="single" w:color="535C96"/>
          </w:rPr>
          <w:t>https://vizhub.healthdata.org/gbd-compare/</w:t>
        </w:r>
      </w:hyperlink>
      <w:r w:rsidRPr="00000849">
        <w:rPr>
          <w:rFonts w:ascii="Arial" w:eastAsia="Arial" w:hAnsi="Arial" w:cs="Arial"/>
          <w:sz w:val="16"/>
        </w:rPr>
        <w:t>.</w:t>
      </w:r>
    </w:p>
    <w:p w14:paraId="43D29A2C"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O’Donnell MJ, Chin SL, Rangarajan S, Xavier D, Liu L, Zhang H, et al. Global and regional effects of potentially modifiable risk factors associated with acute stroke in 32 countries (INTERSTROKE): a case-control study. Lancet. 2016; 388(10046):761–75. </w:t>
      </w:r>
      <w:hyperlink r:id="rId186">
        <w:r w:rsidRPr="00000849">
          <w:rPr>
            <w:rFonts w:ascii="Arial" w:eastAsia="Arial" w:hAnsi="Arial" w:cs="Arial"/>
            <w:color w:val="535C96"/>
            <w:sz w:val="16"/>
            <w:u w:val="single" w:color="535C96"/>
          </w:rPr>
          <w:t>https://doi.org/10.1016/S0140-6736(16)30506</w:t>
        </w:r>
      </w:hyperlink>
      <w:hyperlink r:id="rId187">
        <w:r w:rsidRPr="00000849">
          <w:rPr>
            <w:rFonts w:ascii="Arial" w:eastAsia="Arial" w:hAnsi="Arial" w:cs="Arial"/>
            <w:color w:val="535C96"/>
            <w:sz w:val="16"/>
            <w:u w:val="single" w:color="535C96"/>
          </w:rPr>
          <w:t>2</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188">
        <w:r w:rsidRPr="00000849">
          <w:rPr>
            <w:rFonts w:ascii="Arial" w:eastAsia="Arial" w:hAnsi="Arial" w:cs="Arial"/>
            <w:color w:val="535C96"/>
            <w:sz w:val="16"/>
            <w:u w:val="single" w:color="535C96"/>
          </w:rPr>
          <w:t>27431356</w:t>
        </w:r>
      </w:hyperlink>
    </w:p>
    <w:p w14:paraId="0171639A"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Livingston G, Sommerlad A, Orgeta V, Costafreda SG, Huntley J, Ames D, et al. Dementia prevention, intervention, and care. 2017; 390(10113):2673–734.</w:t>
      </w:r>
    </w:p>
    <w:p w14:paraId="7606C7B6"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lang w:val="pt-PT"/>
        </w:rPr>
        <w:t xml:space="preserve">Akinyemi RO, Owolabi MO, Ihara M, Damasceno A, Ogunniyi A, Dotchin C, et al. </w:t>
      </w:r>
      <w:r w:rsidRPr="00000849">
        <w:rPr>
          <w:rFonts w:ascii="Arial" w:eastAsia="Arial" w:hAnsi="Arial" w:cs="Arial"/>
          <w:sz w:val="16"/>
        </w:rPr>
        <w:t xml:space="preserve">Stroke, cerebrovascular diseases and vascular cognitive impairment in Africa. Brain Res Bull. 2018. </w:t>
      </w:r>
      <w:hyperlink r:id="rId189">
        <w:r w:rsidRPr="00000849">
          <w:rPr>
            <w:rFonts w:ascii="Arial" w:eastAsia="Arial" w:hAnsi="Arial" w:cs="Arial"/>
            <w:color w:val="535C96"/>
            <w:sz w:val="16"/>
            <w:u w:val="single" w:color="535C96"/>
          </w:rPr>
          <w:t xml:space="preserve">https://doi.org/10.1016/j. </w:t>
        </w:r>
      </w:hyperlink>
      <w:hyperlink r:id="rId190">
        <w:r w:rsidRPr="00000849">
          <w:rPr>
            <w:rFonts w:ascii="Arial" w:eastAsia="Arial" w:hAnsi="Arial" w:cs="Arial"/>
            <w:color w:val="535C96"/>
            <w:sz w:val="16"/>
            <w:u w:val="single" w:color="535C96"/>
          </w:rPr>
          <w:t>brainresbull.2018.05.018</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191">
        <w:r w:rsidRPr="00000849">
          <w:rPr>
            <w:rFonts w:ascii="Arial" w:eastAsia="Arial" w:hAnsi="Arial" w:cs="Arial"/>
            <w:color w:val="535C96"/>
            <w:sz w:val="16"/>
            <w:u w:val="single" w:color="535C96"/>
          </w:rPr>
          <w:t>29807146</w:t>
        </w:r>
      </w:hyperlink>
    </w:p>
    <w:p w14:paraId="7D2876DE" w14:textId="77777777" w:rsidR="00B00ED8" w:rsidRPr="00000849" w:rsidRDefault="00B00ED8" w:rsidP="008B3C61">
      <w:pPr>
        <w:numPr>
          <w:ilvl w:val="0"/>
          <w:numId w:val="34"/>
        </w:numPr>
        <w:spacing w:after="67" w:line="271" w:lineRule="auto"/>
        <w:ind w:left="0" w:right="7" w:hanging="420"/>
        <w:jc w:val="both"/>
      </w:pPr>
      <w:r w:rsidRPr="00000849">
        <w:rPr>
          <w:rFonts w:ascii="Arial" w:eastAsia="Arial" w:hAnsi="Arial" w:cs="Arial"/>
          <w:sz w:val="16"/>
        </w:rPr>
        <w:t xml:space="preserve">Adeloye D, Basquill C. Estimating the prevalence and awareness rates of hypertension in Africa: a systematic analysis. PLoS One. 2014; 9(8):e104300. </w:t>
      </w:r>
      <w:hyperlink r:id="rId192">
        <w:r w:rsidRPr="00000849">
          <w:rPr>
            <w:rFonts w:ascii="Arial" w:eastAsia="Arial" w:hAnsi="Arial" w:cs="Arial"/>
            <w:color w:val="535C96"/>
            <w:sz w:val="16"/>
            <w:u w:val="single" w:color="535C96"/>
          </w:rPr>
          <w:t>https://doi.org/10.1371/journal.pone.0104300</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193">
        <w:r w:rsidRPr="00000849">
          <w:rPr>
            <w:rFonts w:ascii="Arial" w:eastAsia="Arial" w:hAnsi="Arial" w:cs="Arial"/>
            <w:color w:val="535C96"/>
            <w:sz w:val="16"/>
            <w:u w:val="single" w:color="535C96"/>
          </w:rPr>
          <w:t>25090232</w:t>
        </w:r>
      </w:hyperlink>
    </w:p>
    <w:p w14:paraId="146521A8" w14:textId="77777777" w:rsidR="00B00ED8" w:rsidRPr="00000849" w:rsidRDefault="00B00ED8" w:rsidP="008B3C61">
      <w:pPr>
        <w:numPr>
          <w:ilvl w:val="0"/>
          <w:numId w:val="34"/>
        </w:numPr>
        <w:spacing w:after="7" w:line="270" w:lineRule="auto"/>
        <w:ind w:left="0" w:right="7" w:hanging="420"/>
        <w:jc w:val="both"/>
      </w:pPr>
      <w:r w:rsidRPr="00000849">
        <w:rPr>
          <w:rFonts w:ascii="Arial" w:eastAsia="Arial" w:hAnsi="Arial" w:cs="Arial"/>
          <w:sz w:val="16"/>
        </w:rPr>
        <w:t>Ataklte F, Erqou S, Kaptoge S, Taye B, Echouffo-Tcheugui JB, Kengne AP. Burden of undiagnosed hypertension in Sub-Saharan Africa: A systematic review and meta-analysis. Hypertension. 2015; 65</w:t>
      </w:r>
    </w:p>
    <w:p w14:paraId="06C8D904" w14:textId="77777777" w:rsidR="00B00ED8" w:rsidRPr="00000849" w:rsidRDefault="00B00ED8" w:rsidP="008B3C61">
      <w:pPr>
        <w:spacing w:after="83" w:line="265" w:lineRule="auto"/>
        <w:jc w:val="both"/>
      </w:pPr>
      <w:r w:rsidRPr="00000849">
        <w:rPr>
          <w:rFonts w:ascii="Arial" w:eastAsia="Arial" w:hAnsi="Arial" w:cs="Arial"/>
          <w:sz w:val="16"/>
        </w:rPr>
        <w:t xml:space="preserve">(2):291–8. </w:t>
      </w:r>
      <w:hyperlink r:id="rId194">
        <w:r w:rsidRPr="00000849">
          <w:rPr>
            <w:rFonts w:ascii="Arial" w:eastAsia="Arial" w:hAnsi="Arial" w:cs="Arial"/>
            <w:color w:val="535C96"/>
            <w:sz w:val="16"/>
            <w:u w:val="single" w:color="535C96"/>
          </w:rPr>
          <w:t>https://doi.org/10.1161/HYPERTENSIONAHA.114.04394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195">
        <w:r w:rsidRPr="00000849">
          <w:rPr>
            <w:rFonts w:ascii="Arial" w:eastAsia="Arial" w:hAnsi="Arial" w:cs="Arial"/>
            <w:color w:val="535C96"/>
            <w:sz w:val="16"/>
            <w:u w:val="single" w:color="535C96"/>
          </w:rPr>
          <w:t>25385758</w:t>
        </w:r>
      </w:hyperlink>
    </w:p>
    <w:p w14:paraId="623A1DA8"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Bosu WK. The prevalence, awareness, and control of hypertension among workers in West Africa: a systematic review. Glob Health Action. 2015; 8:26227. Epub 2015/01/28. </w:t>
      </w:r>
      <w:hyperlink r:id="rId196">
        <w:r w:rsidRPr="00000849">
          <w:rPr>
            <w:rFonts w:ascii="Arial" w:eastAsia="Arial" w:hAnsi="Arial" w:cs="Arial"/>
            <w:color w:val="535C96"/>
            <w:sz w:val="16"/>
            <w:u w:val="single" w:color="535C96"/>
          </w:rPr>
          <w:t xml:space="preserve">https://doi.org/10.3402/gha. </w:t>
        </w:r>
      </w:hyperlink>
      <w:hyperlink r:id="rId197">
        <w:r w:rsidRPr="00000849">
          <w:rPr>
            <w:rFonts w:ascii="Arial" w:eastAsia="Arial" w:hAnsi="Arial" w:cs="Arial"/>
            <w:color w:val="535C96"/>
            <w:sz w:val="16"/>
            <w:u w:val="single" w:color="535C96"/>
          </w:rPr>
          <w:t>v8.26227</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198">
        <w:r w:rsidRPr="00000849">
          <w:rPr>
            <w:rFonts w:ascii="Arial" w:eastAsia="Arial" w:hAnsi="Arial" w:cs="Arial"/>
            <w:color w:val="535C96"/>
            <w:sz w:val="16"/>
            <w:u w:val="single" w:color="535C96"/>
          </w:rPr>
          <w:t>25623611</w:t>
        </w:r>
      </w:hyperlink>
      <w:r w:rsidRPr="00000849">
        <w:rPr>
          <w:rFonts w:ascii="Arial" w:eastAsia="Arial" w:hAnsi="Arial" w:cs="Arial"/>
          <w:sz w:val="16"/>
        </w:rPr>
        <w:t>; PubMed Central PMCID: PMC4306751.</w:t>
      </w:r>
    </w:p>
    <w:p w14:paraId="6A90A081"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Addo J, Smeeth L, Leon DA. Hypertension in sub-saharan Africa: a systematic review. Hypertension. 2007; 50(6):1012–8. Epub 2007/10/24. </w:t>
      </w:r>
      <w:hyperlink r:id="rId199">
        <w:r w:rsidRPr="00000849">
          <w:rPr>
            <w:rFonts w:ascii="Arial" w:eastAsia="Arial" w:hAnsi="Arial" w:cs="Arial"/>
            <w:color w:val="535C96"/>
            <w:sz w:val="16"/>
            <w:u w:val="single" w:color="535C96"/>
          </w:rPr>
          <w:t xml:space="preserve">https://doi.org/10.1161/HYPERTENSIONAHA.107.093336 </w:t>
        </w:r>
      </w:hyperlink>
      <w:r w:rsidRPr="00000849">
        <w:rPr>
          <w:rFonts w:ascii="Arial" w:eastAsia="Arial" w:hAnsi="Arial" w:cs="Arial"/>
          <w:sz w:val="16"/>
        </w:rPr>
        <w:t xml:space="preserve">PMID: </w:t>
      </w:r>
      <w:hyperlink r:id="rId200">
        <w:r w:rsidRPr="00000849">
          <w:rPr>
            <w:rFonts w:ascii="Arial" w:eastAsia="Arial" w:hAnsi="Arial" w:cs="Arial"/>
            <w:color w:val="535C96"/>
            <w:sz w:val="16"/>
            <w:u w:val="single" w:color="535C96"/>
          </w:rPr>
          <w:t>17954720</w:t>
        </w:r>
      </w:hyperlink>
      <w:r w:rsidRPr="00000849">
        <w:rPr>
          <w:rFonts w:ascii="Arial" w:eastAsia="Arial" w:hAnsi="Arial" w:cs="Arial"/>
          <w:sz w:val="16"/>
        </w:rPr>
        <w:t>.</w:t>
      </w:r>
    </w:p>
    <w:p w14:paraId="496A52F9"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Ndabarora E, Nishimwe C, Mukamusoni D. Systematic review of hypertension prevalence and awareness in Sub-Saharan Africa. Kibogora Polytechnic Scientific Journal. 2018; 1:11–4.</w:t>
      </w:r>
    </w:p>
    <w:p w14:paraId="0EFDF9B2"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lastRenderedPageBreak/>
        <w:t xml:space="preserve">Sarki AM, Nduka CU, Stranges S, Kandala N-B, Uthman OA. Prevalence of Hypertension in Low-and Middle-Income Countries: A Systematic Review and Meta-Analysis. Medicine. 2015; 94(50):e1959. </w:t>
      </w:r>
      <w:hyperlink r:id="rId201">
        <w:r w:rsidRPr="00000849">
          <w:rPr>
            <w:rFonts w:ascii="Arial" w:eastAsia="Arial" w:hAnsi="Arial" w:cs="Arial"/>
            <w:color w:val="535C96"/>
            <w:sz w:val="16"/>
            <w:u w:val="single" w:color="535C96"/>
          </w:rPr>
          <w:t>https://doi.org/10.1097/MD.0000000000001959</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02">
        <w:r w:rsidRPr="00000849">
          <w:rPr>
            <w:rFonts w:ascii="Arial" w:eastAsia="Arial" w:hAnsi="Arial" w:cs="Arial"/>
            <w:color w:val="535C96"/>
            <w:sz w:val="16"/>
            <w:u w:val="single" w:color="535C96"/>
          </w:rPr>
          <w:t>26683910</w:t>
        </w:r>
      </w:hyperlink>
    </w:p>
    <w:p w14:paraId="4060CFF8"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Addo J, Amoah AGB, Koram KA. The changing patterns of hypertension in Ghana: a study of four rural communities in the Ga district. Ethn Dis. 2006; 16:894–99. PMID: </w:t>
      </w:r>
      <w:hyperlink r:id="rId203">
        <w:r w:rsidRPr="00000849">
          <w:rPr>
            <w:rFonts w:ascii="Arial" w:eastAsia="Arial" w:hAnsi="Arial" w:cs="Arial"/>
            <w:color w:val="535C96"/>
            <w:sz w:val="16"/>
            <w:u w:val="single" w:color="535C96"/>
          </w:rPr>
          <w:t>17061743</w:t>
        </w:r>
      </w:hyperlink>
    </w:p>
    <w:p w14:paraId="5D1740AC"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Okeahialam BN, Ogbonna C, Otokwula AE, Joseph DE, Chuhwak EK, Isiguzoro IO. Cardiovascular epidemiological transition in a rural habitat of Nigeria: the case of Mangu Local Government Area. West Afr J Med. 2012; 31(1):14–8. Epub 2012/11/02. PMID: </w:t>
      </w:r>
      <w:hyperlink r:id="rId204">
        <w:r w:rsidRPr="00000849">
          <w:rPr>
            <w:rFonts w:ascii="Arial" w:eastAsia="Arial" w:hAnsi="Arial" w:cs="Arial"/>
            <w:color w:val="535C96"/>
            <w:sz w:val="16"/>
            <w:u w:val="single" w:color="535C96"/>
          </w:rPr>
          <w:t>23115090</w:t>
        </w:r>
      </w:hyperlink>
      <w:r w:rsidRPr="00000849">
        <w:rPr>
          <w:rFonts w:ascii="Arial" w:eastAsia="Arial" w:hAnsi="Arial" w:cs="Arial"/>
          <w:sz w:val="16"/>
        </w:rPr>
        <w:t>.</w:t>
      </w:r>
    </w:p>
    <w:p w14:paraId="6018EFAF"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Awuah RB, Anarfi JK, Agyemang C, Ogedegbe G, Aikins Ad-G. Prevalence, awareness, treatment and control of hypertension in urban poor communities in Accra, Ghana. J Hypertens. 2014; 32(6):1203–10. </w:t>
      </w:r>
      <w:hyperlink r:id="rId205">
        <w:r w:rsidRPr="00000849">
          <w:rPr>
            <w:rFonts w:ascii="Arial" w:eastAsia="Arial" w:hAnsi="Arial" w:cs="Arial"/>
            <w:color w:val="535C96"/>
            <w:sz w:val="16"/>
            <w:u w:val="single" w:color="535C96"/>
          </w:rPr>
          <w:t>https://doi.org/10.1097/HJH.0000000000000165</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06">
        <w:r w:rsidRPr="00000849">
          <w:rPr>
            <w:rFonts w:ascii="Arial" w:eastAsia="Arial" w:hAnsi="Arial" w:cs="Arial"/>
            <w:color w:val="535C96"/>
            <w:sz w:val="16"/>
            <w:u w:val="single" w:color="535C96"/>
          </w:rPr>
          <w:t>24721931</w:t>
        </w:r>
      </w:hyperlink>
    </w:p>
    <w:p w14:paraId="37AFE750"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Etyang AO, Gerard Scott JAJGha. Medical causes of admissions to hospital among adults in Africa: a systematic review. Glob Health Action. 2013; 6(19090). </w:t>
      </w:r>
      <w:hyperlink r:id="rId207">
        <w:r w:rsidRPr="00000849">
          <w:rPr>
            <w:rFonts w:ascii="Arial" w:eastAsia="Arial" w:hAnsi="Arial" w:cs="Arial"/>
            <w:color w:val="535C96"/>
            <w:sz w:val="16"/>
            <w:u w:val="single" w:color="535C96"/>
          </w:rPr>
          <w:t>https://doi.org/10.3402/gha.v6i0.19090</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08">
        <w:r w:rsidRPr="00000849">
          <w:rPr>
            <w:rFonts w:ascii="Arial" w:eastAsia="Arial" w:hAnsi="Arial" w:cs="Arial"/>
            <w:color w:val="535C96"/>
            <w:sz w:val="16"/>
            <w:u w:val="single" w:color="535C96"/>
          </w:rPr>
          <w:t>23336616</w:t>
        </w:r>
      </w:hyperlink>
    </w:p>
    <w:p w14:paraId="7249C0A0"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Zhou B, Bentham J, Di Cesare M, Bixby H, Danaei G, Cowan MJ, et al. Worldwide trends in blood pressure from 1975 to 2015: a pooled analysis of 1479 population-based measurement studies with 19.1 million participants. Lancet. 2017; 389(10064):37–55. </w:t>
      </w:r>
      <w:hyperlink r:id="rId209">
        <w:r w:rsidRPr="00000849">
          <w:rPr>
            <w:rFonts w:ascii="Arial" w:eastAsia="Arial" w:hAnsi="Arial" w:cs="Arial"/>
            <w:color w:val="535C96"/>
            <w:sz w:val="16"/>
            <w:u w:val="single" w:color="535C96"/>
          </w:rPr>
          <w:t xml:space="preserve">https://doi.org/10.1016/S0140-6736(16)31919-5 </w:t>
        </w:r>
      </w:hyperlink>
      <w:r w:rsidRPr="00000849">
        <w:rPr>
          <w:rFonts w:ascii="Arial" w:eastAsia="Arial" w:hAnsi="Arial" w:cs="Arial"/>
          <w:sz w:val="16"/>
        </w:rPr>
        <w:t xml:space="preserve">PMID: </w:t>
      </w:r>
      <w:hyperlink r:id="rId210">
        <w:r w:rsidRPr="00000849">
          <w:rPr>
            <w:rFonts w:ascii="Arial" w:eastAsia="Arial" w:hAnsi="Arial" w:cs="Arial"/>
            <w:color w:val="535C96"/>
            <w:sz w:val="16"/>
            <w:u w:val="single" w:color="535C96"/>
          </w:rPr>
          <w:t>27863813</w:t>
        </w:r>
      </w:hyperlink>
    </w:p>
    <w:p w14:paraId="126FAECB"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Duda RB, Anarfi JK, Adanu RM, Seffah J, Darko R, Hill AG. The health of the “older women” in Accra, Ghana: results of the Women’s Health Study of Accra. J Cross Cult Gerontol. 2011; 26(3):299–314. </w:t>
      </w:r>
      <w:hyperlink r:id="rId211">
        <w:r w:rsidRPr="00000849">
          <w:rPr>
            <w:rFonts w:ascii="Arial" w:eastAsia="Arial" w:hAnsi="Arial" w:cs="Arial"/>
            <w:color w:val="535C96"/>
            <w:sz w:val="16"/>
            <w:u w:val="single" w:color="535C96"/>
          </w:rPr>
          <w:t>https://doi.org/10.1007/s10823-011-9148-8</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12">
        <w:r w:rsidRPr="00000849">
          <w:rPr>
            <w:rFonts w:ascii="Arial" w:eastAsia="Arial" w:hAnsi="Arial" w:cs="Arial"/>
            <w:color w:val="535C96"/>
            <w:sz w:val="16"/>
            <w:u w:val="single" w:color="535C96"/>
          </w:rPr>
          <w:t>21695397</w:t>
        </w:r>
      </w:hyperlink>
    </w:p>
    <w:p w14:paraId="61914E2D" w14:textId="77777777" w:rsidR="00B00ED8" w:rsidRPr="00000849" w:rsidRDefault="00B00ED8" w:rsidP="008B3C61">
      <w:pPr>
        <w:numPr>
          <w:ilvl w:val="0"/>
          <w:numId w:val="34"/>
        </w:numPr>
        <w:spacing w:after="7" w:line="270" w:lineRule="auto"/>
        <w:ind w:left="0" w:right="7" w:hanging="420"/>
        <w:jc w:val="both"/>
      </w:pPr>
      <w:r w:rsidRPr="00000849">
        <w:rPr>
          <w:rFonts w:ascii="Arial" w:eastAsia="Arial" w:hAnsi="Arial" w:cs="Arial"/>
          <w:sz w:val="16"/>
        </w:rPr>
        <w:t>Vasan RS, Beiser A, Seshadri S, Larson MG, Kannel WB, D’Agostino RB, et al. Residual Lifetime Risk for Developing Hypertension in Middle-aged Women and Men: The Framingham Heart Study. JAMA.</w:t>
      </w:r>
    </w:p>
    <w:p w14:paraId="1E71098A" w14:textId="77777777" w:rsidR="00B00ED8" w:rsidRPr="00000849" w:rsidRDefault="00B00ED8" w:rsidP="008B3C61">
      <w:pPr>
        <w:spacing w:after="83" w:line="265" w:lineRule="auto"/>
        <w:jc w:val="both"/>
      </w:pPr>
      <w:r w:rsidRPr="00000849">
        <w:rPr>
          <w:rFonts w:ascii="Arial" w:eastAsia="Arial" w:hAnsi="Arial" w:cs="Arial"/>
          <w:sz w:val="16"/>
        </w:rPr>
        <w:t xml:space="preserve">2002; 287(8):1003–10. </w:t>
      </w:r>
      <w:hyperlink r:id="rId213">
        <w:r w:rsidRPr="00000849">
          <w:rPr>
            <w:rFonts w:ascii="Arial" w:eastAsia="Arial" w:hAnsi="Arial" w:cs="Arial"/>
            <w:color w:val="535C96"/>
            <w:sz w:val="16"/>
            <w:u w:val="single" w:color="535C96"/>
          </w:rPr>
          <w:t>https://doi.org/10.1001/jama.287.8.1003</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14">
        <w:r w:rsidRPr="00000849">
          <w:rPr>
            <w:rFonts w:ascii="Arial" w:eastAsia="Arial" w:hAnsi="Arial" w:cs="Arial"/>
            <w:color w:val="535C96"/>
            <w:sz w:val="16"/>
            <w:u w:val="single" w:color="535C96"/>
          </w:rPr>
          <w:t>11866648</w:t>
        </w:r>
      </w:hyperlink>
    </w:p>
    <w:p w14:paraId="7187A9E7"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Aboderin I. Understanding and Advancing the Health of Older Populations in sub-Saharan Africa: Policy Perspectives and Evidence Needs. Public Health Rev. 2010; 32(2):357–76. </w:t>
      </w:r>
      <w:hyperlink r:id="rId215">
        <w:r w:rsidRPr="00000849">
          <w:rPr>
            <w:rFonts w:ascii="Arial" w:eastAsia="Arial" w:hAnsi="Arial" w:cs="Arial"/>
            <w:color w:val="535C96"/>
            <w:sz w:val="16"/>
            <w:u w:val="single" w:color="535C96"/>
          </w:rPr>
          <w:t xml:space="preserve">https://doi.org/10.1007/ </w:t>
        </w:r>
      </w:hyperlink>
      <w:hyperlink r:id="rId216">
        <w:r w:rsidRPr="00000849">
          <w:rPr>
            <w:rFonts w:ascii="Arial" w:eastAsia="Arial" w:hAnsi="Arial" w:cs="Arial"/>
            <w:color w:val="535C96"/>
            <w:sz w:val="16"/>
            <w:u w:val="single" w:color="535C96"/>
          </w:rPr>
          <w:t>bf03391607</w:t>
        </w:r>
      </w:hyperlink>
    </w:p>
    <w:p w14:paraId="7C8DFAA6"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Kaze AD, Schutte AE, Erqou S, Kengne AP, Echouffo-Tcheugui JB. Prevalence of hypertension in older people in Africa: a systematic review and meta-analysis. J Hypertens. 2017; 35(7):1345–52. Epub 2017/03/08. </w:t>
      </w:r>
      <w:hyperlink r:id="rId217">
        <w:r w:rsidRPr="00000849">
          <w:rPr>
            <w:rFonts w:ascii="Arial" w:eastAsia="Arial" w:hAnsi="Arial" w:cs="Arial"/>
            <w:color w:val="535C96"/>
            <w:sz w:val="16"/>
            <w:u w:val="single" w:color="535C96"/>
          </w:rPr>
          <w:t>https://doi.org/10.1097/HJH.0000000000001345</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18">
        <w:r w:rsidRPr="00000849">
          <w:rPr>
            <w:rFonts w:ascii="Arial" w:eastAsia="Arial" w:hAnsi="Arial" w:cs="Arial"/>
            <w:color w:val="535C96"/>
            <w:sz w:val="16"/>
            <w:u w:val="single" w:color="535C96"/>
          </w:rPr>
          <w:t>28267038</w:t>
        </w:r>
      </w:hyperlink>
      <w:r w:rsidRPr="00000849">
        <w:rPr>
          <w:rFonts w:ascii="Arial" w:eastAsia="Arial" w:hAnsi="Arial" w:cs="Arial"/>
          <w:sz w:val="16"/>
        </w:rPr>
        <w:t>.</w:t>
      </w:r>
    </w:p>
    <w:p w14:paraId="6DD5BCB2"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WHO. WHO STEPS Surveillance Manual2008 16 May 2016 [cited 2016 16 May]. Available from: </w:t>
      </w:r>
      <w:hyperlink r:id="rId219">
        <w:r w:rsidRPr="00000849">
          <w:rPr>
            <w:rFonts w:ascii="Arial" w:eastAsia="Arial" w:hAnsi="Arial" w:cs="Arial"/>
            <w:color w:val="535C96"/>
            <w:sz w:val="16"/>
            <w:u w:val="single" w:color="535C96"/>
          </w:rPr>
          <w:t xml:space="preserve">http:// </w:t>
        </w:r>
      </w:hyperlink>
      <w:hyperlink r:id="rId220">
        <w:r w:rsidRPr="00000849">
          <w:rPr>
            <w:rFonts w:ascii="Arial" w:eastAsia="Arial" w:hAnsi="Arial" w:cs="Arial"/>
            <w:color w:val="535C96"/>
            <w:sz w:val="16"/>
            <w:u w:val="single" w:color="535C96"/>
          </w:rPr>
          <w:t>www.who.int/chp/steps/manual/en/</w:t>
        </w:r>
      </w:hyperlink>
      <w:r w:rsidRPr="00000849">
        <w:rPr>
          <w:rFonts w:ascii="Arial" w:eastAsia="Arial" w:hAnsi="Arial" w:cs="Arial"/>
          <w:sz w:val="16"/>
        </w:rPr>
        <w:t>.</w:t>
      </w:r>
    </w:p>
    <w:p w14:paraId="3BB4E563" w14:textId="77777777" w:rsidR="00B00ED8" w:rsidRPr="00000849" w:rsidRDefault="00B00ED8" w:rsidP="008B3C61">
      <w:pPr>
        <w:numPr>
          <w:ilvl w:val="0"/>
          <w:numId w:val="34"/>
        </w:numPr>
        <w:spacing w:after="0" w:line="270" w:lineRule="auto"/>
        <w:ind w:left="0" w:right="7" w:hanging="420"/>
        <w:jc w:val="both"/>
      </w:pPr>
      <w:r w:rsidRPr="00000849">
        <w:rPr>
          <w:rFonts w:ascii="Arial" w:eastAsia="Arial" w:hAnsi="Arial" w:cs="Arial"/>
          <w:sz w:val="16"/>
        </w:rPr>
        <w:t>Apt NA. Aging in Africa: Past experiences and strategic directions. Ageing International. 2012; 37</w:t>
      </w:r>
    </w:p>
    <w:p w14:paraId="25D0D006" w14:textId="77777777" w:rsidR="00B00ED8" w:rsidRPr="00000849" w:rsidRDefault="00B00ED8" w:rsidP="008B3C61">
      <w:pPr>
        <w:spacing w:after="73" w:line="270" w:lineRule="auto"/>
        <w:ind w:right="7"/>
        <w:jc w:val="both"/>
      </w:pPr>
      <w:r w:rsidRPr="00000849">
        <w:rPr>
          <w:rFonts w:ascii="Arial" w:eastAsia="Arial" w:hAnsi="Arial" w:cs="Arial"/>
          <w:sz w:val="16"/>
        </w:rPr>
        <w:t>(1):93–103.</w:t>
      </w:r>
    </w:p>
    <w:p w14:paraId="56C92D7A"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WHO. Global strategy and action plan on ageing and health (2016–2020). Geneva: World Health Organization, 2016.</w:t>
      </w:r>
    </w:p>
    <w:p w14:paraId="7EE27D1B"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MDS Project Team. Proposed working definition of an older person in Africa for the Minimum Data Set project. Geneva: WHO, 2002.</w:t>
      </w:r>
    </w:p>
    <w:p w14:paraId="51E66234"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Aboyade OM, Beauclair R, Mbamalu ON, Puoane TR, Hughes GD. Health-seeking behaviours of older black women living with non-communicable diseases in an urban township in South Africa. BMC complementary and alternative medicine. 2016; 16(1):410. Epub 2016/10/26. </w:t>
      </w:r>
      <w:hyperlink r:id="rId221">
        <w:r w:rsidRPr="00000849">
          <w:rPr>
            <w:rFonts w:ascii="Arial" w:eastAsia="Arial" w:hAnsi="Arial" w:cs="Arial"/>
            <w:color w:val="535C96"/>
            <w:sz w:val="16"/>
            <w:u w:val="single" w:color="535C96"/>
          </w:rPr>
          <w:t xml:space="preserve">https://doi.org/10.1186/ </w:t>
        </w:r>
      </w:hyperlink>
      <w:hyperlink r:id="rId222">
        <w:r w:rsidRPr="00000849">
          <w:rPr>
            <w:rFonts w:ascii="Arial" w:eastAsia="Arial" w:hAnsi="Arial" w:cs="Arial"/>
            <w:color w:val="535C96"/>
            <w:sz w:val="16"/>
            <w:u w:val="single" w:color="535C96"/>
          </w:rPr>
          <w:t>s12906-016-1378-4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23">
        <w:r w:rsidRPr="00000849">
          <w:rPr>
            <w:rFonts w:ascii="Arial" w:eastAsia="Arial" w:hAnsi="Arial" w:cs="Arial"/>
            <w:color w:val="535C96"/>
            <w:sz w:val="16"/>
            <w:u w:val="single" w:color="535C96"/>
          </w:rPr>
          <w:t>27776505</w:t>
        </w:r>
      </w:hyperlink>
      <w:r w:rsidRPr="00000849">
        <w:rPr>
          <w:rFonts w:ascii="Arial" w:eastAsia="Arial" w:hAnsi="Arial" w:cs="Arial"/>
          <w:sz w:val="16"/>
        </w:rPr>
        <w:t>; PubMed Central PMCID: PMCPMC5078908.</w:t>
      </w:r>
    </w:p>
    <w:p w14:paraId="0E52463A"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Debpuur C, Welaga P, Wak G, Hodgson A. Self-reported health and functional limitations among older people in the Kassena-Nankana District, Ghana. Glob Health Action. 2010; 3(Suppl 2):54–63.</w:t>
      </w:r>
    </w:p>
    <w:p w14:paraId="055CD0AD"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Bosu WK, Aheto JMK, Zucchelli E, Reilly S. Prevalence, awareness, and associated risk factors of hypertension in older adults in Africa: a systematic review and meta-analysis protocol.(Report). Syst Rev. 2017; 6(1). </w:t>
      </w:r>
      <w:hyperlink r:id="rId224">
        <w:r w:rsidRPr="00000849">
          <w:rPr>
            <w:rFonts w:ascii="Arial" w:eastAsia="Arial" w:hAnsi="Arial" w:cs="Arial"/>
            <w:color w:val="535C96"/>
            <w:sz w:val="16"/>
            <w:u w:val="single" w:color="535C96"/>
          </w:rPr>
          <w:t>https://doi.org/10.1186/s13643-017-0585-5</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25">
        <w:r w:rsidRPr="00000849">
          <w:rPr>
            <w:rFonts w:ascii="Arial" w:eastAsia="Arial" w:hAnsi="Arial" w:cs="Arial"/>
            <w:color w:val="535C96"/>
            <w:sz w:val="16"/>
            <w:u w:val="single" w:color="535C96"/>
          </w:rPr>
          <w:t>28978358</w:t>
        </w:r>
      </w:hyperlink>
    </w:p>
    <w:p w14:paraId="54BE39C3"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Chobanian AV, Bakris GL, Black HR, Cushman WC, Green LA, Izzo JJL, et al. The Seventh Report of the Joint National Committee on Prevention, Detection, Evaluation, and Treatment of High Blood Pressure: The JNC 7 Report. JAMA. 2003; 289(19):2560–71. </w:t>
      </w:r>
      <w:hyperlink r:id="rId226">
        <w:r w:rsidRPr="00000849">
          <w:rPr>
            <w:rFonts w:ascii="Arial" w:eastAsia="Arial" w:hAnsi="Arial" w:cs="Arial"/>
            <w:color w:val="535C96"/>
            <w:sz w:val="16"/>
            <w:u w:val="single" w:color="535C96"/>
          </w:rPr>
          <w:t xml:space="preserve">https://doi.org/10.1001/jama.289.19.2560 </w:t>
        </w:r>
      </w:hyperlink>
      <w:r w:rsidRPr="00000849">
        <w:rPr>
          <w:rFonts w:ascii="Arial" w:eastAsia="Arial" w:hAnsi="Arial" w:cs="Arial"/>
          <w:sz w:val="16"/>
        </w:rPr>
        <w:t xml:space="preserve">PMID: </w:t>
      </w:r>
      <w:hyperlink r:id="rId227">
        <w:r w:rsidRPr="00000849">
          <w:rPr>
            <w:rFonts w:ascii="Arial" w:eastAsia="Arial" w:hAnsi="Arial" w:cs="Arial"/>
            <w:color w:val="535C96"/>
            <w:sz w:val="16"/>
            <w:u w:val="single" w:color="535C96"/>
          </w:rPr>
          <w:t>12748199</w:t>
        </w:r>
      </w:hyperlink>
    </w:p>
    <w:p w14:paraId="20BAE188"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Liberati A, Altman DG, Tetzlaff J, Mulrow C, Gøtzsche PC, Ioannidis JP, et al. The PRISMA statement for reporting systematic reviews and meta-analyses of studies that evaluate health care interventions: explanation and elaboration. PLoS Med. 2009; 6(7):e1000100. </w:t>
      </w:r>
      <w:hyperlink r:id="rId228">
        <w:r w:rsidRPr="00000849">
          <w:rPr>
            <w:rFonts w:ascii="Arial" w:eastAsia="Arial" w:hAnsi="Arial" w:cs="Arial"/>
            <w:color w:val="535C96"/>
            <w:sz w:val="16"/>
            <w:u w:val="single" w:color="535C96"/>
          </w:rPr>
          <w:t xml:space="preserve">https://doi.org/10.1371/journal.pmed. </w:t>
        </w:r>
      </w:hyperlink>
      <w:hyperlink r:id="rId229">
        <w:r w:rsidRPr="00000849">
          <w:rPr>
            <w:rFonts w:ascii="Arial" w:eastAsia="Arial" w:hAnsi="Arial" w:cs="Arial"/>
            <w:color w:val="535C96"/>
            <w:sz w:val="16"/>
            <w:u w:val="single" w:color="535C96"/>
          </w:rPr>
          <w:t>1000100</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30">
        <w:r w:rsidRPr="00000849">
          <w:rPr>
            <w:rFonts w:ascii="Arial" w:eastAsia="Arial" w:hAnsi="Arial" w:cs="Arial"/>
            <w:color w:val="535C96"/>
            <w:sz w:val="16"/>
            <w:u w:val="single" w:color="535C96"/>
          </w:rPr>
          <w:t>19621070</w:t>
        </w:r>
      </w:hyperlink>
    </w:p>
    <w:p w14:paraId="3C6AE344"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Veritas Health Innovation. Covidence systematic review software. Melbourne, Australia2018 [cited 2018]. Available from: </w:t>
      </w:r>
      <w:hyperlink r:id="rId231">
        <w:r w:rsidRPr="00000849">
          <w:rPr>
            <w:rFonts w:ascii="Arial" w:eastAsia="Arial" w:hAnsi="Arial" w:cs="Arial"/>
            <w:color w:val="535C96"/>
            <w:sz w:val="16"/>
            <w:u w:val="single" w:color="535C96"/>
          </w:rPr>
          <w:t>www.covidence.org</w:t>
        </w:r>
      </w:hyperlink>
      <w:hyperlink r:id="rId232">
        <w:r w:rsidRPr="00000849">
          <w:rPr>
            <w:rFonts w:ascii="Arial" w:eastAsia="Arial" w:hAnsi="Arial" w:cs="Arial"/>
            <w:sz w:val="16"/>
          </w:rPr>
          <w:t>.</w:t>
        </w:r>
      </w:hyperlink>
    </w:p>
    <w:p w14:paraId="6B9D7EC4" w14:textId="77777777" w:rsidR="00B00ED8" w:rsidRPr="00000849" w:rsidRDefault="00B00ED8" w:rsidP="008B3C61">
      <w:pPr>
        <w:numPr>
          <w:ilvl w:val="0"/>
          <w:numId w:val="34"/>
        </w:numPr>
        <w:spacing w:after="9" w:line="270" w:lineRule="auto"/>
        <w:ind w:left="0" w:right="7" w:hanging="420"/>
        <w:jc w:val="both"/>
      </w:pPr>
      <w:r w:rsidRPr="00000849">
        <w:rPr>
          <w:rFonts w:ascii="Arial" w:eastAsia="Arial" w:hAnsi="Arial" w:cs="Arial"/>
          <w:sz w:val="16"/>
        </w:rPr>
        <w:t>Hoy D, Brooks P, Woolf A, Blyth F, March L, Bain C, et al. Assessing risk of bias in prevalence studies:</w:t>
      </w:r>
    </w:p>
    <w:p w14:paraId="141527F5" w14:textId="77777777" w:rsidR="00B00ED8" w:rsidRPr="00000849" w:rsidRDefault="00B00ED8" w:rsidP="008B3C61">
      <w:pPr>
        <w:spacing w:after="10" w:line="270" w:lineRule="auto"/>
        <w:ind w:right="7"/>
        <w:jc w:val="both"/>
      </w:pPr>
      <w:r w:rsidRPr="00000849">
        <w:rPr>
          <w:rFonts w:ascii="Arial" w:eastAsia="Arial" w:hAnsi="Arial" w:cs="Arial"/>
          <w:sz w:val="16"/>
        </w:rPr>
        <w:t>modification of an existing tool and evidence of interrater agreement. J Clin Epidemiol. 2012; 65</w:t>
      </w:r>
    </w:p>
    <w:p w14:paraId="0AAA9422" w14:textId="77777777" w:rsidR="00B00ED8" w:rsidRPr="00000849" w:rsidRDefault="00B00ED8" w:rsidP="008B3C61">
      <w:pPr>
        <w:spacing w:after="83" w:line="265" w:lineRule="auto"/>
        <w:jc w:val="both"/>
      </w:pPr>
      <w:r w:rsidRPr="00000849">
        <w:rPr>
          <w:rFonts w:ascii="Arial" w:eastAsia="Arial" w:hAnsi="Arial" w:cs="Arial"/>
          <w:sz w:val="16"/>
        </w:rPr>
        <w:t xml:space="preserve">(9):934–9. </w:t>
      </w:r>
      <w:hyperlink r:id="rId233">
        <w:r w:rsidRPr="00000849">
          <w:rPr>
            <w:rFonts w:ascii="Arial" w:eastAsia="Arial" w:hAnsi="Arial" w:cs="Arial"/>
            <w:color w:val="535C96"/>
            <w:sz w:val="16"/>
            <w:u w:val="single" w:color="535C96"/>
          </w:rPr>
          <w:t>https://doi.org/10.1016/j.jclinepi.2011.11.014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34">
        <w:r w:rsidRPr="00000849">
          <w:rPr>
            <w:rFonts w:ascii="Arial" w:eastAsia="Arial" w:hAnsi="Arial" w:cs="Arial"/>
            <w:color w:val="535C96"/>
            <w:sz w:val="16"/>
            <w:u w:val="single" w:color="535C96"/>
          </w:rPr>
          <w:t>22742910</w:t>
        </w:r>
      </w:hyperlink>
    </w:p>
    <w:p w14:paraId="4D01A3AF" w14:textId="77777777" w:rsidR="00B00ED8" w:rsidRPr="00000849" w:rsidRDefault="00B00ED8" w:rsidP="008B3C61">
      <w:pPr>
        <w:numPr>
          <w:ilvl w:val="0"/>
          <w:numId w:val="34"/>
        </w:numPr>
        <w:spacing w:after="7" w:line="270" w:lineRule="auto"/>
        <w:ind w:left="0" w:right="7" w:hanging="420"/>
        <w:jc w:val="both"/>
      </w:pPr>
      <w:r w:rsidRPr="00000849">
        <w:rPr>
          <w:rFonts w:ascii="Arial" w:eastAsia="Arial" w:hAnsi="Arial" w:cs="Arial"/>
          <w:sz w:val="16"/>
        </w:rPr>
        <w:t>Shamseer L, Moher D, Clarke M, Ghersi D, Liberati A, Petticrew M, et al. Preferred reporting items for systematic review and meta-analysis protocols (PRISMA-P) 2015: elaboration and explanation. BMJ</w:t>
      </w:r>
    </w:p>
    <w:p w14:paraId="52F1476A" w14:textId="77777777" w:rsidR="00B00ED8" w:rsidRPr="00000849" w:rsidRDefault="00B00ED8" w:rsidP="008B3C61">
      <w:pPr>
        <w:spacing w:after="73" w:line="270" w:lineRule="auto"/>
        <w:ind w:right="7"/>
        <w:jc w:val="both"/>
      </w:pPr>
      <w:r w:rsidRPr="00000849">
        <w:rPr>
          <w:rFonts w:ascii="Arial" w:eastAsia="Arial" w:hAnsi="Arial" w:cs="Arial"/>
          <w:sz w:val="16"/>
        </w:rPr>
        <w:t xml:space="preserve">(Clinical research ed). 2015; 349:g7647. </w:t>
      </w:r>
      <w:hyperlink r:id="rId235">
        <w:r w:rsidRPr="00000849">
          <w:rPr>
            <w:rFonts w:ascii="Arial" w:eastAsia="Arial" w:hAnsi="Arial" w:cs="Arial"/>
            <w:color w:val="535C96"/>
            <w:sz w:val="16"/>
            <w:u w:val="single" w:color="535C96"/>
          </w:rPr>
          <w:t>https://doi.org/10.1136/bmj.g7647</w:t>
        </w:r>
      </w:hyperlink>
    </w:p>
    <w:p w14:paraId="0D4D9B5B"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lang w:val="pt-PT"/>
        </w:rPr>
        <w:lastRenderedPageBreak/>
        <w:t xml:space="preserve">Iorio A, Spencer FA, Falavigna M, Alba C, Lang E, Burnand B, et al. </w:t>
      </w:r>
      <w:r w:rsidRPr="00000849">
        <w:rPr>
          <w:rFonts w:ascii="Arial" w:eastAsia="Arial" w:hAnsi="Arial" w:cs="Arial"/>
          <w:sz w:val="16"/>
        </w:rPr>
        <w:t xml:space="preserve">Use of GRADE for assessment of evidence about prognosis: rating confidence in estimates of event rates in broad categories of patients. BMJ (Clinical research ed). 2015; 350:h870. </w:t>
      </w:r>
      <w:hyperlink r:id="rId236">
        <w:r w:rsidRPr="00000849">
          <w:rPr>
            <w:rFonts w:ascii="Arial" w:eastAsia="Arial" w:hAnsi="Arial" w:cs="Arial"/>
            <w:color w:val="535C96"/>
            <w:sz w:val="16"/>
            <w:u w:val="single" w:color="535C96"/>
          </w:rPr>
          <w:t>https://doi.org/10.1136/bmj.h870</w:t>
        </w:r>
      </w:hyperlink>
      <w:r w:rsidRPr="00000849">
        <w:rPr>
          <w:rFonts w:ascii="Arial" w:eastAsia="Arial" w:hAnsi="Arial" w:cs="Arial"/>
          <w:sz w:val="16"/>
        </w:rPr>
        <w:t>.</w:t>
      </w:r>
    </w:p>
    <w:p w14:paraId="754DB079"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Nyaga VN, Arbyn M, Aerts M. Metaprop: a Stata command to perform meta-analysis of binomial data. Arch Public Health. 2014; 72(1):39. </w:t>
      </w:r>
      <w:hyperlink r:id="rId237">
        <w:r w:rsidRPr="00000849">
          <w:rPr>
            <w:rFonts w:ascii="Arial" w:eastAsia="Arial" w:hAnsi="Arial" w:cs="Arial"/>
            <w:color w:val="535C96"/>
            <w:sz w:val="16"/>
            <w:u w:val="single" w:color="535C96"/>
          </w:rPr>
          <w:t>https://doi.org/10.1186/2049-3258-72-39</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38">
        <w:r w:rsidRPr="00000849">
          <w:rPr>
            <w:rFonts w:ascii="Arial" w:eastAsia="Arial" w:hAnsi="Arial" w:cs="Arial"/>
            <w:color w:val="535C96"/>
            <w:sz w:val="16"/>
            <w:u w:val="single" w:color="535C96"/>
          </w:rPr>
          <w:t>25810908</w:t>
        </w:r>
      </w:hyperlink>
    </w:p>
    <w:p w14:paraId="4077F78F"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Cochran WG. The combination of estimates from different experiments. Biometrics. 1954; 10(1):101– 29.</w:t>
      </w:r>
    </w:p>
    <w:p w14:paraId="55610E7A" w14:textId="77777777" w:rsidR="00B00ED8" w:rsidRPr="00000849" w:rsidRDefault="00B00ED8" w:rsidP="008B3C61">
      <w:pPr>
        <w:numPr>
          <w:ilvl w:val="0"/>
          <w:numId w:val="34"/>
        </w:numPr>
        <w:spacing w:after="9" w:line="270" w:lineRule="auto"/>
        <w:ind w:left="0" w:right="7" w:hanging="420"/>
        <w:jc w:val="both"/>
      </w:pPr>
      <w:r w:rsidRPr="00000849">
        <w:rPr>
          <w:rFonts w:ascii="Arial" w:eastAsia="Arial" w:hAnsi="Arial" w:cs="Arial"/>
          <w:sz w:val="16"/>
        </w:rPr>
        <w:t>Higgins JP, Thompson SG, Deeks JJ, Altman DG. Measuring inconsistency in meta-analyses. BMJ.</w:t>
      </w:r>
    </w:p>
    <w:p w14:paraId="07753CE2" w14:textId="77777777" w:rsidR="00B00ED8" w:rsidRPr="00000849" w:rsidRDefault="00B00ED8" w:rsidP="008B3C61">
      <w:pPr>
        <w:spacing w:after="73" w:line="270" w:lineRule="auto"/>
        <w:ind w:right="7"/>
        <w:jc w:val="both"/>
      </w:pPr>
      <w:r w:rsidRPr="00000849">
        <w:rPr>
          <w:rFonts w:ascii="Arial" w:eastAsia="Arial" w:hAnsi="Arial" w:cs="Arial"/>
          <w:sz w:val="16"/>
        </w:rPr>
        <w:t xml:space="preserve">2003; 327(7414):557–60. Epub 2003/09/06. </w:t>
      </w:r>
      <w:hyperlink r:id="rId239">
        <w:r w:rsidRPr="00000849">
          <w:rPr>
            <w:rFonts w:ascii="Arial" w:eastAsia="Arial" w:hAnsi="Arial" w:cs="Arial"/>
            <w:color w:val="535C96"/>
            <w:sz w:val="16"/>
            <w:u w:val="single" w:color="535C96"/>
          </w:rPr>
          <w:t>https://doi.org/10.1136/bmj.327.7414.557</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40">
        <w:r w:rsidRPr="00000849">
          <w:rPr>
            <w:rFonts w:ascii="Arial" w:eastAsia="Arial" w:hAnsi="Arial" w:cs="Arial"/>
            <w:color w:val="535C96"/>
            <w:sz w:val="16"/>
            <w:u w:val="single" w:color="535C96"/>
          </w:rPr>
          <w:t>12958120</w:t>
        </w:r>
      </w:hyperlink>
      <w:r w:rsidRPr="00000849">
        <w:rPr>
          <w:rFonts w:ascii="Arial" w:eastAsia="Arial" w:hAnsi="Arial" w:cs="Arial"/>
          <w:sz w:val="16"/>
        </w:rPr>
        <w:t>; PubMed Central PMCID: PMCPMC192859.</w:t>
      </w:r>
    </w:p>
    <w:p w14:paraId="37AD666B"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Harbord RM, Higgins JP. Meta-regression in Stata. The Stata Journal. 2008; 8(4):493–519.</w:t>
      </w:r>
    </w:p>
    <w:p w14:paraId="123EF92E"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StataCorp. Stata Statistical Software: Release 14.: College Station, TX: StataCorp LP; 2015.</w:t>
      </w:r>
    </w:p>
    <w:p w14:paraId="14EA192E"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Duval S, Tweedie R. Trim and Fill: A Simple Funnel-Plot–Based Method of Testing and Adjusting for Publication Bias in Meta-Analysis. Biometrics. 2000; 56(2):455–63. </w:t>
      </w:r>
      <w:hyperlink r:id="rId241">
        <w:r w:rsidRPr="00000849">
          <w:rPr>
            <w:rFonts w:ascii="Arial" w:eastAsia="Arial" w:hAnsi="Arial" w:cs="Arial"/>
            <w:color w:val="535C96"/>
            <w:sz w:val="16"/>
            <w:u w:val="single" w:color="535C96"/>
          </w:rPr>
          <w:t>https://doi.org/10.1111/j.0006</w:t>
        </w:r>
      </w:hyperlink>
      <w:hyperlink r:id="rId242">
        <w:r w:rsidRPr="00000849">
          <w:rPr>
            <w:rFonts w:ascii="Arial" w:eastAsia="Arial" w:hAnsi="Arial" w:cs="Arial"/>
            <w:color w:val="535C96"/>
            <w:sz w:val="16"/>
            <w:u w:val="single" w:color="535C96"/>
          </w:rPr>
          <w:t>341X.2000.00455.x</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43">
        <w:r w:rsidRPr="00000849">
          <w:rPr>
            <w:rFonts w:ascii="Arial" w:eastAsia="Arial" w:hAnsi="Arial" w:cs="Arial"/>
            <w:color w:val="535C96"/>
            <w:sz w:val="16"/>
            <w:u w:val="single" w:color="535C96"/>
          </w:rPr>
          <w:t>10877304</w:t>
        </w:r>
      </w:hyperlink>
    </w:p>
    <w:p w14:paraId="73D4A76A"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Egger M, Davey Smith G, Schneider M, Minder C. Bias in meta-analysis detected by a simple, graphical test. BMJ. 1997; 315(7109):629–34. Epub 1997/10/06. PMID: </w:t>
      </w:r>
      <w:hyperlink r:id="rId244">
        <w:r w:rsidRPr="00000849">
          <w:rPr>
            <w:rFonts w:ascii="Arial" w:eastAsia="Arial" w:hAnsi="Arial" w:cs="Arial"/>
            <w:color w:val="535C96"/>
            <w:sz w:val="16"/>
            <w:u w:val="single" w:color="535C96"/>
          </w:rPr>
          <w:t>9310563</w:t>
        </w:r>
      </w:hyperlink>
      <w:r w:rsidRPr="00000849">
        <w:rPr>
          <w:rFonts w:ascii="Arial" w:eastAsia="Arial" w:hAnsi="Arial" w:cs="Arial"/>
          <w:sz w:val="16"/>
        </w:rPr>
        <w:t>; PubMed Central PMCID: PMCPMC2127453.</w:t>
      </w:r>
    </w:p>
    <w:p w14:paraId="40278611"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Kamoun M, Hajem S, Gueddana N, Achour N, Slimane H. Diabetes, hypertension, obesity in elderly: Study about 981 Tunisian people aged 65 years and over. Revue Geriatr. 2006; 31(7):477–86.</w:t>
      </w:r>
    </w:p>
    <w:p w14:paraId="474F1E0E"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Abegunde KA, Owoaje ET. Health problems and associated risk factors in selected urban and rural elderly population groups of South-West Nigeria. Ann Afr Med. 2013; 12(2):90–7. </w:t>
      </w:r>
      <w:hyperlink r:id="rId245">
        <w:r w:rsidRPr="00000849">
          <w:rPr>
            <w:rFonts w:ascii="Arial" w:eastAsia="Arial" w:hAnsi="Arial" w:cs="Arial"/>
            <w:color w:val="535C96"/>
            <w:sz w:val="16"/>
            <w:u w:val="single" w:color="535C96"/>
          </w:rPr>
          <w:t xml:space="preserve">https://doi.org/10. </w:t>
        </w:r>
      </w:hyperlink>
      <w:hyperlink r:id="rId246">
        <w:r w:rsidRPr="00000849">
          <w:rPr>
            <w:rFonts w:ascii="Arial" w:eastAsia="Arial" w:hAnsi="Arial" w:cs="Arial"/>
            <w:color w:val="535C96"/>
            <w:sz w:val="16"/>
            <w:u w:val="single" w:color="535C96"/>
          </w:rPr>
          <w:t>4103/1596-3519.112398</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47">
        <w:r w:rsidRPr="00000849">
          <w:rPr>
            <w:rFonts w:ascii="Arial" w:eastAsia="Arial" w:hAnsi="Arial" w:cs="Arial"/>
            <w:color w:val="535C96"/>
            <w:sz w:val="16"/>
            <w:u w:val="single" w:color="535C96"/>
          </w:rPr>
          <w:t>23713015</w:t>
        </w:r>
      </w:hyperlink>
      <w:r w:rsidRPr="00000849">
        <w:rPr>
          <w:rFonts w:ascii="Arial" w:eastAsia="Arial" w:hAnsi="Arial" w:cs="Arial"/>
          <w:sz w:val="16"/>
        </w:rPr>
        <w:t>.</w:t>
      </w:r>
    </w:p>
    <w:p w14:paraId="4140DDCC"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Chami MA, Zemmour L, Midoun N, Belhadj M. Diabetes mellitus in the elderly: The first Algerian survey. Medecine des Maladies Metaboliques. 2015; 9(2):210–5. </w:t>
      </w:r>
      <w:hyperlink r:id="rId248">
        <w:r w:rsidRPr="00000849">
          <w:rPr>
            <w:rFonts w:ascii="Arial" w:eastAsia="Arial" w:hAnsi="Arial" w:cs="Arial"/>
            <w:color w:val="535C96"/>
            <w:sz w:val="16"/>
            <w:u w:val="single" w:color="535C96"/>
          </w:rPr>
          <w:t xml:space="preserve">http://dx.doi.org/10.1016/S1957-2557% </w:t>
        </w:r>
      </w:hyperlink>
      <w:hyperlink r:id="rId249">
        <w:r w:rsidRPr="00000849">
          <w:rPr>
            <w:rFonts w:ascii="Arial" w:eastAsia="Arial" w:hAnsi="Arial" w:cs="Arial"/>
            <w:color w:val="535C96"/>
            <w:sz w:val="16"/>
            <w:u w:val="single" w:color="535C96"/>
          </w:rPr>
          <w:t>2815%2930046-8</w:t>
        </w:r>
      </w:hyperlink>
      <w:r w:rsidRPr="00000849">
        <w:rPr>
          <w:rFonts w:ascii="Arial" w:eastAsia="Arial" w:hAnsi="Arial" w:cs="Arial"/>
          <w:sz w:val="16"/>
        </w:rPr>
        <w:t>.</w:t>
      </w:r>
    </w:p>
    <w:p w14:paraId="7089A55C"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Dewhurst MJ, Dewhurst F, Gray WK, Chaote P, Orega GP, Walker RW. The high prevalence of hypertension in rural-dwelling Tanzanian older adults and the disparity between detection, treatment and control: a rule of sixths? J Hum Hypertens. 2013; 27(6):374–80. </w:t>
      </w:r>
      <w:hyperlink r:id="rId250">
        <w:r w:rsidRPr="00000849">
          <w:rPr>
            <w:rFonts w:ascii="Arial" w:eastAsia="Arial" w:hAnsi="Arial" w:cs="Arial"/>
            <w:color w:val="535C96"/>
            <w:sz w:val="16"/>
            <w:u w:val="single" w:color="535C96"/>
          </w:rPr>
          <w:t>https://doi.org/10.1038/jhh.2012.59</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51">
        <w:r w:rsidRPr="00000849">
          <w:rPr>
            <w:rFonts w:ascii="Arial" w:eastAsia="Arial" w:hAnsi="Arial" w:cs="Arial"/>
            <w:color w:val="535C96"/>
            <w:sz w:val="16"/>
            <w:u w:val="single" w:color="535C96"/>
          </w:rPr>
          <w:t>23235367</w:t>
        </w:r>
      </w:hyperlink>
      <w:r w:rsidRPr="00000849">
        <w:rPr>
          <w:rFonts w:ascii="Arial" w:eastAsia="Arial" w:hAnsi="Arial" w:cs="Arial"/>
          <w:sz w:val="16"/>
        </w:rPr>
        <w:t>.</w:t>
      </w:r>
    </w:p>
    <w:p w14:paraId="6B99BAD9"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lang w:val="fr-FR"/>
        </w:rPr>
        <w:t xml:space="preserve">Duboz P, Toure´ M, Hane F, Macia E, Coume M, Baˆ A, et al. Vieillissement et pathologies chroniques au Se´ne´gal. Comparaison entre des populations vivant en milieu rural (Ferlo) et urbain (Dakar) Ageing and chronic diseases in Senegal. </w:t>
      </w:r>
      <w:r w:rsidRPr="00000849">
        <w:rPr>
          <w:rFonts w:ascii="Arial" w:eastAsia="Arial" w:hAnsi="Arial" w:cs="Arial"/>
          <w:sz w:val="16"/>
        </w:rPr>
        <w:t xml:space="preserve">A comparison between rural (Ferlo) and urban (Dakar) populations. Bull Soc Pathol Exot. 2015; 108(1):25–31. </w:t>
      </w:r>
      <w:hyperlink r:id="rId252">
        <w:r w:rsidRPr="00000849">
          <w:rPr>
            <w:rFonts w:ascii="Arial" w:eastAsia="Arial" w:hAnsi="Arial" w:cs="Arial"/>
            <w:color w:val="535C96"/>
            <w:sz w:val="16"/>
            <w:u w:val="single" w:color="535C96"/>
          </w:rPr>
          <w:t>https://doi.org/10.1007/s13149-014-0397-y</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53">
        <w:r w:rsidRPr="00000849">
          <w:rPr>
            <w:rFonts w:ascii="Arial" w:eastAsia="Arial" w:hAnsi="Arial" w:cs="Arial"/>
            <w:color w:val="535C96"/>
            <w:sz w:val="16"/>
            <w:u w:val="single" w:color="535C96"/>
          </w:rPr>
          <w:t>25256252</w:t>
        </w:r>
      </w:hyperlink>
    </w:p>
    <w:p w14:paraId="03A1FD90"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El Tallawy HN, Farghly WM, Shehata GA, Rageh TA, Hakeem NA, Abo-Elfetoh N, et al. Prevalence of dementia in Al Kharga District, New Valley Governorate, Egypt. Neuroepidemiology. 2012; 38(3):130– 7. Epub 2012/03/22. </w:t>
      </w:r>
      <w:hyperlink r:id="rId254">
        <w:r w:rsidRPr="00000849">
          <w:rPr>
            <w:rFonts w:ascii="Arial" w:eastAsia="Arial" w:hAnsi="Arial" w:cs="Arial"/>
            <w:color w:val="535C96"/>
            <w:sz w:val="16"/>
            <w:u w:val="single" w:color="535C96"/>
          </w:rPr>
          <w:t>https://doi.org/10.1159/000335655</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55">
        <w:r w:rsidRPr="00000849">
          <w:rPr>
            <w:rFonts w:ascii="Arial" w:eastAsia="Arial" w:hAnsi="Arial" w:cs="Arial"/>
            <w:color w:val="535C96"/>
            <w:sz w:val="16"/>
            <w:u w:val="single" w:color="535C96"/>
          </w:rPr>
          <w:t>22433971</w:t>
        </w:r>
      </w:hyperlink>
      <w:r w:rsidRPr="00000849">
        <w:rPr>
          <w:rFonts w:ascii="Arial" w:eastAsia="Arial" w:hAnsi="Arial" w:cs="Arial"/>
          <w:sz w:val="16"/>
        </w:rPr>
        <w:t>.</w:t>
      </w:r>
    </w:p>
    <w:p w14:paraId="788931FC" w14:textId="77777777" w:rsidR="00B00ED8" w:rsidRPr="00000849" w:rsidRDefault="00B00ED8" w:rsidP="008B3C61">
      <w:pPr>
        <w:numPr>
          <w:ilvl w:val="0"/>
          <w:numId w:val="34"/>
        </w:numPr>
        <w:spacing w:after="7" w:line="270" w:lineRule="auto"/>
        <w:ind w:left="0" w:right="7" w:hanging="420"/>
        <w:jc w:val="both"/>
      </w:pPr>
      <w:r w:rsidRPr="00000849">
        <w:rPr>
          <w:rFonts w:ascii="Arial" w:eastAsia="Arial" w:hAnsi="Arial" w:cs="Arial"/>
          <w:sz w:val="16"/>
        </w:rPr>
        <w:t>Fajemilehin BR, Ojfeitimi EO, Adegbehingbe BO, Asa SS, Bamiwuye SG, Owolabi OO. Nutritional and health status in an elderly population in Nigeria. Afr J Nurs Midwifery. 2005; 7(1):17–22. PMID:</w:t>
      </w:r>
    </w:p>
    <w:p w14:paraId="424F84FC" w14:textId="77777777" w:rsidR="00B00ED8" w:rsidRPr="00000849" w:rsidRDefault="00C84E75" w:rsidP="008B3C61">
      <w:pPr>
        <w:spacing w:after="73" w:line="270" w:lineRule="auto"/>
        <w:ind w:right="7"/>
        <w:jc w:val="both"/>
      </w:pPr>
      <w:hyperlink r:id="rId256">
        <w:r w:rsidR="00B00ED8" w:rsidRPr="00000849">
          <w:rPr>
            <w:rFonts w:ascii="Arial" w:eastAsia="Arial" w:hAnsi="Arial" w:cs="Arial"/>
            <w:color w:val="535C96"/>
            <w:sz w:val="16"/>
            <w:u w:val="single" w:color="535C96"/>
          </w:rPr>
          <w:t>106353839</w:t>
        </w:r>
      </w:hyperlink>
      <w:r w:rsidR="00B00ED8" w:rsidRPr="00000849">
        <w:rPr>
          <w:rFonts w:ascii="Arial" w:eastAsia="Arial" w:hAnsi="Arial" w:cs="Arial"/>
          <w:sz w:val="16"/>
        </w:rPr>
        <w:t>. Language: English. Entry Date: 20061027. Revision Date: 20150820. Publication Type: Journal Article.</w:t>
      </w:r>
    </w:p>
    <w:p w14:paraId="7FAD9BDF"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Gray WK, Dewhurst F, Dewhurst MJ, Orega G, Kissima J, Chaote P, et al. Rates and predictors of three-year mortality in older people in rural Tanzania. Arch Gerontol Geriatr. 2016; 62:36–42. </w:t>
      </w:r>
      <w:hyperlink r:id="rId257">
        <w:r w:rsidRPr="00000849">
          <w:rPr>
            <w:rFonts w:ascii="Arial" w:eastAsia="Arial" w:hAnsi="Arial" w:cs="Arial"/>
            <w:color w:val="535C96"/>
            <w:sz w:val="16"/>
            <w:u w:val="single" w:color="535C96"/>
          </w:rPr>
          <w:t xml:space="preserve">https:// </w:t>
        </w:r>
      </w:hyperlink>
      <w:hyperlink r:id="rId258">
        <w:r w:rsidRPr="00000849">
          <w:rPr>
            <w:rFonts w:ascii="Arial" w:eastAsia="Arial" w:hAnsi="Arial" w:cs="Arial"/>
            <w:color w:val="535C96"/>
            <w:sz w:val="16"/>
            <w:u w:val="single" w:color="535C96"/>
          </w:rPr>
          <w:t>doi.org/10.1016/j.archger.2015.10.008</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59">
        <w:r w:rsidRPr="00000849">
          <w:rPr>
            <w:rFonts w:ascii="Arial" w:eastAsia="Arial" w:hAnsi="Arial" w:cs="Arial"/>
            <w:color w:val="535C96"/>
            <w:sz w:val="16"/>
            <w:u w:val="single" w:color="535C96"/>
          </w:rPr>
          <w:t>26549489</w:t>
        </w:r>
      </w:hyperlink>
      <w:r w:rsidRPr="00000849">
        <w:rPr>
          <w:rFonts w:ascii="Arial" w:eastAsia="Arial" w:hAnsi="Arial" w:cs="Arial"/>
          <w:sz w:val="16"/>
        </w:rPr>
        <w:t>.</w:t>
      </w:r>
    </w:p>
    <w:p w14:paraId="4241C288" w14:textId="77777777" w:rsidR="00B00ED8" w:rsidRPr="00000849" w:rsidRDefault="00B00ED8" w:rsidP="008B3C61">
      <w:pPr>
        <w:numPr>
          <w:ilvl w:val="0"/>
          <w:numId w:val="34"/>
        </w:numPr>
        <w:spacing w:after="7" w:line="270" w:lineRule="auto"/>
        <w:ind w:left="0" w:right="7" w:hanging="420"/>
        <w:jc w:val="both"/>
      </w:pPr>
      <w:r w:rsidRPr="00000849">
        <w:rPr>
          <w:rFonts w:ascii="Arial" w:eastAsia="Arial" w:hAnsi="Arial" w:cs="Arial"/>
          <w:sz w:val="16"/>
        </w:rPr>
        <w:t xml:space="preserve">Guerchet M, Mouanga AM, M’Belesso P, Tabo A, Bandzouzi B, Paraïso MN, et al. Factors Associated with Dementia Among Elderly People Living in Two Cities in Central Africa: The EDAC Multicenter Study. J Alzheimers Dis. 2012; 29(1):15–24. </w:t>
      </w:r>
      <w:hyperlink r:id="rId260">
        <w:r w:rsidRPr="00000849">
          <w:rPr>
            <w:rFonts w:ascii="Arial" w:eastAsia="Arial" w:hAnsi="Arial" w:cs="Arial"/>
            <w:color w:val="535C96"/>
            <w:sz w:val="16"/>
            <w:u w:val="single" w:color="535C96"/>
          </w:rPr>
          <w:t>https://doi.org/10.3233/JAD-2011-111364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PMID:</w:t>
      </w:r>
    </w:p>
    <w:p w14:paraId="6FD0B372" w14:textId="77777777" w:rsidR="00B00ED8" w:rsidRPr="00000849" w:rsidRDefault="00C84E75" w:rsidP="008B3C61">
      <w:pPr>
        <w:spacing w:after="83" w:line="265" w:lineRule="auto"/>
        <w:jc w:val="both"/>
      </w:pPr>
      <w:hyperlink r:id="rId261">
        <w:r w:rsidR="00B00ED8" w:rsidRPr="00000849">
          <w:rPr>
            <w:rFonts w:ascii="Arial" w:eastAsia="Arial" w:hAnsi="Arial" w:cs="Arial"/>
            <w:color w:val="535C96"/>
            <w:sz w:val="16"/>
            <w:u w:val="single" w:color="535C96"/>
          </w:rPr>
          <w:t>22204904</w:t>
        </w:r>
      </w:hyperlink>
      <w:r w:rsidR="00B00ED8" w:rsidRPr="00000849">
        <w:rPr>
          <w:rFonts w:ascii="Arial" w:eastAsia="Arial" w:hAnsi="Arial" w:cs="Arial"/>
          <w:sz w:val="16"/>
        </w:rPr>
        <w:t>.</w:t>
      </w:r>
    </w:p>
    <w:p w14:paraId="348106AA" w14:textId="77777777" w:rsidR="00B00ED8" w:rsidRPr="00000849" w:rsidRDefault="00B00ED8" w:rsidP="008B3C61">
      <w:pPr>
        <w:numPr>
          <w:ilvl w:val="0"/>
          <w:numId w:val="34"/>
        </w:numPr>
        <w:spacing w:after="7" w:line="270" w:lineRule="auto"/>
        <w:ind w:left="0" w:right="7" w:hanging="420"/>
        <w:jc w:val="both"/>
      </w:pPr>
      <w:r w:rsidRPr="00000849">
        <w:rPr>
          <w:rFonts w:ascii="Arial" w:eastAsia="Arial" w:hAnsi="Arial" w:cs="Arial"/>
          <w:sz w:val="16"/>
        </w:rPr>
        <w:t>Hammami S, Mehri S, Hajem S, Koubaa N, Frih MA, Kammoun S, et al. Awareness, treatment and control of hypertension among the elderly living in their home in Tunisia. BMC Cardiovasc Disord. 2011;</w:t>
      </w:r>
    </w:p>
    <w:p w14:paraId="54E9711D" w14:textId="77777777" w:rsidR="00B00ED8" w:rsidRPr="00000849" w:rsidRDefault="00B00ED8" w:rsidP="008B3C61">
      <w:pPr>
        <w:spacing w:after="83" w:line="265" w:lineRule="auto"/>
        <w:jc w:val="both"/>
      </w:pPr>
      <w:r w:rsidRPr="00000849">
        <w:rPr>
          <w:rFonts w:ascii="Arial" w:eastAsia="Arial" w:hAnsi="Arial" w:cs="Arial"/>
          <w:sz w:val="16"/>
        </w:rPr>
        <w:t xml:space="preserve">11:65. </w:t>
      </w:r>
      <w:hyperlink r:id="rId262">
        <w:r w:rsidRPr="00000849">
          <w:rPr>
            <w:rFonts w:ascii="Arial" w:eastAsia="Arial" w:hAnsi="Arial" w:cs="Arial"/>
            <w:color w:val="535C96"/>
            <w:sz w:val="16"/>
            <w:u w:val="single" w:color="535C96"/>
          </w:rPr>
          <w:t>https://doi.org/10.1186/1471-2261-11-65</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63">
        <w:r w:rsidRPr="00000849">
          <w:rPr>
            <w:rFonts w:ascii="Arial" w:eastAsia="Arial" w:hAnsi="Arial" w:cs="Arial"/>
            <w:color w:val="535C96"/>
            <w:sz w:val="16"/>
            <w:u w:val="single" w:color="535C96"/>
          </w:rPr>
          <w:t>22044442</w:t>
        </w:r>
      </w:hyperlink>
    </w:p>
    <w:p w14:paraId="1AA538B5"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lang w:val="pt-PT"/>
        </w:rPr>
        <w:t xml:space="preserve">Hien H, Berthe A, Drabo MK, Meda N, Konate B, Tou F, et al. </w:t>
      </w:r>
      <w:r w:rsidRPr="00000849">
        <w:rPr>
          <w:rFonts w:ascii="Arial" w:eastAsia="Arial" w:hAnsi="Arial" w:cs="Arial"/>
          <w:sz w:val="16"/>
        </w:rPr>
        <w:t xml:space="preserve">Prevalence and patterns of multimorbidity among the elderly in Burkina Faso: cross-sectional study. Trop Med Int Health. 2014; 19(11):1328–33. </w:t>
      </w:r>
      <w:hyperlink r:id="rId264">
        <w:r w:rsidRPr="00000849">
          <w:rPr>
            <w:rFonts w:ascii="Arial" w:eastAsia="Arial" w:hAnsi="Arial" w:cs="Arial"/>
            <w:color w:val="535C96"/>
            <w:sz w:val="16"/>
            <w:u w:val="single" w:color="535C96"/>
          </w:rPr>
          <w:t>https://doi.org/10.1111/tmi.12377</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65">
        <w:r w:rsidRPr="00000849">
          <w:rPr>
            <w:rFonts w:ascii="Arial" w:eastAsia="Arial" w:hAnsi="Arial" w:cs="Arial"/>
            <w:color w:val="535C96"/>
            <w:sz w:val="16"/>
            <w:u w:val="single" w:color="535C96"/>
          </w:rPr>
          <w:t>25164626</w:t>
        </w:r>
      </w:hyperlink>
    </w:p>
    <w:p w14:paraId="4F7D430E"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Ice GH, Zidron A, Juma E. Health and health perceptions among Kenyan grandparents. J Cross Cult Gerontol. 2008; 23(2):111–29. </w:t>
      </w:r>
      <w:hyperlink r:id="rId266">
        <w:r w:rsidRPr="00000849">
          <w:rPr>
            <w:rFonts w:ascii="Arial" w:eastAsia="Arial" w:hAnsi="Arial" w:cs="Arial"/>
            <w:color w:val="535C96"/>
            <w:sz w:val="16"/>
            <w:u w:val="single" w:color="535C96"/>
          </w:rPr>
          <w:t>https://doi.org/10.1007/s10823-008-9063-9</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67">
        <w:r w:rsidRPr="00000849">
          <w:rPr>
            <w:rFonts w:ascii="Arial" w:eastAsia="Arial" w:hAnsi="Arial" w:cs="Arial"/>
            <w:color w:val="535C96"/>
            <w:sz w:val="16"/>
            <w:u w:val="single" w:color="535C96"/>
          </w:rPr>
          <w:t>18437546</w:t>
        </w:r>
      </w:hyperlink>
    </w:p>
    <w:p w14:paraId="13825EFC"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Iribhogbe I. A Community Based Interventional Study on Health Status of Aged People in a Semi-Urban Community in South-South Nigeria. Int J Community Res. 2013; 2(2):22–7.</w:t>
      </w:r>
    </w:p>
    <w:p w14:paraId="0B82966F"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Ivy A, Tam J, Dewhurst MJ, Gray WK, Chaote P, Rogathi J, et al. Ambulatory Blood Pressure Monitoring to Assess the White-Coat Effect in an Elderly East African Population. J Clin Hypertens (Greenwich). 2015; 17(5):389–94. </w:t>
      </w:r>
      <w:hyperlink r:id="rId268">
        <w:r w:rsidRPr="00000849">
          <w:rPr>
            <w:rFonts w:ascii="Arial" w:eastAsia="Arial" w:hAnsi="Arial" w:cs="Arial"/>
            <w:color w:val="535C96"/>
            <w:sz w:val="16"/>
            <w:u w:val="single" w:color="535C96"/>
          </w:rPr>
          <w:t>https://doi.org/10.1111/jch.12501</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69">
        <w:r w:rsidRPr="00000849">
          <w:rPr>
            <w:rFonts w:ascii="Arial" w:eastAsia="Arial" w:hAnsi="Arial" w:cs="Arial"/>
            <w:color w:val="535C96"/>
            <w:sz w:val="16"/>
            <w:u w:val="single" w:color="535C96"/>
          </w:rPr>
          <w:t>102170633</w:t>
        </w:r>
      </w:hyperlink>
      <w:r w:rsidRPr="00000849">
        <w:rPr>
          <w:rFonts w:ascii="Arial" w:eastAsia="Arial" w:hAnsi="Arial" w:cs="Arial"/>
          <w:sz w:val="16"/>
        </w:rPr>
        <w:t>.</w:t>
      </w:r>
    </w:p>
    <w:p w14:paraId="2BD1CC3C" w14:textId="77777777" w:rsidR="00B00ED8" w:rsidRPr="00000849" w:rsidRDefault="00B00ED8" w:rsidP="008B3C61">
      <w:pPr>
        <w:numPr>
          <w:ilvl w:val="0"/>
          <w:numId w:val="34"/>
        </w:numPr>
        <w:spacing w:after="7" w:line="270" w:lineRule="auto"/>
        <w:ind w:left="0" w:right="7" w:hanging="420"/>
        <w:jc w:val="both"/>
      </w:pPr>
      <w:r w:rsidRPr="00000849">
        <w:rPr>
          <w:rFonts w:ascii="Arial" w:eastAsia="Arial" w:hAnsi="Arial" w:cs="Arial"/>
          <w:sz w:val="16"/>
        </w:rPr>
        <w:t>Kinyanda E, Kuteesa M, Scholten F, Mugisha J, Baisley K, Seeley J. Risk of major depressive disorder among older persons living in HIV-endemic central and southwestern Uganda. AIDS Care. 2016; 28</w:t>
      </w:r>
    </w:p>
    <w:p w14:paraId="2A94DE35" w14:textId="77777777" w:rsidR="00B00ED8" w:rsidRPr="00000849" w:rsidRDefault="00B00ED8" w:rsidP="008B3C61">
      <w:pPr>
        <w:spacing w:after="86" w:line="259" w:lineRule="auto"/>
        <w:jc w:val="both"/>
      </w:pPr>
      <w:r w:rsidRPr="00000849">
        <w:rPr>
          <w:rFonts w:ascii="Arial" w:eastAsia="Arial" w:hAnsi="Arial" w:cs="Arial"/>
          <w:sz w:val="16"/>
        </w:rPr>
        <w:t xml:space="preserve">(12):1516–21. </w:t>
      </w:r>
      <w:hyperlink r:id="rId270">
        <w:r w:rsidRPr="00000849">
          <w:rPr>
            <w:rFonts w:ascii="Arial" w:eastAsia="Arial" w:hAnsi="Arial" w:cs="Arial"/>
            <w:color w:val="535C96"/>
            <w:sz w:val="16"/>
            <w:u w:val="single" w:color="535C96"/>
          </w:rPr>
          <w:t>https://doi.org/10.1080/09540121.2016.1191601</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2016-48426-005. PMID: </w:t>
      </w:r>
      <w:hyperlink r:id="rId271">
        <w:r w:rsidRPr="00000849">
          <w:rPr>
            <w:rFonts w:ascii="Arial" w:eastAsia="Arial" w:hAnsi="Arial" w:cs="Arial"/>
            <w:color w:val="535C96"/>
            <w:sz w:val="16"/>
            <w:u w:val="single" w:color="535C96"/>
          </w:rPr>
          <w:t>27263868</w:t>
        </w:r>
      </w:hyperlink>
    </w:p>
    <w:p w14:paraId="2C1D6AE0"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lastRenderedPageBreak/>
        <w:t xml:space="preserve">Koopman JJE, van Bodegom D, Jukema JW, Westendorp RGJ. Risk of Cardiovascular Disease in a Traditional African Population with a High Infectious Load: A Population-Based Study. PLoS One. 2012; 7(10):1–8. </w:t>
      </w:r>
      <w:hyperlink r:id="rId272">
        <w:r w:rsidRPr="00000849">
          <w:rPr>
            <w:rFonts w:ascii="Arial" w:eastAsia="Arial" w:hAnsi="Arial" w:cs="Arial"/>
            <w:color w:val="535C96"/>
            <w:sz w:val="16"/>
            <w:u w:val="single" w:color="535C96"/>
          </w:rPr>
          <w:t>https://doi.org/10.1371/journal.pone.0046855</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73">
        <w:r w:rsidRPr="00000849">
          <w:rPr>
            <w:rFonts w:ascii="Arial" w:eastAsia="Arial" w:hAnsi="Arial" w:cs="Arial"/>
            <w:color w:val="535C96"/>
            <w:sz w:val="16"/>
            <w:u w:val="single" w:color="535C96"/>
          </w:rPr>
          <w:t>83523104</w:t>
        </w:r>
      </w:hyperlink>
      <w:r w:rsidRPr="00000849">
        <w:rPr>
          <w:rFonts w:ascii="Arial" w:eastAsia="Arial" w:hAnsi="Arial" w:cs="Arial"/>
          <w:sz w:val="16"/>
        </w:rPr>
        <w:t>.</w:t>
      </w:r>
    </w:p>
    <w:p w14:paraId="7F99E21F"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Lasisi AO, Abiona T, Gureje O. Tinnitus in the elderly: Profile, correlates, and impact in the Nigerian study of ageing. Otolaryngol Head Neck Surg. 2010; 143(4):510–5. </w:t>
      </w:r>
      <w:hyperlink r:id="rId274">
        <w:r w:rsidRPr="00000849">
          <w:rPr>
            <w:rFonts w:ascii="Arial" w:eastAsia="Arial" w:hAnsi="Arial" w:cs="Arial"/>
            <w:color w:val="535C96"/>
            <w:sz w:val="16"/>
            <w:u w:val="single" w:color="535C96"/>
          </w:rPr>
          <w:t xml:space="preserve">https://doi.org/10.1016/j.otohns. </w:t>
        </w:r>
      </w:hyperlink>
      <w:hyperlink r:id="rId275">
        <w:r w:rsidRPr="00000849">
          <w:rPr>
            <w:rFonts w:ascii="Arial" w:eastAsia="Arial" w:hAnsi="Arial" w:cs="Arial"/>
            <w:color w:val="535C96"/>
            <w:sz w:val="16"/>
            <w:u w:val="single" w:color="535C96"/>
          </w:rPr>
          <w:t>2010.06.817</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76">
        <w:r w:rsidRPr="00000849">
          <w:rPr>
            <w:rFonts w:ascii="Arial" w:eastAsia="Arial" w:hAnsi="Arial" w:cs="Arial"/>
            <w:color w:val="535C96"/>
            <w:sz w:val="16"/>
            <w:u w:val="single" w:color="535C96"/>
          </w:rPr>
          <w:t>20869560</w:t>
        </w:r>
      </w:hyperlink>
    </w:p>
    <w:p w14:paraId="4D84BBCB"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Macia E, Duboz P, Gueye L. Prevalence, awareness, treatment and control of hypertension among adults 50 years and older in Dakar, Senegal. Cardiovasc J Afr. 2012; 23(5):265–9. </w:t>
      </w:r>
      <w:hyperlink r:id="rId277">
        <w:r w:rsidRPr="00000849">
          <w:rPr>
            <w:rFonts w:ascii="Arial" w:eastAsia="Arial" w:hAnsi="Arial" w:cs="Arial"/>
            <w:color w:val="535C96"/>
            <w:sz w:val="16"/>
            <w:u w:val="single" w:color="535C96"/>
          </w:rPr>
          <w:t xml:space="preserve">https://doi.org/10. </w:t>
        </w:r>
      </w:hyperlink>
      <w:hyperlink r:id="rId278">
        <w:r w:rsidRPr="00000849">
          <w:rPr>
            <w:rFonts w:ascii="Arial" w:eastAsia="Arial" w:hAnsi="Arial" w:cs="Arial"/>
            <w:color w:val="535C96"/>
            <w:sz w:val="16"/>
            <w:u w:val="single" w:color="535C96"/>
          </w:rPr>
          <w:t>5830/CVJA-2011-039</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79">
        <w:r w:rsidRPr="00000849">
          <w:rPr>
            <w:rFonts w:ascii="Arial" w:eastAsia="Arial" w:hAnsi="Arial" w:cs="Arial"/>
            <w:color w:val="535C96"/>
            <w:sz w:val="16"/>
            <w:u w:val="single" w:color="535C96"/>
          </w:rPr>
          <w:t>22002461</w:t>
        </w:r>
      </w:hyperlink>
    </w:p>
    <w:p w14:paraId="78253063"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Mathenge W, Foster A, Kuper H. Urbanization, ethnicity and cardiovascular risk in a population in transition in Nakuru, Kenya: a population-based survey. BMC Public Health. 2010; 10(1):569–80. </w:t>
      </w:r>
      <w:hyperlink r:id="rId280">
        <w:r w:rsidRPr="00000849">
          <w:rPr>
            <w:rFonts w:ascii="Arial" w:eastAsia="Arial" w:hAnsi="Arial" w:cs="Arial"/>
            <w:color w:val="535C96"/>
            <w:sz w:val="16"/>
            <w:u w:val="single" w:color="535C96"/>
          </w:rPr>
          <w:t xml:space="preserve">https://doi. </w:t>
        </w:r>
      </w:hyperlink>
      <w:hyperlink r:id="rId281">
        <w:r w:rsidRPr="00000849">
          <w:rPr>
            <w:rFonts w:ascii="Arial" w:eastAsia="Arial" w:hAnsi="Arial" w:cs="Arial"/>
            <w:color w:val="535C96"/>
            <w:sz w:val="16"/>
            <w:u w:val="single" w:color="535C96"/>
          </w:rPr>
          <w:t>org/10.1186/1471-2458-10-569</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82">
        <w:r w:rsidRPr="00000849">
          <w:rPr>
            <w:rFonts w:ascii="Arial" w:eastAsia="Arial" w:hAnsi="Arial" w:cs="Arial"/>
            <w:color w:val="535C96"/>
            <w:sz w:val="16"/>
            <w:u w:val="single" w:color="535C96"/>
          </w:rPr>
          <w:t>55091977</w:t>
        </w:r>
      </w:hyperlink>
      <w:r w:rsidRPr="00000849">
        <w:rPr>
          <w:rFonts w:ascii="Arial" w:eastAsia="Arial" w:hAnsi="Arial" w:cs="Arial"/>
          <w:sz w:val="16"/>
        </w:rPr>
        <w:t>.</w:t>
      </w:r>
    </w:p>
    <w:p w14:paraId="45BE3768"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Minicuci N, Biritwum RB, Mensah G, Yawson AE, Naidoo N, Chatterji S, et al. Sociodemographic and socioeconomic patterns of chronic non-communicable disease among the older adult population in Ghana. Glob Health Action. 2014; 7:21292. </w:t>
      </w:r>
      <w:hyperlink r:id="rId283">
        <w:r w:rsidRPr="00000849">
          <w:rPr>
            <w:rFonts w:ascii="Arial" w:eastAsia="Arial" w:hAnsi="Arial" w:cs="Arial"/>
            <w:color w:val="535C96"/>
            <w:sz w:val="16"/>
            <w:u w:val="single" w:color="535C96"/>
          </w:rPr>
          <w:t>https://doi.org/10.3402/gha.v7.21292</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84">
        <w:r w:rsidRPr="00000849">
          <w:rPr>
            <w:rFonts w:ascii="Arial" w:eastAsia="Arial" w:hAnsi="Arial" w:cs="Arial"/>
            <w:color w:val="535C96"/>
            <w:sz w:val="16"/>
            <w:u w:val="single" w:color="535C96"/>
          </w:rPr>
          <w:t>24746141</w:t>
        </w:r>
      </w:hyperlink>
    </w:p>
    <w:p w14:paraId="2D606AEC"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Mkhize X, Napier C, Oldewage-Theron W. The nutrition situation of free-living elderly in Umlazi township, South Africa. Health SA Gesondheid. 2013; 18(1):1–8. </w:t>
      </w:r>
      <w:hyperlink r:id="rId285">
        <w:r w:rsidRPr="00000849">
          <w:rPr>
            <w:rFonts w:ascii="Arial" w:eastAsia="Arial" w:hAnsi="Arial" w:cs="Arial"/>
            <w:color w:val="535C96"/>
            <w:sz w:val="16"/>
            <w:u w:val="single" w:color="535C96"/>
          </w:rPr>
          <w:t>https://doi.org/10.4102/hsag.v18i1.656</w:t>
        </w:r>
      </w:hyperlink>
    </w:p>
    <w:p w14:paraId="66F2A6EA"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Mugisha JO, Baisley K, Asiki G, Seeley J, Kuper H. Prevalence, Types, Risk Factors and Clinical Correlates of Anaemia in Older People in a Rural Ugandan Population. PLoS One. 2013; 8(10):1–. </w:t>
      </w:r>
      <w:hyperlink r:id="rId286">
        <w:r w:rsidRPr="00000849">
          <w:rPr>
            <w:rFonts w:ascii="Arial" w:eastAsia="Arial" w:hAnsi="Arial" w:cs="Arial"/>
            <w:color w:val="535C96"/>
            <w:sz w:val="16"/>
            <w:u w:val="single" w:color="535C96"/>
          </w:rPr>
          <w:t xml:space="preserve">https://doi. </w:t>
        </w:r>
      </w:hyperlink>
      <w:hyperlink r:id="rId287">
        <w:r w:rsidRPr="00000849">
          <w:rPr>
            <w:rFonts w:ascii="Arial" w:eastAsia="Arial" w:hAnsi="Arial" w:cs="Arial"/>
            <w:color w:val="535C96"/>
            <w:sz w:val="16"/>
            <w:u w:val="single" w:color="535C96"/>
          </w:rPr>
          <w:t>org/10.1371/journal.pone.0078394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88">
        <w:r w:rsidRPr="00000849">
          <w:rPr>
            <w:rFonts w:ascii="Arial" w:eastAsia="Arial" w:hAnsi="Arial" w:cs="Arial"/>
            <w:color w:val="535C96"/>
            <w:sz w:val="16"/>
            <w:u w:val="single" w:color="535C96"/>
          </w:rPr>
          <w:t>94480012</w:t>
        </w:r>
      </w:hyperlink>
      <w:r w:rsidRPr="00000849">
        <w:rPr>
          <w:rFonts w:ascii="Arial" w:eastAsia="Arial" w:hAnsi="Arial" w:cs="Arial"/>
          <w:sz w:val="16"/>
        </w:rPr>
        <w:t>.</w:t>
      </w:r>
    </w:p>
    <w:p w14:paraId="05FA4E48"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Nuertey BD, Alhassan AI, Nuertey AD, Mensah IA, Adongo V, Kabutey C, et al. Prevalence of obesity and overweight and its associated factors among registered pensioners in Ghana; a cross sectional studies. BMC Obes. 2017; 4:1–12. </w:t>
      </w:r>
      <w:hyperlink r:id="rId289">
        <w:r w:rsidRPr="00000849">
          <w:rPr>
            <w:rFonts w:ascii="Arial" w:eastAsia="Arial" w:hAnsi="Arial" w:cs="Arial"/>
            <w:color w:val="535C96"/>
            <w:sz w:val="16"/>
            <w:u w:val="single" w:color="535C96"/>
          </w:rPr>
          <w:t>https://doi.org/10.1186/s40608-016-0139-8</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PubMed PMID: 124088486.</w:t>
      </w:r>
    </w:p>
    <w:p w14:paraId="6E99C984" w14:textId="77777777" w:rsidR="00B00ED8" w:rsidRPr="00000849" w:rsidRDefault="00B00ED8" w:rsidP="008B3C61">
      <w:pPr>
        <w:numPr>
          <w:ilvl w:val="0"/>
          <w:numId w:val="34"/>
        </w:numPr>
        <w:spacing w:after="10" w:line="270" w:lineRule="auto"/>
        <w:ind w:left="0" w:right="7" w:hanging="420"/>
        <w:jc w:val="both"/>
      </w:pPr>
      <w:r w:rsidRPr="00000849">
        <w:rPr>
          <w:rFonts w:ascii="Arial" w:eastAsia="Arial" w:hAnsi="Arial" w:cs="Arial"/>
          <w:sz w:val="16"/>
        </w:rPr>
        <w:t>Ochayi B, Thacher T. Risk factors for dementia in central Nigeria. Aging Ment Health. 2006; 10(6):616–</w:t>
      </w:r>
    </w:p>
    <w:p w14:paraId="1CD4B0FC" w14:textId="77777777" w:rsidR="00B00ED8" w:rsidRPr="00000849" w:rsidRDefault="00B00ED8" w:rsidP="008B3C61">
      <w:pPr>
        <w:spacing w:after="83" w:line="265" w:lineRule="auto"/>
        <w:jc w:val="both"/>
      </w:pPr>
      <w:r w:rsidRPr="00000849">
        <w:rPr>
          <w:rFonts w:ascii="Arial" w:eastAsia="Arial" w:hAnsi="Arial" w:cs="Arial"/>
          <w:sz w:val="16"/>
        </w:rPr>
        <w:t xml:space="preserve">20. </w:t>
      </w:r>
      <w:hyperlink r:id="rId290">
        <w:r w:rsidRPr="00000849">
          <w:rPr>
            <w:rFonts w:ascii="Arial" w:eastAsia="Arial" w:hAnsi="Arial" w:cs="Arial"/>
            <w:color w:val="535C96"/>
            <w:sz w:val="16"/>
            <w:u w:val="single" w:color="535C96"/>
          </w:rPr>
          <w:t>https://doi.org/10.1080/13607860600736182</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91">
        <w:r w:rsidRPr="00000849">
          <w:rPr>
            <w:rFonts w:ascii="Arial" w:eastAsia="Arial" w:hAnsi="Arial" w:cs="Arial"/>
            <w:color w:val="535C96"/>
            <w:sz w:val="16"/>
            <w:u w:val="single" w:color="535C96"/>
          </w:rPr>
          <w:t>17050090</w:t>
        </w:r>
      </w:hyperlink>
    </w:p>
    <w:p w14:paraId="269679E8"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lang w:val="pt-PT"/>
        </w:rPr>
        <w:t xml:space="preserve">Ogunniyi A, Lane KA, Baiyewu O, Gao S, Gureje O, Unverzagt FW, et al. </w:t>
      </w:r>
      <w:r w:rsidRPr="00000849">
        <w:rPr>
          <w:rFonts w:ascii="Arial" w:eastAsia="Arial" w:hAnsi="Arial" w:cs="Arial"/>
          <w:sz w:val="16"/>
        </w:rPr>
        <w:t xml:space="preserve">Hypertension and incident dementia in community-dwelling elderly Yoruba Nigerians. Acta Neurol Scand. 2011; 124(6):396–402. </w:t>
      </w:r>
      <w:hyperlink r:id="rId292">
        <w:r w:rsidRPr="00000849">
          <w:rPr>
            <w:rFonts w:ascii="Arial" w:eastAsia="Arial" w:hAnsi="Arial" w:cs="Arial"/>
            <w:color w:val="535C96"/>
            <w:sz w:val="16"/>
            <w:u w:val="single" w:color="535C96"/>
          </w:rPr>
          <w:t>https://doi.org/10.1111/j.1600-0404.2011.01491.x</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93">
        <w:r w:rsidRPr="00000849">
          <w:rPr>
            <w:rFonts w:ascii="Arial" w:eastAsia="Arial" w:hAnsi="Arial" w:cs="Arial"/>
            <w:color w:val="535C96"/>
            <w:sz w:val="16"/>
            <w:u w:val="single" w:color="535C96"/>
          </w:rPr>
          <w:t>21303353</w:t>
        </w:r>
      </w:hyperlink>
    </w:p>
    <w:p w14:paraId="75CF8242"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Osman A-Q. Nutrition &amp; Health Status, Quality of Life, and Associated Factors among Non-Institutionalized Older Ghanaians [MPhil in Human Nutrition and Dietetics]. Kumasi: Kwame Nkrumah University of Science and Technology; 2017.</w:t>
      </w:r>
    </w:p>
    <w:p w14:paraId="34C51B08" w14:textId="77777777" w:rsidR="00B00ED8" w:rsidRPr="00000849" w:rsidRDefault="00B00ED8" w:rsidP="008B3C61">
      <w:pPr>
        <w:numPr>
          <w:ilvl w:val="0"/>
          <w:numId w:val="34"/>
        </w:numPr>
        <w:spacing w:after="8" w:line="270" w:lineRule="auto"/>
        <w:ind w:left="0" w:right="7" w:hanging="420"/>
        <w:jc w:val="both"/>
      </w:pPr>
      <w:r w:rsidRPr="00000849">
        <w:rPr>
          <w:rFonts w:ascii="Arial" w:eastAsia="Arial" w:hAnsi="Arial" w:cs="Arial"/>
          <w:sz w:val="16"/>
        </w:rPr>
        <w:t>Paddick SM, Kisoli A, Samuel M, Higginson J, Gray WK, Dotchin CL, et al. Mild cognitive impairment in rural Tanzania: Prevalence, profile, and outcomes at 4-year follow-up. Am J Geriatr Psychiatry. 2015;</w:t>
      </w:r>
    </w:p>
    <w:p w14:paraId="08AAE1E5" w14:textId="77777777" w:rsidR="00B00ED8" w:rsidRPr="00000849" w:rsidRDefault="00B00ED8" w:rsidP="008B3C61">
      <w:pPr>
        <w:spacing w:after="83" w:line="265" w:lineRule="auto"/>
        <w:jc w:val="both"/>
      </w:pPr>
      <w:r w:rsidRPr="00000849">
        <w:rPr>
          <w:rFonts w:ascii="Arial" w:eastAsia="Arial" w:hAnsi="Arial" w:cs="Arial"/>
          <w:sz w:val="16"/>
        </w:rPr>
        <w:t xml:space="preserve">23(9):950–9. </w:t>
      </w:r>
      <w:hyperlink r:id="rId294">
        <w:r w:rsidRPr="00000849">
          <w:rPr>
            <w:rFonts w:ascii="Arial" w:eastAsia="Arial" w:hAnsi="Arial" w:cs="Arial"/>
            <w:color w:val="535C96"/>
            <w:sz w:val="16"/>
            <w:u w:val="single" w:color="535C96"/>
          </w:rPr>
          <w:t>https://doi.org/10.1016/j.jagp.2014.12.005</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95">
        <w:r w:rsidRPr="00000849">
          <w:rPr>
            <w:rFonts w:ascii="Arial" w:eastAsia="Arial" w:hAnsi="Arial" w:cs="Arial"/>
            <w:color w:val="535C96"/>
            <w:sz w:val="16"/>
            <w:u w:val="single" w:color="535C96"/>
          </w:rPr>
          <w:t>25579049</w:t>
        </w:r>
      </w:hyperlink>
    </w:p>
    <w:p w14:paraId="1EA8B575"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Peltzer K, Phaswana-Mafuya N. Hypertension and associated factors in older adults in South Africa. Cardiovasc J Afr. 2013; 24(3):66–71. </w:t>
      </w:r>
      <w:hyperlink r:id="rId296">
        <w:r w:rsidRPr="00000849">
          <w:rPr>
            <w:rFonts w:ascii="Arial" w:eastAsia="Arial" w:hAnsi="Arial" w:cs="Arial"/>
            <w:color w:val="535C96"/>
            <w:sz w:val="16"/>
            <w:u w:val="single" w:color="535C96"/>
          </w:rPr>
          <w:t>http://dx.doi.org/10.5830/CVJA-2013-002</w:t>
        </w:r>
      </w:hyperlink>
      <w:r w:rsidRPr="00000849">
        <w:rPr>
          <w:rFonts w:ascii="Arial" w:eastAsia="Arial" w:hAnsi="Arial" w:cs="Arial"/>
          <w:sz w:val="16"/>
        </w:rPr>
        <w:t>.</w:t>
      </w:r>
    </w:p>
    <w:p w14:paraId="494603DF"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lang w:val="fr-FR"/>
        </w:rPr>
        <w:t xml:space="preserve">Pilleron S, Aboyans V, Mbelesso P, Ndamba-Bandzouzi B, Desormais I, Lacroix P, et al. </w:t>
      </w:r>
      <w:r w:rsidRPr="00000849">
        <w:rPr>
          <w:rFonts w:ascii="Arial" w:eastAsia="Arial" w:hAnsi="Arial" w:cs="Arial"/>
          <w:sz w:val="16"/>
        </w:rPr>
        <w:t xml:space="preserve">Prevalence, awareness, treatment, and control of hypertension in older people in Central Africa: the EPIDEMCA study. J Am Soc Hypertens. 2017; 11(7):449–60. </w:t>
      </w:r>
      <w:hyperlink r:id="rId297">
        <w:r w:rsidRPr="00000849">
          <w:rPr>
            <w:rFonts w:ascii="Arial" w:eastAsia="Arial" w:hAnsi="Arial" w:cs="Arial"/>
            <w:color w:val="535C96"/>
            <w:sz w:val="16"/>
            <w:u w:val="single" w:color="535C96"/>
          </w:rPr>
          <w:t>https://doi.org/10.1016/j.jash.2017.04.013</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298">
        <w:r w:rsidRPr="00000849">
          <w:rPr>
            <w:rFonts w:ascii="Arial" w:eastAsia="Arial" w:hAnsi="Arial" w:cs="Arial"/>
            <w:color w:val="535C96"/>
            <w:sz w:val="16"/>
            <w:u w:val="single" w:color="535C96"/>
          </w:rPr>
          <w:t>28551091</w:t>
        </w:r>
      </w:hyperlink>
    </w:p>
    <w:p w14:paraId="1E0F6EF6"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Putnam HWI, Jones R, Rogathi J, Gray WK, Swai B, Dewhurst M, et al. Hypertension in a resource-limited setting: Is it associated with end organ damage in older adults in rural Tanzania? J Clin Hypertens (Greenwich). 2018; 20(2):217–24. </w:t>
      </w:r>
      <w:hyperlink r:id="rId299">
        <w:r w:rsidRPr="00000849">
          <w:rPr>
            <w:rFonts w:ascii="Arial" w:eastAsia="Arial" w:hAnsi="Arial" w:cs="Arial"/>
            <w:color w:val="535C96"/>
            <w:sz w:val="16"/>
            <w:u w:val="single" w:color="535C96"/>
          </w:rPr>
          <w:t>https://doi.org/10.1111/jch.13187</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00">
        <w:r w:rsidRPr="00000849">
          <w:rPr>
            <w:rFonts w:ascii="Arial" w:eastAsia="Arial" w:hAnsi="Arial" w:cs="Arial"/>
            <w:color w:val="535C96"/>
            <w:sz w:val="16"/>
            <w:u w:val="single" w:color="535C96"/>
          </w:rPr>
          <w:t>128138159</w:t>
        </w:r>
      </w:hyperlink>
      <w:r w:rsidRPr="00000849">
        <w:rPr>
          <w:rFonts w:ascii="Arial" w:eastAsia="Arial" w:hAnsi="Arial" w:cs="Arial"/>
          <w:sz w:val="16"/>
        </w:rPr>
        <w:t>.</w:t>
      </w:r>
    </w:p>
    <w:p w14:paraId="51208AE3"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Raji YR, Abiona T, Gureje O. Awareness of hypertension and its impact on blood pressure control among elderly Nigerians: report from the Ibadan Study of Aging. Pan Afr Med J. 2017; 27:190. </w:t>
      </w:r>
      <w:hyperlink r:id="rId301">
        <w:r w:rsidRPr="00000849">
          <w:rPr>
            <w:rFonts w:ascii="Arial" w:eastAsia="Arial" w:hAnsi="Arial" w:cs="Arial"/>
            <w:color w:val="535C96"/>
            <w:sz w:val="16"/>
            <w:u w:val="single" w:color="535C96"/>
          </w:rPr>
          <w:t xml:space="preserve">https:// </w:t>
        </w:r>
      </w:hyperlink>
      <w:hyperlink r:id="rId302">
        <w:r w:rsidRPr="00000849">
          <w:rPr>
            <w:rFonts w:ascii="Arial" w:eastAsia="Arial" w:hAnsi="Arial" w:cs="Arial"/>
            <w:color w:val="535C96"/>
            <w:sz w:val="16"/>
            <w:u w:val="single" w:color="535C96"/>
          </w:rPr>
          <w:t>doi.org/10.11604/pamj.2017.27.190.11682</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03">
        <w:r w:rsidRPr="00000849">
          <w:rPr>
            <w:rFonts w:ascii="Arial" w:eastAsia="Arial" w:hAnsi="Arial" w:cs="Arial"/>
            <w:color w:val="535C96"/>
            <w:sz w:val="16"/>
            <w:u w:val="single" w:color="535C96"/>
          </w:rPr>
          <w:t>28904715</w:t>
        </w:r>
      </w:hyperlink>
    </w:p>
    <w:p w14:paraId="687D1728"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Scholten F, Mugisha J, Seeley J, Kinyanda E, Nakubukwa S, Kowal P, et al. Health and functional status among older people with HIV/AIDS in Uganda. BMC Public Health. 2011; 11:886. </w:t>
      </w:r>
      <w:hyperlink r:id="rId304">
        <w:r w:rsidRPr="00000849">
          <w:rPr>
            <w:rFonts w:ascii="Arial" w:eastAsia="Arial" w:hAnsi="Arial" w:cs="Arial"/>
            <w:color w:val="535C96"/>
            <w:sz w:val="16"/>
            <w:u w:val="single" w:color="535C96"/>
          </w:rPr>
          <w:t xml:space="preserve">https://doi.org/10. </w:t>
        </w:r>
      </w:hyperlink>
      <w:hyperlink r:id="rId305">
        <w:r w:rsidRPr="00000849">
          <w:rPr>
            <w:rFonts w:ascii="Arial" w:eastAsia="Arial" w:hAnsi="Arial" w:cs="Arial"/>
            <w:color w:val="535C96"/>
            <w:sz w:val="16"/>
            <w:u w:val="single" w:color="535C96"/>
          </w:rPr>
          <w:t>1186/1471-2458-11-886</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06">
        <w:r w:rsidRPr="00000849">
          <w:rPr>
            <w:rFonts w:ascii="Arial" w:eastAsia="Arial" w:hAnsi="Arial" w:cs="Arial"/>
            <w:color w:val="535C96"/>
            <w:sz w:val="16"/>
            <w:u w:val="single" w:color="535C96"/>
          </w:rPr>
          <w:t>22111659</w:t>
        </w:r>
      </w:hyperlink>
    </w:p>
    <w:p w14:paraId="21EE3A91"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Tianyi FL, Agbor VN, Njamnshi AKJHSR. Prevalence, awareness, treatment, and control of hypertension in Cameroonians aged 50 years and older: A community-based study. Health Sci Rep. 2018; 1(5): e44. </w:t>
      </w:r>
      <w:hyperlink r:id="rId307">
        <w:r w:rsidRPr="00000849">
          <w:rPr>
            <w:rFonts w:ascii="Arial" w:eastAsia="Arial" w:hAnsi="Arial" w:cs="Arial"/>
            <w:color w:val="535C96"/>
            <w:sz w:val="16"/>
            <w:u w:val="single" w:color="535C96"/>
          </w:rPr>
          <w:t>https://doi.org/10.1002/hsr2.44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08">
        <w:r w:rsidRPr="00000849">
          <w:rPr>
            <w:rFonts w:ascii="Arial" w:eastAsia="Arial" w:hAnsi="Arial" w:cs="Arial"/>
            <w:color w:val="535C96"/>
            <w:sz w:val="16"/>
            <w:u w:val="single" w:color="535C96"/>
          </w:rPr>
          <w:t>30623073</w:t>
        </w:r>
      </w:hyperlink>
    </w:p>
    <w:p w14:paraId="4B4988C5"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Yerly P, Madeleine G, Riesen W, Bovet P. Low prevalence of abdominal aortic aneurysm in the Seychelles population aged 50 to 65 years. Cardiovasc J Afr. 2013; 24(2):17–8. Epub 2013/04/25. </w:t>
      </w:r>
      <w:hyperlink r:id="rId309">
        <w:r w:rsidRPr="00000849">
          <w:rPr>
            <w:rFonts w:ascii="Arial" w:eastAsia="Arial" w:hAnsi="Arial" w:cs="Arial"/>
            <w:color w:val="535C96"/>
            <w:sz w:val="16"/>
            <w:u w:val="single" w:color="535C96"/>
          </w:rPr>
          <w:t xml:space="preserve">https:// </w:t>
        </w:r>
      </w:hyperlink>
      <w:hyperlink r:id="rId310">
        <w:r w:rsidRPr="00000849">
          <w:rPr>
            <w:rFonts w:ascii="Arial" w:eastAsia="Arial" w:hAnsi="Arial" w:cs="Arial"/>
            <w:color w:val="535C96"/>
            <w:sz w:val="16"/>
            <w:u w:val="single" w:color="535C96"/>
          </w:rPr>
          <w:t>doi.org/10.5830/CVJA-2012-070</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11">
        <w:r w:rsidRPr="00000849">
          <w:rPr>
            <w:rFonts w:ascii="Arial" w:eastAsia="Arial" w:hAnsi="Arial" w:cs="Arial"/>
            <w:color w:val="535C96"/>
            <w:sz w:val="16"/>
            <w:u w:val="single" w:color="535C96"/>
          </w:rPr>
          <w:t>23612948</w:t>
        </w:r>
      </w:hyperlink>
      <w:r w:rsidRPr="00000849">
        <w:rPr>
          <w:rFonts w:ascii="Arial" w:eastAsia="Arial" w:hAnsi="Arial" w:cs="Arial"/>
          <w:sz w:val="16"/>
        </w:rPr>
        <w:t>; PubMed Central PMCID: PMCPMC3734875.</w:t>
      </w:r>
    </w:p>
    <w:p w14:paraId="5F10BAF7"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Mkhize XN. Situation analysis of free-living elderly in Umlazi township. Durban: Durban University of Technology; 2011.</w:t>
      </w:r>
    </w:p>
    <w:p w14:paraId="1FE187EC"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Phaswana-Mafuya N, Peltzer K, Chirinda W, Musekiwa A, Kose Z. Sociodemographic predictors of multiple non-communicable disease risk factors among older adults in South Africa. Glob Health Action. 2013; 6(1):20680. </w:t>
      </w:r>
      <w:hyperlink r:id="rId312">
        <w:r w:rsidRPr="00000849">
          <w:rPr>
            <w:rFonts w:ascii="Arial" w:eastAsia="Arial" w:hAnsi="Arial" w:cs="Arial"/>
            <w:color w:val="535C96"/>
            <w:sz w:val="16"/>
            <w:u w:val="single" w:color="535C96"/>
          </w:rPr>
          <w:t>http://dx.doi.org/10.3402/gha.v6i0.20680</w:t>
        </w:r>
      </w:hyperlink>
      <w:r w:rsidRPr="00000849">
        <w:rPr>
          <w:rFonts w:ascii="Arial" w:eastAsia="Arial" w:hAnsi="Arial" w:cs="Arial"/>
          <w:sz w:val="16"/>
        </w:rPr>
        <w:t>.</w:t>
      </w:r>
    </w:p>
    <w:p w14:paraId="2A283BAF"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lastRenderedPageBreak/>
        <w:t xml:space="preserve">Lloyd-Sherlock P, Beard J, Minicuci N, Ebrahim S, Chatterji S. Hypertension among older adults in low and middle-income countries: Prevalence, awareness and control. Int J Epidemiol. 2014; 43(1):116–28. </w:t>
      </w:r>
      <w:hyperlink r:id="rId313">
        <w:r w:rsidRPr="00000849">
          <w:rPr>
            <w:rFonts w:ascii="Arial" w:eastAsia="Arial" w:hAnsi="Arial" w:cs="Arial"/>
            <w:color w:val="535C96"/>
            <w:sz w:val="16"/>
            <w:u w:val="single" w:color="535C96"/>
          </w:rPr>
          <w:t>https://doi.org/10.1093/ije/dyt215</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14">
        <w:r w:rsidRPr="00000849">
          <w:rPr>
            <w:rFonts w:ascii="Arial" w:eastAsia="Arial" w:hAnsi="Arial" w:cs="Arial"/>
            <w:color w:val="535C96"/>
            <w:sz w:val="16"/>
            <w:u w:val="single" w:color="535C96"/>
          </w:rPr>
          <w:t>24505082</w:t>
        </w:r>
      </w:hyperlink>
    </w:p>
    <w:p w14:paraId="64865EF8"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Lloyd-Sherlock P, Minicuci N, Corso B, Beard J, Chatterji S, Ebrahim S. Diseases of the Rich? The Social Patterning of Hypertension in Six Low- and Middle-Income Countries. Eur J Dev Res. 2017; 29 (4):827–42. </w:t>
      </w:r>
      <w:hyperlink r:id="rId315">
        <w:r w:rsidRPr="00000849">
          <w:rPr>
            <w:rFonts w:ascii="Arial" w:eastAsia="Arial" w:hAnsi="Arial" w:cs="Arial"/>
            <w:color w:val="535C96"/>
            <w:sz w:val="16"/>
            <w:u w:val="single" w:color="535C96"/>
          </w:rPr>
          <w:t>https://doi.org/10.1057/s41287-016-0063-2</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16">
        <w:r w:rsidRPr="00000849">
          <w:rPr>
            <w:rFonts w:ascii="Arial" w:eastAsia="Arial" w:hAnsi="Arial" w:cs="Arial"/>
            <w:color w:val="535C96"/>
            <w:sz w:val="16"/>
            <w:u w:val="single" w:color="535C96"/>
          </w:rPr>
          <w:t>124414655</w:t>
        </w:r>
      </w:hyperlink>
      <w:r w:rsidRPr="00000849">
        <w:rPr>
          <w:rFonts w:ascii="Arial" w:eastAsia="Arial" w:hAnsi="Arial" w:cs="Arial"/>
          <w:sz w:val="16"/>
        </w:rPr>
        <w:t>.</w:t>
      </w:r>
    </w:p>
    <w:p w14:paraId="11F64B5B"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Boateng GO, Adams EA, Odei Boateng M, Luginaah IN, Taabazuing M-M. Obesity and the burden of health risks among the elderly in Ghana: A population study. PLoS One. 2017; 12(11):1–25. </w:t>
      </w:r>
      <w:hyperlink r:id="rId317">
        <w:r w:rsidRPr="00000849">
          <w:rPr>
            <w:rFonts w:ascii="Arial" w:eastAsia="Arial" w:hAnsi="Arial" w:cs="Arial"/>
            <w:color w:val="535C96"/>
            <w:sz w:val="16"/>
            <w:u w:val="single" w:color="535C96"/>
          </w:rPr>
          <w:t xml:space="preserve">https://doi. </w:t>
        </w:r>
      </w:hyperlink>
      <w:hyperlink r:id="rId318">
        <w:r w:rsidRPr="00000849">
          <w:rPr>
            <w:rFonts w:ascii="Arial" w:eastAsia="Arial" w:hAnsi="Arial" w:cs="Arial"/>
            <w:color w:val="535C96"/>
            <w:sz w:val="16"/>
            <w:u w:val="single" w:color="535C96"/>
          </w:rPr>
          <w:t>org/10.1371/journal.pone.0186947</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19">
        <w:r w:rsidRPr="00000849">
          <w:rPr>
            <w:rFonts w:ascii="Arial" w:eastAsia="Arial" w:hAnsi="Arial" w:cs="Arial"/>
            <w:color w:val="535C96"/>
            <w:sz w:val="16"/>
            <w:u w:val="single" w:color="535C96"/>
          </w:rPr>
          <w:t>126108773</w:t>
        </w:r>
      </w:hyperlink>
      <w:r w:rsidRPr="00000849">
        <w:rPr>
          <w:rFonts w:ascii="Arial" w:eastAsia="Arial" w:hAnsi="Arial" w:cs="Arial"/>
          <w:sz w:val="16"/>
        </w:rPr>
        <w:t>.</w:t>
      </w:r>
    </w:p>
    <w:p w14:paraId="30B58DD1" w14:textId="77777777" w:rsidR="00B00ED8" w:rsidRPr="00000849" w:rsidRDefault="00B00ED8" w:rsidP="008B3C61">
      <w:pPr>
        <w:numPr>
          <w:ilvl w:val="0"/>
          <w:numId w:val="34"/>
        </w:numPr>
        <w:spacing w:after="8" w:line="270" w:lineRule="auto"/>
        <w:ind w:left="0" w:right="7" w:hanging="420"/>
        <w:jc w:val="both"/>
      </w:pPr>
      <w:r w:rsidRPr="00000849">
        <w:rPr>
          <w:rFonts w:ascii="Arial" w:eastAsia="Arial" w:hAnsi="Arial" w:cs="Arial"/>
          <w:sz w:val="16"/>
        </w:rPr>
        <w:t xml:space="preserve">Tyrovolas S, Koyanagi A, Garin N, Olaya B, Ayuso-Mateos JL, Miret M, et al. Determinants of the components of arterial pressure among older adults–The role of anthropometric and clinical factors: A multicontinent study. Atherosclerosis. 2015; 238(2):240–9. </w:t>
      </w:r>
      <w:hyperlink r:id="rId320">
        <w:r w:rsidRPr="00000849">
          <w:rPr>
            <w:rFonts w:ascii="Arial" w:eastAsia="Arial" w:hAnsi="Arial" w:cs="Arial"/>
            <w:color w:val="535C96"/>
            <w:sz w:val="16"/>
            <w:u w:val="single" w:color="535C96"/>
          </w:rPr>
          <w:t>https://doi.org/10.1016/j.atherosclerosis.2014.</w:t>
        </w:r>
      </w:hyperlink>
    </w:p>
    <w:p w14:paraId="400E67C3" w14:textId="77777777" w:rsidR="00B00ED8" w:rsidRPr="00000849" w:rsidRDefault="00C84E75" w:rsidP="008B3C61">
      <w:pPr>
        <w:spacing w:after="83" w:line="265" w:lineRule="auto"/>
        <w:jc w:val="both"/>
      </w:pPr>
      <w:hyperlink r:id="rId321">
        <w:r w:rsidR="00B00ED8" w:rsidRPr="00000849">
          <w:rPr>
            <w:rFonts w:ascii="Arial" w:eastAsia="Arial" w:hAnsi="Arial" w:cs="Arial"/>
            <w:color w:val="535C96"/>
            <w:sz w:val="16"/>
            <w:u w:val="single" w:color="535C96"/>
          </w:rPr>
          <w:t>11.029</w:t>
        </w:r>
      </w:hyperlink>
      <w:r w:rsidR="00B00ED8" w:rsidRPr="00000849">
        <w:rPr>
          <w:rFonts w:ascii="Arial" w:eastAsia="Arial" w:hAnsi="Arial" w:cs="Arial"/>
          <w:color w:val="535C96"/>
          <w:sz w:val="16"/>
          <w:u w:val="single" w:color="535C96"/>
        </w:rPr>
        <w:t xml:space="preserve"> </w:t>
      </w:r>
      <w:r w:rsidR="00B00ED8" w:rsidRPr="00000849">
        <w:rPr>
          <w:rFonts w:ascii="Arial" w:eastAsia="Arial" w:hAnsi="Arial" w:cs="Arial"/>
          <w:sz w:val="16"/>
        </w:rPr>
        <w:t xml:space="preserve">PMID: </w:t>
      </w:r>
      <w:hyperlink r:id="rId322">
        <w:r w:rsidR="00B00ED8" w:rsidRPr="00000849">
          <w:rPr>
            <w:rFonts w:ascii="Arial" w:eastAsia="Arial" w:hAnsi="Arial" w:cs="Arial"/>
            <w:color w:val="535C96"/>
            <w:sz w:val="16"/>
            <w:u w:val="single" w:color="535C96"/>
          </w:rPr>
          <w:t>25528433</w:t>
        </w:r>
      </w:hyperlink>
    </w:p>
    <w:p w14:paraId="03AF7FB5"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Adeloye D, Basquill C, Aderemi AV, Thompson JY, Obi FA. An estimate of the prevalence of hypertension in Nigeria: a systematic review and meta-analysis. J Hypertens. 2015; 33(2):230–42. </w:t>
      </w:r>
      <w:hyperlink r:id="rId323">
        <w:r w:rsidRPr="00000849">
          <w:rPr>
            <w:rFonts w:ascii="Arial" w:eastAsia="Arial" w:hAnsi="Arial" w:cs="Arial"/>
            <w:color w:val="535C96"/>
            <w:sz w:val="16"/>
            <w:u w:val="single" w:color="535C96"/>
          </w:rPr>
          <w:t xml:space="preserve">https://doi. </w:t>
        </w:r>
      </w:hyperlink>
      <w:hyperlink r:id="rId324">
        <w:r w:rsidRPr="00000849">
          <w:rPr>
            <w:rFonts w:ascii="Arial" w:eastAsia="Arial" w:hAnsi="Arial" w:cs="Arial"/>
            <w:color w:val="535C96"/>
            <w:sz w:val="16"/>
            <w:u w:val="single" w:color="535C96"/>
          </w:rPr>
          <w:t>org/10.1097/HJH.0000000000000413</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25">
        <w:r w:rsidRPr="00000849">
          <w:rPr>
            <w:rFonts w:ascii="Arial" w:eastAsia="Arial" w:hAnsi="Arial" w:cs="Arial"/>
            <w:color w:val="535C96"/>
            <w:sz w:val="16"/>
            <w:u w:val="single" w:color="535C96"/>
          </w:rPr>
          <w:t>25380154</w:t>
        </w:r>
      </w:hyperlink>
    </w:p>
    <w:p w14:paraId="7EC2EA63" w14:textId="77777777" w:rsidR="00B00ED8" w:rsidRPr="00000849" w:rsidRDefault="00B00ED8" w:rsidP="008B3C61">
      <w:pPr>
        <w:numPr>
          <w:ilvl w:val="0"/>
          <w:numId w:val="34"/>
        </w:numPr>
        <w:spacing w:after="7" w:line="270" w:lineRule="auto"/>
        <w:ind w:left="0" w:right="7" w:hanging="420"/>
        <w:jc w:val="both"/>
      </w:pPr>
      <w:r w:rsidRPr="00000849">
        <w:rPr>
          <w:rFonts w:ascii="Arial" w:eastAsia="Arial" w:hAnsi="Arial" w:cs="Arial"/>
          <w:sz w:val="16"/>
        </w:rPr>
        <w:t>Schutte AE, Botha S, Fourie CMT, Gafane-Matemane LF, Kruger R, Lammertyn L, et al. Recent advances in understanding hypertension development in sub-Saharan Africa. J Hum Hypertens. 2017;</w:t>
      </w:r>
    </w:p>
    <w:p w14:paraId="16A6DB8B" w14:textId="77777777" w:rsidR="00B00ED8" w:rsidRPr="00000849" w:rsidRDefault="00B00ED8" w:rsidP="008B3C61">
      <w:pPr>
        <w:spacing w:after="83" w:line="265" w:lineRule="auto"/>
        <w:jc w:val="both"/>
      </w:pPr>
      <w:r w:rsidRPr="00000849">
        <w:rPr>
          <w:rFonts w:ascii="Arial" w:eastAsia="Arial" w:hAnsi="Arial" w:cs="Arial"/>
          <w:sz w:val="16"/>
        </w:rPr>
        <w:t xml:space="preserve">31(8):491. </w:t>
      </w:r>
      <w:hyperlink r:id="rId326">
        <w:r w:rsidRPr="00000849">
          <w:rPr>
            <w:rFonts w:ascii="Arial" w:eastAsia="Arial" w:hAnsi="Arial" w:cs="Arial"/>
            <w:color w:val="535C96"/>
            <w:sz w:val="16"/>
            <w:u w:val="single" w:color="535C96"/>
          </w:rPr>
          <w:t>https://doi.org/10.1038/jhh.2017.18</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27">
        <w:r w:rsidRPr="00000849">
          <w:rPr>
            <w:rFonts w:ascii="Arial" w:eastAsia="Arial" w:hAnsi="Arial" w:cs="Arial"/>
            <w:color w:val="535C96"/>
            <w:sz w:val="16"/>
            <w:u w:val="single" w:color="535C96"/>
          </w:rPr>
          <w:t>28332510</w:t>
        </w:r>
      </w:hyperlink>
    </w:p>
    <w:p w14:paraId="1A41157A" w14:textId="77777777" w:rsidR="00B00ED8" w:rsidRPr="00000849" w:rsidRDefault="00B00ED8" w:rsidP="008B3C61">
      <w:pPr>
        <w:numPr>
          <w:ilvl w:val="0"/>
          <w:numId w:val="34"/>
        </w:numPr>
        <w:spacing w:after="7" w:line="270" w:lineRule="auto"/>
        <w:ind w:left="0" w:right="7" w:hanging="420"/>
        <w:jc w:val="both"/>
      </w:pPr>
      <w:r w:rsidRPr="00000849">
        <w:rPr>
          <w:rFonts w:ascii="Arial" w:eastAsia="Arial" w:hAnsi="Arial" w:cs="Arial"/>
          <w:sz w:val="16"/>
        </w:rPr>
        <w:t>Okpechi IG, Chukwuonye II, Tiffin N, Madukwe OO, Onyeonoro UU, Umeizudike TI, et al. Blood pressure gradients and cardiovascular risk factors in urban and rural populations in Abia State South Eastern Nigeria using the WHO STEPwise approach. PLoS One. 2013; 8(9):e73403. Epub 2013/09/17.</w:t>
      </w:r>
    </w:p>
    <w:p w14:paraId="4DE1A2B7" w14:textId="77777777" w:rsidR="00B00ED8" w:rsidRPr="00000849" w:rsidRDefault="00C84E75" w:rsidP="008B3C61">
      <w:pPr>
        <w:spacing w:after="83" w:line="265" w:lineRule="auto"/>
        <w:jc w:val="both"/>
      </w:pPr>
      <w:hyperlink r:id="rId328">
        <w:r w:rsidR="00B00ED8" w:rsidRPr="00000849">
          <w:rPr>
            <w:rFonts w:ascii="Arial" w:eastAsia="Arial" w:hAnsi="Arial" w:cs="Arial"/>
            <w:color w:val="535C96"/>
            <w:sz w:val="16"/>
            <w:u w:val="single" w:color="535C96"/>
          </w:rPr>
          <w:t>https://doi.org/10.1371/journal.pone.0073403</w:t>
        </w:r>
      </w:hyperlink>
      <w:r w:rsidR="00B00ED8" w:rsidRPr="00000849">
        <w:rPr>
          <w:rFonts w:ascii="Arial" w:eastAsia="Arial" w:hAnsi="Arial" w:cs="Arial"/>
          <w:color w:val="535C96"/>
          <w:sz w:val="16"/>
          <w:u w:val="single" w:color="535C96"/>
        </w:rPr>
        <w:t xml:space="preserve"> </w:t>
      </w:r>
      <w:r w:rsidR="00B00ED8" w:rsidRPr="00000849">
        <w:rPr>
          <w:rFonts w:ascii="Arial" w:eastAsia="Arial" w:hAnsi="Arial" w:cs="Arial"/>
          <w:sz w:val="16"/>
        </w:rPr>
        <w:t xml:space="preserve">PMID: </w:t>
      </w:r>
      <w:hyperlink r:id="rId329">
        <w:r w:rsidR="00B00ED8" w:rsidRPr="00000849">
          <w:rPr>
            <w:rFonts w:ascii="Arial" w:eastAsia="Arial" w:hAnsi="Arial" w:cs="Arial"/>
            <w:color w:val="535C96"/>
            <w:sz w:val="16"/>
            <w:u w:val="single" w:color="535C96"/>
          </w:rPr>
          <w:t>24039932</w:t>
        </w:r>
      </w:hyperlink>
      <w:r w:rsidR="00B00ED8" w:rsidRPr="00000849">
        <w:rPr>
          <w:rFonts w:ascii="Arial" w:eastAsia="Arial" w:hAnsi="Arial" w:cs="Arial"/>
          <w:sz w:val="16"/>
        </w:rPr>
        <w:t>; PubMed Central PMCID: PMCPMC3764162.</w:t>
      </w:r>
    </w:p>
    <w:p w14:paraId="642C2590"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Bosu WK. An overview of the nutrition transition in West Africa: implications for non-communicable diseases. Proc Nutr Soc. 2015; 74(4):466–77. Epub 2014/12/23. </w:t>
      </w:r>
      <w:hyperlink r:id="rId330">
        <w:r w:rsidRPr="00000849">
          <w:rPr>
            <w:rFonts w:ascii="Arial" w:eastAsia="Arial" w:hAnsi="Arial" w:cs="Arial"/>
            <w:color w:val="535C96"/>
            <w:sz w:val="16"/>
            <w:u w:val="single" w:color="535C96"/>
          </w:rPr>
          <w:t xml:space="preserve">https://doi.org/10.1017/ </w:t>
        </w:r>
      </w:hyperlink>
      <w:hyperlink r:id="rId331">
        <w:r w:rsidRPr="00000849">
          <w:rPr>
            <w:rFonts w:ascii="Arial" w:eastAsia="Arial" w:hAnsi="Arial" w:cs="Arial"/>
            <w:color w:val="535C96"/>
            <w:sz w:val="16"/>
            <w:u w:val="single" w:color="535C96"/>
          </w:rPr>
          <w:t>S0029665114001669</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32">
        <w:r w:rsidRPr="00000849">
          <w:rPr>
            <w:rFonts w:ascii="Arial" w:eastAsia="Arial" w:hAnsi="Arial" w:cs="Arial"/>
            <w:color w:val="535C96"/>
            <w:sz w:val="16"/>
            <w:u w:val="single" w:color="535C96"/>
          </w:rPr>
          <w:t>25529539</w:t>
        </w:r>
      </w:hyperlink>
      <w:r w:rsidRPr="00000849">
        <w:rPr>
          <w:rFonts w:ascii="Arial" w:eastAsia="Arial" w:hAnsi="Arial" w:cs="Arial"/>
          <w:sz w:val="16"/>
        </w:rPr>
        <w:t>.</w:t>
      </w:r>
    </w:p>
    <w:p w14:paraId="0CA9F269"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NCD Risk Factor Collaboration (NCD-RisC). Trends in adult body-mass index in 200 countries from 1975 to 2014: a pooled analysis of 1698 population-based measurement studies with 19.2 million participants. Lancet (London, England). 2016; 387(10026):1377–96. Epub 2016/04/27. </w:t>
      </w:r>
      <w:hyperlink r:id="rId333">
        <w:r w:rsidRPr="00000849">
          <w:rPr>
            <w:rFonts w:ascii="Arial" w:eastAsia="Arial" w:hAnsi="Arial" w:cs="Arial"/>
            <w:color w:val="535C96"/>
            <w:sz w:val="16"/>
            <w:u w:val="single" w:color="535C96"/>
          </w:rPr>
          <w:t xml:space="preserve">https://doi.org/10. </w:t>
        </w:r>
      </w:hyperlink>
      <w:hyperlink r:id="rId334">
        <w:r w:rsidRPr="00000849">
          <w:rPr>
            <w:rFonts w:ascii="Arial" w:eastAsia="Arial" w:hAnsi="Arial" w:cs="Arial"/>
            <w:color w:val="535C96"/>
            <w:sz w:val="16"/>
            <w:u w:val="single" w:color="535C96"/>
          </w:rPr>
          <w:t>1016/s0140-6736(16)30054-x</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35">
        <w:r w:rsidRPr="00000849">
          <w:rPr>
            <w:rFonts w:ascii="Arial" w:eastAsia="Arial" w:hAnsi="Arial" w:cs="Arial"/>
            <w:color w:val="535C96"/>
            <w:sz w:val="16"/>
            <w:u w:val="single" w:color="535C96"/>
          </w:rPr>
          <w:t>27115820</w:t>
        </w:r>
      </w:hyperlink>
      <w:r w:rsidRPr="00000849">
        <w:rPr>
          <w:rFonts w:ascii="Arial" w:eastAsia="Arial" w:hAnsi="Arial" w:cs="Arial"/>
          <w:sz w:val="16"/>
        </w:rPr>
        <w:t>.</w:t>
      </w:r>
    </w:p>
    <w:p w14:paraId="6EC56B9A"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Basu S, Millett C. Social epidemiology of hypertension in middle-income countries: determinants of prevalence, diagnosis, treatment, and control in the WHO SAGE study. Hypertension. 2013; 62(1):18– 26. Epub 2013/05/15. </w:t>
      </w:r>
      <w:hyperlink r:id="rId336">
        <w:r w:rsidRPr="00000849">
          <w:rPr>
            <w:rFonts w:ascii="Arial" w:eastAsia="Arial" w:hAnsi="Arial" w:cs="Arial"/>
            <w:color w:val="535C96"/>
            <w:sz w:val="16"/>
            <w:u w:val="single" w:color="535C96"/>
          </w:rPr>
          <w:t>https://doi.org/10.1161/HYPERTENSIONAHA.113.01374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37">
        <w:r w:rsidRPr="00000849">
          <w:rPr>
            <w:rFonts w:ascii="Arial" w:eastAsia="Arial" w:hAnsi="Arial" w:cs="Arial"/>
            <w:color w:val="535C96"/>
            <w:sz w:val="16"/>
            <w:u w:val="single" w:color="535C96"/>
          </w:rPr>
          <w:t>23670299</w:t>
        </w:r>
      </w:hyperlink>
      <w:r w:rsidRPr="00000849">
        <w:rPr>
          <w:rFonts w:ascii="Arial" w:eastAsia="Arial" w:hAnsi="Arial" w:cs="Arial"/>
          <w:sz w:val="16"/>
        </w:rPr>
        <w:t>.</w:t>
      </w:r>
    </w:p>
    <w:p w14:paraId="26BDDB66"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Bosu WK. Determinants of Mean Blood Pressure and Hypertension among Workers in West Africa. Int J Hypertens. 2016; 2016:3192149. Epub 2016/03/08. </w:t>
      </w:r>
      <w:hyperlink r:id="rId338">
        <w:r w:rsidRPr="00000849">
          <w:rPr>
            <w:rFonts w:ascii="Arial" w:eastAsia="Arial" w:hAnsi="Arial" w:cs="Arial"/>
            <w:color w:val="535C96"/>
            <w:sz w:val="16"/>
            <w:u w:val="single" w:color="535C96"/>
          </w:rPr>
          <w:t>https://doi.org/10.1155/2016/3192149</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39">
        <w:r w:rsidRPr="00000849">
          <w:rPr>
            <w:rFonts w:ascii="Arial" w:eastAsia="Arial" w:hAnsi="Arial" w:cs="Arial"/>
            <w:color w:val="535C96"/>
            <w:sz w:val="16"/>
            <w:u w:val="single" w:color="535C96"/>
          </w:rPr>
          <w:t>26949543</w:t>
        </w:r>
      </w:hyperlink>
      <w:r w:rsidRPr="00000849">
        <w:rPr>
          <w:rFonts w:ascii="Arial" w:eastAsia="Arial" w:hAnsi="Arial" w:cs="Arial"/>
          <w:sz w:val="16"/>
        </w:rPr>
        <w:t>; PubMed Central PMCID: PMCPMC4754493.</w:t>
      </w:r>
    </w:p>
    <w:p w14:paraId="5C96939F"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Boateng GO, Adams EA, Odei Boateng M, Luginaah IN, Taabazuing MM. Obesity and the burden of health risks among the elderly in Ghana: A population study. PLoS One. 2017; 12(11):e0186947. Epub 2017/11/09. </w:t>
      </w:r>
      <w:hyperlink r:id="rId340">
        <w:r w:rsidRPr="00000849">
          <w:rPr>
            <w:rFonts w:ascii="Arial" w:eastAsia="Arial" w:hAnsi="Arial" w:cs="Arial"/>
            <w:color w:val="535C96"/>
            <w:sz w:val="16"/>
            <w:u w:val="single" w:color="535C96"/>
          </w:rPr>
          <w:t>https://doi.org/10.1371/journal.pone.0186947</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41">
        <w:r w:rsidRPr="00000849">
          <w:rPr>
            <w:rFonts w:ascii="Arial" w:eastAsia="Arial" w:hAnsi="Arial" w:cs="Arial"/>
            <w:color w:val="535C96"/>
            <w:sz w:val="16"/>
            <w:u w:val="single" w:color="535C96"/>
          </w:rPr>
          <w:t>29117264</w:t>
        </w:r>
      </w:hyperlink>
      <w:r w:rsidRPr="00000849">
        <w:rPr>
          <w:rFonts w:ascii="Arial" w:eastAsia="Arial" w:hAnsi="Arial" w:cs="Arial"/>
          <w:sz w:val="16"/>
        </w:rPr>
        <w:t>; PubMed Central PMCID: PMCPMC5695605.</w:t>
      </w:r>
    </w:p>
    <w:p w14:paraId="17AA241D"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lang w:val="fr-FR"/>
        </w:rPr>
        <w:t xml:space="preserve">Twagirumukiza M, De Bacquer D, Kips JG, de Backer G, Stichele RV, Van Bortel LM. </w:t>
      </w:r>
      <w:r w:rsidRPr="00000849">
        <w:rPr>
          <w:rFonts w:ascii="Arial" w:eastAsia="Arial" w:hAnsi="Arial" w:cs="Arial"/>
          <w:sz w:val="16"/>
        </w:rPr>
        <w:t xml:space="preserve">Current and projected prevalence of arterial hypertension in sub-Saharan Africa by sex, age and habitat: an estimate from population studies. J Hypertens. 2011; 29(7):1243–52. Epub 2011/05/05. </w:t>
      </w:r>
      <w:hyperlink r:id="rId342">
        <w:r w:rsidRPr="00000849">
          <w:rPr>
            <w:rFonts w:ascii="Arial" w:eastAsia="Arial" w:hAnsi="Arial" w:cs="Arial"/>
            <w:color w:val="535C96"/>
            <w:sz w:val="16"/>
            <w:u w:val="single" w:color="535C96"/>
          </w:rPr>
          <w:t xml:space="preserve">https://doi.org/10.1097/ </w:t>
        </w:r>
      </w:hyperlink>
      <w:hyperlink r:id="rId343">
        <w:r w:rsidRPr="00000849">
          <w:rPr>
            <w:rFonts w:ascii="Arial" w:eastAsia="Arial" w:hAnsi="Arial" w:cs="Arial"/>
            <w:color w:val="535C96"/>
            <w:sz w:val="16"/>
            <w:u w:val="single" w:color="535C96"/>
          </w:rPr>
          <w:t>HJH.0b013e328346995d</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44">
        <w:r w:rsidRPr="00000849">
          <w:rPr>
            <w:rFonts w:ascii="Arial" w:eastAsia="Arial" w:hAnsi="Arial" w:cs="Arial"/>
            <w:color w:val="535C96"/>
            <w:sz w:val="16"/>
            <w:u w:val="single" w:color="535C96"/>
          </w:rPr>
          <w:t>21540748</w:t>
        </w:r>
      </w:hyperlink>
      <w:r w:rsidRPr="00000849">
        <w:rPr>
          <w:rFonts w:ascii="Arial" w:eastAsia="Arial" w:hAnsi="Arial" w:cs="Arial"/>
          <w:sz w:val="16"/>
        </w:rPr>
        <w:t>.</w:t>
      </w:r>
    </w:p>
    <w:p w14:paraId="75382ED8"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NCD Risk Factor Collaboration (NCD-RisC). Worldwide trends in blood pressure from 1975 to 2015: a pooled analysis of 1479 population-based measurement studies with 19.1 million participants. Lancet (London, England). 2017; 389(10064):37–55. Epub 2016/11/20. </w:t>
      </w:r>
      <w:hyperlink r:id="rId345">
        <w:r w:rsidRPr="00000849">
          <w:rPr>
            <w:rFonts w:ascii="Arial" w:eastAsia="Arial" w:hAnsi="Arial" w:cs="Arial"/>
            <w:color w:val="535C96"/>
            <w:sz w:val="16"/>
            <w:u w:val="single" w:color="535C96"/>
          </w:rPr>
          <w:t xml:space="preserve">https://doi.org/10.1016/s0140-6736 </w:t>
        </w:r>
      </w:hyperlink>
      <w:hyperlink r:id="rId346">
        <w:r w:rsidRPr="00000849">
          <w:rPr>
            <w:rFonts w:ascii="Arial" w:eastAsia="Arial" w:hAnsi="Arial" w:cs="Arial"/>
            <w:color w:val="535C96"/>
            <w:sz w:val="16"/>
            <w:u w:val="single" w:color="535C96"/>
          </w:rPr>
          <w:t>(16)31919-5</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47">
        <w:r w:rsidRPr="00000849">
          <w:rPr>
            <w:rFonts w:ascii="Arial" w:eastAsia="Arial" w:hAnsi="Arial" w:cs="Arial"/>
            <w:color w:val="535C96"/>
            <w:sz w:val="16"/>
            <w:u w:val="single" w:color="535C96"/>
          </w:rPr>
          <w:t>27863813</w:t>
        </w:r>
      </w:hyperlink>
      <w:r w:rsidRPr="00000849">
        <w:rPr>
          <w:rFonts w:ascii="Arial" w:eastAsia="Arial" w:hAnsi="Arial" w:cs="Arial"/>
          <w:sz w:val="16"/>
        </w:rPr>
        <w:t>; PubMed Central PMCID: PMCPMC5220163.</w:t>
      </w:r>
    </w:p>
    <w:p w14:paraId="076A0B29"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Bovet P, Romain S, Shamlaye C, Mendis S, Darioli R, Riesen W, et al. Divergent fifteen-year trends in traditional and cardiometabolic risk factors of cardiovascular diseases in the Seychelles. Cardiovasc Diabetol. 2009; 8:34. Epub 2009/06/30. </w:t>
      </w:r>
      <w:hyperlink r:id="rId348">
        <w:r w:rsidRPr="00000849">
          <w:rPr>
            <w:rFonts w:ascii="Arial" w:eastAsia="Arial" w:hAnsi="Arial" w:cs="Arial"/>
            <w:color w:val="535C96"/>
            <w:sz w:val="16"/>
            <w:u w:val="single" w:color="535C96"/>
          </w:rPr>
          <w:t>https://doi.org/10.1186/1475-2840-8-34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49">
        <w:r w:rsidRPr="00000849">
          <w:rPr>
            <w:rFonts w:ascii="Arial" w:eastAsia="Arial" w:hAnsi="Arial" w:cs="Arial"/>
            <w:color w:val="535C96"/>
            <w:sz w:val="16"/>
            <w:u w:val="single" w:color="535C96"/>
          </w:rPr>
          <w:t>19558646</w:t>
        </w:r>
      </w:hyperlink>
      <w:r w:rsidRPr="00000849">
        <w:rPr>
          <w:rFonts w:ascii="Arial" w:eastAsia="Arial" w:hAnsi="Arial" w:cs="Arial"/>
          <w:sz w:val="16"/>
        </w:rPr>
        <w:t>; PubMed Central PMCID: PMCPMC2719584.</w:t>
      </w:r>
    </w:p>
    <w:p w14:paraId="0A3ACC96"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Laouani CK, Hmouda H, Ben MN, Ghannem H, Toumi S, Ajmi F. High blood presure for people aged more than 60 years in the distrct of Sousse. Tunis Med. 2004; 82(11):1001–5. PMID: </w:t>
      </w:r>
      <w:hyperlink r:id="rId350">
        <w:r w:rsidRPr="00000849">
          <w:rPr>
            <w:rFonts w:ascii="Arial" w:eastAsia="Arial" w:hAnsi="Arial" w:cs="Arial"/>
            <w:color w:val="535C96"/>
            <w:sz w:val="16"/>
            <w:u w:val="single" w:color="535C96"/>
          </w:rPr>
          <w:t>15822468</w:t>
        </w:r>
      </w:hyperlink>
    </w:p>
    <w:p w14:paraId="0CC73BCF"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Macia E, Gueye L, Duboz P. Hypertension and Obesity in Dakar, Senegal. PLoS One. 2016; 11(9): e0161544–e. </w:t>
      </w:r>
      <w:hyperlink r:id="rId351">
        <w:r w:rsidRPr="00000849">
          <w:rPr>
            <w:rFonts w:ascii="Arial" w:eastAsia="Arial" w:hAnsi="Arial" w:cs="Arial"/>
            <w:color w:val="535C96"/>
            <w:sz w:val="16"/>
            <w:u w:val="single" w:color="535C96"/>
          </w:rPr>
          <w:t>https://doi.org/10.1371/journal.pone.0161544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52">
        <w:r w:rsidRPr="00000849">
          <w:rPr>
            <w:rFonts w:ascii="Arial" w:eastAsia="Arial" w:hAnsi="Arial" w:cs="Arial"/>
            <w:color w:val="535C96"/>
            <w:sz w:val="16"/>
            <w:u w:val="single" w:color="535C96"/>
          </w:rPr>
          <w:t>27622534</w:t>
        </w:r>
      </w:hyperlink>
      <w:r w:rsidRPr="00000849">
        <w:rPr>
          <w:rFonts w:ascii="Arial" w:eastAsia="Arial" w:hAnsi="Arial" w:cs="Arial"/>
          <w:sz w:val="16"/>
        </w:rPr>
        <w:t>.</w:t>
      </w:r>
    </w:p>
    <w:p w14:paraId="524E3935" w14:textId="77777777" w:rsidR="00B00ED8" w:rsidRPr="00000849" w:rsidRDefault="00B00ED8" w:rsidP="008B3C61">
      <w:pPr>
        <w:numPr>
          <w:ilvl w:val="0"/>
          <w:numId w:val="34"/>
        </w:numPr>
        <w:spacing w:after="8" w:line="270" w:lineRule="auto"/>
        <w:ind w:left="0" w:right="7" w:hanging="420"/>
        <w:jc w:val="both"/>
      </w:pPr>
      <w:r w:rsidRPr="00000849">
        <w:rPr>
          <w:rFonts w:ascii="Arial" w:eastAsia="Arial" w:hAnsi="Arial" w:cs="Arial"/>
          <w:sz w:val="16"/>
        </w:rPr>
        <w:t>Amugsi DA, Dimbuene ZT, Asiki G, Kyobutungi C. Quantile regression analysis of modifiable and nonmodifiable drivers’ of blood pressure among urban and rural women in Ghana. Sci Rep. 2018; 8</w:t>
      </w:r>
    </w:p>
    <w:p w14:paraId="1DF58B42" w14:textId="77777777" w:rsidR="00B00ED8" w:rsidRPr="00000849" w:rsidRDefault="00B00ED8" w:rsidP="008B3C61">
      <w:pPr>
        <w:spacing w:after="83" w:line="265" w:lineRule="auto"/>
        <w:jc w:val="both"/>
      </w:pPr>
      <w:r w:rsidRPr="00000849">
        <w:rPr>
          <w:rFonts w:ascii="Arial" w:eastAsia="Arial" w:hAnsi="Arial" w:cs="Arial"/>
          <w:sz w:val="16"/>
        </w:rPr>
        <w:t xml:space="preserve">(1):8515. </w:t>
      </w:r>
      <w:hyperlink r:id="rId353">
        <w:r w:rsidRPr="00000849">
          <w:rPr>
            <w:rFonts w:ascii="Arial" w:eastAsia="Arial" w:hAnsi="Arial" w:cs="Arial"/>
            <w:color w:val="535C96"/>
            <w:sz w:val="16"/>
            <w:u w:val="single" w:color="535C96"/>
          </w:rPr>
          <w:t>https://doi.org/10.1038/s41598-018-26991-4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54">
        <w:r w:rsidRPr="00000849">
          <w:rPr>
            <w:rFonts w:ascii="Arial" w:eastAsia="Arial" w:hAnsi="Arial" w:cs="Arial"/>
            <w:color w:val="535C96"/>
            <w:sz w:val="16"/>
            <w:u w:val="single" w:color="535C96"/>
          </w:rPr>
          <w:t>29867184</w:t>
        </w:r>
      </w:hyperlink>
    </w:p>
    <w:p w14:paraId="6FEC371E"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Villareal DT, Miller BV III, Banks M, Fontana L, Sinacore DR, Klein S. Effect of lifestyle intervention on metabolic coronary heart disease risk factors in obese older adults.(Cardiovascular disease risk)(Author abstract). Am J Clin Nutr. 2006; 84(6):1317. </w:t>
      </w:r>
      <w:hyperlink r:id="rId355">
        <w:r w:rsidRPr="00000849">
          <w:rPr>
            <w:rFonts w:ascii="Arial" w:eastAsia="Arial" w:hAnsi="Arial" w:cs="Arial"/>
            <w:color w:val="535C96"/>
            <w:sz w:val="16"/>
            <w:u w:val="single" w:color="535C96"/>
          </w:rPr>
          <w:t>https://doi.org/10.1093/ajcn/84.6.1317</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56">
        <w:r w:rsidRPr="00000849">
          <w:rPr>
            <w:rFonts w:ascii="Arial" w:eastAsia="Arial" w:hAnsi="Arial" w:cs="Arial"/>
            <w:color w:val="535C96"/>
            <w:sz w:val="16"/>
            <w:u w:val="single" w:color="535C96"/>
          </w:rPr>
          <w:t>17158411</w:t>
        </w:r>
      </w:hyperlink>
    </w:p>
    <w:p w14:paraId="540B796D"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lang w:val="pt-PT"/>
        </w:rPr>
        <w:lastRenderedPageBreak/>
        <w:t xml:space="preserve">Amugsi DA, Dimbuene ZT, Mberu B, Muthuri S, Ezeh AC. </w:t>
      </w:r>
      <w:r w:rsidRPr="00000849">
        <w:rPr>
          <w:rFonts w:ascii="Arial" w:eastAsia="Arial" w:hAnsi="Arial" w:cs="Arial"/>
          <w:sz w:val="16"/>
        </w:rPr>
        <w:t xml:space="preserve">Prevalence and time trends in overweight and obesity among urban women: an analysis of demographic and health surveys data from 24 African countries, 1991–2014. BMJ Open. 2017; 7(10):e017344. Epub 2017/10/29. </w:t>
      </w:r>
      <w:hyperlink r:id="rId357">
        <w:r w:rsidRPr="00000849">
          <w:rPr>
            <w:rFonts w:ascii="Arial" w:eastAsia="Arial" w:hAnsi="Arial" w:cs="Arial"/>
            <w:color w:val="535C96"/>
            <w:sz w:val="16"/>
            <w:u w:val="single" w:color="535C96"/>
          </w:rPr>
          <w:t xml:space="preserve">https://doi.org/10.1136/ </w:t>
        </w:r>
      </w:hyperlink>
      <w:hyperlink r:id="rId358">
        <w:r w:rsidRPr="00000849">
          <w:rPr>
            <w:rFonts w:ascii="Arial" w:eastAsia="Arial" w:hAnsi="Arial" w:cs="Arial"/>
            <w:color w:val="535C96"/>
            <w:sz w:val="16"/>
            <w:u w:val="single" w:color="535C96"/>
          </w:rPr>
          <w:t>bmjopen-2017-017344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59">
        <w:r w:rsidRPr="00000849">
          <w:rPr>
            <w:rFonts w:ascii="Arial" w:eastAsia="Arial" w:hAnsi="Arial" w:cs="Arial"/>
            <w:color w:val="535C96"/>
            <w:sz w:val="16"/>
            <w:u w:val="single" w:color="535C96"/>
          </w:rPr>
          <w:t>29079606</w:t>
        </w:r>
      </w:hyperlink>
      <w:r w:rsidRPr="00000849">
        <w:rPr>
          <w:rFonts w:ascii="Arial" w:eastAsia="Arial" w:hAnsi="Arial" w:cs="Arial"/>
          <w:sz w:val="16"/>
        </w:rPr>
        <w:t>; PubMed Central PMCID: PMCPMC5665233.</w:t>
      </w:r>
    </w:p>
    <w:p w14:paraId="573E2A6E"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 xml:space="preserve">Ezejimofor M, Uthman O, Chen YF, Ezejimofor B, Ezeabasili A, Stranges S, et al. Magnitude and pattern of hypertension in the Niger Delta: a systematic review and meta-analysis of community-based studies. J Glob Health. 2018; 8(1):010420. Epub 2018/06/15. </w:t>
      </w:r>
      <w:hyperlink r:id="rId360">
        <w:r w:rsidRPr="00000849">
          <w:rPr>
            <w:rFonts w:ascii="Arial" w:eastAsia="Arial" w:hAnsi="Arial" w:cs="Arial"/>
            <w:color w:val="535C96"/>
            <w:sz w:val="16"/>
            <w:u w:val="single" w:color="535C96"/>
          </w:rPr>
          <w:t xml:space="preserve">https://doi.org/10.7189/jogh.08.010420 </w:t>
        </w:r>
      </w:hyperlink>
      <w:r w:rsidRPr="00000849">
        <w:rPr>
          <w:rFonts w:ascii="Arial" w:eastAsia="Arial" w:hAnsi="Arial" w:cs="Arial"/>
          <w:sz w:val="16"/>
        </w:rPr>
        <w:t xml:space="preserve">PMID: </w:t>
      </w:r>
      <w:hyperlink r:id="rId361">
        <w:r w:rsidRPr="00000849">
          <w:rPr>
            <w:rFonts w:ascii="Arial" w:eastAsia="Arial" w:hAnsi="Arial" w:cs="Arial"/>
            <w:color w:val="535C96"/>
            <w:sz w:val="16"/>
            <w:u w:val="single" w:color="535C96"/>
          </w:rPr>
          <w:t>29899980</w:t>
        </w:r>
      </w:hyperlink>
      <w:r w:rsidRPr="00000849">
        <w:rPr>
          <w:rFonts w:ascii="Arial" w:eastAsia="Arial" w:hAnsi="Arial" w:cs="Arial"/>
          <w:sz w:val="16"/>
        </w:rPr>
        <w:t>; PubMed Central PMCID: PMCPMC5997369.</w:t>
      </w:r>
    </w:p>
    <w:p w14:paraId="06EEA404" w14:textId="77777777" w:rsidR="00B00ED8" w:rsidRPr="00000849" w:rsidRDefault="00B00ED8" w:rsidP="008B3C61">
      <w:pPr>
        <w:numPr>
          <w:ilvl w:val="0"/>
          <w:numId w:val="34"/>
        </w:numPr>
        <w:spacing w:after="8" w:line="270" w:lineRule="auto"/>
        <w:ind w:left="0" w:right="7" w:hanging="420"/>
        <w:jc w:val="both"/>
      </w:pPr>
      <w:r w:rsidRPr="00000849">
        <w:rPr>
          <w:rFonts w:ascii="Arial" w:eastAsia="Arial" w:hAnsi="Arial" w:cs="Arial"/>
          <w:sz w:val="16"/>
        </w:rPr>
        <w:t>Callender T, Woodward M, Roth G, Farzadfar F, Lemarie JC, Gicquel S, et al. Heart failure care in lowand middle-income countries: a systematic review and meta-analysis. PLoS Med. 2014; 11(8):</w:t>
      </w:r>
    </w:p>
    <w:p w14:paraId="0C16F011" w14:textId="77777777" w:rsidR="00B00ED8" w:rsidRPr="00000849" w:rsidRDefault="00B00ED8" w:rsidP="008B3C61">
      <w:pPr>
        <w:spacing w:after="73" w:line="270" w:lineRule="auto"/>
        <w:ind w:right="7"/>
        <w:jc w:val="both"/>
      </w:pPr>
      <w:r w:rsidRPr="00000849">
        <w:rPr>
          <w:rFonts w:ascii="Arial" w:eastAsia="Arial" w:hAnsi="Arial" w:cs="Arial"/>
          <w:sz w:val="16"/>
        </w:rPr>
        <w:t xml:space="preserve">e1001699. Epub 2014/08/15. </w:t>
      </w:r>
      <w:hyperlink r:id="rId362">
        <w:r w:rsidRPr="00000849">
          <w:rPr>
            <w:rFonts w:ascii="Arial" w:eastAsia="Arial" w:hAnsi="Arial" w:cs="Arial"/>
            <w:color w:val="535C96"/>
            <w:sz w:val="16"/>
            <w:u w:val="single" w:color="535C96"/>
          </w:rPr>
          <w:t>https://doi.org/10.1371/journal.pmed.1001699</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63">
        <w:r w:rsidRPr="00000849">
          <w:rPr>
            <w:rFonts w:ascii="Arial" w:eastAsia="Arial" w:hAnsi="Arial" w:cs="Arial"/>
            <w:color w:val="535C96"/>
            <w:sz w:val="16"/>
            <w:u w:val="single" w:color="535C96"/>
          </w:rPr>
          <w:t>25117081</w:t>
        </w:r>
      </w:hyperlink>
      <w:r w:rsidRPr="00000849">
        <w:rPr>
          <w:rFonts w:ascii="Arial" w:eastAsia="Arial" w:hAnsi="Arial" w:cs="Arial"/>
          <w:sz w:val="16"/>
        </w:rPr>
        <w:t>; PubMed Central PMCID: PMCPMC4130667.</w:t>
      </w:r>
    </w:p>
    <w:p w14:paraId="67048202" w14:textId="77777777" w:rsidR="00B00ED8" w:rsidRPr="00000849" w:rsidRDefault="00B00ED8" w:rsidP="008B3C61">
      <w:pPr>
        <w:numPr>
          <w:ilvl w:val="0"/>
          <w:numId w:val="34"/>
        </w:numPr>
        <w:spacing w:after="8" w:line="270" w:lineRule="auto"/>
        <w:ind w:left="0" w:right="7" w:hanging="420"/>
        <w:jc w:val="both"/>
      </w:pPr>
      <w:r w:rsidRPr="00000849">
        <w:rPr>
          <w:rFonts w:ascii="Arial" w:eastAsia="Arial" w:hAnsi="Arial" w:cs="Arial"/>
          <w:sz w:val="16"/>
        </w:rPr>
        <w:t>El-Tallawy HN, Farghaly WM, Rageh TA, Shehata GA, Abdel Hakeem M N, Badry R, et al. Prevalence of trigeminal neuralgia in Al-Quseir city (Red sea Governorate), Egypt. Clin Neurol Neurosurg. 2013;</w:t>
      </w:r>
    </w:p>
    <w:p w14:paraId="32FC6BA8" w14:textId="77777777" w:rsidR="00B00ED8" w:rsidRPr="00000849" w:rsidRDefault="00B00ED8" w:rsidP="008B3C61">
      <w:pPr>
        <w:spacing w:after="83" w:line="265" w:lineRule="auto"/>
        <w:jc w:val="both"/>
      </w:pPr>
      <w:r w:rsidRPr="00000849">
        <w:rPr>
          <w:rFonts w:ascii="Arial" w:eastAsia="Arial" w:hAnsi="Arial" w:cs="Arial"/>
          <w:sz w:val="16"/>
        </w:rPr>
        <w:t xml:space="preserve">115(9):1792–4. </w:t>
      </w:r>
      <w:hyperlink r:id="rId364">
        <w:r w:rsidRPr="00000849">
          <w:rPr>
            <w:rFonts w:ascii="Arial" w:eastAsia="Arial" w:hAnsi="Arial" w:cs="Arial"/>
            <w:color w:val="535C96"/>
            <w:sz w:val="16"/>
            <w:u w:val="single" w:color="535C96"/>
          </w:rPr>
          <w:t>https://doi.org/10.1016/j.clineuro.2013.04.014</w:t>
        </w:r>
      </w:hyperlink>
      <w:r w:rsidRPr="00000849">
        <w:rPr>
          <w:rFonts w:ascii="Arial" w:eastAsia="Arial" w:hAnsi="Arial" w:cs="Arial"/>
          <w:color w:val="535C96"/>
          <w:sz w:val="16"/>
          <w:u w:val="single" w:color="535C96"/>
        </w:rPr>
        <w:t xml:space="preserve"> </w:t>
      </w:r>
      <w:r w:rsidRPr="00000849">
        <w:rPr>
          <w:rFonts w:ascii="Arial" w:eastAsia="Arial" w:hAnsi="Arial" w:cs="Arial"/>
          <w:sz w:val="16"/>
        </w:rPr>
        <w:t xml:space="preserve">PMID: </w:t>
      </w:r>
      <w:hyperlink r:id="rId365">
        <w:r w:rsidRPr="00000849">
          <w:rPr>
            <w:rFonts w:ascii="Arial" w:eastAsia="Arial" w:hAnsi="Arial" w:cs="Arial"/>
            <w:color w:val="535C96"/>
            <w:sz w:val="16"/>
            <w:u w:val="single" w:color="535C96"/>
          </w:rPr>
          <w:t>23692870</w:t>
        </w:r>
      </w:hyperlink>
    </w:p>
    <w:p w14:paraId="18BAD936" w14:textId="77777777" w:rsidR="00B00ED8" w:rsidRPr="00000849" w:rsidRDefault="00B00ED8" w:rsidP="008B3C61">
      <w:pPr>
        <w:numPr>
          <w:ilvl w:val="0"/>
          <w:numId w:val="34"/>
        </w:numPr>
        <w:spacing w:after="73" w:line="270" w:lineRule="auto"/>
        <w:ind w:left="0" w:right="7" w:hanging="420"/>
        <w:jc w:val="both"/>
      </w:pPr>
      <w:r w:rsidRPr="00000849">
        <w:rPr>
          <w:rFonts w:ascii="Arial" w:eastAsia="Arial" w:hAnsi="Arial" w:cs="Arial"/>
          <w:sz w:val="16"/>
        </w:rPr>
        <w:t>World Health Organization. Active ageing: A policy framework. Geneva: WHO, 2002.</w:t>
      </w:r>
    </w:p>
    <w:p w14:paraId="73E1FF22" w14:textId="77777777" w:rsidR="000E71EA" w:rsidRPr="00000849" w:rsidRDefault="000E71EA" w:rsidP="008B3C61">
      <w:pPr>
        <w:widowControl w:val="0"/>
        <w:spacing w:line="360" w:lineRule="auto"/>
        <w:jc w:val="both"/>
      </w:pPr>
    </w:p>
    <w:p w14:paraId="0B8DCC01" w14:textId="263900D7" w:rsidR="002C3F25" w:rsidRPr="00000849" w:rsidRDefault="002C3F25" w:rsidP="008B3C61">
      <w:pPr>
        <w:widowControl w:val="0"/>
        <w:spacing w:line="360" w:lineRule="auto"/>
        <w:jc w:val="both"/>
        <w:rPr>
          <w:rFonts w:eastAsiaTheme="majorEastAsia" w:cstheme="minorHAnsi"/>
          <w:b/>
          <w:bCs/>
          <w:color w:val="0070C0"/>
          <w:sz w:val="28"/>
          <w:szCs w:val="26"/>
        </w:rPr>
      </w:pPr>
      <w:r w:rsidRPr="00000849">
        <w:br w:type="page"/>
      </w:r>
    </w:p>
    <w:p w14:paraId="4DEDEDEB" w14:textId="3087E60D" w:rsidR="00EB2256" w:rsidRPr="00000849" w:rsidRDefault="004B6C50" w:rsidP="002F7B95">
      <w:pPr>
        <w:pStyle w:val="TableSAGE1"/>
        <w:keepNext/>
        <w:ind w:left="1276" w:hanging="992"/>
      </w:pPr>
      <w:r w:rsidRPr="00000849">
        <w:lastRenderedPageBreak/>
        <w:t xml:space="preserve">Figure </w:t>
      </w:r>
      <w:r w:rsidR="00165137" w:rsidRPr="00000849">
        <w:t>A1</w:t>
      </w:r>
      <w:r w:rsidR="002F7B95" w:rsidRPr="00000849">
        <w:t>:</w:t>
      </w:r>
      <w:r w:rsidR="002F7B95" w:rsidRPr="00000849">
        <w:tab/>
      </w:r>
      <w:r w:rsidRPr="00000849">
        <w:t xml:space="preserve"> Prevalence e</w:t>
      </w:r>
      <w:r w:rsidR="00B849E5" w:rsidRPr="00000849">
        <w:t xml:space="preserve">stimates of hypertension </w:t>
      </w:r>
      <w:r w:rsidR="002F7B95" w:rsidRPr="00000849">
        <w:t xml:space="preserve">stratified </w:t>
      </w:r>
      <w:r w:rsidR="00B849E5" w:rsidRPr="00000849">
        <w:t>by risk of bias</w:t>
      </w:r>
    </w:p>
    <w:p w14:paraId="1101A4F7" w14:textId="77777777" w:rsidR="00ED05A1" w:rsidRPr="00000849" w:rsidRDefault="00ED05A1" w:rsidP="009B47FF">
      <w:pPr>
        <w:widowControl w:val="0"/>
        <w:spacing w:line="360" w:lineRule="auto"/>
        <w:jc w:val="both"/>
        <w:rPr>
          <w:rFonts w:cstheme="minorHAnsi"/>
          <w:sz w:val="24"/>
          <w:szCs w:val="24"/>
        </w:rPr>
      </w:pPr>
    </w:p>
    <w:p w14:paraId="4774BB53" w14:textId="1FB1F8E9" w:rsidR="00ED05A1" w:rsidRPr="00000849" w:rsidRDefault="00ED05A1" w:rsidP="009B47FF">
      <w:pPr>
        <w:widowControl w:val="0"/>
        <w:spacing w:line="360" w:lineRule="auto"/>
        <w:jc w:val="both"/>
        <w:rPr>
          <w:rFonts w:cstheme="minorHAnsi"/>
          <w:sz w:val="24"/>
          <w:szCs w:val="24"/>
        </w:rPr>
      </w:pPr>
      <w:r w:rsidRPr="00000849">
        <w:rPr>
          <w:noProof/>
        </w:rPr>
        <w:drawing>
          <wp:inline distT="0" distB="0" distL="0" distR="0" wp14:anchorId="0D28F45F" wp14:editId="6095BD94">
            <wp:extent cx="4741464" cy="4896039"/>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748156" cy="4902949"/>
                    </a:xfrm>
                    <a:prstGeom prst="rect">
                      <a:avLst/>
                    </a:prstGeom>
                    <a:noFill/>
                    <a:ln>
                      <a:noFill/>
                    </a:ln>
                  </pic:spPr>
                </pic:pic>
              </a:graphicData>
            </a:graphic>
          </wp:inline>
        </w:drawing>
      </w:r>
    </w:p>
    <w:p w14:paraId="03B46584" w14:textId="213A84B4" w:rsidR="00B11A5A" w:rsidRPr="00000849" w:rsidRDefault="00B11A5A">
      <w:pPr>
        <w:spacing w:after="160" w:line="259" w:lineRule="auto"/>
        <w:rPr>
          <w:rFonts w:cstheme="minorHAnsi"/>
          <w:sz w:val="24"/>
          <w:szCs w:val="24"/>
        </w:rPr>
      </w:pPr>
      <w:r w:rsidRPr="00000849">
        <w:rPr>
          <w:rFonts w:cstheme="minorHAnsi"/>
          <w:sz w:val="24"/>
          <w:szCs w:val="24"/>
        </w:rPr>
        <w:br w:type="page"/>
      </w:r>
    </w:p>
    <w:p w14:paraId="7ACC6F0B" w14:textId="689151F1" w:rsidR="00B11A5A" w:rsidRPr="00000849" w:rsidRDefault="00B11A5A" w:rsidP="002F7B95">
      <w:pPr>
        <w:pStyle w:val="TableSAGE1"/>
        <w:keepNext/>
        <w:ind w:left="1276" w:hanging="992"/>
      </w:pPr>
      <w:r w:rsidRPr="00000849">
        <w:lastRenderedPageBreak/>
        <w:t xml:space="preserve">Figure </w:t>
      </w:r>
      <w:r w:rsidR="003A4275" w:rsidRPr="00000849">
        <w:t>A2</w:t>
      </w:r>
      <w:r w:rsidR="002F7B95" w:rsidRPr="00000849">
        <w:t>:</w:t>
      </w:r>
      <w:r w:rsidR="002F7B95" w:rsidRPr="00000849">
        <w:tab/>
      </w:r>
      <w:r w:rsidRPr="00000849">
        <w:t xml:space="preserve"> </w:t>
      </w:r>
      <w:r w:rsidR="00257F10" w:rsidRPr="00000849">
        <w:t xml:space="preserve">Influence analysis </w:t>
      </w:r>
      <w:r w:rsidR="00580594" w:rsidRPr="00000849">
        <w:t>showing effect of omitting one study at a time on the pooled estimate of the prevalence of hypertension in older adults in Africa</w:t>
      </w:r>
    </w:p>
    <w:p w14:paraId="4389E1D5" w14:textId="1BA97A0E" w:rsidR="00B11A5A" w:rsidRPr="00000849" w:rsidRDefault="00B11A5A" w:rsidP="009B47FF">
      <w:pPr>
        <w:widowControl w:val="0"/>
        <w:spacing w:line="360" w:lineRule="auto"/>
        <w:jc w:val="both"/>
        <w:rPr>
          <w:noProof/>
        </w:rPr>
      </w:pPr>
    </w:p>
    <w:p w14:paraId="4FBC1E1D" w14:textId="77777777" w:rsidR="00B11A5A" w:rsidRPr="00000849" w:rsidRDefault="00B11A5A" w:rsidP="009B47FF">
      <w:pPr>
        <w:widowControl w:val="0"/>
        <w:spacing w:line="360" w:lineRule="auto"/>
        <w:jc w:val="both"/>
        <w:rPr>
          <w:noProof/>
        </w:rPr>
      </w:pPr>
    </w:p>
    <w:p w14:paraId="5D01A2AA" w14:textId="1CA18087" w:rsidR="00ED05A1" w:rsidRPr="00000849" w:rsidRDefault="00B11A5A" w:rsidP="009B47FF">
      <w:pPr>
        <w:widowControl w:val="0"/>
        <w:spacing w:line="360" w:lineRule="auto"/>
        <w:jc w:val="both"/>
        <w:rPr>
          <w:rFonts w:cstheme="minorHAnsi"/>
          <w:sz w:val="24"/>
          <w:szCs w:val="24"/>
        </w:rPr>
      </w:pPr>
      <w:r w:rsidRPr="00000849">
        <w:rPr>
          <w:noProof/>
        </w:rPr>
        <w:drawing>
          <wp:inline distT="0" distB="0" distL="0" distR="0" wp14:anchorId="303626CC" wp14:editId="7C2DC558">
            <wp:extent cx="5242560" cy="3481070"/>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242560" cy="3481070"/>
                    </a:xfrm>
                    <a:prstGeom prst="rect">
                      <a:avLst/>
                    </a:prstGeom>
                    <a:noFill/>
                    <a:ln>
                      <a:noFill/>
                    </a:ln>
                  </pic:spPr>
                </pic:pic>
              </a:graphicData>
            </a:graphic>
          </wp:inline>
        </w:drawing>
      </w:r>
    </w:p>
    <w:p w14:paraId="299E2A29" w14:textId="77777777" w:rsidR="00EB2256" w:rsidRPr="00000849" w:rsidRDefault="00EB2256" w:rsidP="009B47FF">
      <w:pPr>
        <w:widowControl w:val="0"/>
        <w:spacing w:line="360" w:lineRule="auto"/>
        <w:jc w:val="both"/>
        <w:rPr>
          <w:rFonts w:cstheme="minorHAnsi"/>
          <w:sz w:val="24"/>
          <w:szCs w:val="24"/>
        </w:rPr>
      </w:pPr>
    </w:p>
    <w:p w14:paraId="65D007D0" w14:textId="77777777" w:rsidR="00146AC0" w:rsidRPr="00000849" w:rsidRDefault="00146AC0">
      <w:pPr>
        <w:spacing w:after="160" w:line="259" w:lineRule="auto"/>
        <w:rPr>
          <w:rFonts w:cstheme="minorHAnsi"/>
          <w:sz w:val="24"/>
          <w:szCs w:val="24"/>
        </w:rPr>
      </w:pPr>
      <w:r w:rsidRPr="00000849">
        <w:rPr>
          <w:rFonts w:cstheme="minorHAnsi"/>
          <w:sz w:val="24"/>
          <w:szCs w:val="24"/>
        </w:rPr>
        <w:br w:type="page"/>
      </w:r>
    </w:p>
    <w:p w14:paraId="65700CDA" w14:textId="4B5F3690" w:rsidR="009A6AB6" w:rsidRPr="00000849" w:rsidRDefault="009A6AB6" w:rsidP="004E2350">
      <w:pPr>
        <w:pStyle w:val="Heading3"/>
        <w:rPr>
          <w:lang w:val="en-US"/>
        </w:rPr>
      </w:pPr>
      <w:bookmarkStart w:id="137" w:name="_Toc51472167"/>
      <w:r w:rsidRPr="00000849">
        <w:rPr>
          <w:lang w:val="en-US"/>
        </w:rPr>
        <w:lastRenderedPageBreak/>
        <w:t>Table</w:t>
      </w:r>
      <w:r w:rsidR="00701B9B" w:rsidRPr="00000849">
        <w:rPr>
          <w:lang w:val="en-US"/>
        </w:rPr>
        <w:t xml:space="preserve"> </w:t>
      </w:r>
      <w:r w:rsidR="001649D8" w:rsidRPr="00000849">
        <w:rPr>
          <w:lang w:val="en-US"/>
        </w:rPr>
        <w:t>A</w:t>
      </w:r>
      <w:r w:rsidR="00A02440" w:rsidRPr="00000849">
        <w:rPr>
          <w:lang w:val="en-US"/>
        </w:rPr>
        <w:t>1</w:t>
      </w:r>
      <w:r w:rsidRPr="00000849">
        <w:rPr>
          <w:lang w:val="en-US"/>
        </w:rPr>
        <w:t xml:space="preserve">  Search strategy for Ovid Medline and Embase databases</w:t>
      </w:r>
      <w:bookmarkEnd w:id="137"/>
    </w:p>
    <w:p w14:paraId="36EA5B50" w14:textId="77777777" w:rsidR="00A02440" w:rsidRPr="00000849" w:rsidRDefault="00A02440" w:rsidP="009A6AB6">
      <w:pPr>
        <w:spacing w:after="60"/>
        <w:rPr>
          <w:b/>
          <w:sz w:val="24"/>
          <w:szCs w:val="24"/>
        </w:rPr>
      </w:pPr>
    </w:p>
    <w:tbl>
      <w:tblPr>
        <w:tblW w:w="5000" w:type="pct"/>
        <w:tblLook w:val="04A0" w:firstRow="1" w:lastRow="0" w:firstColumn="1" w:lastColumn="0" w:noHBand="0" w:noVBand="1"/>
      </w:tblPr>
      <w:tblGrid>
        <w:gridCol w:w="1041"/>
        <w:gridCol w:w="7260"/>
      </w:tblGrid>
      <w:tr w:rsidR="009A6AB6" w:rsidRPr="00000849" w14:paraId="24A67107" w14:textId="77777777" w:rsidTr="00CD5B7D">
        <w:trPr>
          <w:trHeight w:val="251"/>
        </w:trPr>
        <w:tc>
          <w:tcPr>
            <w:tcW w:w="62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6A9EE00" w14:textId="77777777" w:rsidR="009A6AB6" w:rsidRPr="00000849" w:rsidRDefault="009A6AB6" w:rsidP="00CD5B7D">
            <w:pPr>
              <w:spacing w:after="0" w:line="480" w:lineRule="auto"/>
              <w:jc w:val="center"/>
              <w:rPr>
                <w:rFonts w:ascii="Arial" w:eastAsia="Times New Roman" w:hAnsi="Arial" w:cs="Arial"/>
                <w:b/>
                <w:bCs/>
                <w:color w:val="2D2D2D"/>
                <w:sz w:val="19"/>
                <w:szCs w:val="19"/>
                <w:lang w:eastAsia="en-GB"/>
              </w:rPr>
            </w:pPr>
            <w:r w:rsidRPr="00000849">
              <w:rPr>
                <w:rFonts w:ascii="Arial" w:eastAsia="Times New Roman" w:hAnsi="Arial" w:cs="Arial"/>
                <w:b/>
                <w:bCs/>
                <w:color w:val="2D2D2D"/>
                <w:sz w:val="19"/>
                <w:szCs w:val="19"/>
                <w:lang w:eastAsia="en-GB"/>
              </w:rPr>
              <w:t>#</w:t>
            </w:r>
          </w:p>
        </w:tc>
        <w:tc>
          <w:tcPr>
            <w:tcW w:w="4373" w:type="pct"/>
            <w:tcBorders>
              <w:top w:val="single" w:sz="4" w:space="0" w:color="auto"/>
              <w:left w:val="nil"/>
              <w:bottom w:val="single" w:sz="4" w:space="0" w:color="auto"/>
              <w:right w:val="single" w:sz="4" w:space="0" w:color="auto"/>
            </w:tcBorders>
            <w:shd w:val="clear" w:color="000000" w:fill="FFFFFF"/>
            <w:vAlign w:val="center"/>
            <w:hideMark/>
          </w:tcPr>
          <w:p w14:paraId="101C3192" w14:textId="77777777" w:rsidR="009A6AB6" w:rsidRPr="00000849" w:rsidRDefault="009A6AB6" w:rsidP="00CD5B7D">
            <w:pPr>
              <w:spacing w:after="0" w:line="480" w:lineRule="auto"/>
              <w:ind w:firstLineChars="100" w:firstLine="190"/>
              <w:rPr>
                <w:rFonts w:ascii="Arial" w:eastAsia="Times New Roman" w:hAnsi="Arial" w:cs="Arial"/>
                <w:b/>
                <w:bCs/>
                <w:color w:val="2D2D2D"/>
                <w:sz w:val="19"/>
                <w:szCs w:val="19"/>
                <w:lang w:eastAsia="en-GB"/>
              </w:rPr>
            </w:pPr>
            <w:r w:rsidRPr="00000849">
              <w:rPr>
                <w:rFonts w:ascii="Arial" w:eastAsia="Times New Roman" w:hAnsi="Arial" w:cs="Arial"/>
                <w:b/>
                <w:bCs/>
                <w:color w:val="2D2D2D"/>
                <w:sz w:val="19"/>
                <w:szCs w:val="19"/>
                <w:lang w:eastAsia="en-GB"/>
              </w:rPr>
              <w:t>Search words</w:t>
            </w:r>
          </w:p>
        </w:tc>
      </w:tr>
      <w:tr w:rsidR="009A6AB6" w:rsidRPr="00000849" w14:paraId="441D1D27"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204ADBDB"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1</w:t>
            </w:r>
          </w:p>
        </w:tc>
        <w:tc>
          <w:tcPr>
            <w:tcW w:w="4373" w:type="pct"/>
            <w:tcBorders>
              <w:top w:val="nil"/>
              <w:left w:val="nil"/>
              <w:bottom w:val="single" w:sz="4" w:space="0" w:color="auto"/>
              <w:right w:val="single" w:sz="4" w:space="0" w:color="auto"/>
            </w:tcBorders>
            <w:shd w:val="clear" w:color="000000" w:fill="FFFFFF"/>
            <w:vAlign w:val="center"/>
            <w:hideMark/>
          </w:tcPr>
          <w:p w14:paraId="72E130E1"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exp hypertension/ep, et, pc [Epidemiology, Etiology, Prevention]</w:t>
            </w:r>
          </w:p>
        </w:tc>
      </w:tr>
      <w:tr w:rsidR="009A6AB6" w:rsidRPr="00000849" w14:paraId="3CEF9800"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2BF42CEC"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2</w:t>
            </w:r>
          </w:p>
        </w:tc>
        <w:tc>
          <w:tcPr>
            <w:tcW w:w="4373" w:type="pct"/>
            <w:tcBorders>
              <w:top w:val="nil"/>
              <w:left w:val="nil"/>
              <w:bottom w:val="single" w:sz="4" w:space="0" w:color="auto"/>
              <w:right w:val="single" w:sz="4" w:space="0" w:color="auto"/>
            </w:tcBorders>
            <w:shd w:val="clear" w:color="000000" w:fill="FFFFFF"/>
            <w:vAlign w:val="center"/>
            <w:hideMark/>
          </w:tcPr>
          <w:p w14:paraId="516C25B6"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(Hypertensi* or "blood pressure" or cardiovascular or cardiometabolic).ab.</w:t>
            </w:r>
          </w:p>
        </w:tc>
      </w:tr>
      <w:tr w:rsidR="009A6AB6" w:rsidRPr="00000849" w14:paraId="5C0EEB72"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4EA70C85"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3</w:t>
            </w:r>
          </w:p>
        </w:tc>
        <w:tc>
          <w:tcPr>
            <w:tcW w:w="4373" w:type="pct"/>
            <w:tcBorders>
              <w:top w:val="nil"/>
              <w:left w:val="nil"/>
              <w:bottom w:val="single" w:sz="4" w:space="0" w:color="auto"/>
              <w:right w:val="single" w:sz="4" w:space="0" w:color="auto"/>
            </w:tcBorders>
            <w:shd w:val="clear" w:color="000000" w:fill="FFFFFF"/>
            <w:vAlign w:val="center"/>
            <w:hideMark/>
          </w:tcPr>
          <w:p w14:paraId="79981FF5"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1 or 2</w:t>
            </w:r>
          </w:p>
        </w:tc>
      </w:tr>
      <w:tr w:rsidR="009A6AB6" w:rsidRPr="00000849" w14:paraId="5E73A278"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436B4E8E"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4</w:t>
            </w:r>
          </w:p>
        </w:tc>
        <w:tc>
          <w:tcPr>
            <w:tcW w:w="4373" w:type="pct"/>
            <w:tcBorders>
              <w:top w:val="nil"/>
              <w:left w:val="nil"/>
              <w:bottom w:val="single" w:sz="4" w:space="0" w:color="auto"/>
              <w:right w:val="single" w:sz="4" w:space="0" w:color="auto"/>
            </w:tcBorders>
            <w:shd w:val="clear" w:color="000000" w:fill="FFFFFF"/>
            <w:vAlign w:val="center"/>
            <w:hideMark/>
          </w:tcPr>
          <w:p w14:paraId="06B164C6"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exp prevalence/</w:t>
            </w:r>
          </w:p>
        </w:tc>
      </w:tr>
      <w:tr w:rsidR="009A6AB6" w:rsidRPr="00000849" w14:paraId="67F22ECE"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152CCBAF"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5</w:t>
            </w:r>
          </w:p>
        </w:tc>
        <w:tc>
          <w:tcPr>
            <w:tcW w:w="4373" w:type="pct"/>
            <w:tcBorders>
              <w:top w:val="nil"/>
              <w:left w:val="nil"/>
              <w:bottom w:val="single" w:sz="4" w:space="0" w:color="auto"/>
              <w:right w:val="single" w:sz="4" w:space="0" w:color="auto"/>
            </w:tcBorders>
            <w:shd w:val="clear" w:color="000000" w:fill="FFFFFF"/>
            <w:vAlign w:val="center"/>
            <w:hideMark/>
          </w:tcPr>
          <w:p w14:paraId="728EB63D"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exp incidence/</w:t>
            </w:r>
          </w:p>
        </w:tc>
      </w:tr>
      <w:tr w:rsidR="009A6AB6" w:rsidRPr="00000849" w14:paraId="30273E47" w14:textId="77777777" w:rsidTr="00CD5B7D">
        <w:trPr>
          <w:trHeight w:val="51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50FA7D5C"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6</w:t>
            </w:r>
          </w:p>
        </w:tc>
        <w:tc>
          <w:tcPr>
            <w:tcW w:w="4373" w:type="pct"/>
            <w:tcBorders>
              <w:top w:val="nil"/>
              <w:left w:val="nil"/>
              <w:bottom w:val="single" w:sz="4" w:space="0" w:color="auto"/>
              <w:right w:val="single" w:sz="4" w:space="0" w:color="auto"/>
            </w:tcBorders>
            <w:shd w:val="clear" w:color="000000" w:fill="FFFFFF"/>
            <w:vAlign w:val="center"/>
            <w:hideMark/>
          </w:tcPr>
          <w:p w14:paraId="34A81B2C"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(Prevalence or proportion or survey or descriptive or cross-sectional or cohort or longitudinal or "attributable fraction" or incidence).sh.</w:t>
            </w:r>
          </w:p>
        </w:tc>
      </w:tr>
      <w:tr w:rsidR="009A6AB6" w:rsidRPr="00000849" w14:paraId="535CB0E7"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6C8CF4B8"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7</w:t>
            </w:r>
          </w:p>
        </w:tc>
        <w:tc>
          <w:tcPr>
            <w:tcW w:w="4373" w:type="pct"/>
            <w:tcBorders>
              <w:top w:val="nil"/>
              <w:left w:val="nil"/>
              <w:bottom w:val="single" w:sz="4" w:space="0" w:color="auto"/>
              <w:right w:val="single" w:sz="4" w:space="0" w:color="auto"/>
            </w:tcBorders>
            <w:shd w:val="clear" w:color="000000" w:fill="FFFFFF"/>
            <w:vAlign w:val="center"/>
            <w:hideMark/>
          </w:tcPr>
          <w:p w14:paraId="76952942"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4 or 5 or 6</w:t>
            </w:r>
          </w:p>
        </w:tc>
      </w:tr>
      <w:tr w:rsidR="009A6AB6" w:rsidRPr="00000849" w14:paraId="2EC401B2" w14:textId="77777777" w:rsidTr="00CD5B7D">
        <w:trPr>
          <w:trHeight w:val="26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25FB655C"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8</w:t>
            </w:r>
          </w:p>
        </w:tc>
        <w:tc>
          <w:tcPr>
            <w:tcW w:w="4373" w:type="pct"/>
            <w:tcBorders>
              <w:top w:val="nil"/>
              <w:left w:val="nil"/>
              <w:bottom w:val="single" w:sz="4" w:space="0" w:color="auto"/>
              <w:right w:val="single" w:sz="4" w:space="0" w:color="auto"/>
            </w:tcBorders>
            <w:shd w:val="clear" w:color="000000" w:fill="FFFFFF"/>
            <w:vAlign w:val="center"/>
            <w:hideMark/>
          </w:tcPr>
          <w:p w14:paraId="386C534A"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exp Africa/</w:t>
            </w:r>
          </w:p>
        </w:tc>
      </w:tr>
      <w:tr w:rsidR="009A6AB6" w:rsidRPr="00000849" w14:paraId="62611E99"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3081CBE7"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9</w:t>
            </w:r>
          </w:p>
        </w:tc>
        <w:tc>
          <w:tcPr>
            <w:tcW w:w="4373" w:type="pct"/>
            <w:tcBorders>
              <w:top w:val="nil"/>
              <w:left w:val="nil"/>
              <w:bottom w:val="single" w:sz="4" w:space="0" w:color="auto"/>
              <w:right w:val="single" w:sz="4" w:space="0" w:color="auto"/>
            </w:tcBorders>
            <w:shd w:val="clear" w:color="000000" w:fill="FFFFFF"/>
            <w:vAlign w:val="center"/>
            <w:hideMark/>
          </w:tcPr>
          <w:p w14:paraId="7E782645"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indian ocean/ or exp mauritius/ or exp reunion/ or exp seychelles/</w:t>
            </w:r>
          </w:p>
        </w:tc>
      </w:tr>
      <w:tr w:rsidR="009A6AB6" w:rsidRPr="00000849" w14:paraId="5214CFAF" w14:textId="77777777" w:rsidTr="00CD5B7D">
        <w:trPr>
          <w:trHeight w:val="2479"/>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42DFC566"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10</w:t>
            </w:r>
          </w:p>
        </w:tc>
        <w:tc>
          <w:tcPr>
            <w:tcW w:w="4373" w:type="pct"/>
            <w:tcBorders>
              <w:top w:val="nil"/>
              <w:left w:val="nil"/>
              <w:bottom w:val="single" w:sz="4" w:space="0" w:color="auto"/>
              <w:right w:val="single" w:sz="4" w:space="0" w:color="auto"/>
            </w:tcBorders>
            <w:shd w:val="clear" w:color="000000" w:fill="FFFFFF"/>
            <w:vAlign w:val="center"/>
            <w:hideMark/>
          </w:tcPr>
          <w:p w14:paraId="1DA4B086"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(africa* or algeria* or angola* or benin* or botswana* or burkina* or burundi* or cameroon* or canary islands or cabo verde or cape verde* or central african republic or chad or comoros or comores or congo* or democratic republic of the congo or djibouti or egypt* or equatorial guinea* or eritrea* or ethiopia* or gabon* or gambia* or ghana* or guinea* or bissau or cote d'ivoire or kenya* or lesotho or liberia* or libya* or jamahiriya or jamahiryia or madagascar or malawi* or mali* or mauritania* or mauritius or morocc* or mozambi* or mocambique or namibia* or niger* or nigeria* or reunion or rwanda* or sao tome or senegal* or seychelles or sierra leone* or somalia* or south africa* or st helena or sudan* or swazi* or tanzania* or tanganyika or togo* or tunisia* or uganda* or western sahara or zaire* or zambia* or zimbabwe*).sh.</w:t>
            </w:r>
          </w:p>
        </w:tc>
      </w:tr>
      <w:tr w:rsidR="009A6AB6" w:rsidRPr="00000849" w14:paraId="5506740D"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03703F99"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11</w:t>
            </w:r>
          </w:p>
        </w:tc>
        <w:tc>
          <w:tcPr>
            <w:tcW w:w="4373" w:type="pct"/>
            <w:tcBorders>
              <w:top w:val="nil"/>
              <w:left w:val="nil"/>
              <w:bottom w:val="single" w:sz="4" w:space="0" w:color="auto"/>
              <w:right w:val="single" w:sz="4" w:space="0" w:color="auto"/>
            </w:tcBorders>
            <w:shd w:val="clear" w:color="000000" w:fill="FFFFFF"/>
            <w:vAlign w:val="center"/>
            <w:hideMark/>
          </w:tcPr>
          <w:p w14:paraId="04448DF4"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8 or 9 or 10</w:t>
            </w:r>
          </w:p>
        </w:tc>
      </w:tr>
      <w:tr w:rsidR="009A6AB6" w:rsidRPr="00000849" w14:paraId="09B534A8"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739EE937"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12</w:t>
            </w:r>
          </w:p>
        </w:tc>
        <w:tc>
          <w:tcPr>
            <w:tcW w:w="4373" w:type="pct"/>
            <w:tcBorders>
              <w:top w:val="nil"/>
              <w:left w:val="nil"/>
              <w:bottom w:val="single" w:sz="4" w:space="0" w:color="auto"/>
              <w:right w:val="single" w:sz="4" w:space="0" w:color="auto"/>
            </w:tcBorders>
            <w:shd w:val="clear" w:color="000000" w:fill="FFFFFF"/>
            <w:vAlign w:val="center"/>
            <w:hideMark/>
          </w:tcPr>
          <w:p w14:paraId="3265E2A9"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3 and 7 and 11</w:t>
            </w:r>
          </w:p>
        </w:tc>
      </w:tr>
      <w:tr w:rsidR="009A6AB6" w:rsidRPr="00000849" w14:paraId="7AE4CD7C" w14:textId="77777777" w:rsidTr="00CD5B7D">
        <w:trPr>
          <w:trHeight w:val="51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07B1BA8C"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13</w:t>
            </w:r>
          </w:p>
        </w:tc>
        <w:tc>
          <w:tcPr>
            <w:tcW w:w="4373" w:type="pct"/>
            <w:tcBorders>
              <w:top w:val="nil"/>
              <w:left w:val="nil"/>
              <w:bottom w:val="single" w:sz="4" w:space="0" w:color="auto"/>
              <w:right w:val="single" w:sz="4" w:space="0" w:color="auto"/>
            </w:tcBorders>
            <w:shd w:val="clear" w:color="000000" w:fill="FFFFFF"/>
            <w:vAlign w:val="center"/>
            <w:hideMark/>
          </w:tcPr>
          <w:p w14:paraId="484E3219"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limit 12 to ("middle age (45 to 64 years)" or "all aged (65 and over)"</w:t>
            </w:r>
          </w:p>
        </w:tc>
      </w:tr>
      <w:tr w:rsidR="009A6AB6" w:rsidRPr="00000849" w14:paraId="7E7C76AB" w14:textId="77777777" w:rsidTr="00CD5B7D">
        <w:trPr>
          <w:trHeight w:val="30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36ABF72C"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14</w:t>
            </w:r>
          </w:p>
        </w:tc>
        <w:tc>
          <w:tcPr>
            <w:tcW w:w="4373" w:type="pct"/>
            <w:tcBorders>
              <w:top w:val="nil"/>
              <w:left w:val="nil"/>
              <w:bottom w:val="single" w:sz="4" w:space="0" w:color="auto"/>
              <w:right w:val="single" w:sz="4" w:space="0" w:color="auto"/>
            </w:tcBorders>
            <w:shd w:val="clear" w:color="000000" w:fill="FFFFFF"/>
            <w:vAlign w:val="center"/>
            <w:hideMark/>
          </w:tcPr>
          <w:p w14:paraId="7E3626D3"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limit 13 to humans</w:t>
            </w:r>
          </w:p>
        </w:tc>
      </w:tr>
      <w:tr w:rsidR="009A6AB6" w:rsidRPr="00000849" w14:paraId="0CC43218" w14:textId="77777777" w:rsidTr="00CD5B7D">
        <w:trPr>
          <w:trHeight w:val="290"/>
        </w:trPr>
        <w:tc>
          <w:tcPr>
            <w:tcW w:w="627" w:type="pct"/>
            <w:tcBorders>
              <w:top w:val="nil"/>
              <w:left w:val="single" w:sz="4" w:space="0" w:color="auto"/>
              <w:bottom w:val="single" w:sz="4" w:space="0" w:color="auto"/>
              <w:right w:val="single" w:sz="4" w:space="0" w:color="auto"/>
            </w:tcBorders>
            <w:shd w:val="clear" w:color="000000" w:fill="FFFFFF"/>
            <w:vAlign w:val="center"/>
            <w:hideMark/>
          </w:tcPr>
          <w:p w14:paraId="07E16E71" w14:textId="77777777" w:rsidR="009A6AB6" w:rsidRPr="00000849" w:rsidRDefault="009A6AB6" w:rsidP="00CD5B7D">
            <w:pPr>
              <w:spacing w:after="0" w:line="480" w:lineRule="auto"/>
              <w:jc w:val="center"/>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15</w:t>
            </w:r>
          </w:p>
        </w:tc>
        <w:tc>
          <w:tcPr>
            <w:tcW w:w="4373" w:type="pct"/>
            <w:tcBorders>
              <w:top w:val="nil"/>
              <w:left w:val="nil"/>
              <w:bottom w:val="single" w:sz="4" w:space="0" w:color="auto"/>
              <w:right w:val="single" w:sz="4" w:space="0" w:color="auto"/>
            </w:tcBorders>
            <w:shd w:val="clear" w:color="000000" w:fill="FFFFFF"/>
            <w:vAlign w:val="center"/>
            <w:hideMark/>
          </w:tcPr>
          <w:p w14:paraId="6E56A350" w14:textId="77777777" w:rsidR="009A6AB6" w:rsidRPr="00000849" w:rsidRDefault="009A6AB6" w:rsidP="00CD5B7D">
            <w:pPr>
              <w:spacing w:after="0" w:line="480" w:lineRule="auto"/>
              <w:rPr>
                <w:rFonts w:ascii="Arial" w:eastAsia="Times New Roman" w:hAnsi="Arial" w:cs="Arial"/>
                <w:color w:val="2D2D2D"/>
                <w:sz w:val="19"/>
                <w:szCs w:val="19"/>
                <w:lang w:eastAsia="en-GB"/>
              </w:rPr>
            </w:pPr>
            <w:r w:rsidRPr="00000849">
              <w:rPr>
                <w:rFonts w:ascii="Arial" w:eastAsia="Times New Roman" w:hAnsi="Arial" w:cs="Arial"/>
                <w:color w:val="2D2D2D"/>
                <w:sz w:val="19"/>
                <w:szCs w:val="19"/>
                <w:lang w:eastAsia="en-GB"/>
              </w:rPr>
              <w:t>limit 14 to yr="1980 -Current"</w:t>
            </w:r>
          </w:p>
        </w:tc>
      </w:tr>
    </w:tbl>
    <w:p w14:paraId="42B3EAEC" w14:textId="77777777" w:rsidR="00EF63CE" w:rsidRPr="00000849" w:rsidRDefault="00EF63CE" w:rsidP="009A6AB6">
      <w:pPr>
        <w:sectPr w:rsidR="00EF63CE" w:rsidRPr="00000849" w:rsidSect="0048443D">
          <w:headerReference w:type="even" r:id="rId368"/>
          <w:headerReference w:type="default" r:id="rId369"/>
          <w:footerReference w:type="even" r:id="rId370"/>
          <w:footerReference w:type="default" r:id="rId371"/>
          <w:headerReference w:type="first" r:id="rId372"/>
          <w:footerReference w:type="first" r:id="rId373"/>
          <w:pgSz w:w="11906" w:h="16838"/>
          <w:pgMar w:top="1440" w:right="1440" w:bottom="1440" w:left="2155" w:header="708" w:footer="708" w:gutter="0"/>
          <w:cols w:space="708"/>
          <w:docGrid w:linePitch="360"/>
        </w:sectPr>
      </w:pPr>
    </w:p>
    <w:p w14:paraId="537175F7" w14:textId="1EBCFC7E" w:rsidR="00924B60" w:rsidRPr="00000849" w:rsidRDefault="00924B60" w:rsidP="004E2350">
      <w:pPr>
        <w:pStyle w:val="Heading3"/>
        <w:rPr>
          <w:lang w:val="en-US"/>
        </w:rPr>
      </w:pPr>
      <w:bookmarkStart w:id="138" w:name="_Toc51472168"/>
      <w:r w:rsidRPr="00000849">
        <w:rPr>
          <w:lang w:val="en-US"/>
        </w:rPr>
        <w:lastRenderedPageBreak/>
        <w:t xml:space="preserve">Table </w:t>
      </w:r>
      <w:r w:rsidR="001649D8" w:rsidRPr="00000849">
        <w:rPr>
          <w:lang w:val="en-US"/>
        </w:rPr>
        <w:t>A</w:t>
      </w:r>
      <w:r w:rsidRPr="00000849">
        <w:rPr>
          <w:lang w:val="en-US"/>
        </w:rPr>
        <w:t>2  Background characteristics</w:t>
      </w:r>
      <w:r w:rsidR="009E173E" w:rsidRPr="00000849">
        <w:rPr>
          <w:lang w:val="en-US"/>
        </w:rPr>
        <w:t xml:space="preserve"> of study samp</w:t>
      </w:r>
      <w:r w:rsidR="00EF63CE" w:rsidRPr="00000849">
        <w:rPr>
          <w:lang w:val="en-US"/>
        </w:rPr>
        <w:t>le and prevalence of hypertension in reviewed studies</w:t>
      </w:r>
      <w:bookmarkEnd w:id="138"/>
    </w:p>
    <w:p w14:paraId="1C598EA1" w14:textId="2413529F" w:rsidR="00DE034C" w:rsidRPr="00000849" w:rsidRDefault="00DE034C" w:rsidP="0018020F">
      <w:pPr>
        <w:rPr>
          <w:lang w:val="en-US"/>
        </w:rPr>
      </w:pPr>
    </w:p>
    <w:tbl>
      <w:tblPr>
        <w:tblStyle w:val="PlainTable4"/>
        <w:tblW w:w="5000" w:type="pct"/>
        <w:tblInd w:w="0" w:type="dxa"/>
        <w:tblLook w:val="04A0" w:firstRow="1" w:lastRow="0" w:firstColumn="1" w:lastColumn="0" w:noHBand="0" w:noVBand="1"/>
      </w:tblPr>
      <w:tblGrid>
        <w:gridCol w:w="981"/>
        <w:gridCol w:w="918"/>
        <w:gridCol w:w="815"/>
        <w:gridCol w:w="888"/>
        <w:gridCol w:w="1111"/>
        <w:gridCol w:w="851"/>
        <w:gridCol w:w="1038"/>
        <w:gridCol w:w="547"/>
        <w:gridCol w:w="734"/>
        <w:gridCol w:w="556"/>
        <w:gridCol w:w="893"/>
        <w:gridCol w:w="863"/>
        <w:gridCol w:w="625"/>
        <w:gridCol w:w="589"/>
        <w:gridCol w:w="737"/>
        <w:gridCol w:w="525"/>
        <w:gridCol w:w="734"/>
        <w:gridCol w:w="553"/>
      </w:tblGrid>
      <w:tr w:rsidR="0017762C" w:rsidRPr="00000849" w14:paraId="1EF9BD4C" w14:textId="77777777" w:rsidTr="0017762C">
        <w:trPr>
          <w:cnfStyle w:val="100000000000" w:firstRow="1" w:lastRow="0" w:firstColumn="0" w:lastColumn="0" w:oddVBand="0" w:evenVBand="0" w:oddHBand="0" w:evenHBand="0" w:firstRowFirstColumn="0" w:firstRowLastColumn="0" w:lastRowFirstColumn="0" w:lastRowLastColumn="0"/>
          <w:divId w:val="1161234288"/>
          <w:trHeight w:val="530"/>
          <w:tblHeader/>
        </w:trPr>
        <w:tc>
          <w:tcPr>
            <w:cnfStyle w:val="001000000000" w:firstRow="0" w:lastRow="0" w:firstColumn="1" w:lastColumn="0" w:oddVBand="0" w:evenVBand="0" w:oddHBand="0" w:evenHBand="0" w:firstRowFirstColumn="0" w:firstRowLastColumn="0" w:lastRowFirstColumn="0" w:lastRowLastColumn="0"/>
            <w:tcW w:w="351" w:type="pct"/>
            <w:vMerge w:val="restart"/>
            <w:tcBorders>
              <w:top w:val="single" w:sz="4" w:space="0" w:color="auto"/>
              <w:left w:val="nil"/>
              <w:bottom w:val="single" w:sz="4" w:space="0" w:color="auto"/>
              <w:right w:val="nil"/>
            </w:tcBorders>
            <w:hideMark/>
          </w:tcPr>
          <w:p w14:paraId="4A635670" w14:textId="77777777" w:rsidR="00DE034C" w:rsidRPr="00000849" w:rsidRDefault="00DE034C" w:rsidP="00DE034C">
            <w:pPr>
              <w:spacing w:after="0" w:line="240" w:lineRule="auto"/>
              <w:rPr>
                <w:rFonts w:ascii="Calibri" w:eastAsia="Times New Roman" w:hAnsi="Calibri" w:cs="Calibri"/>
                <w:color w:val="000000"/>
                <w:sz w:val="14"/>
                <w:szCs w:val="14"/>
              </w:rPr>
            </w:pPr>
            <w:r w:rsidRPr="00000849">
              <w:rPr>
                <w:rFonts w:ascii="Calibri" w:eastAsia="Times New Roman" w:hAnsi="Calibri" w:cs="Calibri"/>
                <w:color w:val="000000"/>
                <w:sz w:val="14"/>
                <w:szCs w:val="14"/>
              </w:rPr>
              <w:t>Primary Reference</w:t>
            </w:r>
          </w:p>
        </w:tc>
        <w:tc>
          <w:tcPr>
            <w:tcW w:w="329" w:type="pct"/>
            <w:vMerge w:val="restart"/>
            <w:tcBorders>
              <w:top w:val="single" w:sz="4" w:space="0" w:color="auto"/>
              <w:left w:val="nil"/>
              <w:bottom w:val="single" w:sz="4" w:space="0" w:color="auto"/>
              <w:right w:val="nil"/>
            </w:tcBorders>
            <w:hideMark/>
          </w:tcPr>
          <w:p w14:paraId="5FF7EF23"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Data collection period</w:t>
            </w:r>
          </w:p>
        </w:tc>
        <w:tc>
          <w:tcPr>
            <w:tcW w:w="292" w:type="pct"/>
            <w:vMerge w:val="restart"/>
            <w:tcBorders>
              <w:top w:val="single" w:sz="4" w:space="0" w:color="auto"/>
              <w:left w:val="nil"/>
              <w:bottom w:val="single" w:sz="4" w:space="0" w:color="auto"/>
              <w:right w:val="nil"/>
            </w:tcBorders>
            <w:hideMark/>
          </w:tcPr>
          <w:p w14:paraId="459DF37F"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Sub-region in Africa</w:t>
            </w:r>
          </w:p>
        </w:tc>
        <w:tc>
          <w:tcPr>
            <w:tcW w:w="318" w:type="pct"/>
            <w:vMerge w:val="restart"/>
            <w:tcBorders>
              <w:top w:val="single" w:sz="4" w:space="0" w:color="auto"/>
              <w:left w:val="nil"/>
              <w:bottom w:val="single" w:sz="4" w:space="0" w:color="auto"/>
              <w:right w:val="nil"/>
            </w:tcBorders>
            <w:hideMark/>
          </w:tcPr>
          <w:p w14:paraId="57932A8C"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Country</w:t>
            </w:r>
          </w:p>
        </w:tc>
        <w:tc>
          <w:tcPr>
            <w:tcW w:w="398" w:type="pct"/>
            <w:vMerge w:val="restart"/>
            <w:tcBorders>
              <w:top w:val="single" w:sz="4" w:space="0" w:color="auto"/>
              <w:left w:val="nil"/>
              <w:bottom w:val="single" w:sz="4" w:space="0" w:color="auto"/>
              <w:right w:val="nil"/>
            </w:tcBorders>
            <w:hideMark/>
          </w:tcPr>
          <w:p w14:paraId="43D42DC7"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Location</w:t>
            </w:r>
          </w:p>
        </w:tc>
        <w:tc>
          <w:tcPr>
            <w:tcW w:w="305" w:type="pct"/>
            <w:vMerge w:val="restart"/>
            <w:tcBorders>
              <w:top w:val="single" w:sz="4" w:space="0" w:color="auto"/>
              <w:left w:val="nil"/>
              <w:bottom w:val="single" w:sz="4" w:space="0" w:color="auto"/>
              <w:right w:val="nil"/>
            </w:tcBorders>
            <w:hideMark/>
          </w:tcPr>
          <w:p w14:paraId="3DECFADE"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Type of residence</w:t>
            </w:r>
          </w:p>
        </w:tc>
        <w:tc>
          <w:tcPr>
            <w:tcW w:w="372" w:type="pct"/>
            <w:vMerge w:val="restart"/>
            <w:tcBorders>
              <w:top w:val="single" w:sz="4" w:space="0" w:color="auto"/>
              <w:left w:val="nil"/>
              <w:bottom w:val="single" w:sz="4" w:space="0" w:color="auto"/>
              <w:right w:val="nil"/>
            </w:tcBorders>
            <w:hideMark/>
          </w:tcPr>
          <w:p w14:paraId="4760ECBE"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Type of community-based participants</w:t>
            </w:r>
          </w:p>
        </w:tc>
        <w:tc>
          <w:tcPr>
            <w:tcW w:w="658" w:type="pct"/>
            <w:gridSpan w:val="3"/>
            <w:tcBorders>
              <w:top w:val="single" w:sz="4" w:space="0" w:color="auto"/>
              <w:left w:val="nil"/>
              <w:bottom w:val="single" w:sz="4" w:space="0" w:color="auto"/>
              <w:right w:val="nil"/>
            </w:tcBorders>
            <w:hideMark/>
          </w:tcPr>
          <w:p w14:paraId="6C67038C"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Enrolled sample size sex</w:t>
            </w:r>
          </w:p>
        </w:tc>
        <w:tc>
          <w:tcPr>
            <w:tcW w:w="629" w:type="pct"/>
            <w:gridSpan w:val="2"/>
            <w:tcBorders>
              <w:top w:val="single" w:sz="4" w:space="0" w:color="auto"/>
              <w:left w:val="nil"/>
              <w:bottom w:val="single" w:sz="4" w:space="0" w:color="auto"/>
              <w:right w:val="nil"/>
            </w:tcBorders>
            <w:hideMark/>
          </w:tcPr>
          <w:p w14:paraId="46FFF97C"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Response rate</w:t>
            </w:r>
          </w:p>
        </w:tc>
        <w:tc>
          <w:tcPr>
            <w:tcW w:w="699" w:type="pct"/>
            <w:gridSpan w:val="3"/>
            <w:tcBorders>
              <w:top w:val="single" w:sz="4" w:space="0" w:color="auto"/>
              <w:left w:val="nil"/>
              <w:bottom w:val="nil"/>
              <w:right w:val="nil"/>
            </w:tcBorders>
            <w:hideMark/>
          </w:tcPr>
          <w:p w14:paraId="6512EBFA"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Age in years</w:t>
            </w:r>
          </w:p>
        </w:tc>
        <w:tc>
          <w:tcPr>
            <w:tcW w:w="650" w:type="pct"/>
            <w:gridSpan w:val="3"/>
            <w:tcBorders>
              <w:top w:val="single" w:sz="4" w:space="0" w:color="auto"/>
              <w:left w:val="nil"/>
              <w:bottom w:val="nil"/>
              <w:right w:val="nil"/>
            </w:tcBorders>
            <w:hideMark/>
          </w:tcPr>
          <w:p w14:paraId="21F3BF2C"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Prevalence ≥140/90 mmHg</w:t>
            </w:r>
          </w:p>
        </w:tc>
      </w:tr>
      <w:tr w:rsidR="00DE034C" w:rsidRPr="00000849" w14:paraId="238E06A8" w14:textId="77777777" w:rsidTr="0017762C">
        <w:trPr>
          <w:cnfStyle w:val="100000000000" w:firstRow="1" w:lastRow="0" w:firstColumn="0" w:lastColumn="0" w:oddVBand="0" w:evenVBand="0" w:oddHBand="0" w:evenHBand="0" w:firstRowFirstColumn="0" w:firstRowLastColumn="0" w:lastRowFirstColumn="0" w:lastRowLastColumn="0"/>
          <w:divId w:val="1161234288"/>
          <w:trHeight w:val="420"/>
          <w:tblHeader/>
        </w:trPr>
        <w:tc>
          <w:tcPr>
            <w:cnfStyle w:val="001000000000" w:firstRow="0" w:lastRow="0" w:firstColumn="1" w:lastColumn="0" w:oddVBand="0" w:evenVBand="0" w:oddHBand="0" w:evenHBand="0" w:firstRowFirstColumn="0" w:firstRowLastColumn="0" w:lastRowFirstColumn="0" w:lastRowLastColumn="0"/>
            <w:tcW w:w="351" w:type="pct"/>
            <w:vMerge/>
            <w:tcBorders>
              <w:top w:val="single" w:sz="4" w:space="0" w:color="auto"/>
              <w:left w:val="nil"/>
              <w:bottom w:val="single" w:sz="4" w:space="0" w:color="auto"/>
              <w:right w:val="nil"/>
            </w:tcBorders>
            <w:vAlign w:val="center"/>
            <w:hideMark/>
          </w:tcPr>
          <w:p w14:paraId="6DDFDCEE" w14:textId="77777777" w:rsidR="00DE034C" w:rsidRPr="00000849" w:rsidRDefault="00DE034C" w:rsidP="00DE034C">
            <w:pPr>
              <w:spacing w:after="0" w:line="240" w:lineRule="auto"/>
              <w:rPr>
                <w:rFonts w:ascii="Calibri" w:eastAsia="Times New Roman" w:hAnsi="Calibri" w:cs="Calibri"/>
                <w:color w:val="000000"/>
                <w:sz w:val="14"/>
                <w:szCs w:val="14"/>
                <w:lang w:val="en-GB"/>
              </w:rPr>
            </w:pPr>
          </w:p>
        </w:tc>
        <w:tc>
          <w:tcPr>
            <w:tcW w:w="329" w:type="pct"/>
            <w:vMerge/>
            <w:tcBorders>
              <w:top w:val="single" w:sz="4" w:space="0" w:color="auto"/>
              <w:left w:val="nil"/>
              <w:bottom w:val="single" w:sz="4" w:space="0" w:color="auto"/>
              <w:right w:val="nil"/>
            </w:tcBorders>
            <w:vAlign w:val="center"/>
            <w:hideMark/>
          </w:tcPr>
          <w:p w14:paraId="402B8BE0" w14:textId="77777777" w:rsidR="00DE034C" w:rsidRPr="00000849" w:rsidRDefault="00DE034C" w:rsidP="00DE034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p>
        </w:tc>
        <w:tc>
          <w:tcPr>
            <w:tcW w:w="292" w:type="pct"/>
            <w:vMerge/>
            <w:tcBorders>
              <w:top w:val="single" w:sz="4" w:space="0" w:color="auto"/>
              <w:left w:val="nil"/>
              <w:bottom w:val="single" w:sz="4" w:space="0" w:color="auto"/>
              <w:right w:val="nil"/>
            </w:tcBorders>
            <w:vAlign w:val="center"/>
            <w:hideMark/>
          </w:tcPr>
          <w:p w14:paraId="61A1DC20" w14:textId="77777777" w:rsidR="00DE034C" w:rsidRPr="00000849" w:rsidRDefault="00DE034C" w:rsidP="00DE034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p>
        </w:tc>
        <w:tc>
          <w:tcPr>
            <w:tcW w:w="318" w:type="pct"/>
            <w:vMerge/>
            <w:tcBorders>
              <w:top w:val="single" w:sz="4" w:space="0" w:color="auto"/>
              <w:left w:val="nil"/>
              <w:bottom w:val="single" w:sz="4" w:space="0" w:color="auto"/>
              <w:right w:val="nil"/>
            </w:tcBorders>
            <w:vAlign w:val="center"/>
            <w:hideMark/>
          </w:tcPr>
          <w:p w14:paraId="1986A9F8" w14:textId="77777777" w:rsidR="00DE034C" w:rsidRPr="00000849" w:rsidRDefault="00DE034C" w:rsidP="00DE034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p>
        </w:tc>
        <w:tc>
          <w:tcPr>
            <w:tcW w:w="398" w:type="pct"/>
            <w:vMerge/>
            <w:tcBorders>
              <w:top w:val="single" w:sz="4" w:space="0" w:color="auto"/>
              <w:left w:val="nil"/>
              <w:bottom w:val="single" w:sz="4" w:space="0" w:color="auto"/>
              <w:right w:val="nil"/>
            </w:tcBorders>
            <w:vAlign w:val="center"/>
            <w:hideMark/>
          </w:tcPr>
          <w:p w14:paraId="5E33499C" w14:textId="77777777" w:rsidR="00DE034C" w:rsidRPr="00000849" w:rsidRDefault="00DE034C" w:rsidP="00DE034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p>
        </w:tc>
        <w:tc>
          <w:tcPr>
            <w:tcW w:w="305" w:type="pct"/>
            <w:vMerge/>
            <w:tcBorders>
              <w:top w:val="single" w:sz="4" w:space="0" w:color="auto"/>
              <w:left w:val="nil"/>
              <w:bottom w:val="single" w:sz="4" w:space="0" w:color="auto"/>
              <w:right w:val="nil"/>
            </w:tcBorders>
            <w:vAlign w:val="center"/>
            <w:hideMark/>
          </w:tcPr>
          <w:p w14:paraId="709BE08D" w14:textId="77777777" w:rsidR="00DE034C" w:rsidRPr="00000849" w:rsidRDefault="00DE034C" w:rsidP="00DE034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p>
        </w:tc>
        <w:tc>
          <w:tcPr>
            <w:tcW w:w="372" w:type="pct"/>
            <w:vMerge/>
            <w:tcBorders>
              <w:top w:val="single" w:sz="4" w:space="0" w:color="auto"/>
              <w:left w:val="nil"/>
              <w:bottom w:val="single" w:sz="4" w:space="0" w:color="auto"/>
              <w:right w:val="nil"/>
            </w:tcBorders>
            <w:vAlign w:val="center"/>
            <w:hideMark/>
          </w:tcPr>
          <w:p w14:paraId="27027D3B" w14:textId="77777777" w:rsidR="00DE034C" w:rsidRPr="00000849" w:rsidRDefault="00DE034C" w:rsidP="00DE034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p>
        </w:tc>
        <w:tc>
          <w:tcPr>
            <w:tcW w:w="196" w:type="pct"/>
            <w:tcBorders>
              <w:top w:val="single" w:sz="4" w:space="0" w:color="auto"/>
              <w:left w:val="nil"/>
              <w:bottom w:val="single" w:sz="4" w:space="0" w:color="auto"/>
              <w:right w:val="nil"/>
            </w:tcBorders>
            <w:hideMark/>
          </w:tcPr>
          <w:p w14:paraId="258B0B97"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Men</w:t>
            </w:r>
          </w:p>
        </w:tc>
        <w:tc>
          <w:tcPr>
            <w:tcW w:w="263" w:type="pct"/>
            <w:tcBorders>
              <w:top w:val="single" w:sz="4" w:space="0" w:color="auto"/>
              <w:left w:val="nil"/>
              <w:bottom w:val="single" w:sz="4" w:space="0" w:color="auto"/>
              <w:right w:val="nil"/>
            </w:tcBorders>
            <w:hideMark/>
          </w:tcPr>
          <w:p w14:paraId="62485A73"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Women</w:t>
            </w:r>
          </w:p>
        </w:tc>
        <w:tc>
          <w:tcPr>
            <w:tcW w:w="198" w:type="pct"/>
            <w:tcBorders>
              <w:top w:val="single" w:sz="4" w:space="0" w:color="auto"/>
              <w:left w:val="nil"/>
              <w:bottom w:val="single" w:sz="4" w:space="0" w:color="auto"/>
              <w:right w:val="nil"/>
            </w:tcBorders>
            <w:hideMark/>
          </w:tcPr>
          <w:p w14:paraId="0CC2C945"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Total</w:t>
            </w:r>
          </w:p>
        </w:tc>
        <w:tc>
          <w:tcPr>
            <w:tcW w:w="320" w:type="pct"/>
            <w:tcBorders>
              <w:top w:val="single" w:sz="4" w:space="0" w:color="auto"/>
              <w:left w:val="nil"/>
              <w:bottom w:val="single" w:sz="4" w:space="0" w:color="auto"/>
              <w:right w:val="nil"/>
            </w:tcBorders>
            <w:hideMark/>
          </w:tcPr>
          <w:p w14:paraId="27B0073A" w14:textId="77777777" w:rsidR="00DE034C" w:rsidRPr="00000849" w:rsidRDefault="00DE034C" w:rsidP="00DE034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Enrolment</w:t>
            </w:r>
          </w:p>
        </w:tc>
        <w:tc>
          <w:tcPr>
            <w:tcW w:w="308" w:type="pct"/>
            <w:tcBorders>
              <w:top w:val="single" w:sz="4" w:space="0" w:color="auto"/>
              <w:left w:val="nil"/>
              <w:bottom w:val="single" w:sz="4" w:space="0" w:color="auto"/>
              <w:right w:val="nil"/>
            </w:tcBorders>
            <w:hideMark/>
          </w:tcPr>
          <w:p w14:paraId="27120786" w14:textId="77777777" w:rsidR="00DE034C" w:rsidRPr="00000849" w:rsidRDefault="00DE034C" w:rsidP="00DE034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BP measured</w:t>
            </w:r>
          </w:p>
        </w:tc>
        <w:tc>
          <w:tcPr>
            <w:tcW w:w="224" w:type="pct"/>
            <w:tcBorders>
              <w:top w:val="single" w:sz="4" w:space="0" w:color="auto"/>
              <w:left w:val="nil"/>
              <w:bottom w:val="single" w:sz="4" w:space="0" w:color="auto"/>
              <w:right w:val="nil"/>
            </w:tcBorders>
            <w:hideMark/>
          </w:tcPr>
          <w:p w14:paraId="79B77625"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Range</w:t>
            </w:r>
          </w:p>
        </w:tc>
        <w:tc>
          <w:tcPr>
            <w:tcW w:w="211" w:type="pct"/>
            <w:tcBorders>
              <w:top w:val="single" w:sz="4" w:space="0" w:color="auto"/>
              <w:left w:val="nil"/>
              <w:bottom w:val="single" w:sz="4" w:space="0" w:color="auto"/>
              <w:right w:val="nil"/>
            </w:tcBorders>
            <w:hideMark/>
          </w:tcPr>
          <w:p w14:paraId="0E3C5AD0"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 aged 70+ years</w:t>
            </w:r>
          </w:p>
        </w:tc>
        <w:tc>
          <w:tcPr>
            <w:tcW w:w="264" w:type="pct"/>
            <w:tcBorders>
              <w:top w:val="single" w:sz="4" w:space="0" w:color="auto"/>
              <w:left w:val="nil"/>
              <w:bottom w:val="single" w:sz="4" w:space="0" w:color="auto"/>
              <w:right w:val="nil"/>
            </w:tcBorders>
            <w:hideMark/>
          </w:tcPr>
          <w:p w14:paraId="3C748A4C"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Mean age ± sd</w:t>
            </w:r>
          </w:p>
        </w:tc>
        <w:tc>
          <w:tcPr>
            <w:tcW w:w="188" w:type="pct"/>
            <w:tcBorders>
              <w:top w:val="single" w:sz="4" w:space="0" w:color="auto"/>
              <w:left w:val="nil"/>
              <w:bottom w:val="single" w:sz="4" w:space="0" w:color="auto"/>
              <w:right w:val="nil"/>
            </w:tcBorders>
            <w:hideMark/>
          </w:tcPr>
          <w:p w14:paraId="5DEA49F1"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Men</w:t>
            </w:r>
          </w:p>
        </w:tc>
        <w:tc>
          <w:tcPr>
            <w:tcW w:w="263" w:type="pct"/>
            <w:tcBorders>
              <w:top w:val="single" w:sz="4" w:space="0" w:color="auto"/>
              <w:left w:val="nil"/>
              <w:bottom w:val="single" w:sz="4" w:space="0" w:color="auto"/>
              <w:right w:val="nil"/>
            </w:tcBorders>
            <w:hideMark/>
          </w:tcPr>
          <w:p w14:paraId="00239592"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Women</w:t>
            </w:r>
          </w:p>
        </w:tc>
        <w:tc>
          <w:tcPr>
            <w:tcW w:w="198" w:type="pct"/>
            <w:tcBorders>
              <w:top w:val="single" w:sz="4" w:space="0" w:color="auto"/>
              <w:left w:val="nil"/>
              <w:bottom w:val="single" w:sz="4" w:space="0" w:color="auto"/>
              <w:right w:val="nil"/>
            </w:tcBorders>
            <w:hideMark/>
          </w:tcPr>
          <w:p w14:paraId="702DAE8B" w14:textId="77777777" w:rsidR="00DE034C" w:rsidRPr="00000849" w:rsidRDefault="00DE034C" w:rsidP="00DE034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4"/>
                <w:szCs w:val="14"/>
              </w:rPr>
            </w:pPr>
            <w:r w:rsidRPr="00000849">
              <w:rPr>
                <w:rFonts w:ascii="Calibri" w:eastAsia="Times New Roman" w:hAnsi="Calibri" w:cs="Calibri"/>
                <w:b w:val="0"/>
                <w:bCs w:val="0"/>
                <w:color w:val="000000"/>
                <w:sz w:val="14"/>
                <w:szCs w:val="14"/>
              </w:rPr>
              <w:t>Total</w:t>
            </w:r>
          </w:p>
        </w:tc>
      </w:tr>
      <w:tr w:rsidR="00DE034C" w:rsidRPr="00000849" w14:paraId="6DF55583"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630"/>
        </w:trPr>
        <w:tc>
          <w:tcPr>
            <w:cnfStyle w:val="001000000000" w:firstRow="0" w:lastRow="0" w:firstColumn="1" w:lastColumn="0" w:oddVBand="0" w:evenVBand="0" w:oddHBand="0" w:evenHBand="0" w:firstRowFirstColumn="0" w:firstRowLastColumn="0" w:lastRowFirstColumn="0" w:lastRowLastColumn="0"/>
            <w:tcW w:w="351" w:type="pct"/>
            <w:tcBorders>
              <w:top w:val="single" w:sz="4" w:space="0" w:color="auto"/>
              <w:left w:val="nil"/>
              <w:bottom w:val="nil"/>
              <w:right w:val="nil"/>
            </w:tcBorders>
            <w:hideMark/>
          </w:tcPr>
          <w:p w14:paraId="1AA21C26" w14:textId="533BB2DE"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Abegunde 2013 </w:t>
            </w:r>
            <w:r w:rsidRPr="00000849">
              <w:rPr>
                <w:rFonts w:ascii="Calibri" w:eastAsia="Times New Roman" w:hAnsi="Calibri" w:cs="Calibri"/>
                <w:color w:val="000000"/>
                <w:sz w:val="14"/>
                <w:szCs w:val="14"/>
              </w:rPr>
              <w:fldChar w:fldCharType="begin"/>
            </w:r>
            <w:r w:rsidR="003E660C" w:rsidRPr="00000849">
              <w:rPr>
                <w:rFonts w:ascii="Calibri" w:eastAsia="Times New Roman" w:hAnsi="Calibri" w:cs="Calibri"/>
                <w:color w:val="000000"/>
                <w:sz w:val="14"/>
                <w:szCs w:val="14"/>
              </w:rPr>
              <w:instrText xml:space="preserve"> ADDIN EN.CITE &lt;EndNote&gt;&lt;Cite&gt;&lt;Author&gt;Abegunde&lt;/Author&gt;&lt;Year&gt;2013&lt;/Year&gt;&lt;RecNum&gt;306&lt;/RecNum&gt;&lt;DisplayText&gt;(Abegunde &amp;amp; Owoaje, 2013)&lt;/DisplayText&gt;&lt;record&gt;&lt;rec-number&gt;306&lt;/rec-number&gt;&lt;foreign-keys&gt;&lt;key app="EN" db-id="9tzf2rda8re2a9es5tuxart3swzx2zws2s02" timestamp="1486072362"&gt;306&lt;/key&gt;&lt;/foreign-keys&gt;&lt;ref-type name="Journal Article"&gt;17&lt;/ref-type&gt;&lt;contributors&gt;&lt;authors&gt;&lt;author&gt;Abegunde, Kayode A.&lt;/author&gt;&lt;author&gt;Owoaje, Eme T.&lt;/author&gt;&lt;/authors&gt;&lt;/contributors&gt;&lt;titles&gt;&lt;title&gt;Health problems and associated risk factors in selected urban and rural elderly population groups of South-West Nigeria&lt;/title&gt;&lt;secondary-title&gt;Annals of African Medicine&lt;/secondary-title&gt;&lt;alt-title&gt;Ann Afr Med&lt;/alt-title&gt;&lt;/titles&gt;&lt;periodical&gt;&lt;full-title&gt;Annals of African Medicine&lt;/full-title&gt;&lt;abbr-1&gt;Ann Afr Med&lt;/abbr-1&gt;&lt;/periodical&gt;&lt;alt-periodical&gt;&lt;full-title&gt;Annals of African Medicine&lt;/full-title&gt;&lt;abbr-1&gt;Ann Afr Med&lt;/abbr-1&gt;&lt;/alt-periodical&gt;&lt;pages&gt;90-97&lt;/pages&gt;&lt;volume&gt;12&lt;/volume&gt;&lt;number&gt;2&lt;/number&gt;&lt;keywords&gt;&lt;keyword&gt;Health Status&lt;/keyword&gt;&lt;keyword&gt;Chronic Disease -- Epidemiology&lt;/keyword&gt;&lt;keyword&gt;Rural Population -- Statistics &amp;amp; Numerical Data&lt;/keyword&gt;&lt;keyword&gt;Urban Population -- Statistics &amp;amp; Numerical Data&lt;/keyword&gt;&lt;/keywords&gt;&lt;dates&gt;&lt;year&gt;2013&lt;/year&gt;&lt;/dates&gt;&lt;urls&gt;&lt;/urls&gt;&lt;electronic-resource-num&gt;10.4103/1596-3519.112398&lt;/electronic-resource-num&gt;&lt;/record&gt;&lt;/Cite&gt;&lt;/EndNote&gt;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(Abegunde &amp; Owoaje, 2013)</w:t>
            </w:r>
            <w:r w:rsidRPr="00000849">
              <w:rPr>
                <w:rFonts w:ascii="Calibri" w:eastAsia="Times New Roman" w:hAnsi="Calibri" w:cs="Calibri"/>
                <w:color w:val="000000"/>
                <w:sz w:val="14"/>
                <w:szCs w:val="14"/>
              </w:rPr>
              <w:fldChar w:fldCharType="end"/>
            </w:r>
          </w:p>
        </w:tc>
        <w:tc>
          <w:tcPr>
            <w:tcW w:w="329" w:type="pct"/>
            <w:tcBorders>
              <w:top w:val="single" w:sz="4" w:space="0" w:color="auto"/>
              <w:left w:val="nil"/>
              <w:bottom w:val="nil"/>
              <w:right w:val="nil"/>
            </w:tcBorders>
            <w:hideMark/>
          </w:tcPr>
          <w:p w14:paraId="581E8B5C" w14:textId="77777777" w:rsidR="00DE034C" w:rsidRPr="00000849" w:rsidRDefault="00DE034C" w:rsidP="00DE034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14"/>
                <w:szCs w:val="14"/>
              </w:rPr>
            </w:pPr>
          </w:p>
        </w:tc>
        <w:tc>
          <w:tcPr>
            <w:tcW w:w="292" w:type="pct"/>
            <w:tcBorders>
              <w:top w:val="single" w:sz="4" w:space="0" w:color="auto"/>
              <w:left w:val="nil"/>
              <w:bottom w:val="nil"/>
              <w:right w:val="nil"/>
            </w:tcBorders>
            <w:hideMark/>
          </w:tcPr>
          <w:p w14:paraId="26D5330C"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n-GB"/>
              </w:rPr>
            </w:pPr>
            <w:r w:rsidRPr="00000849">
              <w:rPr>
                <w:rFonts w:ascii="Calibri" w:eastAsia="Times New Roman" w:hAnsi="Calibri" w:cs="Calibri"/>
                <w:color w:val="000000"/>
                <w:sz w:val="14"/>
                <w:szCs w:val="14"/>
              </w:rPr>
              <w:t>Western</w:t>
            </w:r>
          </w:p>
        </w:tc>
        <w:tc>
          <w:tcPr>
            <w:tcW w:w="318" w:type="pct"/>
            <w:tcBorders>
              <w:top w:val="single" w:sz="4" w:space="0" w:color="auto"/>
              <w:left w:val="nil"/>
              <w:bottom w:val="nil"/>
              <w:right w:val="nil"/>
            </w:tcBorders>
            <w:hideMark/>
          </w:tcPr>
          <w:p w14:paraId="5C14190B"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Nigeria</w:t>
            </w:r>
          </w:p>
        </w:tc>
        <w:tc>
          <w:tcPr>
            <w:tcW w:w="398" w:type="pct"/>
            <w:tcBorders>
              <w:top w:val="single" w:sz="4" w:space="0" w:color="auto"/>
              <w:left w:val="nil"/>
              <w:bottom w:val="nil"/>
              <w:right w:val="nil"/>
            </w:tcBorders>
            <w:hideMark/>
          </w:tcPr>
          <w:p w14:paraId="0A1191FE"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Oyo State</w:t>
            </w:r>
          </w:p>
        </w:tc>
        <w:tc>
          <w:tcPr>
            <w:tcW w:w="305" w:type="pct"/>
            <w:tcBorders>
              <w:top w:val="single" w:sz="4" w:space="0" w:color="auto"/>
              <w:left w:val="nil"/>
              <w:bottom w:val="nil"/>
              <w:right w:val="nil"/>
            </w:tcBorders>
            <w:hideMark/>
          </w:tcPr>
          <w:p w14:paraId="5F1A6C54"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tcBorders>
              <w:top w:val="single" w:sz="4" w:space="0" w:color="auto"/>
              <w:left w:val="nil"/>
              <w:bottom w:val="nil"/>
              <w:right w:val="nil"/>
            </w:tcBorders>
            <w:hideMark/>
          </w:tcPr>
          <w:p w14:paraId="13BAAF0E"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Adults aged ≥60 years </w:t>
            </w:r>
          </w:p>
        </w:tc>
        <w:tc>
          <w:tcPr>
            <w:tcW w:w="196" w:type="pct"/>
            <w:tcBorders>
              <w:top w:val="single" w:sz="4" w:space="0" w:color="auto"/>
              <w:left w:val="nil"/>
              <w:bottom w:val="nil"/>
              <w:right w:val="nil"/>
            </w:tcBorders>
            <w:hideMark/>
          </w:tcPr>
          <w:p w14:paraId="7BDA6C1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245</w:t>
            </w:r>
          </w:p>
        </w:tc>
        <w:tc>
          <w:tcPr>
            <w:tcW w:w="263" w:type="pct"/>
            <w:tcBorders>
              <w:top w:val="single" w:sz="4" w:space="0" w:color="auto"/>
              <w:left w:val="nil"/>
              <w:bottom w:val="nil"/>
              <w:right w:val="nil"/>
            </w:tcBorders>
            <w:hideMark/>
          </w:tcPr>
          <w:p w14:paraId="0570F36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385</w:t>
            </w:r>
          </w:p>
        </w:tc>
        <w:tc>
          <w:tcPr>
            <w:tcW w:w="198" w:type="pct"/>
            <w:tcBorders>
              <w:top w:val="single" w:sz="4" w:space="0" w:color="auto"/>
              <w:left w:val="nil"/>
              <w:bottom w:val="nil"/>
              <w:right w:val="nil"/>
            </w:tcBorders>
            <w:hideMark/>
          </w:tcPr>
          <w:p w14:paraId="5935F8C0"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630</w:t>
            </w:r>
          </w:p>
        </w:tc>
        <w:tc>
          <w:tcPr>
            <w:tcW w:w="320" w:type="pct"/>
            <w:tcBorders>
              <w:top w:val="single" w:sz="4" w:space="0" w:color="auto"/>
              <w:left w:val="nil"/>
              <w:bottom w:val="nil"/>
              <w:right w:val="nil"/>
            </w:tcBorders>
            <w:hideMark/>
          </w:tcPr>
          <w:p w14:paraId="0694CB2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98.4</w:t>
            </w:r>
          </w:p>
        </w:tc>
        <w:tc>
          <w:tcPr>
            <w:tcW w:w="308" w:type="pct"/>
            <w:tcBorders>
              <w:top w:val="single" w:sz="4" w:space="0" w:color="auto"/>
              <w:left w:val="nil"/>
              <w:bottom w:val="nil"/>
              <w:right w:val="nil"/>
            </w:tcBorders>
            <w:hideMark/>
          </w:tcPr>
          <w:p w14:paraId="15422BC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95.2</w:t>
            </w:r>
          </w:p>
        </w:tc>
        <w:tc>
          <w:tcPr>
            <w:tcW w:w="224" w:type="pct"/>
            <w:tcBorders>
              <w:top w:val="single" w:sz="4" w:space="0" w:color="auto"/>
              <w:left w:val="nil"/>
              <w:bottom w:val="nil"/>
              <w:right w:val="nil"/>
            </w:tcBorders>
            <w:hideMark/>
          </w:tcPr>
          <w:p w14:paraId="269622E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60 - 110</w:t>
            </w:r>
          </w:p>
        </w:tc>
        <w:tc>
          <w:tcPr>
            <w:tcW w:w="211" w:type="pct"/>
            <w:tcBorders>
              <w:top w:val="single" w:sz="4" w:space="0" w:color="auto"/>
              <w:left w:val="nil"/>
              <w:bottom w:val="nil"/>
              <w:right w:val="nil"/>
            </w:tcBorders>
            <w:hideMark/>
          </w:tcPr>
          <w:p w14:paraId="68C58E7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57.9</w:t>
            </w:r>
          </w:p>
        </w:tc>
        <w:tc>
          <w:tcPr>
            <w:tcW w:w="264" w:type="pct"/>
            <w:tcBorders>
              <w:top w:val="single" w:sz="4" w:space="0" w:color="auto"/>
              <w:left w:val="nil"/>
              <w:bottom w:val="nil"/>
              <w:right w:val="nil"/>
            </w:tcBorders>
            <w:hideMark/>
          </w:tcPr>
          <w:p w14:paraId="7DF7854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72.2 ± 9.5 (urban), 70.8 ± 8.1 (rural)</w:t>
            </w:r>
          </w:p>
        </w:tc>
        <w:tc>
          <w:tcPr>
            <w:tcW w:w="188" w:type="pct"/>
            <w:tcBorders>
              <w:top w:val="single" w:sz="4" w:space="0" w:color="auto"/>
              <w:left w:val="nil"/>
              <w:bottom w:val="nil"/>
              <w:right w:val="nil"/>
            </w:tcBorders>
            <w:hideMark/>
          </w:tcPr>
          <w:p w14:paraId="1BC1066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tcBorders>
              <w:top w:val="single" w:sz="4" w:space="0" w:color="auto"/>
              <w:left w:val="nil"/>
              <w:bottom w:val="nil"/>
              <w:right w:val="nil"/>
            </w:tcBorders>
            <w:hideMark/>
          </w:tcPr>
          <w:p w14:paraId="571E8E6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tcBorders>
              <w:top w:val="single" w:sz="4" w:space="0" w:color="auto"/>
              <w:left w:val="nil"/>
              <w:bottom w:val="nil"/>
              <w:right w:val="nil"/>
            </w:tcBorders>
            <w:hideMark/>
          </w:tcPr>
          <w:p w14:paraId="4A49029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36.5</w:t>
            </w:r>
          </w:p>
        </w:tc>
      </w:tr>
      <w:tr w:rsidR="00DE034C" w:rsidRPr="00000849" w14:paraId="20F50A7C"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77DE69B0" w14:textId="232FCDAA"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Chami 2015 </w:t>
            </w:r>
            <w:r w:rsidRPr="00000849">
              <w:rPr>
                <w:rFonts w:ascii="Calibri" w:eastAsia="Times New Roman" w:hAnsi="Calibri" w:cs="Calibri"/>
                <w:color w:val="000000"/>
                <w:sz w:val="14"/>
                <w:szCs w:val="14"/>
              </w:rPr>
              <w:fldChar w:fldCharType="begin"/>
            </w:r>
            <w:r w:rsidR="00431DA0" w:rsidRPr="00000849">
              <w:rPr>
                <w:rFonts w:ascii="Calibri" w:eastAsia="Times New Roman" w:hAnsi="Calibri" w:cs="Calibri"/>
                <w:color w:val="000000"/>
                <w:sz w:val="14"/>
                <w:szCs w:val="14"/>
              </w:rPr>
              <w:instrText xml:space="preserve"> ADDIN EN.CITE &lt;EndNote&gt;&lt;Cite&gt;&lt;Author&gt;Chami&lt;/Author&gt;&lt;Year&gt;2015&lt;/Year&gt;&lt;RecNum&gt;153&lt;/RecNum&gt;&lt;DisplayText&gt;(Chami et al., 2015)&lt;/DisplayText&gt;&lt;record&gt;&lt;rec-number&gt;153&lt;/rec-number&gt;&lt;foreign-keys&gt;&lt;key app="EN" db-id="pzfw02x58peadyevdp8vswt40etp25t5ddp0" timestamp="1541268221"&gt;153&lt;/key&gt;&lt;/foreign-keys&gt;&lt;ref-type name="Journal Article"&gt;17&lt;/ref-type&gt;&lt;contributors&gt;&lt;authors&gt;&lt;author&gt;Chami, M. A.&lt;/author&gt;&lt;author&gt;Zemmour, L.&lt;/author&gt;&lt;author&gt;Midoun, N.&lt;/author&gt;&lt;author&gt;Belhadj, M.&lt;/author&gt;&lt;/authors&gt;&lt;/contributors&gt;&lt;auth-address&gt;M.-A. Chami, 14 Cooperative du 18, FevrierSaint-HubertOran 31000, Algeria. E-mail: docteur_chami@yahoo.fr&lt;/auth-address&gt;&lt;titles&gt;&lt;title&gt;Diabetes mellitus in the elderly: The first Algerian survey&lt;/title&gt;&lt;secondary-title&gt;Medecine des Maladies Metaboliques&lt;/secondary-title&gt;&lt;tertiary-title&gt;Diabete sucre du sujet age : la premiere enquete algerienne&lt;/tertiary-title&gt;&lt;/titles&gt;&lt;periodical&gt;&lt;full-title&gt;Medecine des Maladies Metaboliques&lt;/full-title&gt;&lt;/periodical&gt;&lt;pages&gt;210-215&lt;/pages&gt;&lt;volume&gt;9&lt;/volume&gt;&lt;number&gt;2&lt;/number&gt;&lt;keywords&gt;&lt;keyword&gt;aged&lt;/keyword&gt;&lt;keyword&gt;*Algeria&lt;/keyword&gt;&lt;keyword&gt;article&lt;/keyword&gt;&lt;keyword&gt;cardiovascular risk&lt;/keyword&gt;&lt;keyword&gt;*diabetes mellitus/ep [Epidemiology]&lt;/keyword&gt;&lt;keyword&gt;epidemiological data&lt;/keyword&gt;&lt;keyword&gt;geriatric disorder&lt;/keyword&gt;&lt;keyword&gt;*health survey&lt;/keyword&gt;&lt;keyword&gt;home&lt;/keyword&gt;&lt;keyword&gt;human&lt;/keyword&gt;&lt;keyword&gt;major clinical study&lt;/keyword&gt;&lt;keyword&gt;non insulin dependent diabetes mellitus/ep [Epidemiology]&lt;/keyword&gt;&lt;keyword&gt;prevalence&lt;/keyword&gt;&lt;/keywords&gt;&lt;dates&gt;&lt;year&gt;2015&lt;/year&gt;&lt;/dates&gt;&lt;pub-location&gt;France&lt;/pub-location&gt;&lt;publisher&gt;Elsevier Masson SAS (62 rue Camille Desmoulins, Issy les Moulineaux Cedex 92442, France)&lt;/publisher&gt;&lt;isbn&gt;1957-2557&amp;#xD;2214-8477&lt;/isbn&gt;&lt;urls&gt;&lt;related-urls&gt;&lt;url&gt;http://www.em-consulte.com/produit/mmm&lt;/url&gt;&lt;url&gt;http://ovidsp.ovid.com/ovidweb.cgi?T=JS&amp;amp;PAGE=reference&amp;amp;D=emexb&amp;amp;NEWS=N&amp;amp;AN=2000574030&lt;/url&gt;&lt;/related-urls&gt;&lt;/urls&gt;&lt;electronic-resource-num&gt;http://dx.doi.org/10.1016/S1957-2557%2815%2930046-8&lt;/electronic-resource-num&gt;&lt;/record&gt;&lt;/Cite&gt;&lt;/EndNote&gt;</w:instrText>
            </w:r>
            <w:r w:rsidRPr="00000849">
              <w:rPr>
                <w:rFonts w:ascii="Calibri" w:eastAsia="Times New Roman" w:hAnsi="Calibri" w:cs="Calibri"/>
                <w:color w:val="000000"/>
                <w:sz w:val="14"/>
                <w:szCs w:val="14"/>
              </w:rPr>
              <w:fldChar w:fldCharType="separate"/>
            </w:r>
            <w:r w:rsidR="00431DA0" w:rsidRPr="00000849">
              <w:rPr>
                <w:rFonts w:ascii="Calibri" w:eastAsia="Times New Roman" w:hAnsi="Calibri" w:cs="Calibri"/>
                <w:noProof/>
                <w:color w:val="000000"/>
                <w:sz w:val="14"/>
                <w:szCs w:val="14"/>
              </w:rPr>
              <w:t>(Chami et al., 2015)</w:t>
            </w:r>
            <w:r w:rsidRPr="00000849">
              <w:rPr>
                <w:rFonts w:ascii="Calibri" w:eastAsia="Times New Roman" w:hAnsi="Calibri" w:cs="Calibri"/>
                <w:color w:val="000000"/>
                <w:sz w:val="14"/>
                <w:szCs w:val="14"/>
              </w:rPr>
              <w:fldChar w:fldCharType="end"/>
            </w:r>
          </w:p>
        </w:tc>
        <w:tc>
          <w:tcPr>
            <w:tcW w:w="329" w:type="pct"/>
            <w:hideMark/>
          </w:tcPr>
          <w:p w14:paraId="2A8982BE"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15 Jan 2012 - 15 Jun 2012</w:t>
            </w:r>
          </w:p>
        </w:tc>
        <w:tc>
          <w:tcPr>
            <w:tcW w:w="292" w:type="pct"/>
            <w:hideMark/>
          </w:tcPr>
          <w:p w14:paraId="78698BF6"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Northern</w:t>
            </w:r>
          </w:p>
        </w:tc>
        <w:tc>
          <w:tcPr>
            <w:tcW w:w="318" w:type="pct"/>
            <w:hideMark/>
          </w:tcPr>
          <w:p w14:paraId="042B4D83"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Algeria</w:t>
            </w:r>
          </w:p>
        </w:tc>
        <w:tc>
          <w:tcPr>
            <w:tcW w:w="398" w:type="pct"/>
            <w:hideMark/>
          </w:tcPr>
          <w:p w14:paraId="0C4958DC"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Municipality of Sidi Bel-Abbes</w:t>
            </w:r>
          </w:p>
        </w:tc>
        <w:tc>
          <w:tcPr>
            <w:tcW w:w="305" w:type="pct"/>
            <w:hideMark/>
          </w:tcPr>
          <w:p w14:paraId="74E2A139"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Urban</w:t>
            </w:r>
          </w:p>
        </w:tc>
        <w:tc>
          <w:tcPr>
            <w:tcW w:w="372" w:type="pct"/>
            <w:hideMark/>
          </w:tcPr>
          <w:p w14:paraId="354FF57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≥65 years with diabetes</w:t>
            </w:r>
          </w:p>
        </w:tc>
        <w:tc>
          <w:tcPr>
            <w:tcW w:w="196" w:type="pct"/>
            <w:hideMark/>
          </w:tcPr>
          <w:p w14:paraId="57892734"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159</w:t>
            </w:r>
          </w:p>
        </w:tc>
        <w:tc>
          <w:tcPr>
            <w:tcW w:w="263" w:type="pct"/>
            <w:hideMark/>
          </w:tcPr>
          <w:p w14:paraId="43B1E695"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234</w:t>
            </w:r>
          </w:p>
        </w:tc>
        <w:tc>
          <w:tcPr>
            <w:tcW w:w="198" w:type="pct"/>
            <w:hideMark/>
          </w:tcPr>
          <w:p w14:paraId="1AE7C32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393</w:t>
            </w:r>
          </w:p>
        </w:tc>
        <w:tc>
          <w:tcPr>
            <w:tcW w:w="320" w:type="pct"/>
            <w:hideMark/>
          </w:tcPr>
          <w:p w14:paraId="4836DE5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92.5</w:t>
            </w:r>
          </w:p>
        </w:tc>
        <w:tc>
          <w:tcPr>
            <w:tcW w:w="308" w:type="pct"/>
            <w:hideMark/>
          </w:tcPr>
          <w:p w14:paraId="7BFCF018"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3193BAE9"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0B764F98"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54D8309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75.9 ± 7.1</w:t>
            </w:r>
          </w:p>
        </w:tc>
        <w:tc>
          <w:tcPr>
            <w:tcW w:w="188" w:type="pct"/>
            <w:hideMark/>
          </w:tcPr>
          <w:p w14:paraId="04CDF24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6BD4F95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646F67F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78.1</w:t>
            </w:r>
          </w:p>
        </w:tc>
      </w:tr>
      <w:tr w:rsidR="00DE034C" w:rsidRPr="00000849" w14:paraId="255DD745"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73A00C03" w14:textId="708226A0"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Dewhurst 2013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&lt;EndNote&gt;&lt;Cite&gt;&lt;Author&gt;Dewhurst&lt;/Author&gt;&lt;Year&gt;2013&lt;/Year&gt;&lt;RecNum&gt;56&lt;/RecNum&gt;&lt;DisplayText&gt;(Dewhurst et al., 2013)&lt;/DisplayText&gt;&lt;record&gt;&lt;rec-number&gt;56&lt;/rec-number&gt;&lt;foreign-keys&gt;&lt;key app="EN" db-id="pzfw02x58peadyevdp8vswt40etp25t5ddp0" timestamp="1533820182"&gt;56&lt;/key&gt;&lt;/foreign-keys&gt;&lt;ref-type name="Journal Article"&gt;17&lt;/ref-type&gt;&lt;contributors&gt;&lt;authors&gt;&lt;author&gt;Dewhurst, M. J.&lt;/author&gt;&lt;author&gt;Dewhurst, F.&lt;/author&gt;&lt;author&gt;Gray, W. K.&lt;/author&gt;&lt;author&gt;Chaote, P.&lt;/author&gt;&lt;author&gt;Orega, G. P.&lt;/author&gt;&lt;author&gt;Walker, R. W.&lt;/author&gt;&lt;/authors&gt;&lt;/contributors&gt;&lt;titles&gt;&lt;title&gt;The high prevalence of hypertension in rural-dwelling Tanzanian older adults and the disparity between detection, treatment and control: a rule of sixths?&lt;/title&gt;&lt;secondary-title&gt;Journal of Human Hypertension&lt;/secondary-title&gt;&lt;/titles&gt;&lt;periodical&gt;&lt;full-title&gt;Journal of Human Hypertension&lt;/full-title&gt;&lt;abbr-1&gt;J Hum Hypertens&lt;/abbr-1&gt;&lt;/periodical&gt;&lt;pages&gt;374-380&lt;/pages&gt;&lt;volume&gt;27&lt;/volume&gt;&lt;number&gt;6&lt;/number&gt;&lt;keywords&gt;&lt;keyword&gt;HYPERTENSION&lt;/keyword&gt;&lt;keyword&gt;DISEASE prevalence&lt;/keyword&gt;&lt;keyword&gt;DISEASES in older people&lt;/keyword&gt;&lt;keyword&gt;RURAL geography&lt;/keyword&gt;&lt;keyword&gt;TREATMENT of blood circulation disorders&lt;/keyword&gt;&lt;keyword&gt;BLOOD circulation disorders&lt;/keyword&gt;&lt;keyword&gt;DIAGNOSIS&lt;/keyword&gt;&lt;keyword&gt;TANZANIA&lt;/keyword&gt;&lt;/keywords&gt;&lt;dates&gt;&lt;year&gt;2013&lt;/year&gt;&lt;/dates&gt;&lt;publisher&gt;Nature Publishing Group&lt;/publisher&gt;&lt;isbn&gt;09509240&lt;/isbn&gt;&lt;accession-num&gt;87484904&lt;/accession-num&gt;&lt;work-type&gt;Article&lt;/work-type&gt;&lt;urls&gt;&lt;related-urls&gt;&lt;url&gt;http://search.ebscohost.com/login.aspx?direct=true&amp;amp;db=asn&amp;amp;AN=87484904&amp;amp;site=ehost-live&amp;amp;authtype=ip,shib&amp;amp;user=s1523151&lt;/url&gt;&lt;/related-urls&gt;&lt;/urls&gt;&lt;electronic-resource-num&gt;10.1038/jhh.2012.59&lt;/electronic-resource-num&gt;&lt;remote-database-name&gt;asn&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(Dewhurst et al., 2013)</w:t>
            </w:r>
            <w:r w:rsidRPr="00000849">
              <w:rPr>
                <w:rFonts w:ascii="Calibri" w:eastAsia="Times New Roman" w:hAnsi="Calibri" w:cs="Calibri"/>
                <w:color w:val="000000"/>
                <w:sz w:val="14"/>
                <w:szCs w:val="14"/>
              </w:rPr>
              <w:fldChar w:fldCharType="end"/>
            </w:r>
          </w:p>
        </w:tc>
        <w:tc>
          <w:tcPr>
            <w:tcW w:w="329" w:type="pct"/>
            <w:hideMark/>
          </w:tcPr>
          <w:p w14:paraId="5DF9CE8B"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 Nov 2009 - 31 Jul 2010</w:t>
            </w:r>
          </w:p>
        </w:tc>
        <w:tc>
          <w:tcPr>
            <w:tcW w:w="292" w:type="pct"/>
            <w:hideMark/>
          </w:tcPr>
          <w:p w14:paraId="53758349"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5E3A6AB9"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Tanzania</w:t>
            </w:r>
          </w:p>
        </w:tc>
        <w:tc>
          <w:tcPr>
            <w:tcW w:w="398" w:type="pct"/>
            <w:hideMark/>
          </w:tcPr>
          <w:p w14:paraId="021D27EF"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Hai district</w:t>
            </w:r>
          </w:p>
        </w:tc>
        <w:tc>
          <w:tcPr>
            <w:tcW w:w="305" w:type="pct"/>
            <w:hideMark/>
          </w:tcPr>
          <w:p w14:paraId="33919E71"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w:t>
            </w:r>
          </w:p>
        </w:tc>
        <w:tc>
          <w:tcPr>
            <w:tcW w:w="372" w:type="pct"/>
            <w:hideMark/>
          </w:tcPr>
          <w:p w14:paraId="74782BBE"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Adults aged ≥70 years </w:t>
            </w:r>
          </w:p>
        </w:tc>
        <w:tc>
          <w:tcPr>
            <w:tcW w:w="196" w:type="pct"/>
            <w:hideMark/>
          </w:tcPr>
          <w:p w14:paraId="41330EE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972</w:t>
            </w:r>
          </w:p>
        </w:tc>
        <w:tc>
          <w:tcPr>
            <w:tcW w:w="263" w:type="pct"/>
            <w:hideMark/>
          </w:tcPr>
          <w:p w14:paraId="5ED0CADA"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1251</w:t>
            </w:r>
          </w:p>
        </w:tc>
        <w:tc>
          <w:tcPr>
            <w:tcW w:w="198" w:type="pct"/>
            <w:hideMark/>
          </w:tcPr>
          <w:p w14:paraId="0B02F9D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2223</w:t>
            </w:r>
          </w:p>
        </w:tc>
        <w:tc>
          <w:tcPr>
            <w:tcW w:w="320" w:type="pct"/>
            <w:hideMark/>
          </w:tcPr>
          <w:p w14:paraId="0C37957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93.5</w:t>
            </w:r>
          </w:p>
        </w:tc>
        <w:tc>
          <w:tcPr>
            <w:tcW w:w="308" w:type="pct"/>
            <w:hideMark/>
          </w:tcPr>
          <w:p w14:paraId="4B6E6A7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99.6</w:t>
            </w:r>
          </w:p>
        </w:tc>
        <w:tc>
          <w:tcPr>
            <w:tcW w:w="224" w:type="pct"/>
            <w:hideMark/>
          </w:tcPr>
          <w:p w14:paraId="65F869A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05FAB5A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64" w:type="pct"/>
            <w:hideMark/>
          </w:tcPr>
          <w:p w14:paraId="7E180DDA"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7BD84EE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62.2</w:t>
            </w:r>
          </w:p>
        </w:tc>
        <w:tc>
          <w:tcPr>
            <w:tcW w:w="263" w:type="pct"/>
            <w:hideMark/>
          </w:tcPr>
          <w:p w14:paraId="345773D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75.8</w:t>
            </w:r>
          </w:p>
        </w:tc>
        <w:tc>
          <w:tcPr>
            <w:tcW w:w="198" w:type="pct"/>
            <w:hideMark/>
          </w:tcPr>
          <w:p w14:paraId="1A03F86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69.9</w:t>
            </w:r>
          </w:p>
        </w:tc>
      </w:tr>
      <w:tr w:rsidR="00DE034C" w:rsidRPr="00000849" w14:paraId="4BE6A364" w14:textId="77777777" w:rsidTr="0017762C">
        <w:trPr>
          <w:divId w:val="1161234288"/>
          <w:trHeight w:val="630"/>
        </w:trPr>
        <w:tc>
          <w:tcPr>
            <w:cnfStyle w:val="001000000000" w:firstRow="0" w:lastRow="0" w:firstColumn="1" w:lastColumn="0" w:oddVBand="0" w:evenVBand="0" w:oddHBand="0" w:evenHBand="0" w:firstRowFirstColumn="0" w:firstRowLastColumn="0" w:lastRowFirstColumn="0" w:lastRowLastColumn="0"/>
            <w:tcW w:w="351" w:type="pct"/>
            <w:hideMark/>
          </w:tcPr>
          <w:p w14:paraId="1C1846F6" w14:textId="0676F8F6" w:rsidR="00DE034C" w:rsidRPr="00BA2B4A" w:rsidRDefault="00DE034C" w:rsidP="00DE034C">
            <w:pPr>
              <w:spacing w:after="0" w:line="240" w:lineRule="auto"/>
              <w:rPr>
                <w:rFonts w:ascii="Calibri" w:eastAsia="Times New Roman" w:hAnsi="Calibri" w:cs="Calibri"/>
                <w:b w:val="0"/>
                <w:color w:val="000000"/>
                <w:sz w:val="14"/>
                <w:szCs w:val="14"/>
                <w:lang w:val="pt-PT"/>
              </w:rPr>
            </w:pPr>
            <w:r w:rsidRPr="00BA2B4A">
              <w:rPr>
                <w:rFonts w:ascii="Calibri" w:eastAsia="Times New Roman" w:hAnsi="Calibri" w:cs="Calibri"/>
                <w:color w:val="000000"/>
                <w:sz w:val="14"/>
                <w:szCs w:val="14"/>
                <w:lang w:val="pt-PT"/>
              </w:rPr>
              <w:t xml:space="preserve">Duboz 2015 </w:t>
            </w:r>
            <w:r w:rsidRPr="00000849">
              <w:rPr>
                <w:rFonts w:ascii="Calibri" w:eastAsia="Times New Roman" w:hAnsi="Calibri" w:cs="Calibri"/>
                <w:color w:val="000000"/>
                <w:sz w:val="14"/>
                <w:szCs w:val="14"/>
              </w:rPr>
              <w:fldChar w:fldCharType="begin"/>
            </w:r>
            <w:r w:rsidR="00D363A0">
              <w:rPr>
                <w:rFonts w:ascii="Calibri" w:eastAsia="Times New Roman" w:hAnsi="Calibri" w:cs="Calibri"/>
                <w:color w:val="000000"/>
                <w:sz w:val="14"/>
                <w:szCs w:val="14"/>
              </w:rPr>
              <w:instrText xml:space="preserve"> ADDIN EN.CITE &lt;EndNote&gt;&lt;Cite&gt;&lt;Author&gt;Duboz&lt;/Author&gt;&lt;Year&gt;2015&lt;/Year&gt;&lt;RecNum&gt;66&lt;/RecNum&gt;&lt;DisplayText&gt;(Duboz et al., 2015)&lt;/DisplayText&gt;&lt;record&gt;&lt;rec-number&gt;66&lt;/rec-number&gt;&lt;foreign-keys&gt;&lt;key app="EN" db-id="pzfw02x58peadyevdp8vswt40etp25t5ddp0" timestamp="1534112951"&gt;66&lt;/key&gt;&lt;/foreign-keys&gt;&lt;ref-type name="Journal Article"&gt;17&lt;/ref-type&gt;&lt;contributors&gt;&lt;authors&gt;&lt;author&gt;Duboz, Priscilla&lt;/author&gt;&lt;author&gt;Touré, M&lt;/author&gt;&lt;author&gt;Hane, F&lt;/author&gt;&lt;author&gt;Macia, Enguerran&lt;/author&gt;&lt;author&gt;Coume, Mamadou&lt;/author&gt;&lt;author&gt;Bâ, A&lt;/author&gt;&lt;author&gt;Boetsch, Gilles&lt;/author&gt;&lt;author&gt;Gueye, Lamine&lt;/author&gt;&lt;author&gt;Chapuis-Lucciani, Nicole&lt;/author&gt;&lt;/authors&gt;&lt;/contributors&gt;&lt;titles&gt;&lt;title&gt;Vieillissement et pathologies chroniques au Sénégal. Comparaison entre des populations vivant en milieu rural (Ferlo) et urbain (Dakar) Ageing and chronic diseases in Senegal. A comparison between rural (Ferlo) and urban (Dakar) populations&lt;/title&gt;&lt;secondary-title&gt;Bulletin de la Société de pathologie exotique&lt;/secondary-title&gt;&lt;/titles&gt;&lt;periodical&gt;&lt;full-title&gt;Bulletin de la Société de Pathologie Exotique&lt;/full-title&gt;&lt;abbr-1&gt;Bull Soc Pathol Exot&lt;/abbr-1&gt;&lt;/periodical&gt;&lt;pages&gt;25-31&lt;/pages&gt;&lt;volume&gt;108&lt;/volume&gt;&lt;number&gt;1&lt;/number&gt;&lt;dates&gt;&lt;year&gt;2015&lt;/year&gt;&lt;/dates&gt;&lt;isbn&gt;0037-9085&lt;/isbn&gt;&lt;urls&gt;&lt;/urls&gt;&lt;/record&gt;&lt;/Cite&gt;&lt;/EndNote&gt;</w:instrText>
            </w:r>
            <w:r w:rsidRPr="00000849">
              <w:rPr>
                <w:rFonts w:ascii="Calibri" w:eastAsia="Times New Roman" w:hAnsi="Calibri" w:cs="Calibri"/>
                <w:color w:val="000000"/>
                <w:sz w:val="14"/>
                <w:szCs w:val="14"/>
              </w:rPr>
              <w:fldChar w:fldCharType="separate"/>
            </w:r>
            <w:r w:rsidR="00D363A0" w:rsidRPr="00D363A0">
              <w:rPr>
                <w:rFonts w:ascii="Calibri" w:eastAsia="Times New Roman" w:hAnsi="Calibri" w:cs="Calibri"/>
                <w:noProof/>
                <w:color w:val="000000"/>
                <w:sz w:val="14"/>
                <w:szCs w:val="14"/>
                <w:lang w:val="pt-PT"/>
              </w:rPr>
              <w:t>(Duboz et al., 2015)</w:t>
            </w:r>
            <w:r w:rsidRPr="00000849">
              <w:rPr>
                <w:rFonts w:ascii="Calibri" w:eastAsia="Times New Roman" w:hAnsi="Calibri" w:cs="Calibri"/>
                <w:color w:val="000000"/>
                <w:sz w:val="14"/>
                <w:szCs w:val="14"/>
              </w:rPr>
              <w:fldChar w:fldCharType="end"/>
            </w:r>
          </w:p>
        </w:tc>
        <w:tc>
          <w:tcPr>
            <w:tcW w:w="329" w:type="pct"/>
            <w:hideMark/>
          </w:tcPr>
          <w:p w14:paraId="6A671D7D"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Ferlo, Aug 2010; Dakar 2008</w:t>
            </w:r>
          </w:p>
        </w:tc>
        <w:tc>
          <w:tcPr>
            <w:tcW w:w="292" w:type="pct"/>
            <w:hideMark/>
          </w:tcPr>
          <w:p w14:paraId="10E32140"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747F49BF"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Senegal</w:t>
            </w:r>
          </w:p>
        </w:tc>
        <w:tc>
          <w:tcPr>
            <w:tcW w:w="398" w:type="pct"/>
            <w:hideMark/>
          </w:tcPr>
          <w:p w14:paraId="523D18C0"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Ferlo village; Dakar city</w:t>
            </w:r>
          </w:p>
        </w:tc>
        <w:tc>
          <w:tcPr>
            <w:tcW w:w="305" w:type="pct"/>
            <w:hideMark/>
          </w:tcPr>
          <w:p w14:paraId="0CEB5B0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3C104794"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Adults aged ≥50 years </w:t>
            </w:r>
          </w:p>
        </w:tc>
        <w:tc>
          <w:tcPr>
            <w:tcW w:w="196" w:type="pct"/>
            <w:hideMark/>
          </w:tcPr>
          <w:p w14:paraId="5796D46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285</w:t>
            </w:r>
          </w:p>
        </w:tc>
        <w:tc>
          <w:tcPr>
            <w:tcW w:w="263" w:type="pct"/>
            <w:hideMark/>
          </w:tcPr>
          <w:p w14:paraId="505F52E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413</w:t>
            </w:r>
          </w:p>
        </w:tc>
        <w:tc>
          <w:tcPr>
            <w:tcW w:w="198" w:type="pct"/>
            <w:hideMark/>
          </w:tcPr>
          <w:p w14:paraId="73FB44F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698</w:t>
            </w:r>
          </w:p>
        </w:tc>
        <w:tc>
          <w:tcPr>
            <w:tcW w:w="320" w:type="pct"/>
            <w:hideMark/>
          </w:tcPr>
          <w:p w14:paraId="0990F57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308" w:type="pct"/>
            <w:hideMark/>
          </w:tcPr>
          <w:p w14:paraId="1926CD19"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0097084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3D248D1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30.2</w:t>
            </w:r>
          </w:p>
        </w:tc>
        <w:tc>
          <w:tcPr>
            <w:tcW w:w="264" w:type="pct"/>
            <w:hideMark/>
          </w:tcPr>
          <w:p w14:paraId="3E457F4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Dakar 65.37 ± 9.93; Ferlo 62.22 ± 8.73</w:t>
            </w:r>
          </w:p>
        </w:tc>
        <w:tc>
          <w:tcPr>
            <w:tcW w:w="188" w:type="pct"/>
            <w:hideMark/>
          </w:tcPr>
          <w:p w14:paraId="0B309685"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620B29F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61566ED4"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59.2</w:t>
            </w:r>
          </w:p>
        </w:tc>
      </w:tr>
      <w:tr w:rsidR="00DE034C" w:rsidRPr="00000849" w14:paraId="402CC6E9"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6A170E24" w14:textId="4AFEA860"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El Tallawy 2012 </w:t>
            </w:r>
            <w:r w:rsidRPr="00000849">
              <w:rPr>
                <w:rFonts w:ascii="Calibri" w:eastAsia="Times New Roman" w:hAnsi="Calibri" w:cs="Calibri"/>
                <w:color w:val="000000"/>
                <w:sz w:val="14"/>
                <w:szCs w:val="14"/>
              </w:rPr>
              <w:fldChar w:fldCharType="begin">
                <w:fldData xml:space="preserve">PEVuZE5vdGU+PENpdGU+PEF1dGhvcj5FbCBUYWxsYXd5PC9BdXRob3I+PFllYXI+MjAxMjwvWWVh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</w:fldData>
              </w:fldChar>
            </w:r>
            <w:r w:rsidR="00806613" w:rsidRPr="00000849">
              <w:rPr>
                <w:rFonts w:ascii="Calibri" w:eastAsia="Times New Roman" w:hAnsi="Calibri" w:cs="Calibri"/>
                <w:color w:val="000000"/>
                <w:sz w:val="14"/>
                <w:szCs w:val="14"/>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PEVuZE5vdGU+PENpdGU+PEF1dGhvcj5FbCBUYWxsYXd5PC9BdXRob3I+PFllYXI+MjAxMjwvWWVh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</w:fldData>
              </w:fldChar>
            </w:r>
            <w:r w:rsidR="00806613" w:rsidRPr="00000849">
              <w:rPr>
                <w:rFonts w:ascii="Calibri" w:eastAsia="Times New Roman" w:hAnsi="Calibri" w:cs="Calibri"/>
                <w:color w:val="000000"/>
                <w:sz w:val="14"/>
                <w:szCs w:val="14"/>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(El Tallawy et al., 2012)</w:t>
            </w:r>
            <w:r w:rsidRPr="00000849">
              <w:rPr>
                <w:rFonts w:ascii="Calibri" w:eastAsia="Times New Roman" w:hAnsi="Calibri" w:cs="Calibri"/>
                <w:color w:val="000000"/>
                <w:sz w:val="14"/>
                <w:szCs w:val="14"/>
              </w:rPr>
              <w:fldChar w:fldCharType="end"/>
            </w:r>
          </w:p>
        </w:tc>
        <w:tc>
          <w:tcPr>
            <w:tcW w:w="329" w:type="pct"/>
            <w:hideMark/>
          </w:tcPr>
          <w:p w14:paraId="11865A9D"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 Apr 2005 - 31 Jul 2005</w:t>
            </w:r>
          </w:p>
        </w:tc>
        <w:tc>
          <w:tcPr>
            <w:tcW w:w="292" w:type="pct"/>
            <w:hideMark/>
          </w:tcPr>
          <w:p w14:paraId="6A4F0336"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Northern</w:t>
            </w:r>
          </w:p>
        </w:tc>
        <w:tc>
          <w:tcPr>
            <w:tcW w:w="318" w:type="pct"/>
            <w:hideMark/>
          </w:tcPr>
          <w:p w14:paraId="743B2813"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Egypt</w:t>
            </w:r>
          </w:p>
        </w:tc>
        <w:tc>
          <w:tcPr>
            <w:tcW w:w="398" w:type="pct"/>
            <w:hideMark/>
          </w:tcPr>
          <w:p w14:paraId="1C7D4B9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Al Kharga district</w:t>
            </w:r>
          </w:p>
        </w:tc>
        <w:tc>
          <w:tcPr>
            <w:tcW w:w="305" w:type="pct"/>
            <w:hideMark/>
          </w:tcPr>
          <w:p w14:paraId="0DCA1F9A" w14:textId="77777777" w:rsidR="00DE034C" w:rsidRPr="00000849" w:rsidRDefault="00DE034C" w:rsidP="00DE034C">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p>
        </w:tc>
        <w:tc>
          <w:tcPr>
            <w:tcW w:w="372" w:type="pct"/>
            <w:hideMark/>
          </w:tcPr>
          <w:p w14:paraId="1E2B0375"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lang w:val="en-GB"/>
              </w:rPr>
            </w:pPr>
            <w:r w:rsidRPr="00000849">
              <w:rPr>
                <w:rFonts w:ascii="Calibri" w:eastAsia="Times New Roman" w:hAnsi="Calibri" w:cs="Calibri"/>
                <w:color w:val="000000"/>
                <w:sz w:val="14"/>
                <w:szCs w:val="14"/>
              </w:rPr>
              <w:t xml:space="preserve">Adults aged ≥50 years </w:t>
            </w:r>
          </w:p>
        </w:tc>
        <w:tc>
          <w:tcPr>
            <w:tcW w:w="196" w:type="pct"/>
            <w:hideMark/>
          </w:tcPr>
          <w:p w14:paraId="73304EE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1F50FFD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0173ACD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219</w:t>
            </w:r>
          </w:p>
        </w:tc>
        <w:tc>
          <w:tcPr>
            <w:tcW w:w="320" w:type="pct"/>
            <w:hideMark/>
          </w:tcPr>
          <w:p w14:paraId="4DBB078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&gt;99%</w:t>
            </w:r>
          </w:p>
        </w:tc>
        <w:tc>
          <w:tcPr>
            <w:tcW w:w="308" w:type="pct"/>
            <w:hideMark/>
          </w:tcPr>
          <w:p w14:paraId="1B1D9CB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74.9</w:t>
            </w:r>
          </w:p>
        </w:tc>
        <w:tc>
          <w:tcPr>
            <w:tcW w:w="224" w:type="pct"/>
            <w:hideMark/>
          </w:tcPr>
          <w:p w14:paraId="5A1109E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5AB556A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79C9406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38B93239"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33C8772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2C908AE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31.1</w:t>
            </w:r>
          </w:p>
        </w:tc>
      </w:tr>
      <w:tr w:rsidR="00DE034C" w:rsidRPr="00000849" w14:paraId="0FBC6CDD"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10D7A513" w14:textId="675A622C"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Fajemilehin 2005 </w:t>
            </w:r>
            <w:r w:rsidRPr="00000849">
              <w:rPr>
                <w:rFonts w:ascii="Calibri" w:eastAsia="Times New Roman" w:hAnsi="Calibri" w:cs="Calibri"/>
                <w:color w:val="000000"/>
                <w:sz w:val="14"/>
                <w:szCs w:val="14"/>
              </w:rPr>
              <w:fldChar w:fldCharType="begin">
                <w:fldData xml:space="preserve">PEVuZE5vdGU+PENpdGU+PEF1dGhvcj5GYWplbWlsZWhpbjwvQXV0aG9yPjxZZWFyPjIwMDU8L1ll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</w:fldData>
              </w:fldChar>
            </w:r>
            <w:r w:rsidR="00806613" w:rsidRPr="00000849">
              <w:rPr>
                <w:rFonts w:ascii="Calibri" w:eastAsia="Times New Roman" w:hAnsi="Calibri" w:cs="Calibri"/>
                <w:color w:val="000000"/>
                <w:sz w:val="14"/>
                <w:szCs w:val="14"/>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PEVuZE5vdGU+PENpdGU+PEF1dGhvcj5GYWplbWlsZWhpbjwvQXV0aG9yPjxZZWFyPjIwMDU8L1ll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</w:fldData>
              </w:fldChar>
            </w:r>
            <w:r w:rsidR="00806613" w:rsidRPr="00000849">
              <w:rPr>
                <w:rFonts w:ascii="Calibri" w:eastAsia="Times New Roman" w:hAnsi="Calibri" w:cs="Calibri"/>
                <w:color w:val="000000"/>
                <w:sz w:val="14"/>
                <w:szCs w:val="14"/>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(Fajemilehin et al., 2005)</w:t>
            </w:r>
            <w:r w:rsidRPr="00000849">
              <w:rPr>
                <w:rFonts w:ascii="Calibri" w:eastAsia="Times New Roman" w:hAnsi="Calibri" w:cs="Calibri"/>
                <w:color w:val="000000"/>
                <w:sz w:val="14"/>
                <w:szCs w:val="14"/>
              </w:rPr>
              <w:fldChar w:fldCharType="end"/>
            </w:r>
          </w:p>
        </w:tc>
        <w:tc>
          <w:tcPr>
            <w:tcW w:w="329" w:type="pct"/>
            <w:hideMark/>
          </w:tcPr>
          <w:p w14:paraId="3BE487DE" w14:textId="77777777" w:rsidR="00DE034C" w:rsidRPr="00000849" w:rsidRDefault="00DE034C" w:rsidP="00DE034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14"/>
                <w:szCs w:val="14"/>
              </w:rPr>
            </w:pPr>
          </w:p>
        </w:tc>
        <w:tc>
          <w:tcPr>
            <w:tcW w:w="292" w:type="pct"/>
            <w:hideMark/>
          </w:tcPr>
          <w:p w14:paraId="493D31CE"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r w:rsidRPr="00000849">
              <w:rPr>
                <w:rFonts w:ascii="Calibri" w:eastAsia="Times New Roman" w:hAnsi="Calibri" w:cs="Calibri"/>
                <w:color w:val="000000"/>
                <w:sz w:val="14"/>
                <w:szCs w:val="14"/>
              </w:rPr>
              <w:t>Western</w:t>
            </w:r>
          </w:p>
        </w:tc>
        <w:tc>
          <w:tcPr>
            <w:tcW w:w="318" w:type="pct"/>
            <w:hideMark/>
          </w:tcPr>
          <w:p w14:paraId="4BAC83B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Nigeria</w:t>
            </w:r>
          </w:p>
        </w:tc>
        <w:tc>
          <w:tcPr>
            <w:tcW w:w="398" w:type="pct"/>
            <w:hideMark/>
          </w:tcPr>
          <w:p w14:paraId="344652E2"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Ife Central, Ilesa West and Obokun LGAs in Osun State</w:t>
            </w:r>
          </w:p>
        </w:tc>
        <w:tc>
          <w:tcPr>
            <w:tcW w:w="305" w:type="pct"/>
            <w:hideMark/>
          </w:tcPr>
          <w:p w14:paraId="08E6798D"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0CD1DAB6"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≥60 years</w:t>
            </w:r>
          </w:p>
        </w:tc>
        <w:tc>
          <w:tcPr>
            <w:tcW w:w="196" w:type="pct"/>
            <w:hideMark/>
          </w:tcPr>
          <w:p w14:paraId="69C02C5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0C71F69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0B0E2221"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681</w:t>
            </w:r>
          </w:p>
        </w:tc>
        <w:tc>
          <w:tcPr>
            <w:tcW w:w="320" w:type="pct"/>
            <w:hideMark/>
          </w:tcPr>
          <w:p w14:paraId="383FF799" w14:textId="77777777" w:rsidR="00DE034C" w:rsidRPr="00000849" w:rsidRDefault="00DE034C" w:rsidP="00DE034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p>
        </w:tc>
        <w:tc>
          <w:tcPr>
            <w:tcW w:w="308" w:type="pct"/>
            <w:hideMark/>
          </w:tcPr>
          <w:p w14:paraId="090A777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r w:rsidRPr="00000849">
              <w:rPr>
                <w:rFonts w:ascii="Calibri" w:eastAsia="Times New Roman" w:hAnsi="Calibri" w:cs="Calibri"/>
                <w:color w:val="000000"/>
                <w:sz w:val="14"/>
                <w:szCs w:val="14"/>
              </w:rPr>
              <w:t>97.2</w:t>
            </w:r>
          </w:p>
        </w:tc>
        <w:tc>
          <w:tcPr>
            <w:tcW w:w="224" w:type="pct"/>
            <w:hideMark/>
          </w:tcPr>
          <w:p w14:paraId="71968DC9"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37CA4BA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66C46A2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182A48D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293A448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3B643E7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68.1</w:t>
            </w:r>
          </w:p>
        </w:tc>
      </w:tr>
      <w:tr w:rsidR="00DE034C" w:rsidRPr="00000849" w14:paraId="542CBF22"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4AA91EC5" w14:textId="00C41EAB"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Gray 2016 </w:t>
            </w:r>
            <w:r w:rsidRPr="00000849">
              <w:rPr>
                <w:rFonts w:ascii="Calibri" w:eastAsia="Times New Roman" w:hAnsi="Calibri" w:cs="Calibri"/>
                <w:color w:val="000000"/>
                <w:sz w:val="14"/>
                <w:szCs w:val="14"/>
              </w:rPr>
              <w:fldChar w:fldCharType="begin">
                <w:fldData xml:space="preserve">PEVuZE5vdGU+PENpdGU+PEF1dGhvcj5HcmF5PC9BdXRob3I+PFllYXI+MjAxNjwvWWVhcj48UmVj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</w:fldData>
              </w:fldChar>
            </w:r>
            <w:r w:rsidR="00806613" w:rsidRPr="00000849">
              <w:rPr>
                <w:rFonts w:ascii="Calibri" w:eastAsia="Times New Roman" w:hAnsi="Calibri" w:cs="Calibri"/>
                <w:color w:val="000000"/>
                <w:sz w:val="14"/>
                <w:szCs w:val="14"/>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PEVuZE5vdGU+PENpdGU+PEF1dGhvcj5HcmF5PC9BdXRob3I+PFllYXI+MjAxNjwvWWVhcj48UmVj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</w:fldData>
              </w:fldChar>
            </w:r>
            <w:r w:rsidR="00806613" w:rsidRPr="00000849">
              <w:rPr>
                <w:rFonts w:ascii="Calibri" w:eastAsia="Times New Roman" w:hAnsi="Calibri" w:cs="Calibri"/>
                <w:color w:val="000000"/>
                <w:sz w:val="14"/>
                <w:szCs w:val="14"/>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(Gray et al., 2016)</w:t>
            </w:r>
            <w:r w:rsidRPr="00000849">
              <w:rPr>
                <w:rFonts w:ascii="Calibri" w:eastAsia="Times New Roman" w:hAnsi="Calibri" w:cs="Calibri"/>
                <w:color w:val="000000"/>
                <w:sz w:val="14"/>
                <w:szCs w:val="14"/>
              </w:rPr>
              <w:fldChar w:fldCharType="end"/>
            </w:r>
          </w:p>
        </w:tc>
        <w:tc>
          <w:tcPr>
            <w:tcW w:w="329" w:type="pct"/>
            <w:hideMark/>
          </w:tcPr>
          <w:p w14:paraId="550E4627"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Jan 2013 - May 2013</w:t>
            </w:r>
          </w:p>
        </w:tc>
        <w:tc>
          <w:tcPr>
            <w:tcW w:w="292" w:type="pct"/>
            <w:hideMark/>
          </w:tcPr>
          <w:p w14:paraId="1FA6372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469EF67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Tanzania</w:t>
            </w:r>
          </w:p>
        </w:tc>
        <w:tc>
          <w:tcPr>
            <w:tcW w:w="398" w:type="pct"/>
            <w:hideMark/>
          </w:tcPr>
          <w:p w14:paraId="5B60F8A8"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Hai district</w:t>
            </w:r>
          </w:p>
        </w:tc>
        <w:tc>
          <w:tcPr>
            <w:tcW w:w="305" w:type="pct"/>
            <w:hideMark/>
          </w:tcPr>
          <w:p w14:paraId="32303A4C"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w:t>
            </w:r>
          </w:p>
        </w:tc>
        <w:tc>
          <w:tcPr>
            <w:tcW w:w="372" w:type="pct"/>
            <w:hideMark/>
          </w:tcPr>
          <w:p w14:paraId="7F393359"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Elderly people aged ≥70 years </w:t>
            </w:r>
          </w:p>
        </w:tc>
        <w:tc>
          <w:tcPr>
            <w:tcW w:w="196" w:type="pct"/>
            <w:hideMark/>
          </w:tcPr>
          <w:p w14:paraId="5073D0F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835</w:t>
            </w:r>
          </w:p>
        </w:tc>
        <w:tc>
          <w:tcPr>
            <w:tcW w:w="263" w:type="pct"/>
            <w:hideMark/>
          </w:tcPr>
          <w:p w14:paraId="0623B83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1038</w:t>
            </w:r>
          </w:p>
        </w:tc>
        <w:tc>
          <w:tcPr>
            <w:tcW w:w="198" w:type="pct"/>
            <w:hideMark/>
          </w:tcPr>
          <w:p w14:paraId="236004A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1873</w:t>
            </w:r>
          </w:p>
        </w:tc>
        <w:tc>
          <w:tcPr>
            <w:tcW w:w="320" w:type="pct"/>
            <w:hideMark/>
          </w:tcPr>
          <w:p w14:paraId="35A05F1A"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83.9</w:t>
            </w:r>
          </w:p>
        </w:tc>
        <w:tc>
          <w:tcPr>
            <w:tcW w:w="308" w:type="pct"/>
            <w:hideMark/>
          </w:tcPr>
          <w:p w14:paraId="646D44C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99.6</w:t>
            </w:r>
          </w:p>
        </w:tc>
        <w:tc>
          <w:tcPr>
            <w:tcW w:w="224" w:type="pct"/>
            <w:hideMark/>
          </w:tcPr>
          <w:p w14:paraId="4EF397E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7218239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64" w:type="pct"/>
            <w:hideMark/>
          </w:tcPr>
          <w:p w14:paraId="2319E5B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338E8E8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7EFF6E5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283A005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73.2</w:t>
            </w:r>
          </w:p>
        </w:tc>
      </w:tr>
      <w:tr w:rsidR="00DE034C" w:rsidRPr="00000849" w14:paraId="35BEAD80"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53AD62E7" w14:textId="18B30C64" w:rsidR="00DE034C" w:rsidRPr="00000849" w:rsidRDefault="00DE034C" w:rsidP="00DE034C">
            <w:pPr>
              <w:spacing w:after="0" w:line="240" w:lineRule="auto"/>
              <w:rPr>
                <w:rFonts w:ascii="Calibri" w:eastAsia="Times New Roman" w:hAnsi="Calibri" w:cs="Calibri"/>
                <w:b w:val="0"/>
                <w:color w:val="000000"/>
                <w:sz w:val="14"/>
                <w:szCs w:val="14"/>
                <w:lang w:val="fr-FR"/>
              </w:rPr>
            </w:pPr>
            <w:r w:rsidRPr="00000849">
              <w:rPr>
                <w:rFonts w:ascii="Calibri" w:eastAsia="Times New Roman" w:hAnsi="Calibri" w:cs="Calibri"/>
                <w:color w:val="000000"/>
                <w:sz w:val="14"/>
                <w:szCs w:val="14"/>
                <w:lang w:val="fr-FR"/>
              </w:rPr>
              <w:t xml:space="preserve">Guerchet 2012A </w:t>
            </w:r>
            <w:r w:rsidRPr="00000849">
              <w:rPr>
                <w:rFonts w:ascii="Calibri" w:eastAsia="Times New Roman" w:hAnsi="Calibri" w:cs="Calibri"/>
                <w:color w:val="000000"/>
                <w:sz w:val="14"/>
                <w:szCs w:val="14"/>
              </w:rPr>
              <w:lastRenderedPageBreak/>
              <w:fldChar w:fldCharType="begin"/>
            </w:r>
            <w:r w:rsidR="00B45210" w:rsidRPr="00000849">
              <w:rPr>
                <w:rFonts w:ascii="Calibri" w:eastAsia="Times New Roman" w:hAnsi="Calibri" w:cs="Calibri"/>
                <w:color w:val="000000"/>
                <w:sz w:val="14"/>
                <w:szCs w:val="14"/>
                <w:lang w:val="fr-FR"/>
              </w:rPr>
              <w:instrText xml:space="preserve"> ADDIN EN.CITE &lt;EndNote&gt;&lt;Cite&gt;&lt;Author&gt;Guerchet&lt;/Author&gt;&lt;Year&gt;2012&lt;/Year&gt;&lt;RecNum&gt;35&lt;/RecNum&gt;&lt;DisplayText&gt;(Guerchet et al., 2012b)&lt;/DisplayText&gt;&lt;record&gt;&lt;rec-number&gt;35&lt;/rec-number&gt;&lt;foreign-keys&gt;&lt;key app="EN" db-id="pzfw02x58peadyevdp8vswt40etp25t5ddp0" timestamp="1533600088"&gt;35&lt;/key&gt;&lt;/foreign-keys&gt;&lt;ref-type name="Journal Article"&gt;17&lt;/ref-type&gt;&lt;contributors&gt;&lt;authors&gt;&lt;author&gt;Guerchet, Maëlenn&lt;/author&gt;&lt;author&gt;Mouanga, Alain M.&lt;/author&gt;&lt;author&gt;M&amp;apos;Belesso, Pascal&lt;/author&gt;&lt;author&gt;Tabo, André&lt;/author&gt;&lt;author&gt;Bandzouzi, Bébène&lt;/author&gt;&lt;author&gt;Paraïso, Moussiliou N.&lt;/author&gt;&lt;author&gt;Houinato, Dismand S.&lt;/author&gt;&lt;author&gt;Cowppli-Bony, Pascale&lt;/author&gt;&lt;author&gt;Nubukpo, Philippe&lt;/author&gt;&lt;author&gt;Aboyans, Victor&lt;/author&gt;&lt;author&gt;Clément, Jean-Pierre&lt;/author&gt;&lt;author&gt;Dartigues, Jean-François&lt;/author&gt;&lt;author&gt;Preux, Pierre-Marie&lt;/author&gt;&lt;/authors&gt;&lt;/contributors&gt;&lt;titles&gt;&lt;title&gt;Factors Associated with Dementia Among Elderly People Living in Two Cities in Central Africa: The EDAC Multicenter Study&lt;/title&gt;&lt;secondary-title&gt;Journal of Alzheimer&amp;apos;s Disease&lt;/secondary-title&gt;&lt;/titles&gt;&lt;periodical&gt;&lt;full-title&gt;Journal of Alzheimer&amp;apos;s Disease&lt;/full-title&gt;&lt;abbr-1&gt;J Alzheimers Dis&lt;/abbr-1&gt;&lt;/periodical&gt;&lt;pages&gt;15-24&lt;/pages&gt;&lt;volume&gt;29&lt;/volume&gt;&lt;number&gt;1&lt;/number&gt;&lt;keywords&gt;&lt;keyword&gt;DEMENTIA risk factors&lt;/keyword&gt;&lt;keyword&gt;HEALTH of older people&lt;/keyword&gt;&lt;keyword&gt;CITIES &amp;amp; towns&lt;/keyword&gt;&lt;keyword&gt;EUROPE&lt;/keyword&gt;&lt;keyword&gt;AFRICA&lt;/keyword&gt;&lt;keyword&gt;Alzheimer&amp;apos;s disease&lt;/keyword&gt;&lt;keyword&gt;dementia&lt;/keyword&gt;&lt;keyword&gt;epidemiology&lt;/keyword&gt;&lt;keyword&gt;risk factors&lt;/keyword&gt;&lt;/keywords&gt;&lt;dates&gt;&lt;year&gt;2012&lt;/year&gt;&lt;/dates&gt;&lt;isbn&gt;13872877&lt;/isbn&gt;&lt;accession-num&gt;72339154&lt;/accession-num&gt;&lt;work-type&gt;Article&lt;/work-type&gt;&lt;urls&gt;&lt;related-urls&gt;&lt;url&gt;http://search.ebscohost.com/login.aspx?direct=true&amp;amp;db=asn&amp;amp;AN=72339154&amp;amp;site=ehost-live&amp;amp;authtype=ip,shib&amp;amp;user=s1523151&lt;/url&gt;&lt;/related-urls&gt;&lt;/urls&gt;&lt;remote-database-name&gt;asn&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B45210" w:rsidRPr="00000849">
              <w:rPr>
                <w:rFonts w:ascii="Calibri" w:eastAsia="Times New Roman" w:hAnsi="Calibri" w:cs="Calibri"/>
                <w:noProof/>
                <w:color w:val="000000"/>
                <w:sz w:val="14"/>
                <w:szCs w:val="14"/>
                <w:lang w:val="fr-FR"/>
              </w:rPr>
              <w:t>(Guerchet et al., 2012b)</w:t>
            </w:r>
            <w:r w:rsidRPr="00000849">
              <w:rPr>
                <w:rFonts w:ascii="Calibri" w:eastAsia="Times New Roman" w:hAnsi="Calibri" w:cs="Calibri"/>
                <w:color w:val="000000"/>
                <w:sz w:val="14"/>
                <w:szCs w:val="14"/>
              </w:rPr>
              <w:fldChar w:fldCharType="end"/>
            </w:r>
          </w:p>
        </w:tc>
        <w:tc>
          <w:tcPr>
            <w:tcW w:w="329" w:type="pct"/>
            <w:hideMark/>
          </w:tcPr>
          <w:p w14:paraId="3DB812CE"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lastRenderedPageBreak/>
              <w:t>Sept 2008 - Mar 2009</w:t>
            </w:r>
          </w:p>
        </w:tc>
        <w:tc>
          <w:tcPr>
            <w:tcW w:w="292" w:type="pct"/>
            <w:hideMark/>
          </w:tcPr>
          <w:p w14:paraId="59B64F56"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Central</w:t>
            </w:r>
          </w:p>
        </w:tc>
        <w:tc>
          <w:tcPr>
            <w:tcW w:w="318" w:type="pct"/>
            <w:hideMark/>
          </w:tcPr>
          <w:p w14:paraId="420E82A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CAR</w:t>
            </w:r>
          </w:p>
        </w:tc>
        <w:tc>
          <w:tcPr>
            <w:tcW w:w="398" w:type="pct"/>
            <w:hideMark/>
          </w:tcPr>
          <w:p w14:paraId="41B7873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Bangui</w:t>
            </w:r>
          </w:p>
        </w:tc>
        <w:tc>
          <w:tcPr>
            <w:tcW w:w="305" w:type="pct"/>
            <w:hideMark/>
          </w:tcPr>
          <w:p w14:paraId="38CBA33F"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Urban</w:t>
            </w:r>
          </w:p>
        </w:tc>
        <w:tc>
          <w:tcPr>
            <w:tcW w:w="372" w:type="pct"/>
            <w:hideMark/>
          </w:tcPr>
          <w:p w14:paraId="7742864B"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≥65 years</w:t>
            </w:r>
          </w:p>
        </w:tc>
        <w:tc>
          <w:tcPr>
            <w:tcW w:w="196" w:type="pct"/>
            <w:hideMark/>
          </w:tcPr>
          <w:p w14:paraId="4E26E65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455FF551"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0D53107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496</w:t>
            </w:r>
          </w:p>
        </w:tc>
        <w:tc>
          <w:tcPr>
            <w:tcW w:w="320" w:type="pct"/>
            <w:hideMark/>
          </w:tcPr>
          <w:p w14:paraId="46ABC8F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97.4</w:t>
            </w:r>
          </w:p>
        </w:tc>
        <w:tc>
          <w:tcPr>
            <w:tcW w:w="308" w:type="pct"/>
            <w:hideMark/>
          </w:tcPr>
          <w:p w14:paraId="4748E7B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99.6</w:t>
            </w:r>
          </w:p>
        </w:tc>
        <w:tc>
          <w:tcPr>
            <w:tcW w:w="224" w:type="pct"/>
            <w:hideMark/>
          </w:tcPr>
          <w:p w14:paraId="52ED743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7A8FAEE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7534CC38"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058B828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541A093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05E177D4"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51.8</w:t>
            </w:r>
          </w:p>
        </w:tc>
      </w:tr>
      <w:tr w:rsidR="00DE034C" w:rsidRPr="00000849" w14:paraId="0C09614F"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6F12C4CA" w14:textId="5B02B08D" w:rsidR="00DE034C" w:rsidRPr="00000849" w:rsidRDefault="00DE034C" w:rsidP="00DE034C">
            <w:pPr>
              <w:spacing w:after="0" w:line="240" w:lineRule="auto"/>
              <w:rPr>
                <w:rFonts w:ascii="Calibri" w:eastAsia="Times New Roman" w:hAnsi="Calibri" w:cs="Calibri"/>
                <w:b w:val="0"/>
                <w:color w:val="000000"/>
                <w:sz w:val="14"/>
                <w:szCs w:val="14"/>
                <w:lang w:val="fr-FR"/>
              </w:rPr>
            </w:pPr>
            <w:r w:rsidRPr="00000849">
              <w:rPr>
                <w:rFonts w:ascii="Calibri" w:eastAsia="Times New Roman" w:hAnsi="Calibri" w:cs="Calibri"/>
                <w:color w:val="000000"/>
                <w:sz w:val="14"/>
                <w:szCs w:val="14"/>
                <w:lang w:val="fr-FR"/>
              </w:rPr>
              <w:t xml:space="preserve">Guerchet 2012B </w:t>
            </w:r>
            <w:r w:rsidRPr="00000849">
              <w:rPr>
                <w:rFonts w:ascii="Calibri" w:eastAsia="Times New Roman" w:hAnsi="Calibri" w:cs="Calibri"/>
                <w:color w:val="000000"/>
                <w:sz w:val="14"/>
                <w:szCs w:val="14"/>
              </w:rPr>
              <w:fldChar w:fldCharType="begin"/>
            </w:r>
            <w:r w:rsidR="00B45210" w:rsidRPr="00000849">
              <w:rPr>
                <w:rFonts w:ascii="Calibri" w:eastAsia="Times New Roman" w:hAnsi="Calibri" w:cs="Calibri"/>
                <w:color w:val="000000"/>
                <w:sz w:val="14"/>
                <w:szCs w:val="14"/>
                <w:lang w:val="fr-FR"/>
              </w:rPr>
              <w:instrText xml:space="preserve"> ADDIN EN.CITE &lt;EndNote&gt;&lt;Cite&gt;&lt;Author&gt;Guerchet&lt;/Author&gt;&lt;Year&gt;2012&lt;/Year&gt;&lt;RecNum&gt;35&lt;/RecNum&gt;&lt;DisplayText&gt;(Guerchet et al., 2012b)&lt;/DisplayText&gt;&lt;record&gt;&lt;rec-number&gt;35&lt;/rec-number&gt;&lt;foreign-keys&gt;&lt;key app="EN" db-id="pzfw02x58peadyevdp8vswt40etp25t5ddp0" timestamp="1533600088"&gt;35&lt;/key&gt;&lt;/foreign-keys&gt;&lt;ref-type name="Journal Article"&gt;17&lt;/ref-type&gt;&lt;contributors&gt;&lt;authors&gt;&lt;author&gt;Guerchet, Maëlenn&lt;/author&gt;&lt;author&gt;Mouanga, Alain M.&lt;/author&gt;&lt;author&gt;M&amp;apos;Belesso, Pascal&lt;/author&gt;&lt;author&gt;Tabo, André&lt;/author&gt;&lt;author&gt;Bandzouzi, Bébène&lt;/author&gt;&lt;author&gt;Paraïso, Moussiliou N.&lt;/author&gt;&lt;author&gt;Houinato, Dismand S.&lt;/author&gt;&lt;author&gt;Cowppli-Bony, Pascale&lt;/author&gt;&lt;author&gt;Nubukpo, Philippe&lt;/author&gt;&lt;author&gt;Aboyans, Victor&lt;/author&gt;&lt;author&gt;Clément, Jean-Pierre&lt;/author&gt;&lt;author&gt;Dartigues, Jean-François&lt;/author&gt;&lt;author&gt;Preux, Pierre-Marie&lt;/author&gt;&lt;/authors&gt;&lt;/contributors&gt;&lt;titles&gt;&lt;title&gt;Factors Associated with Dementia Among Elderly People Living in Two Cities in Central Africa: The EDAC Multicenter Study&lt;/title&gt;&lt;secondary-title&gt;Journal of Alzheimer&amp;apos;s Disease&lt;/secondary-title&gt;&lt;/titles&gt;&lt;periodical&gt;&lt;full-title&gt;Journal of Alzheimer&amp;apos;s Disease&lt;/full-title&gt;&lt;abbr-1&gt;J Alzheimers Dis&lt;/abbr-1&gt;&lt;/periodical&gt;&lt;pages&gt;15-24&lt;/pages&gt;&lt;volume&gt;29&lt;/volume&gt;&lt;number&gt;1&lt;/number&gt;&lt;keywords&gt;&lt;keyword&gt;DEMENTIA risk factors&lt;/keyword&gt;&lt;keyword&gt;HEALTH of older people&lt;/keyword&gt;&lt;keyword&gt;CITIES &amp;amp; towns&lt;/keyword&gt;&lt;keyword&gt;EUROPE&lt;/keyword&gt;&lt;keyword&gt;AFRICA&lt;/keyword&gt;&lt;keyword&gt;Alzheimer&amp;apos;s disease&lt;/keyword&gt;&lt;keyword&gt;dementia&lt;/keyword&gt;&lt;keyword&gt;epidemiology&lt;/keyword&gt;&lt;keyword&gt;risk factors&lt;/keyword&gt;&lt;/keywords&gt;&lt;dates&gt;&lt;year&gt;2012&lt;/year&gt;&lt;/dates&gt;&lt;isbn&gt;13872877&lt;/isbn&gt;&lt;accession-num&gt;72339154&lt;/accession-num&gt;&lt;work-type&gt;Article&lt;/work-type&gt;&lt;urls&gt;&lt;related-urls&gt;&lt;url&gt;http://search.ebscohost.com/login.aspx?direct=true&amp;amp;db=asn&amp;amp;AN=72339154&amp;amp;site=ehost-live&amp;amp;authtype=ip,shib&amp;amp;user=s1523151&lt;/url&gt;&lt;/related-urls&gt;&lt;/urls&gt;&lt;remote-database-name&gt;asn&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B45210" w:rsidRPr="00000849">
              <w:rPr>
                <w:rFonts w:ascii="Calibri" w:eastAsia="Times New Roman" w:hAnsi="Calibri" w:cs="Calibri"/>
                <w:noProof/>
                <w:color w:val="000000"/>
                <w:sz w:val="14"/>
                <w:szCs w:val="14"/>
                <w:lang w:val="fr-FR"/>
              </w:rPr>
              <w:t>(Guerchet et al., 2012b)</w:t>
            </w:r>
            <w:r w:rsidRPr="00000849">
              <w:rPr>
                <w:rFonts w:ascii="Calibri" w:eastAsia="Times New Roman" w:hAnsi="Calibri" w:cs="Calibri"/>
                <w:color w:val="000000"/>
                <w:sz w:val="14"/>
                <w:szCs w:val="14"/>
              </w:rPr>
              <w:fldChar w:fldCharType="end"/>
            </w:r>
          </w:p>
        </w:tc>
        <w:tc>
          <w:tcPr>
            <w:tcW w:w="329" w:type="pct"/>
            <w:hideMark/>
          </w:tcPr>
          <w:p w14:paraId="3E14698D"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Sept 2008 - Mar 2009</w:t>
            </w:r>
          </w:p>
        </w:tc>
        <w:tc>
          <w:tcPr>
            <w:tcW w:w="292" w:type="pct"/>
            <w:hideMark/>
          </w:tcPr>
          <w:p w14:paraId="30221CE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Central</w:t>
            </w:r>
          </w:p>
        </w:tc>
        <w:tc>
          <w:tcPr>
            <w:tcW w:w="318" w:type="pct"/>
            <w:hideMark/>
          </w:tcPr>
          <w:p w14:paraId="27BC1CEB"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Congo</w:t>
            </w:r>
          </w:p>
        </w:tc>
        <w:tc>
          <w:tcPr>
            <w:tcW w:w="398" w:type="pct"/>
            <w:hideMark/>
          </w:tcPr>
          <w:p w14:paraId="76AE2A07"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Brazzaville</w:t>
            </w:r>
          </w:p>
        </w:tc>
        <w:tc>
          <w:tcPr>
            <w:tcW w:w="305" w:type="pct"/>
            <w:hideMark/>
          </w:tcPr>
          <w:p w14:paraId="128F3366"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Urban</w:t>
            </w:r>
          </w:p>
        </w:tc>
        <w:tc>
          <w:tcPr>
            <w:tcW w:w="372" w:type="pct"/>
            <w:hideMark/>
          </w:tcPr>
          <w:p w14:paraId="1AB3966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≥65 years</w:t>
            </w:r>
          </w:p>
        </w:tc>
        <w:tc>
          <w:tcPr>
            <w:tcW w:w="196" w:type="pct"/>
            <w:hideMark/>
          </w:tcPr>
          <w:p w14:paraId="769E297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2CAA771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22A8006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520</w:t>
            </w:r>
          </w:p>
        </w:tc>
        <w:tc>
          <w:tcPr>
            <w:tcW w:w="320" w:type="pct"/>
            <w:hideMark/>
          </w:tcPr>
          <w:p w14:paraId="2225499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95.2</w:t>
            </w:r>
          </w:p>
        </w:tc>
        <w:tc>
          <w:tcPr>
            <w:tcW w:w="308" w:type="pct"/>
            <w:hideMark/>
          </w:tcPr>
          <w:p w14:paraId="0B84E03A"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99.8</w:t>
            </w:r>
          </w:p>
        </w:tc>
        <w:tc>
          <w:tcPr>
            <w:tcW w:w="224" w:type="pct"/>
            <w:hideMark/>
          </w:tcPr>
          <w:p w14:paraId="039AD7A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664FFF8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260BB4E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2A28560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6879A01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1CFF5FC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55.7</w:t>
            </w:r>
          </w:p>
        </w:tc>
      </w:tr>
      <w:tr w:rsidR="00DE034C" w:rsidRPr="00000849" w14:paraId="086BAC40"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5EE6C048" w14:textId="551A9BA5"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Hammami 2011 </w:t>
            </w:r>
            <w:r w:rsidRPr="00000849">
              <w:rPr>
                <w:rFonts w:ascii="Calibri" w:eastAsia="Times New Roman" w:hAnsi="Calibri" w:cs="Calibri"/>
                <w:color w:val="000000"/>
                <w:sz w:val="14"/>
                <w:szCs w:val="14"/>
              </w:rPr>
              <w:fldChar w:fldCharType="begin">
                <w:fldData xml:space="preserve">PEVuZE5vdGU+PENpdGU+PEF1dGhvcj5IYW1tYW1pPC9BdXRob3I+PFllYXI+MjAxMTwvWWVhcj48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</w:fldData>
              </w:fldChar>
            </w:r>
            <w:r w:rsidR="00AC2BE6">
              <w:rPr>
                <w:rFonts w:ascii="Calibri" w:eastAsia="Times New Roman" w:hAnsi="Calibri" w:cs="Calibri"/>
                <w:color w:val="000000"/>
                <w:sz w:val="14"/>
                <w:szCs w:val="14"/>
              </w:rPr>
              <w:instrText xml:space="preserve"> ADDIN EN.CITE </w:instrText>
            </w:r>
            <w:r w:rsidR="00AC2BE6">
              <w:rPr>
                <w:rFonts w:ascii="Calibri" w:eastAsia="Times New Roman" w:hAnsi="Calibri" w:cs="Calibri"/>
                <w:color w:val="000000"/>
                <w:sz w:val="14"/>
                <w:szCs w:val="14"/>
              </w:rPr>
              <w:fldChar w:fldCharType="begin">
                <w:fldData xml:space="preserve">PEVuZE5vdGU+PENpdGU+PEF1dGhvcj5IYW1tYW1pPC9BdXRob3I+PFllYXI+MjAxMTwvWWVhcj48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</w:fldData>
              </w:fldChar>
            </w:r>
            <w:r w:rsidR="00AC2BE6">
              <w:rPr>
                <w:rFonts w:ascii="Calibri" w:eastAsia="Times New Roman" w:hAnsi="Calibri" w:cs="Calibri"/>
                <w:color w:val="000000"/>
                <w:sz w:val="14"/>
                <w:szCs w:val="14"/>
              </w:rPr>
              <w:instrText xml:space="preserve"> ADDIN EN.CITE.DATA </w:instrText>
            </w:r>
            <w:r w:rsidR="00AC2BE6">
              <w:rPr>
                <w:rFonts w:ascii="Calibri" w:eastAsia="Times New Roman" w:hAnsi="Calibri" w:cs="Calibri"/>
                <w:color w:val="000000"/>
                <w:sz w:val="14"/>
                <w:szCs w:val="14"/>
              </w:rPr>
            </w:r>
            <w:r w:rsidR="00AC2BE6">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000849" w:rsidRPr="00000849">
              <w:rPr>
                <w:rFonts w:ascii="Calibri" w:eastAsia="Times New Roman" w:hAnsi="Calibri" w:cs="Calibri"/>
                <w:noProof/>
                <w:color w:val="000000"/>
                <w:sz w:val="14"/>
                <w:szCs w:val="14"/>
              </w:rPr>
              <w:t>(Hammami et al., 2011)</w:t>
            </w:r>
            <w:r w:rsidRPr="00000849">
              <w:rPr>
                <w:rFonts w:ascii="Calibri" w:eastAsia="Times New Roman" w:hAnsi="Calibri" w:cs="Calibri"/>
                <w:color w:val="000000"/>
                <w:sz w:val="14"/>
                <w:szCs w:val="14"/>
              </w:rPr>
              <w:fldChar w:fldCharType="end"/>
            </w:r>
          </w:p>
        </w:tc>
        <w:tc>
          <w:tcPr>
            <w:tcW w:w="329" w:type="pct"/>
            <w:hideMark/>
          </w:tcPr>
          <w:p w14:paraId="556B66EB"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Dec 2008 -  Feb 2009</w:t>
            </w:r>
          </w:p>
        </w:tc>
        <w:tc>
          <w:tcPr>
            <w:tcW w:w="292" w:type="pct"/>
            <w:hideMark/>
          </w:tcPr>
          <w:p w14:paraId="14581A4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Northern</w:t>
            </w:r>
          </w:p>
        </w:tc>
        <w:tc>
          <w:tcPr>
            <w:tcW w:w="318" w:type="pct"/>
            <w:hideMark/>
          </w:tcPr>
          <w:p w14:paraId="12F474D4"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Tunisia</w:t>
            </w:r>
          </w:p>
        </w:tc>
        <w:tc>
          <w:tcPr>
            <w:tcW w:w="398" w:type="pct"/>
            <w:hideMark/>
          </w:tcPr>
          <w:p w14:paraId="47329F7D"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Centre-ouest</w:t>
            </w:r>
          </w:p>
        </w:tc>
        <w:tc>
          <w:tcPr>
            <w:tcW w:w="305" w:type="pct"/>
            <w:hideMark/>
          </w:tcPr>
          <w:p w14:paraId="7C1D5A4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Urban</w:t>
            </w:r>
          </w:p>
        </w:tc>
        <w:tc>
          <w:tcPr>
            <w:tcW w:w="372" w:type="pct"/>
            <w:hideMark/>
          </w:tcPr>
          <w:p w14:paraId="0D1CFD6F"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Adults aged ≥65 years </w:t>
            </w:r>
          </w:p>
        </w:tc>
        <w:tc>
          <w:tcPr>
            <w:tcW w:w="196" w:type="pct"/>
            <w:hideMark/>
          </w:tcPr>
          <w:p w14:paraId="2C33424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202</w:t>
            </w:r>
          </w:p>
        </w:tc>
        <w:tc>
          <w:tcPr>
            <w:tcW w:w="263" w:type="pct"/>
            <w:hideMark/>
          </w:tcPr>
          <w:p w14:paraId="45814A3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396</w:t>
            </w:r>
          </w:p>
        </w:tc>
        <w:tc>
          <w:tcPr>
            <w:tcW w:w="198" w:type="pct"/>
            <w:hideMark/>
          </w:tcPr>
          <w:p w14:paraId="0C083BC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598</w:t>
            </w:r>
          </w:p>
        </w:tc>
        <w:tc>
          <w:tcPr>
            <w:tcW w:w="320" w:type="pct"/>
            <w:hideMark/>
          </w:tcPr>
          <w:p w14:paraId="32EB06E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308" w:type="pct"/>
            <w:hideMark/>
          </w:tcPr>
          <w:p w14:paraId="7D75C208"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29A1AA7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65-95</w:t>
            </w:r>
          </w:p>
        </w:tc>
        <w:tc>
          <w:tcPr>
            <w:tcW w:w="211" w:type="pct"/>
            <w:hideMark/>
          </w:tcPr>
          <w:p w14:paraId="3A16415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62.0</w:t>
            </w:r>
          </w:p>
        </w:tc>
        <w:tc>
          <w:tcPr>
            <w:tcW w:w="264" w:type="pct"/>
            <w:hideMark/>
          </w:tcPr>
          <w:p w14:paraId="02D6A9B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72.3 ± 7.4</w:t>
            </w:r>
          </w:p>
        </w:tc>
        <w:tc>
          <w:tcPr>
            <w:tcW w:w="188" w:type="pct"/>
            <w:hideMark/>
          </w:tcPr>
          <w:p w14:paraId="0038860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45.0</w:t>
            </w:r>
          </w:p>
        </w:tc>
        <w:tc>
          <w:tcPr>
            <w:tcW w:w="263" w:type="pct"/>
            <w:hideMark/>
          </w:tcPr>
          <w:p w14:paraId="137B74A6"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55.6</w:t>
            </w:r>
          </w:p>
        </w:tc>
        <w:tc>
          <w:tcPr>
            <w:tcW w:w="198" w:type="pct"/>
            <w:hideMark/>
          </w:tcPr>
          <w:p w14:paraId="0236B934"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52.0</w:t>
            </w:r>
          </w:p>
        </w:tc>
      </w:tr>
      <w:tr w:rsidR="00DE034C" w:rsidRPr="00000849" w14:paraId="63ADF25C"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25BBDB1C" w14:textId="32E34F5D"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Hien 2014 </w:t>
            </w:r>
            <w:r w:rsidRPr="00000849">
              <w:rPr>
                <w:rFonts w:ascii="Calibri" w:eastAsia="Times New Roman" w:hAnsi="Calibri" w:cs="Calibri"/>
                <w:color w:val="000000"/>
                <w:sz w:val="14"/>
                <w:szCs w:val="14"/>
              </w:rPr>
              <w:fldChar w:fldCharType="begin">
                <w:fldData xml:space="preserve">PEVuZE5vdGU+PENpdGU+PEF1dGhvcj5IaWVuPC9BdXRob3I+PFllYXI+MjAxNDwvWWVhcj48UmVj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==
</w:fldData>
              </w:fldChar>
            </w:r>
            <w:r w:rsidR="00806613" w:rsidRPr="00000849">
              <w:rPr>
                <w:rFonts w:ascii="Calibri" w:eastAsia="Times New Roman" w:hAnsi="Calibri" w:cs="Calibri"/>
                <w:color w:val="000000"/>
                <w:sz w:val="14"/>
                <w:szCs w:val="14"/>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PEVuZE5vdGU+PENpdGU+PEF1dGhvcj5IaWVuPC9BdXRob3I+PFllYXI+MjAxNDwvWWVhcj48UmVj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==
</w:fldData>
              </w:fldChar>
            </w:r>
            <w:r w:rsidR="00806613" w:rsidRPr="00000849">
              <w:rPr>
                <w:rFonts w:ascii="Calibri" w:eastAsia="Times New Roman" w:hAnsi="Calibri" w:cs="Calibri"/>
                <w:color w:val="000000"/>
                <w:sz w:val="14"/>
                <w:szCs w:val="14"/>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(Hien et al., 2014)</w:t>
            </w:r>
            <w:r w:rsidRPr="00000849">
              <w:rPr>
                <w:rFonts w:ascii="Calibri" w:eastAsia="Times New Roman" w:hAnsi="Calibri" w:cs="Calibri"/>
                <w:color w:val="000000"/>
                <w:sz w:val="14"/>
                <w:szCs w:val="14"/>
              </w:rPr>
              <w:fldChar w:fldCharType="end"/>
            </w:r>
          </w:p>
        </w:tc>
        <w:tc>
          <w:tcPr>
            <w:tcW w:w="329" w:type="pct"/>
            <w:hideMark/>
          </w:tcPr>
          <w:p w14:paraId="32D1930F"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Aug 2012- Dec 2012</w:t>
            </w:r>
          </w:p>
        </w:tc>
        <w:tc>
          <w:tcPr>
            <w:tcW w:w="292" w:type="pct"/>
            <w:hideMark/>
          </w:tcPr>
          <w:p w14:paraId="2D03857F"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7B252F9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Burkina Faso</w:t>
            </w:r>
          </w:p>
        </w:tc>
        <w:tc>
          <w:tcPr>
            <w:tcW w:w="398" w:type="pct"/>
            <w:hideMark/>
          </w:tcPr>
          <w:p w14:paraId="5C9EA86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Bobo-Dioulasso</w:t>
            </w:r>
          </w:p>
        </w:tc>
        <w:tc>
          <w:tcPr>
            <w:tcW w:w="305" w:type="pct"/>
            <w:hideMark/>
          </w:tcPr>
          <w:p w14:paraId="4DAE534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Urban</w:t>
            </w:r>
          </w:p>
        </w:tc>
        <w:tc>
          <w:tcPr>
            <w:tcW w:w="372" w:type="pct"/>
            <w:hideMark/>
          </w:tcPr>
          <w:p w14:paraId="33BC991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Elderly aged ≥60 years </w:t>
            </w:r>
          </w:p>
        </w:tc>
        <w:tc>
          <w:tcPr>
            <w:tcW w:w="196" w:type="pct"/>
            <w:hideMark/>
          </w:tcPr>
          <w:p w14:paraId="6548DA5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215</w:t>
            </w:r>
          </w:p>
        </w:tc>
        <w:tc>
          <w:tcPr>
            <w:tcW w:w="263" w:type="pct"/>
            <w:hideMark/>
          </w:tcPr>
          <w:p w14:paraId="36ED5283"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174</w:t>
            </w:r>
          </w:p>
        </w:tc>
        <w:tc>
          <w:tcPr>
            <w:tcW w:w="198" w:type="pct"/>
            <w:hideMark/>
          </w:tcPr>
          <w:p w14:paraId="49833EA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389</w:t>
            </w:r>
          </w:p>
        </w:tc>
        <w:tc>
          <w:tcPr>
            <w:tcW w:w="320" w:type="pct"/>
            <w:hideMark/>
          </w:tcPr>
          <w:p w14:paraId="4B08AA4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308" w:type="pct"/>
            <w:hideMark/>
          </w:tcPr>
          <w:p w14:paraId="26790C1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0CD1548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55A3884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39.3</w:t>
            </w:r>
          </w:p>
        </w:tc>
        <w:tc>
          <w:tcPr>
            <w:tcW w:w="264" w:type="pct"/>
            <w:hideMark/>
          </w:tcPr>
          <w:p w14:paraId="7DB07E4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69 ± 7</w:t>
            </w:r>
          </w:p>
        </w:tc>
        <w:tc>
          <w:tcPr>
            <w:tcW w:w="188" w:type="pct"/>
            <w:hideMark/>
          </w:tcPr>
          <w:p w14:paraId="76E8A21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79.1</w:t>
            </w:r>
          </w:p>
        </w:tc>
        <w:tc>
          <w:tcPr>
            <w:tcW w:w="263" w:type="pct"/>
            <w:hideMark/>
          </w:tcPr>
          <w:p w14:paraId="559F066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86.2</w:t>
            </w:r>
          </w:p>
        </w:tc>
        <w:tc>
          <w:tcPr>
            <w:tcW w:w="198" w:type="pct"/>
            <w:hideMark/>
          </w:tcPr>
          <w:p w14:paraId="50C654B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82.3</w:t>
            </w:r>
          </w:p>
        </w:tc>
      </w:tr>
      <w:tr w:rsidR="00DE034C" w:rsidRPr="00000849" w14:paraId="64D5FCA0"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23379E7F" w14:textId="382AB0E6"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Ice 2008 </w:t>
            </w:r>
            <w:r w:rsidRPr="00000849">
              <w:rPr>
                <w:rFonts w:ascii="Calibri" w:eastAsia="Times New Roman" w:hAnsi="Calibri" w:cs="Calibri"/>
                <w:color w:val="000000"/>
                <w:sz w:val="14"/>
                <w:szCs w:val="14"/>
              </w:rPr>
              <w:fldChar w:fldCharType="begin"/>
            </w:r>
            <w:r w:rsidR="00431DA0" w:rsidRPr="00000849">
              <w:rPr>
                <w:rFonts w:ascii="Calibri" w:eastAsia="Times New Roman" w:hAnsi="Calibri" w:cs="Calibri"/>
                <w:color w:val="000000"/>
                <w:sz w:val="14"/>
                <w:szCs w:val="14"/>
              </w:rPr>
              <w:instrText xml:space="preserve"> ADDIN EN.CITE &lt;EndNote&gt;&lt;Cite&gt;&lt;Author&gt;Ice&lt;/Author&gt;&lt;Year&gt;2008&lt;/Year&gt;&lt;RecNum&gt;60&lt;/RecNum&gt;&lt;DisplayText&gt;(Ice et al., 2008)&lt;/DisplayText&gt;&lt;record&gt;&lt;rec-number&gt;60&lt;/rec-number&gt;&lt;foreign-keys&gt;&lt;key app="EN" db-id="pzfw02x58peadyevdp8vswt40etp25t5ddp0" timestamp="1534111947"&gt;60&lt;/key&gt;&lt;/foreign-keys&gt;&lt;ref-type name="Journal Article"&gt;17&lt;/ref-type&gt;&lt;contributors&gt;&lt;authors&gt;&lt;author&gt;Ice, Gillian H&lt;/author&gt;&lt;author&gt;Zidron, Amy&lt;/author&gt;&lt;author&gt;Juma, Elizabeth&lt;/author&gt;&lt;/authors&gt;&lt;/contributors&gt;&lt;titles&gt;&lt;title&gt;Health and health perceptions among Kenyan grandparents&lt;/title&gt;&lt;secondary-title&gt;Journal of Cross-cultural Gerontology&lt;/secondary-title&gt;&lt;/titles&gt;&lt;periodical&gt;&lt;full-title&gt;Journal of Cross-Cultural Gerontology&lt;/full-title&gt;&lt;abbr-1&gt;J Cross Cult Gerontol&lt;/abbr-1&gt;&lt;/periodical&gt;&lt;pages&gt;111-129&lt;/pages&gt;&lt;volume&gt;23&lt;/volume&gt;&lt;number&gt;2&lt;/number&gt;&lt;dates&gt;&lt;year&gt;2008&lt;/year&gt;&lt;/dates&gt;&lt;isbn&gt;0169-3816&lt;/isbn&gt;&lt;urls&gt;&lt;/urls&gt;&lt;electronic-resource-num&gt;10.1007/s10823-008-9063-9&lt;/electronic-resource-num&gt;&lt;/record&gt;&lt;/Cite&gt;&lt;/EndNote&gt;</w:instrText>
            </w:r>
            <w:r w:rsidRPr="00000849">
              <w:rPr>
                <w:rFonts w:ascii="Calibri" w:eastAsia="Times New Roman" w:hAnsi="Calibri" w:cs="Calibri"/>
                <w:color w:val="000000"/>
                <w:sz w:val="14"/>
                <w:szCs w:val="14"/>
              </w:rPr>
              <w:fldChar w:fldCharType="separate"/>
            </w:r>
            <w:r w:rsidR="00431DA0" w:rsidRPr="00000849">
              <w:rPr>
                <w:rFonts w:ascii="Calibri" w:eastAsia="Times New Roman" w:hAnsi="Calibri" w:cs="Calibri"/>
                <w:noProof/>
                <w:color w:val="000000"/>
                <w:sz w:val="14"/>
                <w:szCs w:val="14"/>
              </w:rPr>
              <w:t>(Ice et al., 2008)</w:t>
            </w:r>
            <w:r w:rsidRPr="00000849">
              <w:rPr>
                <w:rFonts w:ascii="Calibri" w:eastAsia="Times New Roman" w:hAnsi="Calibri" w:cs="Calibri"/>
                <w:color w:val="000000"/>
                <w:sz w:val="14"/>
                <w:szCs w:val="14"/>
              </w:rPr>
              <w:fldChar w:fldCharType="end"/>
            </w:r>
          </w:p>
        </w:tc>
        <w:tc>
          <w:tcPr>
            <w:tcW w:w="329" w:type="pct"/>
            <w:hideMark/>
          </w:tcPr>
          <w:p w14:paraId="27C8374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2005</w:t>
            </w:r>
          </w:p>
        </w:tc>
        <w:tc>
          <w:tcPr>
            <w:tcW w:w="292" w:type="pct"/>
            <w:hideMark/>
          </w:tcPr>
          <w:p w14:paraId="46FD105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7568648B"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Kenya</w:t>
            </w:r>
          </w:p>
        </w:tc>
        <w:tc>
          <w:tcPr>
            <w:tcW w:w="398" w:type="pct"/>
            <w:hideMark/>
          </w:tcPr>
          <w:p w14:paraId="40E61644"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Nyando, and Kisumu Rural districts in Nyanza province</w:t>
            </w:r>
          </w:p>
        </w:tc>
        <w:tc>
          <w:tcPr>
            <w:tcW w:w="305" w:type="pct"/>
            <w:hideMark/>
          </w:tcPr>
          <w:p w14:paraId="55F10C96"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w:t>
            </w:r>
          </w:p>
        </w:tc>
        <w:tc>
          <w:tcPr>
            <w:tcW w:w="372" w:type="pct"/>
            <w:hideMark/>
          </w:tcPr>
          <w:p w14:paraId="1B7CC730"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Grandparent caregivers and non-caregivers aged &gt;60 years</w:t>
            </w:r>
          </w:p>
        </w:tc>
        <w:tc>
          <w:tcPr>
            <w:tcW w:w="196" w:type="pct"/>
            <w:hideMark/>
          </w:tcPr>
          <w:p w14:paraId="1CF2371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138</w:t>
            </w:r>
          </w:p>
        </w:tc>
        <w:tc>
          <w:tcPr>
            <w:tcW w:w="263" w:type="pct"/>
            <w:hideMark/>
          </w:tcPr>
          <w:p w14:paraId="1338E944"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149</w:t>
            </w:r>
          </w:p>
        </w:tc>
        <w:tc>
          <w:tcPr>
            <w:tcW w:w="198" w:type="pct"/>
            <w:hideMark/>
          </w:tcPr>
          <w:p w14:paraId="0959A31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287</w:t>
            </w:r>
          </w:p>
        </w:tc>
        <w:tc>
          <w:tcPr>
            <w:tcW w:w="320" w:type="pct"/>
            <w:hideMark/>
          </w:tcPr>
          <w:p w14:paraId="4ED30EA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308" w:type="pct"/>
            <w:hideMark/>
          </w:tcPr>
          <w:p w14:paraId="11E5562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26273FA8"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4AC1E4E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0B782A39"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72.6 ± 7.6</w:t>
            </w:r>
          </w:p>
        </w:tc>
        <w:tc>
          <w:tcPr>
            <w:tcW w:w="188" w:type="pct"/>
            <w:hideMark/>
          </w:tcPr>
          <w:p w14:paraId="1BF8832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27CD579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0BA57068"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24.4</w:t>
            </w:r>
          </w:p>
        </w:tc>
      </w:tr>
      <w:tr w:rsidR="00DE034C" w:rsidRPr="00000849" w14:paraId="26587B8A"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630"/>
        </w:trPr>
        <w:tc>
          <w:tcPr>
            <w:cnfStyle w:val="001000000000" w:firstRow="0" w:lastRow="0" w:firstColumn="1" w:lastColumn="0" w:oddVBand="0" w:evenVBand="0" w:oddHBand="0" w:evenHBand="0" w:firstRowFirstColumn="0" w:firstRowLastColumn="0" w:lastRowFirstColumn="0" w:lastRowLastColumn="0"/>
            <w:tcW w:w="351" w:type="pct"/>
            <w:hideMark/>
          </w:tcPr>
          <w:p w14:paraId="004984D5" w14:textId="099C399E"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Iribhogbe 2013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&lt;EndNote&gt;&lt;Cite&gt;&lt;Author&gt;Iribhogbe&lt;/Author&gt;&lt;Year&gt;2013&lt;/Year&gt;&lt;RecNum&gt;49&lt;/RecNum&gt;&lt;DisplayText&gt;(Iribhogbe, 2013)&lt;/DisplayText&gt;&lt;record&gt;&lt;rec-number&gt;49&lt;/rec-number&gt;&lt;foreign-keys&gt;&lt;key app="EN" db-id="pzfw02x58peadyevdp8vswt40etp25t5ddp0" timestamp="1533819515"&gt;49&lt;/key&gt;&lt;/foreign-keys&gt;&lt;ref-type name="Journal Article"&gt;17&lt;/ref-type&gt;&lt;contributors&gt;&lt;authors&gt;&lt;author&gt;Iribhogbe, IO&lt;/author&gt;&lt;/authors&gt;&lt;/contributors&gt;&lt;titles&gt;&lt;title&gt;A Community Based Interventional Study on Health Status of Aged People in a Semi-Urban Community in South-South Nigeria&lt;/title&gt;&lt;secondary-title&gt;International Journal of Community Research&lt;/secondary-title&gt;&lt;/titles&gt;&lt;periodical&gt;&lt;full-title&gt;International Journal of Community Research&lt;/full-title&gt;&lt;abbr-1&gt;Int J Community Res&lt;/abbr-1&gt;&lt;/periodical&gt;&lt;pages&gt;22-27&lt;/pages&gt;&lt;volume&gt;2&lt;/volume&gt;&lt;number&gt;2&lt;/number&gt;&lt;dates&gt;&lt;year&gt;2013&lt;/year&gt;&lt;/dates&gt;&lt;isbn&gt;2384-6828&lt;/isbn&gt;&lt;urls&gt;&lt;/urls&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(Iribhogbe, 2013)</w:t>
            </w:r>
            <w:r w:rsidRPr="00000849">
              <w:rPr>
                <w:rFonts w:ascii="Calibri" w:eastAsia="Times New Roman" w:hAnsi="Calibri" w:cs="Calibri"/>
                <w:color w:val="000000"/>
                <w:sz w:val="14"/>
                <w:szCs w:val="14"/>
              </w:rPr>
              <w:fldChar w:fldCharType="end"/>
            </w:r>
          </w:p>
        </w:tc>
        <w:tc>
          <w:tcPr>
            <w:tcW w:w="329" w:type="pct"/>
            <w:hideMark/>
          </w:tcPr>
          <w:p w14:paraId="1F7998C7"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Aug 2012 - Oct 2012</w:t>
            </w:r>
          </w:p>
        </w:tc>
        <w:tc>
          <w:tcPr>
            <w:tcW w:w="292" w:type="pct"/>
            <w:hideMark/>
          </w:tcPr>
          <w:p w14:paraId="16E6C305"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2DD44593"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Nigeria</w:t>
            </w:r>
          </w:p>
        </w:tc>
        <w:tc>
          <w:tcPr>
            <w:tcW w:w="398" w:type="pct"/>
            <w:hideMark/>
          </w:tcPr>
          <w:p w14:paraId="437DD911"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Ekpoma Esan West Local Government Area of Edo State</w:t>
            </w:r>
          </w:p>
        </w:tc>
        <w:tc>
          <w:tcPr>
            <w:tcW w:w="305" w:type="pct"/>
            <w:hideMark/>
          </w:tcPr>
          <w:p w14:paraId="4DFD31A6"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Urban</w:t>
            </w:r>
          </w:p>
        </w:tc>
        <w:tc>
          <w:tcPr>
            <w:tcW w:w="372" w:type="pct"/>
            <w:hideMark/>
          </w:tcPr>
          <w:p w14:paraId="05668A4B"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Church attendants aged ≥50 years </w:t>
            </w:r>
          </w:p>
        </w:tc>
        <w:tc>
          <w:tcPr>
            <w:tcW w:w="196" w:type="pct"/>
            <w:hideMark/>
          </w:tcPr>
          <w:p w14:paraId="49D422A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w:t>
            </w:r>
          </w:p>
        </w:tc>
        <w:tc>
          <w:tcPr>
            <w:tcW w:w="263" w:type="pct"/>
            <w:hideMark/>
          </w:tcPr>
          <w:p w14:paraId="6A43595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w:t>
            </w:r>
          </w:p>
        </w:tc>
        <w:tc>
          <w:tcPr>
            <w:tcW w:w="198" w:type="pct"/>
            <w:hideMark/>
          </w:tcPr>
          <w:p w14:paraId="34C6EFD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200</w:t>
            </w:r>
          </w:p>
        </w:tc>
        <w:tc>
          <w:tcPr>
            <w:tcW w:w="320" w:type="pct"/>
            <w:hideMark/>
          </w:tcPr>
          <w:p w14:paraId="4EEBDC6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308" w:type="pct"/>
            <w:hideMark/>
          </w:tcPr>
          <w:p w14:paraId="4973385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6444D15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3F200D3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23.5</w:t>
            </w:r>
          </w:p>
        </w:tc>
        <w:tc>
          <w:tcPr>
            <w:tcW w:w="264" w:type="pct"/>
            <w:hideMark/>
          </w:tcPr>
          <w:p w14:paraId="4BA7AE3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67.55 ± 16.61</w:t>
            </w:r>
          </w:p>
        </w:tc>
        <w:tc>
          <w:tcPr>
            <w:tcW w:w="188" w:type="pct"/>
            <w:hideMark/>
          </w:tcPr>
          <w:p w14:paraId="7AD2D5B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58.0</w:t>
            </w:r>
          </w:p>
        </w:tc>
        <w:tc>
          <w:tcPr>
            <w:tcW w:w="263" w:type="pct"/>
            <w:hideMark/>
          </w:tcPr>
          <w:p w14:paraId="055D724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35.0</w:t>
            </w:r>
          </w:p>
        </w:tc>
        <w:tc>
          <w:tcPr>
            <w:tcW w:w="198" w:type="pct"/>
            <w:hideMark/>
          </w:tcPr>
          <w:p w14:paraId="6CF5A219"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46.5</w:t>
            </w:r>
          </w:p>
        </w:tc>
      </w:tr>
      <w:tr w:rsidR="00DE034C" w:rsidRPr="00000849" w14:paraId="69D72C1B"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2B882AAF" w14:textId="60D2EBEB"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Ivy 2015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&lt;EndNote&gt;&lt;Cite&gt;&lt;Author&gt;Ivy&lt;/Author&gt;&lt;Year&gt;2015&lt;/Year&gt;&lt;RecNum&gt;68&lt;/RecNum&gt;&lt;DisplayText&gt;(Ivy et al., 2015)&lt;/DisplayText&gt;&lt;record&gt;&lt;rec-number&gt;68&lt;/rec-number&gt;&lt;foreign-keys&gt;&lt;key app="EN" db-id="pzfw02x58peadyevdp8vswt40etp25t5ddp0" timestamp="1534131392"&gt;68&lt;/key&gt;&lt;/foreign-keys&gt;&lt;ref-type name="Journal Article"&gt;17&lt;/ref-type&gt;&lt;contributors&gt;&lt;authors&gt;&lt;author&gt;Ivy, Ashleigh&lt;/author&gt;&lt;author&gt;Tam, Jonathan&lt;/author&gt;&lt;author&gt;Dewhurst, Matthew J.&lt;/author&gt;&lt;author&gt;Gray, William K.&lt;/author&gt;&lt;author&gt;Chaote, Paul&lt;/author&gt;&lt;author&gt;Rogathi, Jane&lt;/author&gt;&lt;author&gt;Dewhurst, Felicity&lt;/author&gt;&lt;author&gt;Walker, Richard W.&lt;/author&gt;&lt;/authors&gt;&lt;/contributors&gt;&lt;titles&gt;&lt;title&gt;Ambulatory Blood Pressure Monitoring to Assess the White-Coat Effect in an Elderly East African Population&lt;/title&gt;&lt;secondary-title&gt;Journal of Clinical Hypertension&lt;/secondary-title&gt;&lt;/titles&gt;&lt;periodical&gt;&lt;full-title&gt;Journal of Clinical Hypertension&lt;/full-title&gt;&lt;abbr-1&gt;J Clin Hypertens (Greenwich)&lt;/abbr-1&gt;&lt;/periodical&gt;&lt;pages&gt;389-394&lt;/pages&gt;&lt;volume&gt;17&lt;/volume&gt;&lt;number&gt;5&lt;/number&gt;&lt;dates&gt;&lt;year&gt;2015&lt;/year&gt;&lt;/dates&gt;&lt;isbn&gt;15246175&lt;/isbn&gt;&lt;accession-num&gt;102170633&lt;/accession-num&gt;&lt;work-type&gt;Article&lt;/work-type&gt;&lt;urls&gt;&lt;related-urls&gt;&lt;url&gt;http://search.ebscohost.com/login.aspx?direct=true&amp;amp;db=asn&amp;amp;AN=102170633&amp;amp;site=ehost-live&amp;amp;authtype=ip,shib&amp;amp;user=s1523151&lt;/url&gt;&lt;/related-urls&gt;&lt;/urls&gt;&lt;electronic-resource-num&gt;10.1111/jch.12501&lt;/electronic-resource-num&gt;&lt;remote-database-name&gt;asn&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(Ivy et al., 2015)</w:t>
            </w:r>
            <w:r w:rsidRPr="00000849">
              <w:rPr>
                <w:rFonts w:ascii="Calibri" w:eastAsia="Times New Roman" w:hAnsi="Calibri" w:cs="Calibri"/>
                <w:color w:val="000000"/>
                <w:sz w:val="14"/>
                <w:szCs w:val="14"/>
              </w:rPr>
              <w:fldChar w:fldCharType="end"/>
            </w:r>
          </w:p>
        </w:tc>
        <w:tc>
          <w:tcPr>
            <w:tcW w:w="329" w:type="pct"/>
            <w:hideMark/>
          </w:tcPr>
          <w:p w14:paraId="21DA5557"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 March 2013 - 1 June 2013</w:t>
            </w:r>
          </w:p>
        </w:tc>
        <w:tc>
          <w:tcPr>
            <w:tcW w:w="292" w:type="pct"/>
            <w:hideMark/>
          </w:tcPr>
          <w:p w14:paraId="5008B54F"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7920753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Tanzania</w:t>
            </w:r>
          </w:p>
        </w:tc>
        <w:tc>
          <w:tcPr>
            <w:tcW w:w="398" w:type="pct"/>
            <w:hideMark/>
          </w:tcPr>
          <w:p w14:paraId="6D3D6677"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Hai district</w:t>
            </w:r>
          </w:p>
        </w:tc>
        <w:tc>
          <w:tcPr>
            <w:tcW w:w="305" w:type="pct"/>
            <w:hideMark/>
          </w:tcPr>
          <w:p w14:paraId="6790D8F1"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w:t>
            </w:r>
          </w:p>
        </w:tc>
        <w:tc>
          <w:tcPr>
            <w:tcW w:w="372" w:type="pct"/>
            <w:hideMark/>
          </w:tcPr>
          <w:p w14:paraId="3ADF7D2D"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≥70 years in 2 villages</w:t>
            </w:r>
          </w:p>
        </w:tc>
        <w:tc>
          <w:tcPr>
            <w:tcW w:w="196" w:type="pct"/>
            <w:hideMark/>
          </w:tcPr>
          <w:p w14:paraId="2AD20935"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42</w:t>
            </w:r>
          </w:p>
        </w:tc>
        <w:tc>
          <w:tcPr>
            <w:tcW w:w="263" w:type="pct"/>
            <w:hideMark/>
          </w:tcPr>
          <w:p w14:paraId="56B7F245"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37</w:t>
            </w:r>
          </w:p>
        </w:tc>
        <w:tc>
          <w:tcPr>
            <w:tcW w:w="198" w:type="pct"/>
            <w:hideMark/>
          </w:tcPr>
          <w:p w14:paraId="69D62DD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79</w:t>
            </w:r>
          </w:p>
        </w:tc>
        <w:tc>
          <w:tcPr>
            <w:tcW w:w="320" w:type="pct"/>
            <w:hideMark/>
          </w:tcPr>
          <w:p w14:paraId="58AA473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95.2</w:t>
            </w:r>
          </w:p>
        </w:tc>
        <w:tc>
          <w:tcPr>
            <w:tcW w:w="308" w:type="pct"/>
            <w:hideMark/>
          </w:tcPr>
          <w:p w14:paraId="177B9B5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7C04456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4AE87676"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64" w:type="pct"/>
            <w:hideMark/>
          </w:tcPr>
          <w:p w14:paraId="53155D1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median 76y</w:t>
            </w:r>
          </w:p>
        </w:tc>
        <w:tc>
          <w:tcPr>
            <w:tcW w:w="188" w:type="pct"/>
            <w:hideMark/>
          </w:tcPr>
          <w:p w14:paraId="75A20FF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654BDFF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2ADC8B4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78.5</w:t>
            </w:r>
          </w:p>
        </w:tc>
      </w:tr>
      <w:tr w:rsidR="00DE034C" w:rsidRPr="00000849" w14:paraId="098A08C7"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7EC3EC6F" w14:textId="2576F83B"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Kamoun 2006 </w:t>
            </w:r>
            <w:r w:rsidRPr="00000849">
              <w:rPr>
                <w:rFonts w:ascii="Calibri" w:eastAsia="Times New Roman" w:hAnsi="Calibri" w:cs="Calibri"/>
                <w:color w:val="000000"/>
                <w:sz w:val="14"/>
                <w:szCs w:val="14"/>
              </w:rPr>
              <w:fldChar w:fldCharType="begin">
                <w:fldData xml:space="preserve">PEVuZE5vdGU+PENpdGU+PEF1dGhvcj5LYW1vdW48L0F1dGhvcj48WWVhcj4yMDA2PC9ZZWFyPjxS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</w:fldData>
              </w:fldChar>
            </w:r>
            <w:r w:rsidR="00210AE7" w:rsidRPr="00000849">
              <w:rPr>
                <w:rFonts w:ascii="Calibri" w:eastAsia="Times New Roman" w:hAnsi="Calibri" w:cs="Calibri"/>
                <w:color w:val="000000"/>
                <w:sz w:val="14"/>
                <w:szCs w:val="14"/>
              </w:rPr>
              <w:instrText xml:space="preserve"> ADDIN EN.CITE </w:instrText>
            </w:r>
            <w:r w:rsidR="00210AE7" w:rsidRPr="00000849">
              <w:rPr>
                <w:rFonts w:ascii="Calibri" w:eastAsia="Times New Roman" w:hAnsi="Calibri" w:cs="Calibri"/>
                <w:color w:val="000000"/>
                <w:sz w:val="14"/>
                <w:szCs w:val="14"/>
              </w:rPr>
              <w:fldChar w:fldCharType="begin">
                <w:fldData xml:space="preserve">PEVuZE5vdGU+PENpdGU+PEF1dGhvcj5LYW1vdW48L0F1dGhvcj48WWVhcj4yMDA2PC9ZZWFyPjxS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</w:fldData>
              </w:fldChar>
            </w:r>
            <w:r w:rsidR="00210AE7" w:rsidRPr="00000849">
              <w:rPr>
                <w:rFonts w:ascii="Calibri" w:eastAsia="Times New Roman" w:hAnsi="Calibri" w:cs="Calibri"/>
                <w:color w:val="000000"/>
                <w:sz w:val="14"/>
                <w:szCs w:val="14"/>
              </w:rPr>
              <w:instrText xml:space="preserve"> ADDIN EN.CITE.DATA </w:instrText>
            </w:r>
            <w:r w:rsidR="00210AE7" w:rsidRPr="00000849">
              <w:rPr>
                <w:rFonts w:ascii="Calibri" w:eastAsia="Times New Roman" w:hAnsi="Calibri" w:cs="Calibri"/>
                <w:color w:val="000000"/>
                <w:sz w:val="14"/>
                <w:szCs w:val="14"/>
              </w:rPr>
            </w:r>
            <w:r w:rsidR="00210AE7"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210AE7" w:rsidRPr="00000849">
              <w:rPr>
                <w:rFonts w:ascii="Calibri" w:eastAsia="Times New Roman" w:hAnsi="Calibri" w:cs="Calibri"/>
                <w:noProof/>
                <w:color w:val="000000"/>
                <w:sz w:val="14"/>
                <w:szCs w:val="14"/>
              </w:rPr>
              <w:t>(Kamoun et al., 2006)</w:t>
            </w:r>
            <w:r w:rsidRPr="00000849">
              <w:rPr>
                <w:rFonts w:ascii="Calibri" w:eastAsia="Times New Roman" w:hAnsi="Calibri" w:cs="Calibri"/>
                <w:color w:val="000000"/>
                <w:sz w:val="14"/>
                <w:szCs w:val="14"/>
              </w:rPr>
              <w:fldChar w:fldCharType="end"/>
            </w:r>
          </w:p>
        </w:tc>
        <w:tc>
          <w:tcPr>
            <w:tcW w:w="329" w:type="pct"/>
            <w:hideMark/>
          </w:tcPr>
          <w:p w14:paraId="3D525C5B"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Oct 2000 - Sept 2001</w:t>
            </w:r>
          </w:p>
        </w:tc>
        <w:tc>
          <w:tcPr>
            <w:tcW w:w="292" w:type="pct"/>
            <w:hideMark/>
          </w:tcPr>
          <w:p w14:paraId="1BADD69E"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Northern</w:t>
            </w:r>
          </w:p>
        </w:tc>
        <w:tc>
          <w:tcPr>
            <w:tcW w:w="318" w:type="pct"/>
            <w:hideMark/>
          </w:tcPr>
          <w:p w14:paraId="770F30C7"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Tunisia</w:t>
            </w:r>
          </w:p>
        </w:tc>
        <w:tc>
          <w:tcPr>
            <w:tcW w:w="398" w:type="pct"/>
            <w:hideMark/>
          </w:tcPr>
          <w:p w14:paraId="1CCF4A24"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National</w:t>
            </w:r>
          </w:p>
        </w:tc>
        <w:tc>
          <w:tcPr>
            <w:tcW w:w="305" w:type="pct"/>
            <w:hideMark/>
          </w:tcPr>
          <w:p w14:paraId="575C06B1"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0079965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≥65 years</w:t>
            </w:r>
          </w:p>
        </w:tc>
        <w:tc>
          <w:tcPr>
            <w:tcW w:w="196" w:type="pct"/>
            <w:hideMark/>
          </w:tcPr>
          <w:p w14:paraId="53881EA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487</w:t>
            </w:r>
          </w:p>
        </w:tc>
        <w:tc>
          <w:tcPr>
            <w:tcW w:w="263" w:type="pct"/>
            <w:hideMark/>
          </w:tcPr>
          <w:p w14:paraId="280CD13A"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494</w:t>
            </w:r>
          </w:p>
        </w:tc>
        <w:tc>
          <w:tcPr>
            <w:tcW w:w="198" w:type="pct"/>
            <w:hideMark/>
          </w:tcPr>
          <w:p w14:paraId="0EC353D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981</w:t>
            </w:r>
          </w:p>
        </w:tc>
        <w:tc>
          <w:tcPr>
            <w:tcW w:w="320" w:type="pct"/>
            <w:hideMark/>
          </w:tcPr>
          <w:p w14:paraId="7675558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98.2</w:t>
            </w:r>
          </w:p>
        </w:tc>
        <w:tc>
          <w:tcPr>
            <w:tcW w:w="308" w:type="pct"/>
            <w:hideMark/>
          </w:tcPr>
          <w:p w14:paraId="0E5EC269"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6454E99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65 - 104</w:t>
            </w:r>
          </w:p>
        </w:tc>
        <w:tc>
          <w:tcPr>
            <w:tcW w:w="211" w:type="pct"/>
            <w:hideMark/>
          </w:tcPr>
          <w:p w14:paraId="28934A6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65.3</w:t>
            </w:r>
          </w:p>
        </w:tc>
        <w:tc>
          <w:tcPr>
            <w:tcW w:w="264" w:type="pct"/>
            <w:hideMark/>
          </w:tcPr>
          <w:p w14:paraId="359B5DB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73.1 ± 6.8</w:t>
            </w:r>
          </w:p>
        </w:tc>
        <w:tc>
          <w:tcPr>
            <w:tcW w:w="188" w:type="pct"/>
            <w:hideMark/>
          </w:tcPr>
          <w:p w14:paraId="246703B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1F06028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449B013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69.8</w:t>
            </w:r>
          </w:p>
        </w:tc>
      </w:tr>
      <w:tr w:rsidR="00DE034C" w:rsidRPr="00000849" w14:paraId="5A5BC075" w14:textId="77777777" w:rsidTr="0017762C">
        <w:trPr>
          <w:divId w:val="1161234288"/>
          <w:trHeight w:val="630"/>
        </w:trPr>
        <w:tc>
          <w:tcPr>
            <w:cnfStyle w:val="001000000000" w:firstRow="0" w:lastRow="0" w:firstColumn="1" w:lastColumn="0" w:oddVBand="0" w:evenVBand="0" w:oddHBand="0" w:evenHBand="0" w:firstRowFirstColumn="0" w:firstRowLastColumn="0" w:lastRowFirstColumn="0" w:lastRowLastColumn="0"/>
            <w:tcW w:w="351" w:type="pct"/>
            <w:hideMark/>
          </w:tcPr>
          <w:p w14:paraId="0F7F6874" w14:textId="1E9E707E"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Kinyanda 2016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&lt;EndNote&gt;&lt;Cite&gt;&lt;Author&gt;Kinyanda&lt;/Author&gt;&lt;Year&gt;2016&lt;/Year&gt;&lt;RecNum&gt;64&lt;/RecNum&gt;&lt;DisplayText&gt;(Kinyanda et al., 2016)&lt;/DisplayText&gt;&lt;record&gt;&lt;rec-number&gt;64&lt;/rec-number&gt;&lt;foreign-keys&gt;&lt;key app="EN" db-id="pzfw02x58peadyevdp8vswt40etp25t5ddp0" timestamp="1534112154"&gt;64&lt;/key&gt;&lt;/foreign-keys&gt;&lt;ref-type name="Journal Article"&gt;17&lt;/ref-type&gt;&lt;contributors&gt;&lt;authors&gt;&lt;author&gt;Kinyanda, Eugene&lt;/author&gt;&lt;author&gt;Kuteesa, Monica&lt;/author&gt;&lt;author&gt;Scholten, Francien&lt;/author&gt;&lt;author&gt;Mugisha, Joseph&lt;/author&gt;&lt;author&gt;Baisley, Kathy&lt;/author&gt;&lt;author&gt;Seeley, Janet&lt;/author&gt;&lt;/authors&gt;&lt;/contributors&gt;&lt;auth-address&gt;Kinyanda, Eugene, Medical Research Council, Uganda Research Unit on AIDS, P.O. Box 49, Entebbe, Uganda&lt;/auth-address&gt;&lt;titles&gt;&lt;title&gt;Risk of major depressive disorder among older persons living in HIV-endemic central and southwestern Uganda&lt;/title&gt;&lt;secondary-title&gt;AIDS Care&lt;/secondary-title&gt;&lt;/titles&gt;&lt;periodical&gt;&lt;full-title&gt;AIDS Care&lt;/full-title&gt;&lt;abbr-1&gt;AIDS Care&lt;/abbr-1&gt;&lt;/periodical&gt;&lt;pages&gt;1516-1521&lt;/pages&gt;&lt;volume&gt;28&lt;/volume&gt;&lt;number&gt;12&lt;/number&gt;&lt;keywords&gt;&lt;keyword&gt;Major depressive disorder&lt;/keyword&gt;&lt;keyword&gt;older people&lt;/keyword&gt;&lt;keyword&gt;risk factors&lt;/keyword&gt;&lt;keyword&gt;HIV-endemic settings&lt;/keyword&gt;&lt;keyword&gt;Africa&lt;/keyword&gt;&lt;keyword&gt;Geriatrics&lt;/keyword&gt;&lt;keyword&gt;HIV&lt;/keyword&gt;&lt;keyword&gt;Major Depression&lt;/keyword&gt;&lt;/keywords&gt;&lt;dates&gt;&lt;year&gt;2016&lt;/year&gt;&lt;/dates&gt;&lt;pub-location&gt;United Kingdom&lt;/pub-location&gt;&lt;publisher&gt;Taylor &amp;amp; Francis&lt;/publisher&gt;&lt;isbn&gt;0954-0121&amp;#xD;1360-0451&lt;/isbn&gt;&lt;accession-num&gt;2016-48426-005&lt;/accession-num&gt;&lt;urls&gt;&lt;related-urls&gt;&lt;url&gt;http://search.ebscohost.com/login.aspx?direct=true&amp;amp;db=psyh&amp;amp;AN=2016-48426-005&amp;amp;site=ehost-live&amp;amp;authtype=ip,shib&amp;amp;user=s1523151&lt;/url&gt;&lt;url&gt;eugene.kinyanda@mrcuganda.org&lt;/url&gt;&lt;/related-urls&gt;&lt;/urls&gt;&lt;electronic-resource-num&gt;10.1080/09540121.2016.1191601&lt;/electronic-resource-num&gt;&lt;remote-database-name&gt;psyh&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(Kinyanda et al., 2016)</w:t>
            </w:r>
            <w:r w:rsidRPr="00000849">
              <w:rPr>
                <w:rFonts w:ascii="Calibri" w:eastAsia="Times New Roman" w:hAnsi="Calibri" w:cs="Calibri"/>
                <w:color w:val="000000"/>
                <w:sz w:val="14"/>
                <w:szCs w:val="14"/>
              </w:rPr>
              <w:fldChar w:fldCharType="end"/>
            </w:r>
          </w:p>
        </w:tc>
        <w:tc>
          <w:tcPr>
            <w:tcW w:w="329" w:type="pct"/>
            <w:hideMark/>
          </w:tcPr>
          <w:p w14:paraId="25D6D96C"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June 2009 - Apr 2010</w:t>
            </w:r>
          </w:p>
        </w:tc>
        <w:tc>
          <w:tcPr>
            <w:tcW w:w="292" w:type="pct"/>
            <w:hideMark/>
          </w:tcPr>
          <w:p w14:paraId="3E5FCF50"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7CA10A0C"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Uganda</w:t>
            </w:r>
          </w:p>
        </w:tc>
        <w:tc>
          <w:tcPr>
            <w:tcW w:w="398" w:type="pct"/>
            <w:hideMark/>
          </w:tcPr>
          <w:p w14:paraId="490B745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 area of Masaka district, and peri-urban Wakiso district</w:t>
            </w:r>
          </w:p>
        </w:tc>
        <w:tc>
          <w:tcPr>
            <w:tcW w:w="305" w:type="pct"/>
            <w:hideMark/>
          </w:tcPr>
          <w:p w14:paraId="577AB206"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190C858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Adults aged ≥50 years participating in the Wellbeing of Older People’s Cohort Study </w:t>
            </w:r>
          </w:p>
        </w:tc>
        <w:tc>
          <w:tcPr>
            <w:tcW w:w="196" w:type="pct"/>
            <w:hideMark/>
          </w:tcPr>
          <w:p w14:paraId="106B040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176</w:t>
            </w:r>
          </w:p>
        </w:tc>
        <w:tc>
          <w:tcPr>
            <w:tcW w:w="263" w:type="pct"/>
            <w:hideMark/>
          </w:tcPr>
          <w:p w14:paraId="748649A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292</w:t>
            </w:r>
          </w:p>
        </w:tc>
        <w:tc>
          <w:tcPr>
            <w:tcW w:w="198" w:type="pct"/>
            <w:hideMark/>
          </w:tcPr>
          <w:p w14:paraId="5EC5301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468</w:t>
            </w:r>
          </w:p>
        </w:tc>
        <w:tc>
          <w:tcPr>
            <w:tcW w:w="320" w:type="pct"/>
            <w:hideMark/>
          </w:tcPr>
          <w:p w14:paraId="4DD3A04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99.4</w:t>
            </w:r>
          </w:p>
        </w:tc>
        <w:tc>
          <w:tcPr>
            <w:tcW w:w="308" w:type="pct"/>
            <w:hideMark/>
          </w:tcPr>
          <w:p w14:paraId="4AB8922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25CC555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2AF1A1C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31.8</w:t>
            </w:r>
          </w:p>
        </w:tc>
        <w:tc>
          <w:tcPr>
            <w:tcW w:w="264" w:type="pct"/>
            <w:hideMark/>
          </w:tcPr>
          <w:p w14:paraId="12D8F0B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2798768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1F06DF4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65B1356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37.2</w:t>
            </w:r>
          </w:p>
        </w:tc>
      </w:tr>
      <w:tr w:rsidR="00DE034C" w:rsidRPr="00000849" w14:paraId="3064E0FA"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0CF3403E" w14:textId="46C89B1B" w:rsidR="00DE034C" w:rsidRPr="00000849" w:rsidRDefault="00DE034C" w:rsidP="00DE034C">
            <w:pPr>
              <w:spacing w:after="0" w:line="240" w:lineRule="auto"/>
              <w:rPr>
                <w:rFonts w:ascii="Calibri" w:eastAsia="Times New Roman" w:hAnsi="Calibri" w:cs="Calibri"/>
                <w:b w:val="0"/>
                <w:color w:val="000000"/>
                <w:sz w:val="14"/>
                <w:szCs w:val="14"/>
                <w:lang w:val="fr-FR"/>
              </w:rPr>
            </w:pPr>
            <w:r w:rsidRPr="00000849">
              <w:rPr>
                <w:rFonts w:ascii="Calibri" w:eastAsia="Times New Roman" w:hAnsi="Calibri" w:cs="Calibri"/>
                <w:color w:val="000000"/>
                <w:sz w:val="14"/>
                <w:szCs w:val="14"/>
                <w:lang w:val="fr-FR"/>
              </w:rPr>
              <w:lastRenderedPageBreak/>
              <w:t xml:space="preserve">Koopman 2012 </w:t>
            </w:r>
            <w:r w:rsidRPr="00000849">
              <w:rPr>
                <w:rFonts w:ascii="Calibri" w:eastAsia="Times New Roman" w:hAnsi="Calibri" w:cs="Calibri"/>
                <w:color w:val="000000"/>
                <w:sz w:val="14"/>
                <w:szCs w:val="14"/>
              </w:rPr>
              <w:fldChar w:fldCharType="begin"/>
            </w:r>
            <w:r w:rsidR="00AC2BE6" w:rsidRPr="00920AA1">
              <w:rPr>
                <w:rFonts w:ascii="Calibri" w:eastAsia="Times New Roman" w:hAnsi="Calibri" w:cs="Calibri"/>
                <w:color w:val="000000"/>
                <w:sz w:val="14"/>
                <w:szCs w:val="14"/>
                <w:lang w:val="fr-FR"/>
              </w:rPr>
              <w:instrText xml:space="preserve"> ADDIN EN.CITE &lt;EndNote&gt;&lt;Cite&gt;&lt;Author&gt;Koopman&lt;/Author&gt;&lt;Year&gt;2012&lt;/Year&gt;&lt;RecNum&gt;13&lt;/RecNum&gt;&lt;DisplayText&gt;(Koopman et al., 2012b)&lt;/DisplayText&gt;&lt;record&gt;&lt;rec-number&gt;13&lt;/rec-number&gt;&lt;foreign-keys&gt;&lt;key app="EN" db-id="29t2ptva8t9xtgex0z2vepsadpwpfxd9a2zv" timestamp="1584928805"&gt;13&lt;/key&gt;&lt;/foreign-keys&gt;&lt;ref-type name="Journal Article"&gt;17&lt;/ref-type&gt;&lt;contributors&gt;&lt;authors&gt;&lt;author&gt;Koopman, Jacob J. E.&lt;/author&gt;&lt;author&gt;van Bodegom, David&lt;/author&gt;&lt;author&gt;Jukema, J. Wouter&lt;/author&gt;&lt;author&gt;Westendorp, Rudi G. J.&lt;/author&gt;&lt;/authors&gt;&lt;/contributors&gt;&lt;titles&gt;&lt;title&gt;Risk of Cardiovascular Disease in a Traditional African Population with a High Infectious Load: A Population-Based Study&lt;/title&gt;&lt;secondary-title&gt;PLoS One&lt;/secondary-title&gt;&lt;/titles&gt;&lt;periodical&gt;&lt;full-title&gt;PLoS One&lt;/full-title&gt;&lt;abbr-1&gt;PLoS One&lt;/abbr-1&gt;&lt;/periodical&gt;&lt;pages&gt;1-8&lt;/pages&gt;&lt;volume&gt;7&lt;/volume&gt;&lt;number&gt;10&lt;/number&gt;&lt;keywords&gt;&lt;keyword&gt;CARDIOVASCULAR diseases&lt;/keyword&gt;&lt;keyword&gt;LIFESTYLES&lt;/keyword&gt;&lt;keyword&gt;ELECTROCARDIOGRAPHY&lt;/keyword&gt;&lt;keyword&gt;WAIST circumference&lt;/keyword&gt;&lt;keyword&gt;LIPID metabolism&lt;/keyword&gt;&lt;keyword&gt;INFLAMMATION&lt;/keyword&gt;&lt;/keywords&gt;&lt;dates&gt;&lt;year&gt;2012&lt;/year&gt;&lt;/dates&gt;&lt;publisher&gt;Public Library of Science&lt;/publisher&gt;&lt;isbn&gt;19326203&lt;/isbn&gt;&lt;accession-num&gt;83523104&lt;/accession-num&gt;&lt;work-type&gt;Article&lt;/work-type&gt;&lt;urls&gt;&lt;related-urls&gt;&lt;url&gt;http://search.ebscohost.com/login.aspx?direct=true&amp;amp;db=asn&amp;amp;AN=83523104&amp;amp;site=ehost-live&amp;amp;authtype=ip,shib&amp;amp;user=s1523151&lt;/url&gt;&lt;/related-urls&gt;&lt;/urls&gt;&lt;electronic-resource-num&gt;10.1371/journal.pone.0046855&lt;/electronic-resource-num&gt;&lt;remote-database-name&gt;asn&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431DA0" w:rsidRPr="00000849">
              <w:rPr>
                <w:rFonts w:ascii="Calibri" w:eastAsia="Times New Roman" w:hAnsi="Calibri" w:cs="Calibri"/>
                <w:noProof/>
                <w:color w:val="000000"/>
                <w:sz w:val="14"/>
                <w:szCs w:val="14"/>
                <w:lang w:val="fr-FR"/>
              </w:rPr>
              <w:t>(Koopman et al., 2012b)</w:t>
            </w:r>
            <w:r w:rsidRPr="00000849">
              <w:rPr>
                <w:rFonts w:ascii="Calibri" w:eastAsia="Times New Roman" w:hAnsi="Calibri" w:cs="Calibri"/>
                <w:color w:val="000000"/>
                <w:sz w:val="14"/>
                <w:szCs w:val="14"/>
              </w:rPr>
              <w:fldChar w:fldCharType="end"/>
            </w:r>
          </w:p>
        </w:tc>
        <w:tc>
          <w:tcPr>
            <w:tcW w:w="329" w:type="pct"/>
            <w:hideMark/>
          </w:tcPr>
          <w:p w14:paraId="6AF4480A" w14:textId="77777777" w:rsidR="00DE034C" w:rsidRPr="00000849" w:rsidRDefault="00DE034C" w:rsidP="00DE034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2009</w:t>
            </w:r>
          </w:p>
        </w:tc>
        <w:tc>
          <w:tcPr>
            <w:tcW w:w="292" w:type="pct"/>
            <w:hideMark/>
          </w:tcPr>
          <w:p w14:paraId="387C8658"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1C3AA83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Ghana</w:t>
            </w:r>
          </w:p>
        </w:tc>
        <w:tc>
          <w:tcPr>
            <w:tcW w:w="398" w:type="pct"/>
            <w:hideMark/>
          </w:tcPr>
          <w:p w14:paraId="11546CC6"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Garu-Tempane District</w:t>
            </w:r>
          </w:p>
        </w:tc>
        <w:tc>
          <w:tcPr>
            <w:tcW w:w="305" w:type="pct"/>
            <w:hideMark/>
          </w:tcPr>
          <w:p w14:paraId="6EDDA824"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w:t>
            </w:r>
          </w:p>
        </w:tc>
        <w:tc>
          <w:tcPr>
            <w:tcW w:w="372" w:type="pct"/>
            <w:hideMark/>
          </w:tcPr>
          <w:p w14:paraId="48886078"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Registered adults aged ≥50 years</w:t>
            </w:r>
          </w:p>
        </w:tc>
        <w:tc>
          <w:tcPr>
            <w:tcW w:w="196" w:type="pct"/>
            <w:hideMark/>
          </w:tcPr>
          <w:p w14:paraId="32E9AAF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480</w:t>
            </w:r>
          </w:p>
        </w:tc>
        <w:tc>
          <w:tcPr>
            <w:tcW w:w="263" w:type="pct"/>
            <w:hideMark/>
          </w:tcPr>
          <w:p w14:paraId="494FC71A"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444</w:t>
            </w:r>
          </w:p>
        </w:tc>
        <w:tc>
          <w:tcPr>
            <w:tcW w:w="198" w:type="pct"/>
            <w:hideMark/>
          </w:tcPr>
          <w:p w14:paraId="14960B5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924</w:t>
            </w:r>
          </w:p>
        </w:tc>
        <w:tc>
          <w:tcPr>
            <w:tcW w:w="320" w:type="pct"/>
            <w:hideMark/>
          </w:tcPr>
          <w:p w14:paraId="5B3DA26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85.4</w:t>
            </w:r>
          </w:p>
        </w:tc>
        <w:tc>
          <w:tcPr>
            <w:tcW w:w="308" w:type="pct"/>
            <w:hideMark/>
          </w:tcPr>
          <w:p w14:paraId="668B4FA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097BD9D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6F61DA7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35.3</w:t>
            </w:r>
          </w:p>
        </w:tc>
        <w:tc>
          <w:tcPr>
            <w:tcW w:w="264" w:type="pct"/>
            <w:hideMark/>
          </w:tcPr>
          <w:p w14:paraId="1806BF4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55E4DB89"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25.6</w:t>
            </w:r>
          </w:p>
        </w:tc>
        <w:tc>
          <w:tcPr>
            <w:tcW w:w="263" w:type="pct"/>
            <w:hideMark/>
          </w:tcPr>
          <w:p w14:paraId="47C7015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22.5</w:t>
            </w:r>
          </w:p>
        </w:tc>
        <w:tc>
          <w:tcPr>
            <w:tcW w:w="198" w:type="pct"/>
            <w:hideMark/>
          </w:tcPr>
          <w:p w14:paraId="388A658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24.1</w:t>
            </w:r>
          </w:p>
        </w:tc>
      </w:tr>
      <w:tr w:rsidR="00DE034C" w:rsidRPr="00000849" w14:paraId="77556D5D" w14:textId="77777777" w:rsidTr="0017762C">
        <w:trPr>
          <w:divId w:val="1161234288"/>
          <w:trHeight w:val="840"/>
        </w:trPr>
        <w:tc>
          <w:tcPr>
            <w:cnfStyle w:val="001000000000" w:firstRow="0" w:lastRow="0" w:firstColumn="1" w:lastColumn="0" w:oddVBand="0" w:evenVBand="0" w:oddHBand="0" w:evenHBand="0" w:firstRowFirstColumn="0" w:firstRowLastColumn="0" w:lastRowFirstColumn="0" w:lastRowLastColumn="0"/>
            <w:tcW w:w="351" w:type="pct"/>
            <w:hideMark/>
          </w:tcPr>
          <w:p w14:paraId="2917ABDE" w14:textId="7E69C6C6"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Lasisi 2010 </w:t>
            </w:r>
            <w:r w:rsidRPr="00000849">
              <w:rPr>
                <w:rFonts w:ascii="Calibri" w:eastAsia="Times New Roman" w:hAnsi="Calibri" w:cs="Calibri"/>
                <w:color w:val="000000"/>
                <w:sz w:val="14"/>
                <w:szCs w:val="14"/>
              </w:rPr>
              <w:fldChar w:fldCharType="begin">
                <w:fldData xml:space="preserve">PEVuZE5vdGU+PENpdGU+PEF1dGhvcj5MYXNpc2k8L0F1dGhvcj48WWVhcj4yMDEwPC9ZZWFyPjxS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</w:fldData>
              </w:fldChar>
            </w:r>
            <w:r w:rsidR="00806613" w:rsidRPr="00000849">
              <w:rPr>
                <w:rFonts w:ascii="Calibri" w:eastAsia="Times New Roman" w:hAnsi="Calibri" w:cs="Calibri"/>
                <w:color w:val="000000"/>
                <w:sz w:val="14"/>
                <w:szCs w:val="14"/>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PEVuZE5vdGU+PENpdGU+PEF1dGhvcj5MYXNpc2k8L0F1dGhvcj48WWVhcj4yMDEwPC9ZZWFyPjxS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</w:fldData>
              </w:fldChar>
            </w:r>
            <w:r w:rsidR="00806613" w:rsidRPr="00000849">
              <w:rPr>
                <w:rFonts w:ascii="Calibri" w:eastAsia="Times New Roman" w:hAnsi="Calibri" w:cs="Calibri"/>
                <w:color w:val="000000"/>
                <w:sz w:val="14"/>
                <w:szCs w:val="14"/>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(Lasisi et al., 2010)</w:t>
            </w:r>
            <w:r w:rsidRPr="00000849">
              <w:rPr>
                <w:rFonts w:ascii="Calibri" w:eastAsia="Times New Roman" w:hAnsi="Calibri" w:cs="Calibri"/>
                <w:color w:val="000000"/>
                <w:sz w:val="14"/>
                <w:szCs w:val="14"/>
              </w:rPr>
              <w:fldChar w:fldCharType="end"/>
            </w:r>
          </w:p>
        </w:tc>
        <w:tc>
          <w:tcPr>
            <w:tcW w:w="329" w:type="pct"/>
            <w:hideMark/>
          </w:tcPr>
          <w:p w14:paraId="0C291D59" w14:textId="77777777" w:rsidR="00DE034C" w:rsidRPr="00000849" w:rsidRDefault="00DE034C" w:rsidP="00DE034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2008</w:t>
            </w:r>
          </w:p>
        </w:tc>
        <w:tc>
          <w:tcPr>
            <w:tcW w:w="292" w:type="pct"/>
            <w:hideMark/>
          </w:tcPr>
          <w:p w14:paraId="20578D91"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59DEA9EC"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Nigeria</w:t>
            </w:r>
          </w:p>
        </w:tc>
        <w:tc>
          <w:tcPr>
            <w:tcW w:w="398" w:type="pct"/>
            <w:hideMark/>
          </w:tcPr>
          <w:p w14:paraId="4E29B00E"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 contiguous Yoruba-speaking states in the Nigeria</w:t>
            </w:r>
          </w:p>
        </w:tc>
        <w:tc>
          <w:tcPr>
            <w:tcW w:w="305" w:type="pct"/>
            <w:hideMark/>
          </w:tcPr>
          <w:p w14:paraId="3053E373"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1D498EDE"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≥65 years</w:t>
            </w:r>
          </w:p>
        </w:tc>
        <w:tc>
          <w:tcPr>
            <w:tcW w:w="196" w:type="pct"/>
            <w:hideMark/>
          </w:tcPr>
          <w:p w14:paraId="29FA9731"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0D8703A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0FA3D0C6"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1474</w:t>
            </w:r>
          </w:p>
        </w:tc>
        <w:tc>
          <w:tcPr>
            <w:tcW w:w="320" w:type="pct"/>
            <w:hideMark/>
          </w:tcPr>
          <w:p w14:paraId="1A8CEAC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78.7</w:t>
            </w:r>
          </w:p>
        </w:tc>
        <w:tc>
          <w:tcPr>
            <w:tcW w:w="308" w:type="pct"/>
            <w:hideMark/>
          </w:tcPr>
          <w:p w14:paraId="2B170279"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12.5</w:t>
            </w:r>
          </w:p>
        </w:tc>
        <w:tc>
          <w:tcPr>
            <w:tcW w:w="224" w:type="pct"/>
            <w:hideMark/>
          </w:tcPr>
          <w:p w14:paraId="2CC6A84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5C33BC0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92.2</w:t>
            </w:r>
          </w:p>
        </w:tc>
        <w:tc>
          <w:tcPr>
            <w:tcW w:w="264" w:type="pct"/>
            <w:hideMark/>
          </w:tcPr>
          <w:p w14:paraId="47C271B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0991C41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381C5FD4"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339507B5"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22.3</w:t>
            </w:r>
          </w:p>
        </w:tc>
      </w:tr>
      <w:tr w:rsidR="00DE034C" w:rsidRPr="00000849" w14:paraId="31B2A463"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235174FC" w14:textId="30FB8D06"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Macia 2012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&lt;EndNote&gt;&lt;Cite&gt;&lt;Author&gt;Macia&lt;/Author&gt;&lt;Year&gt;2012&lt;/Year&gt;&lt;RecNum&gt;54&lt;/RecNum&gt;&lt;DisplayText&gt;(Macia et al., 2012)&lt;/DisplayText&gt;&lt;record&gt;&lt;rec-number&gt;54&lt;/rec-number&gt;&lt;foreign-keys&gt;&lt;key app="EN" db-id="pzfw02x58peadyevdp8vswt40etp25t5ddp0" timestamp="1533819995"&gt;54&lt;/key&gt;&lt;/foreign-keys&gt;&lt;ref-type name="Journal Article"&gt;17&lt;/ref-type&gt;&lt;contributors&gt;&lt;authors&gt;&lt;author&gt;Macia, E.&lt;/author&gt;&lt;author&gt;Duboz, P.&lt;/author&gt;&lt;author&gt;Gueye, L.&lt;/author&gt;&lt;/authors&gt;&lt;/contributors&gt;&lt;titles&gt;&lt;title&gt;Prevalence, awareness, treatment and control of hypertension among adults 50 years and older in Dakar, Senegal&lt;/title&gt;&lt;secondary-title&gt;Cardiovascular journal of Africa&lt;/secondary-title&gt;&lt;/titles&gt;&lt;periodical&gt;&lt;full-title&gt;Cardiovascular Journal of Africa&lt;/full-title&gt;&lt;abbr-1&gt;Cardiovasc J Afr&lt;/abbr-1&gt;&lt;/periodical&gt;&lt;pages&gt;265-9&lt;/pages&gt;&lt;volume&gt;23&lt;/volume&gt;&lt;number&gt;5&lt;/number&gt;&lt;section&gt;Macia, E. UMI 3189 Environnement, sante, societes, Universite Cheikh Anta Diop/CNRS/Universite de Bamako/CNRST, Burkina-Faso, Senegal. enguerranmacia@gmail.com&lt;/section&gt;&lt;keywords&gt;&lt;keyword&gt;Aged&lt;/keyword&gt;&lt;keyword&gt;Aged, 80 and over&lt;/keyword&gt;&lt;keyword&gt;Antihypertensive Agents/tu [Therapeutic Use]&lt;/keyword&gt;&lt;keyword&gt;Blood Pressure&lt;/keyword&gt;&lt;keyword&gt;Female&lt;/keyword&gt;&lt;keyword&gt;*Health Knowledge, Attitudes, Practice&lt;/keyword&gt;&lt;keyword&gt;Humans&lt;/keyword&gt;&lt;keyword&gt;Hypertension/dt [Drug Therapy]&lt;/keyword&gt;&lt;keyword&gt;*Hypertension/ep [Epidemiology]&lt;/keyword&gt;&lt;keyword&gt;Male&lt;/keyword&gt;&lt;keyword&gt;Middle Aged&lt;/keyword&gt;&lt;keyword&gt;Prevalence&lt;/keyword&gt;&lt;keyword&gt;Risk Factors&lt;/keyword&gt;&lt;keyword&gt;Senegal/ep [Epidemiology]&lt;/keyword&gt;&lt;/keywords&gt;&lt;dates&gt;&lt;year&gt;2012&lt;/year&gt;&lt;/dates&gt;&lt;pub-location&gt;South Africa&lt;/pub-location&gt;&lt;isbn&gt;1680-0745&amp;#xD;1015-9657&lt;/isbn&gt;&lt;urls&gt;&lt;related-urls&gt;&lt;url&gt;http://ovidsp.ovid.com/ovidweb.cgi?T=JS&amp;amp;PAGE=reference&amp;amp;D=med7&amp;amp;NEWS=N&amp;amp;AN=22002461&lt;/url&gt;&lt;/related-urls&gt;&lt;/urls&gt;&lt;electronic-resource-num&gt;https://dx.doi.org/10.5830/CVJA-2011-039&lt;/electronic-resource-num&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(Macia et al., 2012)</w:t>
            </w:r>
            <w:r w:rsidRPr="00000849">
              <w:rPr>
                <w:rFonts w:ascii="Calibri" w:eastAsia="Times New Roman" w:hAnsi="Calibri" w:cs="Calibri"/>
                <w:color w:val="000000"/>
                <w:sz w:val="14"/>
                <w:szCs w:val="14"/>
              </w:rPr>
              <w:fldChar w:fldCharType="end"/>
            </w:r>
          </w:p>
        </w:tc>
        <w:tc>
          <w:tcPr>
            <w:tcW w:w="329" w:type="pct"/>
            <w:hideMark/>
          </w:tcPr>
          <w:p w14:paraId="0701A61E"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Jan 2009 - Jun 2009</w:t>
            </w:r>
          </w:p>
        </w:tc>
        <w:tc>
          <w:tcPr>
            <w:tcW w:w="292" w:type="pct"/>
            <w:hideMark/>
          </w:tcPr>
          <w:p w14:paraId="654E73B6"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0DB9EA68"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Senegal</w:t>
            </w:r>
          </w:p>
        </w:tc>
        <w:tc>
          <w:tcPr>
            <w:tcW w:w="398" w:type="pct"/>
            <w:hideMark/>
          </w:tcPr>
          <w:p w14:paraId="306250B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Dakar</w:t>
            </w:r>
          </w:p>
        </w:tc>
        <w:tc>
          <w:tcPr>
            <w:tcW w:w="305" w:type="pct"/>
            <w:hideMark/>
          </w:tcPr>
          <w:p w14:paraId="46BFCB35"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Urban</w:t>
            </w:r>
          </w:p>
        </w:tc>
        <w:tc>
          <w:tcPr>
            <w:tcW w:w="372" w:type="pct"/>
            <w:hideMark/>
          </w:tcPr>
          <w:p w14:paraId="46E38FB6"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Adults aged ≥50 years </w:t>
            </w:r>
          </w:p>
        </w:tc>
        <w:tc>
          <w:tcPr>
            <w:tcW w:w="196" w:type="pct"/>
            <w:hideMark/>
          </w:tcPr>
          <w:p w14:paraId="230D22B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263</w:t>
            </w:r>
          </w:p>
        </w:tc>
        <w:tc>
          <w:tcPr>
            <w:tcW w:w="263" w:type="pct"/>
            <w:hideMark/>
          </w:tcPr>
          <w:p w14:paraId="49F8B78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237</w:t>
            </w:r>
          </w:p>
        </w:tc>
        <w:tc>
          <w:tcPr>
            <w:tcW w:w="198" w:type="pct"/>
            <w:hideMark/>
          </w:tcPr>
          <w:p w14:paraId="65A52D4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500</w:t>
            </w:r>
          </w:p>
        </w:tc>
        <w:tc>
          <w:tcPr>
            <w:tcW w:w="320" w:type="pct"/>
            <w:hideMark/>
          </w:tcPr>
          <w:p w14:paraId="0CC6CCF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308" w:type="pct"/>
            <w:hideMark/>
          </w:tcPr>
          <w:p w14:paraId="41B2073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65CB502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43CF929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19.2</w:t>
            </w:r>
          </w:p>
        </w:tc>
        <w:tc>
          <w:tcPr>
            <w:tcW w:w="264" w:type="pct"/>
            <w:hideMark/>
          </w:tcPr>
          <w:p w14:paraId="0D38305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3FA3EA0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63.9</w:t>
            </w:r>
          </w:p>
        </w:tc>
        <w:tc>
          <w:tcPr>
            <w:tcW w:w="263" w:type="pct"/>
            <w:hideMark/>
          </w:tcPr>
          <w:p w14:paraId="0E56CA2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67.1</w:t>
            </w:r>
          </w:p>
        </w:tc>
        <w:tc>
          <w:tcPr>
            <w:tcW w:w="198" w:type="pct"/>
            <w:hideMark/>
          </w:tcPr>
          <w:p w14:paraId="3295A39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65.4</w:t>
            </w:r>
          </w:p>
        </w:tc>
      </w:tr>
      <w:tr w:rsidR="00DE034C" w:rsidRPr="00000849" w14:paraId="5D302F09"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2D594873" w14:textId="4BDB1457"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Mathenge 2010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&lt;EndNote&gt;&lt;Cite&gt;&lt;Author&gt;Mathenge&lt;/Author&gt;&lt;Year&gt;2010&lt;/Year&gt;&lt;RecNum&gt;45&lt;/RecNum&gt;&lt;DisplayText&gt;(Mathenge et al., 2010)&lt;/DisplayText&gt;&lt;record&gt;&lt;rec-number&gt;45&lt;/rec-number&gt;&lt;foreign-keys&gt;&lt;key app="EN" db-id="pzfw02x58peadyevdp8vswt40etp25t5ddp0" timestamp="1533782268"&gt;45&lt;/key&gt;&lt;/foreign-keys&gt;&lt;ref-type name="Journal Article"&gt;17&lt;/ref-type&gt;&lt;contributors&gt;&lt;authors&gt;&lt;author&gt;Mathenge, Wanjiku&lt;/author&gt;&lt;author&gt;Foster, Allen&lt;/author&gt;&lt;author&gt;Kuper, Hannah&lt;/author&gt;&lt;/authors&gt;&lt;/contributors&gt;&lt;titles&gt;&lt;title&gt;Urbanization, ethnicity and cardiovascular risk in a population in transition in Nakuru, Kenya: a population-based survey&lt;/title&gt;&lt;secondary-title&gt;BMC Public Health&lt;/secondary-title&gt;&lt;/titles&gt;&lt;periodical&gt;&lt;full-title&gt;BMC Public Health&lt;/full-title&gt;&lt;abbr-1&gt;BMC Public Health&lt;/abbr-1&gt;&lt;/periodical&gt;&lt;pages&gt;569-580&lt;/pages&gt;&lt;volume&gt;10&lt;/volume&gt;&lt;number&gt;1&lt;/number&gt;&lt;keywords&gt;&lt;keyword&gt;CARBOHYDRATE intolerance&lt;/keyword&gt;&lt;keyword&gt;NUTRITION&lt;/keyword&gt;&lt;keyword&gt;SURVEYS&lt;/keyword&gt;&lt;keyword&gt;HEART diseases&lt;/keyword&gt;&lt;keyword&gt;AFRICA&lt;/keyword&gt;&lt;/keywords&gt;&lt;dates&gt;&lt;year&gt;2010&lt;/year&gt;&lt;/dates&gt;&lt;publisher&gt;BioMed Central&lt;/publisher&gt;&lt;isbn&gt;14712458&lt;/isbn&gt;&lt;accession-num&gt;55091977&lt;/accession-num&gt;&lt;work-type&gt;Article&lt;/work-type&gt;&lt;urls&gt;&lt;related-urls&gt;&lt;url&gt;http://search.ebscohost.com/login.aspx?direct=true&amp;amp;db=asn&amp;amp;AN=55091977&amp;amp;site=ehost-live&amp;amp;authtype=ip,shib&amp;amp;user=s1523151&lt;/url&gt;&lt;/related-urls&gt;&lt;/urls&gt;&lt;electronic-resource-num&gt;10.1186/1471-2458-10-569&lt;/electronic-resource-num&gt;&lt;remote-database-name&gt;asn&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(Mathenge et al., 2010)</w:t>
            </w:r>
            <w:r w:rsidRPr="00000849">
              <w:rPr>
                <w:rFonts w:ascii="Calibri" w:eastAsia="Times New Roman" w:hAnsi="Calibri" w:cs="Calibri"/>
                <w:color w:val="000000"/>
                <w:sz w:val="14"/>
                <w:szCs w:val="14"/>
              </w:rPr>
              <w:fldChar w:fldCharType="end"/>
            </w:r>
          </w:p>
        </w:tc>
        <w:tc>
          <w:tcPr>
            <w:tcW w:w="329" w:type="pct"/>
            <w:hideMark/>
          </w:tcPr>
          <w:p w14:paraId="553D3F7D"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Jan 2007 - Dec 2008</w:t>
            </w:r>
          </w:p>
        </w:tc>
        <w:tc>
          <w:tcPr>
            <w:tcW w:w="292" w:type="pct"/>
            <w:hideMark/>
          </w:tcPr>
          <w:p w14:paraId="29B984D7"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4D29EB32"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Kenya</w:t>
            </w:r>
          </w:p>
        </w:tc>
        <w:tc>
          <w:tcPr>
            <w:tcW w:w="398" w:type="pct"/>
            <w:hideMark/>
          </w:tcPr>
          <w:p w14:paraId="5C30B4C1"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Nakurua district</w:t>
            </w:r>
          </w:p>
        </w:tc>
        <w:tc>
          <w:tcPr>
            <w:tcW w:w="305" w:type="pct"/>
            <w:hideMark/>
          </w:tcPr>
          <w:p w14:paraId="539336E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51AE90F0"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≥50 years</w:t>
            </w:r>
          </w:p>
        </w:tc>
        <w:tc>
          <w:tcPr>
            <w:tcW w:w="196" w:type="pct"/>
            <w:hideMark/>
          </w:tcPr>
          <w:p w14:paraId="30FB308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2095</w:t>
            </w:r>
          </w:p>
        </w:tc>
        <w:tc>
          <w:tcPr>
            <w:tcW w:w="263" w:type="pct"/>
            <w:hideMark/>
          </w:tcPr>
          <w:p w14:paraId="2F81E07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2301</w:t>
            </w:r>
          </w:p>
        </w:tc>
        <w:tc>
          <w:tcPr>
            <w:tcW w:w="198" w:type="pct"/>
            <w:hideMark/>
          </w:tcPr>
          <w:p w14:paraId="248C45B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4396</w:t>
            </w:r>
          </w:p>
        </w:tc>
        <w:tc>
          <w:tcPr>
            <w:tcW w:w="320" w:type="pct"/>
            <w:hideMark/>
          </w:tcPr>
          <w:p w14:paraId="345C32B6"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87.7</w:t>
            </w:r>
          </w:p>
        </w:tc>
        <w:tc>
          <w:tcPr>
            <w:tcW w:w="308" w:type="pct"/>
            <w:hideMark/>
          </w:tcPr>
          <w:p w14:paraId="50123BC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668CC61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50 - 80+</w:t>
            </w:r>
          </w:p>
        </w:tc>
        <w:tc>
          <w:tcPr>
            <w:tcW w:w="211" w:type="pct"/>
            <w:hideMark/>
          </w:tcPr>
          <w:p w14:paraId="419951E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26.4</w:t>
            </w:r>
          </w:p>
        </w:tc>
        <w:tc>
          <w:tcPr>
            <w:tcW w:w="264" w:type="pct"/>
            <w:hideMark/>
          </w:tcPr>
          <w:p w14:paraId="31E7DF1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276541F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72A0F38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23AA73F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50.1</w:t>
            </w:r>
          </w:p>
        </w:tc>
      </w:tr>
      <w:tr w:rsidR="00DE034C" w:rsidRPr="00000849" w14:paraId="0A1F6FE0"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1C8957B8" w14:textId="31750125"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Minicuci 2014 </w:t>
            </w:r>
            <w:r w:rsidRPr="00000849">
              <w:rPr>
                <w:rFonts w:ascii="Calibri" w:eastAsia="Times New Roman" w:hAnsi="Calibri" w:cs="Calibri"/>
                <w:color w:val="000000"/>
                <w:sz w:val="14"/>
                <w:szCs w:val="14"/>
              </w:rPr>
              <w:fldChar w:fldCharType="begin">
                <w:fldData xml:space="preserve">PEVuZE5vdGU+PENpdGU+PEF1dGhvcj5NaW5pY3VjaTwvQXV0aG9yPjxZZWFyPjIwMTQ8L1llYXI+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</w:fldData>
              </w:fldChar>
            </w:r>
            <w:r w:rsidR="00AC2BE6">
              <w:rPr>
                <w:rFonts w:ascii="Calibri" w:eastAsia="Times New Roman" w:hAnsi="Calibri" w:cs="Calibri"/>
                <w:color w:val="000000"/>
                <w:sz w:val="14"/>
                <w:szCs w:val="14"/>
              </w:rPr>
              <w:instrText xml:space="preserve"> ADDIN EN.CITE </w:instrText>
            </w:r>
            <w:r w:rsidR="00AC2BE6">
              <w:rPr>
                <w:rFonts w:ascii="Calibri" w:eastAsia="Times New Roman" w:hAnsi="Calibri" w:cs="Calibri"/>
                <w:color w:val="000000"/>
                <w:sz w:val="14"/>
                <w:szCs w:val="14"/>
              </w:rPr>
              <w:fldChar w:fldCharType="begin">
                <w:fldData xml:space="preserve">PEVuZE5vdGU+PENpdGU+PEF1dGhvcj5NaW5pY3VjaTwvQXV0aG9yPjxZZWFyPjIwMTQ8L1llYXI+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</w:fldData>
              </w:fldChar>
            </w:r>
            <w:r w:rsidR="00AC2BE6">
              <w:rPr>
                <w:rFonts w:ascii="Calibri" w:eastAsia="Times New Roman" w:hAnsi="Calibri" w:cs="Calibri"/>
                <w:color w:val="000000"/>
                <w:sz w:val="14"/>
                <w:szCs w:val="14"/>
              </w:rPr>
              <w:instrText xml:space="preserve"> ADDIN EN.CITE.DATA </w:instrText>
            </w:r>
            <w:r w:rsidR="00AC2BE6">
              <w:rPr>
                <w:rFonts w:ascii="Calibri" w:eastAsia="Times New Roman" w:hAnsi="Calibri" w:cs="Calibri"/>
                <w:color w:val="000000"/>
                <w:sz w:val="14"/>
                <w:szCs w:val="14"/>
              </w:rPr>
            </w:r>
            <w:r w:rsidR="00AC2BE6">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ED7F82" w:rsidRPr="00000849">
              <w:rPr>
                <w:rFonts w:ascii="Calibri" w:eastAsia="Times New Roman" w:hAnsi="Calibri" w:cs="Calibri"/>
                <w:noProof/>
                <w:color w:val="000000"/>
                <w:sz w:val="14"/>
                <w:szCs w:val="14"/>
              </w:rPr>
              <w:t>(Minicuci et al., 2014)</w:t>
            </w:r>
            <w:r w:rsidRPr="00000849">
              <w:rPr>
                <w:rFonts w:ascii="Calibri" w:eastAsia="Times New Roman" w:hAnsi="Calibri" w:cs="Calibri"/>
                <w:color w:val="000000"/>
                <w:sz w:val="14"/>
                <w:szCs w:val="14"/>
              </w:rPr>
              <w:fldChar w:fldCharType="end"/>
            </w:r>
          </w:p>
        </w:tc>
        <w:tc>
          <w:tcPr>
            <w:tcW w:w="329" w:type="pct"/>
            <w:hideMark/>
          </w:tcPr>
          <w:p w14:paraId="5BF6F373"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Jan 2007 - Dec 2008</w:t>
            </w:r>
          </w:p>
        </w:tc>
        <w:tc>
          <w:tcPr>
            <w:tcW w:w="292" w:type="pct"/>
            <w:hideMark/>
          </w:tcPr>
          <w:p w14:paraId="2BE6792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43C319CC"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Ghana</w:t>
            </w:r>
          </w:p>
        </w:tc>
        <w:tc>
          <w:tcPr>
            <w:tcW w:w="398" w:type="pct"/>
            <w:hideMark/>
          </w:tcPr>
          <w:p w14:paraId="2EC18346"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National</w:t>
            </w:r>
          </w:p>
        </w:tc>
        <w:tc>
          <w:tcPr>
            <w:tcW w:w="305" w:type="pct"/>
            <w:hideMark/>
          </w:tcPr>
          <w:p w14:paraId="50D5D7F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36CA0547"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Adults aged ≥50 years </w:t>
            </w:r>
          </w:p>
        </w:tc>
        <w:tc>
          <w:tcPr>
            <w:tcW w:w="196" w:type="pct"/>
            <w:hideMark/>
          </w:tcPr>
          <w:p w14:paraId="7F394EA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2348</w:t>
            </w:r>
          </w:p>
        </w:tc>
        <w:tc>
          <w:tcPr>
            <w:tcW w:w="263" w:type="pct"/>
            <w:hideMark/>
          </w:tcPr>
          <w:p w14:paraId="548A6E8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2376</w:t>
            </w:r>
          </w:p>
        </w:tc>
        <w:tc>
          <w:tcPr>
            <w:tcW w:w="198" w:type="pct"/>
            <w:hideMark/>
          </w:tcPr>
          <w:p w14:paraId="5DBEE43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4724</w:t>
            </w:r>
          </w:p>
        </w:tc>
        <w:tc>
          <w:tcPr>
            <w:tcW w:w="320" w:type="pct"/>
            <w:hideMark/>
          </w:tcPr>
          <w:p w14:paraId="7F46148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95.9</w:t>
            </w:r>
          </w:p>
        </w:tc>
        <w:tc>
          <w:tcPr>
            <w:tcW w:w="308" w:type="pct"/>
            <w:hideMark/>
          </w:tcPr>
          <w:p w14:paraId="3E8D82B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55DD597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27BDE4A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32.5</w:t>
            </w:r>
          </w:p>
        </w:tc>
        <w:tc>
          <w:tcPr>
            <w:tcW w:w="264" w:type="pct"/>
            <w:hideMark/>
          </w:tcPr>
          <w:p w14:paraId="3AFA8E6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3935B8D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51.5</w:t>
            </w:r>
          </w:p>
        </w:tc>
        <w:tc>
          <w:tcPr>
            <w:tcW w:w="263" w:type="pct"/>
            <w:hideMark/>
          </w:tcPr>
          <w:p w14:paraId="5D001AF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50.7</w:t>
            </w:r>
          </w:p>
        </w:tc>
        <w:tc>
          <w:tcPr>
            <w:tcW w:w="198" w:type="pct"/>
            <w:hideMark/>
          </w:tcPr>
          <w:p w14:paraId="68185FC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51.1</w:t>
            </w:r>
          </w:p>
        </w:tc>
      </w:tr>
      <w:tr w:rsidR="00DE034C" w:rsidRPr="00000849" w14:paraId="5544C5FC"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73138D48" w14:textId="57B12994" w:rsidR="00DE034C" w:rsidRPr="00000849" w:rsidRDefault="00DE034C" w:rsidP="00DE034C">
            <w:pPr>
              <w:spacing w:after="0" w:line="240" w:lineRule="auto"/>
              <w:rPr>
                <w:rFonts w:ascii="Calibri" w:eastAsia="Times New Roman" w:hAnsi="Calibri" w:cs="Calibri"/>
                <w:b w:val="0"/>
                <w:color w:val="000000"/>
                <w:sz w:val="14"/>
                <w:szCs w:val="14"/>
                <w:lang w:val="fr-FR"/>
              </w:rPr>
            </w:pPr>
            <w:r w:rsidRPr="00000849">
              <w:rPr>
                <w:rFonts w:ascii="Calibri" w:eastAsia="Times New Roman" w:hAnsi="Calibri" w:cs="Calibri"/>
                <w:color w:val="000000"/>
                <w:sz w:val="14"/>
                <w:szCs w:val="14"/>
                <w:lang w:val="fr-FR"/>
              </w:rPr>
              <w:t xml:space="preserve">Mkhize 2013 </w:t>
            </w:r>
            <w:r w:rsidRPr="00000849">
              <w:rPr>
                <w:rFonts w:ascii="Calibri" w:eastAsia="Times New Roman" w:hAnsi="Calibri" w:cs="Calibri"/>
                <w:color w:val="000000"/>
                <w:sz w:val="14"/>
                <w:szCs w:val="14"/>
              </w:rPr>
              <w:fldChar w:fldCharType="begin"/>
            </w:r>
            <w:r w:rsidR="0060706B" w:rsidRPr="00000849">
              <w:rPr>
                <w:rFonts w:ascii="Calibri" w:eastAsia="Times New Roman" w:hAnsi="Calibri" w:cs="Calibri"/>
                <w:color w:val="000000"/>
                <w:sz w:val="14"/>
                <w:szCs w:val="14"/>
              </w:rPr>
              <w:instrText xml:space="preserve"> ADDIN EN.CITE &lt;EndNote&gt;&lt;Cite&gt;&lt;Author&gt;Mkhize&lt;/Author&gt;&lt;Year&gt;2013&lt;/Year&gt;&lt;RecNum&gt;40&lt;/RecNum&gt;&lt;DisplayText&gt;(Mkhize et al., 2013)&lt;/DisplayText&gt;&lt;record&gt;&lt;rec-number&gt;40&lt;/rec-number&gt;&lt;foreign-keys&gt;&lt;key app="EN" db-id="pzfw02x58peadyevdp8vswt40etp25t5ddp0" timestamp="1533719741"&gt;40&lt;/key&gt;&lt;/foreign-keys&gt;&lt;ref-type name="Journal Article"&gt;17&lt;/ref-type&gt;&lt;contributors&gt;&lt;authors&gt;&lt;author&gt;Mkhize, Xolile&lt;/author&gt;&lt;author&gt;Napier, Carin&lt;/author&gt;&lt;author&gt;Oldewage-Theron, Wilna&lt;/author&gt;&lt;/authors&gt;&lt;/contributors&gt;&lt;titles&gt;&lt;title&gt;The nutrition situation of free-living elderly in Umlazi township, South Africa&lt;/title&gt;&lt;secondary-title&gt;Health SA Gesondheid&lt;/secondary-title&gt;&lt;/titles&gt;&lt;periodical&gt;&lt;full-title&gt;Health SA Gesondheid&lt;/full-title&gt;&lt;/periodical&gt;&lt;pages&gt;1-8&lt;/pages&gt;&lt;volume&gt;18&lt;/volume&gt;&lt;number&gt;1&lt;/number&gt;&lt;dates&gt;&lt;year&gt;2013&lt;/year&gt;&lt;/dates&gt;&lt;isbn&gt;2071-9736&lt;/isbn&gt;&lt;urls&gt;&lt;/urls&gt;&lt;electronic-resource-num&gt;10.4102/hsag.v18i1.656&lt;/electronic-resource-num&gt;&lt;/record&gt;&lt;/Cite&gt;&lt;/EndNote&gt;</w:instrText>
            </w:r>
            <w:r w:rsidRPr="00000849">
              <w:rPr>
                <w:rFonts w:ascii="Calibri" w:eastAsia="Times New Roman" w:hAnsi="Calibri" w:cs="Calibri"/>
                <w:color w:val="000000"/>
                <w:sz w:val="14"/>
                <w:szCs w:val="14"/>
              </w:rPr>
              <w:fldChar w:fldCharType="separate"/>
            </w:r>
            <w:r w:rsidR="0060706B" w:rsidRPr="00000849">
              <w:rPr>
                <w:rFonts w:ascii="Calibri" w:eastAsia="Times New Roman" w:hAnsi="Calibri" w:cs="Calibri"/>
                <w:noProof/>
                <w:color w:val="000000"/>
                <w:sz w:val="14"/>
                <w:szCs w:val="14"/>
                <w:lang w:val="fr-FR"/>
              </w:rPr>
              <w:t>(Mkhize et al., 2013)</w:t>
            </w:r>
            <w:r w:rsidRPr="00000849">
              <w:rPr>
                <w:rFonts w:ascii="Calibri" w:eastAsia="Times New Roman" w:hAnsi="Calibri" w:cs="Calibri"/>
                <w:color w:val="000000"/>
                <w:sz w:val="14"/>
                <w:szCs w:val="14"/>
              </w:rPr>
              <w:fldChar w:fldCharType="end"/>
            </w:r>
          </w:p>
        </w:tc>
        <w:tc>
          <w:tcPr>
            <w:tcW w:w="329" w:type="pct"/>
            <w:hideMark/>
          </w:tcPr>
          <w:p w14:paraId="50200A1A" w14:textId="77777777" w:rsidR="00DE034C" w:rsidRPr="00000849" w:rsidRDefault="00DE034C" w:rsidP="00DE034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2008</w:t>
            </w:r>
          </w:p>
        </w:tc>
        <w:tc>
          <w:tcPr>
            <w:tcW w:w="292" w:type="pct"/>
            <w:hideMark/>
          </w:tcPr>
          <w:p w14:paraId="78306687"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Northern</w:t>
            </w:r>
          </w:p>
        </w:tc>
        <w:tc>
          <w:tcPr>
            <w:tcW w:w="318" w:type="pct"/>
            <w:hideMark/>
          </w:tcPr>
          <w:p w14:paraId="73DA3623"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South Africa</w:t>
            </w:r>
          </w:p>
        </w:tc>
        <w:tc>
          <w:tcPr>
            <w:tcW w:w="398" w:type="pct"/>
            <w:hideMark/>
          </w:tcPr>
          <w:p w14:paraId="155BC88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Umlazi, Kwazulu Natal</w:t>
            </w:r>
          </w:p>
        </w:tc>
        <w:tc>
          <w:tcPr>
            <w:tcW w:w="305" w:type="pct"/>
            <w:hideMark/>
          </w:tcPr>
          <w:p w14:paraId="7D29184B" w14:textId="77777777" w:rsidR="00DE034C" w:rsidRPr="00000849" w:rsidRDefault="00DE034C" w:rsidP="00DE034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p>
        </w:tc>
        <w:tc>
          <w:tcPr>
            <w:tcW w:w="372" w:type="pct"/>
            <w:hideMark/>
          </w:tcPr>
          <w:p w14:paraId="2C95DDFF"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r w:rsidRPr="00000849">
              <w:rPr>
                <w:rFonts w:ascii="Calibri" w:eastAsia="Times New Roman" w:hAnsi="Calibri" w:cs="Calibri"/>
                <w:color w:val="000000"/>
                <w:sz w:val="14"/>
                <w:szCs w:val="14"/>
              </w:rPr>
              <w:t xml:space="preserve">Registered pensioners aged ≥60 years </w:t>
            </w:r>
          </w:p>
        </w:tc>
        <w:tc>
          <w:tcPr>
            <w:tcW w:w="196" w:type="pct"/>
            <w:hideMark/>
          </w:tcPr>
          <w:p w14:paraId="0C725715"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46</w:t>
            </w:r>
          </w:p>
        </w:tc>
        <w:tc>
          <w:tcPr>
            <w:tcW w:w="263" w:type="pct"/>
            <w:hideMark/>
          </w:tcPr>
          <w:p w14:paraId="1983732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224</w:t>
            </w:r>
          </w:p>
        </w:tc>
        <w:tc>
          <w:tcPr>
            <w:tcW w:w="198" w:type="pct"/>
            <w:hideMark/>
          </w:tcPr>
          <w:p w14:paraId="62E4A329"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270</w:t>
            </w:r>
          </w:p>
        </w:tc>
        <w:tc>
          <w:tcPr>
            <w:tcW w:w="320" w:type="pct"/>
            <w:hideMark/>
          </w:tcPr>
          <w:p w14:paraId="7854447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308" w:type="pct"/>
            <w:hideMark/>
          </w:tcPr>
          <w:p w14:paraId="53D4857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1B120605"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1D7DC01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7C3EF6C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168D90D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4FF9BD6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3AE3EE96"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90.0</w:t>
            </w:r>
          </w:p>
        </w:tc>
      </w:tr>
      <w:tr w:rsidR="00DE034C" w:rsidRPr="00000849" w14:paraId="5599C3BE"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4A6C380D" w14:textId="12A71120"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Mugisha 2013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&lt;EndNote&gt;&lt;Cite&gt;&lt;Author&gt;Mugisha&lt;/Author&gt;&lt;Year&gt;2013&lt;/Year&gt;&lt;RecNum&gt;52&lt;/RecNum&gt;&lt;DisplayText&gt;(Mugisha et al., 2013)&lt;/DisplayText&gt;&lt;record&gt;&lt;rec-number&gt;52&lt;/rec-number&gt;&lt;foreign-keys&gt;&lt;key app="EN" db-id="pzfw02x58peadyevdp8vswt40etp25t5ddp0" timestamp="1533819871"&gt;52&lt;/key&gt;&lt;/foreign-keys&gt;&lt;ref-type name="Journal Article"&gt;17&lt;/ref-type&gt;&lt;contributors&gt;&lt;authors&gt;&lt;author&gt;Mugisha, Joseph O.&lt;/author&gt;&lt;author&gt;Baisley, Kathy&lt;/author&gt;&lt;author&gt;Asiki, Gershim&lt;/author&gt;&lt;author&gt;Seeley, Janet&lt;/author&gt;&lt;author&gt;Kuper, Hannah&lt;/author&gt;&lt;/authors&gt;&lt;/contributors&gt;&lt;titles&gt;&lt;title&gt;Prevalence, Types, Risk Factors and Clinical Correlates of Anaemia in Older People in a Rural Ugandan Population&lt;/title&gt;&lt;secondary-title&gt;PLoS ONE&lt;/secondary-title&gt;&lt;/titles&gt;&lt;periodical&gt;&lt;full-title&gt;PLoS One&lt;/full-title&gt;&lt;abbr-1&gt;PLoS One&lt;/abbr-1&gt;&lt;/periodical&gt;&lt;pages&gt;1-1&lt;/pages&gt;&lt;volume&gt;8&lt;/volume&gt;&lt;number&gt;10&lt;/number&gt;&lt;keywords&gt;&lt;keyword&gt;DISEASE prevalence&lt;/keyword&gt;&lt;keyword&gt;ANEMIA&lt;/keyword&gt;&lt;keyword&gt;UGANDANS&lt;/keyword&gt;&lt;keyword&gt;HIGH-income countries&lt;/keyword&gt;&lt;keyword&gt;BLOOD diseases&lt;/keyword&gt;&lt;keyword&gt;BLOOD plasma&lt;/keyword&gt;&lt;keyword&gt;IRON in the body&lt;/keyword&gt;&lt;keyword&gt;RISK factors&lt;/keyword&gt;&lt;keyword&gt;Research Article&lt;/keyword&gt;&lt;/keywords&gt;&lt;dates&gt;&lt;year&gt;2013&lt;/year&gt;&lt;/dates&gt;&lt;publisher&gt;Public Library of Science&lt;/publisher&gt;&lt;isbn&gt;19326203&lt;/isbn&gt;&lt;accession-num&gt;94480012&lt;/accession-num&gt;&lt;work-type&gt;Article&lt;/work-type&gt;&lt;urls&gt;&lt;related-urls&gt;&lt;url&gt;http://search.ebscohost.com/login.aspx?direct=true&amp;amp;db=asn&amp;amp;AN=94480012&amp;amp;site=ehost-live&amp;amp;authtype=ip,shib&amp;amp;user=s1523151&lt;/url&gt;&lt;/related-urls&gt;&lt;/urls&gt;&lt;electronic-resource-num&gt;10.1371/journal.pone.0078394&lt;/electronic-resource-num&gt;&lt;remote-database-name&gt;asn&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(Mugisha et al., 2013)</w:t>
            </w:r>
            <w:r w:rsidRPr="00000849">
              <w:rPr>
                <w:rFonts w:ascii="Calibri" w:eastAsia="Times New Roman" w:hAnsi="Calibri" w:cs="Calibri"/>
                <w:color w:val="000000"/>
                <w:sz w:val="14"/>
                <w:szCs w:val="14"/>
              </w:rPr>
              <w:fldChar w:fldCharType="end"/>
            </w:r>
          </w:p>
        </w:tc>
        <w:tc>
          <w:tcPr>
            <w:tcW w:w="329" w:type="pct"/>
            <w:hideMark/>
          </w:tcPr>
          <w:p w14:paraId="34AF2CF4"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Jan 2012 - Jan 2013</w:t>
            </w:r>
          </w:p>
        </w:tc>
        <w:tc>
          <w:tcPr>
            <w:tcW w:w="292" w:type="pct"/>
            <w:hideMark/>
          </w:tcPr>
          <w:p w14:paraId="3F5C6B8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5794E5B1"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Uganda</w:t>
            </w:r>
          </w:p>
        </w:tc>
        <w:tc>
          <w:tcPr>
            <w:tcW w:w="398" w:type="pct"/>
            <w:hideMark/>
          </w:tcPr>
          <w:p w14:paraId="063C892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Kalungu district</w:t>
            </w:r>
          </w:p>
        </w:tc>
        <w:tc>
          <w:tcPr>
            <w:tcW w:w="305" w:type="pct"/>
            <w:hideMark/>
          </w:tcPr>
          <w:p w14:paraId="5B655196"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w:t>
            </w:r>
          </w:p>
        </w:tc>
        <w:tc>
          <w:tcPr>
            <w:tcW w:w="372" w:type="pct"/>
            <w:hideMark/>
          </w:tcPr>
          <w:p w14:paraId="58F7D3D6"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≥50 years</w:t>
            </w:r>
          </w:p>
        </w:tc>
        <w:tc>
          <w:tcPr>
            <w:tcW w:w="196" w:type="pct"/>
            <w:hideMark/>
          </w:tcPr>
          <w:p w14:paraId="3686AB9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605</w:t>
            </w:r>
          </w:p>
        </w:tc>
        <w:tc>
          <w:tcPr>
            <w:tcW w:w="263" w:type="pct"/>
            <w:hideMark/>
          </w:tcPr>
          <w:p w14:paraId="6772449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844</w:t>
            </w:r>
          </w:p>
        </w:tc>
        <w:tc>
          <w:tcPr>
            <w:tcW w:w="198" w:type="pct"/>
            <w:hideMark/>
          </w:tcPr>
          <w:p w14:paraId="25BECC5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1449</w:t>
            </w:r>
          </w:p>
        </w:tc>
        <w:tc>
          <w:tcPr>
            <w:tcW w:w="320" w:type="pct"/>
            <w:hideMark/>
          </w:tcPr>
          <w:p w14:paraId="23B2243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72.3</w:t>
            </w:r>
          </w:p>
        </w:tc>
        <w:tc>
          <w:tcPr>
            <w:tcW w:w="308" w:type="pct"/>
            <w:hideMark/>
          </w:tcPr>
          <w:p w14:paraId="0424EA9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17485FB3"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4E8C1C6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27.7</w:t>
            </w:r>
          </w:p>
        </w:tc>
        <w:tc>
          <w:tcPr>
            <w:tcW w:w="264" w:type="pct"/>
            <w:hideMark/>
          </w:tcPr>
          <w:p w14:paraId="7029CAF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median 62</w:t>
            </w:r>
          </w:p>
        </w:tc>
        <w:tc>
          <w:tcPr>
            <w:tcW w:w="188" w:type="pct"/>
            <w:hideMark/>
          </w:tcPr>
          <w:p w14:paraId="0E5B7C9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36.5</w:t>
            </w:r>
          </w:p>
        </w:tc>
        <w:tc>
          <w:tcPr>
            <w:tcW w:w="263" w:type="pct"/>
            <w:hideMark/>
          </w:tcPr>
          <w:p w14:paraId="66C8264A"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38.3</w:t>
            </w:r>
          </w:p>
        </w:tc>
        <w:tc>
          <w:tcPr>
            <w:tcW w:w="198" w:type="pct"/>
            <w:hideMark/>
          </w:tcPr>
          <w:p w14:paraId="2771D8E0"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37.5</w:t>
            </w:r>
          </w:p>
        </w:tc>
      </w:tr>
      <w:tr w:rsidR="00DE034C" w:rsidRPr="00000849" w14:paraId="2D7A8FBA" w14:textId="77777777" w:rsidTr="0017762C">
        <w:trPr>
          <w:divId w:val="1161234288"/>
          <w:trHeight w:val="630"/>
        </w:trPr>
        <w:tc>
          <w:tcPr>
            <w:cnfStyle w:val="001000000000" w:firstRow="0" w:lastRow="0" w:firstColumn="1" w:lastColumn="0" w:oddVBand="0" w:evenVBand="0" w:oddHBand="0" w:evenHBand="0" w:firstRowFirstColumn="0" w:firstRowLastColumn="0" w:lastRowFirstColumn="0" w:lastRowLastColumn="0"/>
            <w:tcW w:w="351" w:type="pct"/>
            <w:hideMark/>
          </w:tcPr>
          <w:p w14:paraId="06F73CF9" w14:textId="45A850DA"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Nuertey 2017 </w:t>
            </w:r>
            <w:r w:rsidRPr="00000849">
              <w:rPr>
                <w:rFonts w:ascii="Calibri" w:eastAsia="Times New Roman" w:hAnsi="Calibri" w:cs="Calibri"/>
                <w:color w:val="000000"/>
                <w:sz w:val="14"/>
                <w:szCs w:val="14"/>
              </w:rPr>
              <w:fldChar w:fldCharType="begin"/>
            </w:r>
            <w:r w:rsidR="00AC2BE6">
              <w:rPr>
                <w:rFonts w:ascii="Calibri" w:eastAsia="Times New Roman" w:hAnsi="Calibri" w:cs="Calibri"/>
                <w:color w:val="000000"/>
                <w:sz w:val="14"/>
                <w:szCs w:val="14"/>
              </w:rPr>
              <w:instrText xml:space="preserve"> ADDIN EN.CITE &lt;EndNote&gt;&lt;Cite&gt;&lt;Author&gt;Nuertey&lt;/Author&gt;&lt;Year&gt;2017&lt;/Year&gt;&lt;RecNum&gt;17&lt;/RecNum&gt;&lt;DisplayText&gt;(Nuertey et al., 2017)&lt;/DisplayText&gt;&lt;record&gt;&lt;rec-number&gt;17&lt;/rec-number&gt;&lt;foreign-keys&gt;&lt;key app="EN" db-id="29t2ptva8t9xtgex0z2vepsadpwpfxd9a2zv" timestamp="1584928805"&gt;17&lt;/key&gt;&lt;/foreign-keys&gt;&lt;ref-type name="Journal Article"&gt;17&lt;/ref-type&gt;&lt;contributors&gt;&lt;authors&gt;&lt;author&gt;Nuertey, Benjamin D.&lt;/author&gt;&lt;author&gt;Alhassan, Alabira Iddrisu&lt;/author&gt;&lt;author&gt;Nuertey, Augustine D.&lt;/author&gt;&lt;author&gt;Mensah, Isaac Asimadu&lt;/author&gt;&lt;author&gt;Adongo, Victor&lt;/author&gt;&lt;author&gt;Kabutey, Clement&lt;/author&gt;&lt;author&gt;Addai, Joyce&lt;/author&gt;&lt;author&gt;Biritwum, Richard Bekoe&lt;/author&gt;&lt;/authors&gt;&lt;/contributors&gt;&lt;titles&gt;&lt;title&gt;Prevalence of obesity and overweight and its associated factors among registered pensioners in Ghana; a cross sectional studies&lt;/title&gt;&lt;secondary-title&gt;BMC Obesity&lt;/secondary-title&gt;&lt;/titles&gt;&lt;periodical&gt;&lt;full-title&gt;BMC Obesity&lt;/full-title&gt;&lt;abbr-1&gt;BMC Obes&lt;/abbr-1&gt;&lt;/periodical&gt;&lt;pages&gt;1-12&lt;/pages&gt;&lt;volume&gt;4&lt;/volume&gt;&lt;keywords&gt;&lt;keyword&gt;OBESITY&lt;/keyword&gt;&lt;keyword&gt;DISEASE prevalence&lt;/keyword&gt;&lt;keyword&gt;RETIREES&lt;/keyword&gt;&lt;keyword&gt;DISEASES&lt;/keyword&gt;&lt;keyword&gt;Body mass index&lt;/keyword&gt;&lt;keyword&gt;Overweight&lt;/keyword&gt;&lt;keyword&gt;Pensioners&lt;/keyword&gt;&lt;/keywords&gt;&lt;dates&gt;&lt;year&gt;2017&lt;/year&gt;&lt;/dates&gt;&lt;publisher&gt;BioMed Central&lt;/publisher&gt;&lt;isbn&gt;20529538&lt;/isbn&gt;&lt;accession-num&gt;124088486&lt;/accession-num&gt;&lt;work-type&gt;Article&lt;/work-type&gt;&lt;urls&gt;&lt;related-urls&gt;&lt;url&gt;http://search.ebscohost.com/login.aspx?direct=true&amp;amp;db=asn&amp;amp;AN=124088486&amp;amp;site=ehost-live&amp;amp;authtype=ip,shib&amp;amp;user=s1523151&lt;/url&gt;&lt;/related-urls&gt;&lt;/urls&gt;&lt;electronic-resource-num&gt;10.1186/s40608-017-0162-4&lt;/electronic-resource-num&gt;&lt;remote-database-name&gt;asn&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(Nuertey et al., 2017)</w:t>
            </w:r>
            <w:r w:rsidRPr="00000849">
              <w:rPr>
                <w:rFonts w:ascii="Calibri" w:eastAsia="Times New Roman" w:hAnsi="Calibri" w:cs="Calibri"/>
                <w:color w:val="000000"/>
                <w:sz w:val="14"/>
                <w:szCs w:val="14"/>
              </w:rPr>
              <w:fldChar w:fldCharType="end"/>
            </w:r>
          </w:p>
        </w:tc>
        <w:tc>
          <w:tcPr>
            <w:tcW w:w="329" w:type="pct"/>
            <w:hideMark/>
          </w:tcPr>
          <w:p w14:paraId="55EAD3F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Apr 2014 - Dec 2014</w:t>
            </w:r>
          </w:p>
        </w:tc>
        <w:tc>
          <w:tcPr>
            <w:tcW w:w="292" w:type="pct"/>
            <w:hideMark/>
          </w:tcPr>
          <w:p w14:paraId="2CD30E84"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37E0989F"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Ghana</w:t>
            </w:r>
          </w:p>
        </w:tc>
        <w:tc>
          <w:tcPr>
            <w:tcW w:w="398" w:type="pct"/>
            <w:hideMark/>
          </w:tcPr>
          <w:p w14:paraId="3E4BEE38"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National</w:t>
            </w:r>
          </w:p>
        </w:tc>
        <w:tc>
          <w:tcPr>
            <w:tcW w:w="305" w:type="pct"/>
            <w:hideMark/>
          </w:tcPr>
          <w:p w14:paraId="01FEA7C0"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21761637"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Registered pensioners who presented for medical screening</w:t>
            </w:r>
          </w:p>
        </w:tc>
        <w:tc>
          <w:tcPr>
            <w:tcW w:w="196" w:type="pct"/>
            <w:hideMark/>
          </w:tcPr>
          <w:p w14:paraId="4A3F0EE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3069</w:t>
            </w:r>
          </w:p>
        </w:tc>
        <w:tc>
          <w:tcPr>
            <w:tcW w:w="263" w:type="pct"/>
            <w:hideMark/>
          </w:tcPr>
          <w:p w14:paraId="702C8DD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1402</w:t>
            </w:r>
          </w:p>
        </w:tc>
        <w:tc>
          <w:tcPr>
            <w:tcW w:w="198" w:type="pct"/>
            <w:hideMark/>
          </w:tcPr>
          <w:p w14:paraId="784B231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4471</w:t>
            </w:r>
          </w:p>
        </w:tc>
        <w:tc>
          <w:tcPr>
            <w:tcW w:w="320" w:type="pct"/>
            <w:hideMark/>
          </w:tcPr>
          <w:p w14:paraId="758EE27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93.0</w:t>
            </w:r>
          </w:p>
        </w:tc>
        <w:tc>
          <w:tcPr>
            <w:tcW w:w="308" w:type="pct"/>
            <w:hideMark/>
          </w:tcPr>
          <w:p w14:paraId="05936586"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99.2</w:t>
            </w:r>
          </w:p>
        </w:tc>
        <w:tc>
          <w:tcPr>
            <w:tcW w:w="224" w:type="pct"/>
            <w:hideMark/>
          </w:tcPr>
          <w:p w14:paraId="02AA7B4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Min 56</w:t>
            </w:r>
          </w:p>
        </w:tc>
        <w:tc>
          <w:tcPr>
            <w:tcW w:w="211" w:type="pct"/>
            <w:hideMark/>
          </w:tcPr>
          <w:p w14:paraId="61474195"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28.5</w:t>
            </w:r>
          </w:p>
        </w:tc>
        <w:tc>
          <w:tcPr>
            <w:tcW w:w="264" w:type="pct"/>
            <w:hideMark/>
          </w:tcPr>
          <w:p w14:paraId="05ABCA3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67.2 ± 5.4</w:t>
            </w:r>
          </w:p>
        </w:tc>
        <w:tc>
          <w:tcPr>
            <w:tcW w:w="188" w:type="pct"/>
            <w:hideMark/>
          </w:tcPr>
          <w:p w14:paraId="2A79B61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1A4A56F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30F7CCD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47.8</w:t>
            </w:r>
          </w:p>
        </w:tc>
      </w:tr>
      <w:tr w:rsidR="00DE034C" w:rsidRPr="00000849" w14:paraId="448B5987"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51E8A5D1" w14:textId="0486D0CC"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Ochayi 2006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&lt;EndNote&gt;&lt;Cite&gt;&lt;Author&gt;Ochayi&lt;/Author&gt;&lt;Year&gt;2006&lt;/Year&gt;&lt;RecNum&gt;306&lt;/RecNum&gt;&lt;DisplayText&gt;(Ochayi &amp;amp; Thacher, 2006)&lt;/DisplayText&gt;&lt;record&gt;&lt;rec-number&gt;306&lt;/rec-number&gt;&lt;foreign-keys&gt;&lt;key app="EN" db-id="pzfw02x58peadyevdp8vswt40etp25t5ddp0" timestamp="1541337738"&gt;306&lt;/key&gt;&lt;/foreign-keys&gt;&lt;ref-type name="Journal Article"&gt;17&lt;/ref-type&gt;&lt;contributors&gt;&lt;authors&gt;&lt;author&gt;Ochayi, B&lt;/author&gt;&lt;author&gt;Thacher, TD&lt;/author&gt;&lt;/authors&gt;&lt;/contributors&gt;&lt;titles&gt;&lt;title&gt;Risk factors for dementia in central Nigeria&lt;/title&gt;&lt;secondary-title&gt;Aging Mental Health&lt;/secondary-title&gt;&lt;/titles&gt;&lt;periodical&gt;&lt;full-title&gt;Aging Mental Health&lt;/full-title&gt;&lt;abbr-1&gt;Aging Ment Health&lt;/abbr-1&gt;&lt;/periodical&gt;&lt;pages&gt;616-620&lt;/pages&gt;&lt;volume&gt;10&lt;/volume&gt;&lt;number&gt;6&lt;/number&gt;&lt;dates&gt;&lt;year&gt;2006&lt;/year&gt;&lt;/dates&gt;&lt;isbn&gt;1360-7863&lt;/isbn&gt;&lt;urls&gt;&lt;/urls&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(Ochayi &amp; Thacher, 2006)</w:t>
            </w:r>
            <w:r w:rsidRPr="00000849">
              <w:rPr>
                <w:rFonts w:ascii="Calibri" w:eastAsia="Times New Roman" w:hAnsi="Calibri" w:cs="Calibri"/>
                <w:color w:val="000000"/>
                <w:sz w:val="14"/>
                <w:szCs w:val="14"/>
              </w:rPr>
              <w:fldChar w:fldCharType="end"/>
            </w:r>
          </w:p>
        </w:tc>
        <w:tc>
          <w:tcPr>
            <w:tcW w:w="329" w:type="pct"/>
            <w:hideMark/>
          </w:tcPr>
          <w:p w14:paraId="652E1532"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Jan 2002 - Dec 2002</w:t>
            </w:r>
          </w:p>
        </w:tc>
        <w:tc>
          <w:tcPr>
            <w:tcW w:w="292" w:type="pct"/>
            <w:hideMark/>
          </w:tcPr>
          <w:p w14:paraId="33F009F0"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1ABA0FCF"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Nigeria</w:t>
            </w:r>
          </w:p>
        </w:tc>
        <w:tc>
          <w:tcPr>
            <w:tcW w:w="398" w:type="pct"/>
            <w:hideMark/>
          </w:tcPr>
          <w:p w14:paraId="6EFD46F2"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Jos South Local Government Area</w:t>
            </w:r>
          </w:p>
        </w:tc>
        <w:tc>
          <w:tcPr>
            <w:tcW w:w="305" w:type="pct"/>
            <w:hideMark/>
          </w:tcPr>
          <w:p w14:paraId="0597AE73"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270C210F"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≥65 years</w:t>
            </w:r>
          </w:p>
        </w:tc>
        <w:tc>
          <w:tcPr>
            <w:tcW w:w="196" w:type="pct"/>
            <w:hideMark/>
          </w:tcPr>
          <w:p w14:paraId="175D078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136</w:t>
            </w:r>
          </w:p>
        </w:tc>
        <w:tc>
          <w:tcPr>
            <w:tcW w:w="263" w:type="pct"/>
            <w:hideMark/>
          </w:tcPr>
          <w:p w14:paraId="66F6A00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144</w:t>
            </w:r>
          </w:p>
        </w:tc>
        <w:tc>
          <w:tcPr>
            <w:tcW w:w="198" w:type="pct"/>
            <w:hideMark/>
          </w:tcPr>
          <w:p w14:paraId="1E66328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280</w:t>
            </w:r>
          </w:p>
        </w:tc>
        <w:tc>
          <w:tcPr>
            <w:tcW w:w="320" w:type="pct"/>
            <w:hideMark/>
          </w:tcPr>
          <w:p w14:paraId="51ACC31A"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94.9</w:t>
            </w:r>
          </w:p>
        </w:tc>
        <w:tc>
          <w:tcPr>
            <w:tcW w:w="308" w:type="pct"/>
            <w:hideMark/>
          </w:tcPr>
          <w:p w14:paraId="6BC58B6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148272F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6B80771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3A66A57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73.0 ± 9.0</w:t>
            </w:r>
          </w:p>
        </w:tc>
        <w:tc>
          <w:tcPr>
            <w:tcW w:w="188" w:type="pct"/>
            <w:hideMark/>
          </w:tcPr>
          <w:p w14:paraId="0EE7CCA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6DA41D5A"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4C070659"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39.6</w:t>
            </w:r>
          </w:p>
        </w:tc>
      </w:tr>
      <w:tr w:rsidR="00DE034C" w:rsidRPr="00000849" w14:paraId="444B5116" w14:textId="77777777" w:rsidTr="0017762C">
        <w:trPr>
          <w:divId w:val="1161234288"/>
          <w:trHeight w:val="630"/>
        </w:trPr>
        <w:tc>
          <w:tcPr>
            <w:cnfStyle w:val="001000000000" w:firstRow="0" w:lastRow="0" w:firstColumn="1" w:lastColumn="0" w:oddVBand="0" w:evenVBand="0" w:oddHBand="0" w:evenHBand="0" w:firstRowFirstColumn="0" w:firstRowLastColumn="0" w:lastRowFirstColumn="0" w:lastRowLastColumn="0"/>
            <w:tcW w:w="351" w:type="pct"/>
            <w:hideMark/>
          </w:tcPr>
          <w:p w14:paraId="30F657AD" w14:textId="58EEE5FF" w:rsidR="00DE034C" w:rsidRPr="00000849" w:rsidRDefault="00DE034C" w:rsidP="00DE034C">
            <w:pPr>
              <w:spacing w:after="0" w:line="240" w:lineRule="auto"/>
              <w:rPr>
                <w:rFonts w:ascii="Calibri" w:eastAsia="Times New Roman" w:hAnsi="Calibri" w:cs="Calibri"/>
                <w:b w:val="0"/>
                <w:color w:val="000000"/>
                <w:sz w:val="14"/>
                <w:szCs w:val="14"/>
                <w:lang w:val="fr-FR"/>
              </w:rPr>
            </w:pPr>
            <w:r w:rsidRPr="00000849">
              <w:rPr>
                <w:rFonts w:ascii="Calibri" w:eastAsia="Times New Roman" w:hAnsi="Calibri" w:cs="Calibri"/>
                <w:color w:val="000000"/>
                <w:sz w:val="14"/>
                <w:szCs w:val="14"/>
                <w:lang w:val="fr-FR"/>
              </w:rPr>
              <w:lastRenderedPageBreak/>
              <w:t xml:space="preserve">Ogunniyi 2011A </w:t>
            </w:r>
            <w:r w:rsidRPr="00000849">
              <w:rPr>
                <w:rFonts w:ascii="Calibri" w:eastAsia="Times New Roman" w:hAnsi="Calibri" w:cs="Calibri"/>
                <w:color w:val="000000"/>
                <w:sz w:val="14"/>
                <w:szCs w:val="14"/>
              </w:rPr>
              <w:fldChar w:fldCharType="begin">
                <w:fldData xml:space="preserve">PEVuZE5vdGU+PENpdGU+PEF1dGhvcj5PZ3Vubml5aTwvQXV0aG9yPjxZZWFyPjIwMTE8L1llYXI+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</w:fldData>
              </w:fldChar>
            </w:r>
            <w:r w:rsidR="00806613" w:rsidRPr="00000849">
              <w:rPr>
                <w:rFonts w:ascii="Calibri" w:eastAsia="Times New Roman" w:hAnsi="Calibri" w:cs="Calibri"/>
                <w:color w:val="000000"/>
                <w:sz w:val="14"/>
                <w:szCs w:val="14"/>
                <w:lang w:val="fr-FR"/>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PEVuZE5vdGU+PENpdGU+PEF1dGhvcj5PZ3Vubml5aTwvQXV0aG9yPjxZZWFyPjIwMTE8L1llYXI+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</w:fldData>
              </w:fldChar>
            </w:r>
            <w:r w:rsidR="00806613" w:rsidRPr="00000849">
              <w:rPr>
                <w:rFonts w:ascii="Calibri" w:eastAsia="Times New Roman" w:hAnsi="Calibri" w:cs="Calibri"/>
                <w:color w:val="000000"/>
                <w:sz w:val="14"/>
                <w:szCs w:val="14"/>
                <w:lang w:val="fr-FR"/>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lang w:val="fr-FR"/>
              </w:rPr>
              <w:t>(Ogunniyi et al., 2011)</w:t>
            </w:r>
            <w:r w:rsidRPr="00000849">
              <w:rPr>
                <w:rFonts w:ascii="Calibri" w:eastAsia="Times New Roman" w:hAnsi="Calibri" w:cs="Calibri"/>
                <w:color w:val="000000"/>
                <w:sz w:val="14"/>
                <w:szCs w:val="14"/>
              </w:rPr>
              <w:fldChar w:fldCharType="end"/>
            </w:r>
          </w:p>
        </w:tc>
        <w:tc>
          <w:tcPr>
            <w:tcW w:w="329" w:type="pct"/>
            <w:hideMark/>
          </w:tcPr>
          <w:p w14:paraId="758E5432"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2001 - 2007</w:t>
            </w:r>
          </w:p>
        </w:tc>
        <w:tc>
          <w:tcPr>
            <w:tcW w:w="292" w:type="pct"/>
            <w:hideMark/>
          </w:tcPr>
          <w:p w14:paraId="704105E3"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098BBBE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Nigeria</w:t>
            </w:r>
          </w:p>
        </w:tc>
        <w:tc>
          <w:tcPr>
            <w:tcW w:w="398" w:type="pct"/>
            <w:hideMark/>
          </w:tcPr>
          <w:p w14:paraId="50B3FF5B"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Elderly Yoruba residents 65+ years in Idikan Ward of Ibadan City, Nigeria</w:t>
            </w:r>
          </w:p>
        </w:tc>
        <w:tc>
          <w:tcPr>
            <w:tcW w:w="305" w:type="pct"/>
            <w:hideMark/>
          </w:tcPr>
          <w:p w14:paraId="2458249F"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6481A414" w14:textId="16D4F781" w:rsidR="00DE034C" w:rsidRPr="00000849" w:rsidRDefault="0042223A"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w:t>
            </w:r>
            <w:r w:rsidR="00DE034C" w:rsidRPr="00000849">
              <w:rPr>
                <w:rFonts w:ascii="Calibri" w:eastAsia="Times New Roman" w:hAnsi="Calibri" w:cs="Calibri"/>
                <w:color w:val="000000"/>
                <w:sz w:val="14"/>
                <w:szCs w:val="14"/>
              </w:rPr>
              <w:t>ubjects</w:t>
            </w:r>
            <w:r w:rsidRPr="00000849">
              <w:rPr>
                <w:rFonts w:ascii="Calibri" w:eastAsia="Times New Roman" w:hAnsi="Calibri" w:cs="Calibri"/>
                <w:color w:val="000000"/>
                <w:sz w:val="14"/>
                <w:szCs w:val="14"/>
              </w:rPr>
              <w:t xml:space="preserve"> without dementia</w:t>
            </w:r>
            <w:r w:rsidR="00DE034C" w:rsidRPr="00000849">
              <w:rPr>
                <w:rFonts w:ascii="Calibri" w:eastAsia="Times New Roman" w:hAnsi="Calibri" w:cs="Calibri"/>
                <w:color w:val="000000"/>
                <w:sz w:val="14"/>
                <w:szCs w:val="14"/>
              </w:rPr>
              <w:t xml:space="preserve"> aged ≥65 years from a 2001 baseline cohort</w:t>
            </w:r>
          </w:p>
        </w:tc>
        <w:tc>
          <w:tcPr>
            <w:tcW w:w="196" w:type="pct"/>
            <w:hideMark/>
          </w:tcPr>
          <w:p w14:paraId="5C80759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892</w:t>
            </w:r>
          </w:p>
        </w:tc>
        <w:tc>
          <w:tcPr>
            <w:tcW w:w="263" w:type="pct"/>
            <w:hideMark/>
          </w:tcPr>
          <w:p w14:paraId="472B47D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1826</w:t>
            </w:r>
          </w:p>
        </w:tc>
        <w:tc>
          <w:tcPr>
            <w:tcW w:w="198" w:type="pct"/>
            <w:hideMark/>
          </w:tcPr>
          <w:p w14:paraId="6270E3B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2718</w:t>
            </w:r>
          </w:p>
        </w:tc>
        <w:tc>
          <w:tcPr>
            <w:tcW w:w="320" w:type="pct"/>
            <w:hideMark/>
          </w:tcPr>
          <w:p w14:paraId="1FDCDC0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Number eligible in 2001 not reported</w:t>
            </w:r>
          </w:p>
        </w:tc>
        <w:tc>
          <w:tcPr>
            <w:tcW w:w="308" w:type="pct"/>
            <w:hideMark/>
          </w:tcPr>
          <w:p w14:paraId="76F24F6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99.5</w:t>
            </w:r>
          </w:p>
        </w:tc>
        <w:tc>
          <w:tcPr>
            <w:tcW w:w="224" w:type="pct"/>
            <w:hideMark/>
          </w:tcPr>
          <w:p w14:paraId="48DE536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1433716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1492A9C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76.18 ± 5.35; 77.51 ± 6.03</w:t>
            </w:r>
          </w:p>
        </w:tc>
        <w:tc>
          <w:tcPr>
            <w:tcW w:w="188" w:type="pct"/>
            <w:hideMark/>
          </w:tcPr>
          <w:p w14:paraId="5989037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785634C8"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1E33CCF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62.1</w:t>
            </w:r>
          </w:p>
        </w:tc>
      </w:tr>
      <w:tr w:rsidR="00DE034C" w:rsidRPr="00000849" w14:paraId="44DF7388"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840"/>
        </w:trPr>
        <w:tc>
          <w:tcPr>
            <w:cnfStyle w:val="001000000000" w:firstRow="0" w:lastRow="0" w:firstColumn="1" w:lastColumn="0" w:oddVBand="0" w:evenVBand="0" w:oddHBand="0" w:evenHBand="0" w:firstRowFirstColumn="0" w:firstRowLastColumn="0" w:lastRowFirstColumn="0" w:lastRowLastColumn="0"/>
            <w:tcW w:w="351" w:type="pct"/>
            <w:hideMark/>
          </w:tcPr>
          <w:p w14:paraId="187290A9" w14:textId="179EB785" w:rsidR="00DE034C" w:rsidRPr="00000849" w:rsidRDefault="00DE034C" w:rsidP="00DE034C">
            <w:pPr>
              <w:spacing w:after="0" w:line="240" w:lineRule="auto"/>
              <w:rPr>
                <w:rFonts w:ascii="Calibri" w:eastAsia="Times New Roman" w:hAnsi="Calibri" w:cs="Calibri"/>
                <w:b w:val="0"/>
                <w:color w:val="000000"/>
                <w:sz w:val="14"/>
                <w:szCs w:val="14"/>
                <w:lang w:val="fr-FR"/>
              </w:rPr>
            </w:pPr>
            <w:r w:rsidRPr="00000849">
              <w:rPr>
                <w:rFonts w:ascii="Calibri" w:eastAsia="Times New Roman" w:hAnsi="Calibri" w:cs="Calibri"/>
                <w:color w:val="000000"/>
                <w:sz w:val="14"/>
                <w:szCs w:val="14"/>
                <w:lang w:val="fr-FR"/>
              </w:rPr>
              <w:t xml:space="preserve">Ogunniyi 2011B </w:t>
            </w:r>
            <w:r w:rsidRPr="00000849">
              <w:rPr>
                <w:rFonts w:ascii="Calibri" w:eastAsia="Times New Roman" w:hAnsi="Calibri" w:cs="Calibri"/>
                <w:color w:val="000000"/>
                <w:sz w:val="14"/>
                <w:szCs w:val="14"/>
              </w:rPr>
              <w:fldChar w:fldCharType="begin">
                <w:fldData xml:space="preserve">PEVuZE5vdGU+PENpdGU+PEF1dGhvcj5PZ3Vubml5aTwvQXV0aG9yPjxZZWFyPjIwMTE8L1llYXI+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</w:fldData>
              </w:fldChar>
            </w:r>
            <w:r w:rsidR="00806613" w:rsidRPr="00000849">
              <w:rPr>
                <w:rFonts w:ascii="Calibri" w:eastAsia="Times New Roman" w:hAnsi="Calibri" w:cs="Calibri"/>
                <w:color w:val="000000"/>
                <w:sz w:val="14"/>
                <w:szCs w:val="14"/>
                <w:lang w:val="fr-FR"/>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PEVuZE5vdGU+PENpdGU+PEF1dGhvcj5PZ3Vubml5aTwvQXV0aG9yPjxZZWFyPjIwMTE8L1llYXI+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</w:fldData>
              </w:fldChar>
            </w:r>
            <w:r w:rsidR="00806613" w:rsidRPr="00000849">
              <w:rPr>
                <w:rFonts w:ascii="Calibri" w:eastAsia="Times New Roman" w:hAnsi="Calibri" w:cs="Calibri"/>
                <w:color w:val="000000"/>
                <w:sz w:val="14"/>
                <w:szCs w:val="14"/>
                <w:lang w:val="fr-FR"/>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lang w:val="fr-FR"/>
              </w:rPr>
              <w:t>(Ogunniyi et al., 2011)</w:t>
            </w:r>
            <w:r w:rsidRPr="00000849">
              <w:rPr>
                <w:rFonts w:ascii="Calibri" w:eastAsia="Times New Roman" w:hAnsi="Calibri" w:cs="Calibri"/>
                <w:color w:val="000000"/>
                <w:sz w:val="14"/>
                <w:szCs w:val="14"/>
              </w:rPr>
              <w:fldChar w:fldCharType="end"/>
            </w:r>
          </w:p>
        </w:tc>
        <w:tc>
          <w:tcPr>
            <w:tcW w:w="329" w:type="pct"/>
            <w:hideMark/>
          </w:tcPr>
          <w:p w14:paraId="7E246ACC"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2001 - 2007</w:t>
            </w:r>
          </w:p>
        </w:tc>
        <w:tc>
          <w:tcPr>
            <w:tcW w:w="292" w:type="pct"/>
            <w:hideMark/>
          </w:tcPr>
          <w:p w14:paraId="56221848"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750A6BE1"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Nigeria</w:t>
            </w:r>
          </w:p>
        </w:tc>
        <w:tc>
          <w:tcPr>
            <w:tcW w:w="398" w:type="pct"/>
            <w:hideMark/>
          </w:tcPr>
          <w:p w14:paraId="2BD97BE5"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Elderly Yoruba residents 65+ years in Idikan Ward of Ibadan City, Nigeria</w:t>
            </w:r>
          </w:p>
        </w:tc>
        <w:tc>
          <w:tcPr>
            <w:tcW w:w="305" w:type="pct"/>
            <w:hideMark/>
          </w:tcPr>
          <w:p w14:paraId="5172BC0F"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39A56A4F"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Non-demented subjects aged ≥65 years from the 2001 evaluation wave who were re-evaluated during the 2004 and 2007 waves for dementia</w:t>
            </w:r>
          </w:p>
        </w:tc>
        <w:tc>
          <w:tcPr>
            <w:tcW w:w="196" w:type="pct"/>
            <w:hideMark/>
          </w:tcPr>
          <w:p w14:paraId="19EC30E4"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543</w:t>
            </w:r>
          </w:p>
        </w:tc>
        <w:tc>
          <w:tcPr>
            <w:tcW w:w="263" w:type="pct"/>
            <w:hideMark/>
          </w:tcPr>
          <w:p w14:paraId="151C6CA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1210</w:t>
            </w:r>
          </w:p>
        </w:tc>
        <w:tc>
          <w:tcPr>
            <w:tcW w:w="198" w:type="pct"/>
            <w:hideMark/>
          </w:tcPr>
          <w:p w14:paraId="7E8103A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1753</w:t>
            </w:r>
          </w:p>
        </w:tc>
        <w:tc>
          <w:tcPr>
            <w:tcW w:w="320" w:type="pct"/>
            <w:hideMark/>
          </w:tcPr>
          <w:p w14:paraId="367523D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64.5</w:t>
            </w:r>
          </w:p>
        </w:tc>
        <w:tc>
          <w:tcPr>
            <w:tcW w:w="308" w:type="pct"/>
            <w:hideMark/>
          </w:tcPr>
          <w:p w14:paraId="46EC956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64.5</w:t>
            </w:r>
          </w:p>
        </w:tc>
        <w:tc>
          <w:tcPr>
            <w:tcW w:w="224" w:type="pct"/>
            <w:hideMark/>
          </w:tcPr>
          <w:p w14:paraId="7D2C168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1F6A681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5028ACE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437DCC4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4C124F4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75792DD0"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60.9</w:t>
            </w:r>
          </w:p>
        </w:tc>
      </w:tr>
      <w:tr w:rsidR="00DE034C" w:rsidRPr="00000849" w14:paraId="3E5C68B7"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4B6002B2" w14:textId="36D12F52"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Osman 2017 </w:t>
            </w:r>
            <w:r w:rsidRPr="00000849">
              <w:rPr>
                <w:rFonts w:ascii="Calibri" w:eastAsia="Times New Roman" w:hAnsi="Calibri" w:cs="Calibri"/>
                <w:color w:val="000000"/>
                <w:sz w:val="14"/>
                <w:szCs w:val="14"/>
              </w:rPr>
              <w:fldChar w:fldCharType="begin"/>
            </w:r>
            <w:r w:rsidR="003E660C" w:rsidRPr="00000849">
              <w:rPr>
                <w:rFonts w:ascii="Calibri" w:eastAsia="Times New Roman" w:hAnsi="Calibri" w:cs="Calibri"/>
                <w:color w:val="000000"/>
                <w:sz w:val="14"/>
                <w:szCs w:val="14"/>
              </w:rPr>
              <w:instrText xml:space="preserve"> ADDIN EN.CITE &lt;EndNote&gt;&lt;Cite&gt;&lt;Author&gt;Osman&lt;/Author&gt;&lt;Year&gt;2017&lt;/Year&gt;&lt;RecNum&gt;1133&lt;/RecNum&gt;&lt;DisplayText&gt;(Osman, 2017)&lt;/DisplayText&gt;&lt;record&gt;&lt;rec-number&gt;1133&lt;/rec-number&gt;&lt;foreign-keys&gt;&lt;key app="EN" db-id="9tzf2rda8re2a9es5tuxart3swzx2zws2s02" timestamp="1580375462"&gt;1133&lt;/key&gt;&lt;/foreign-keys&gt;&lt;ref-type name="Thesis"&gt;32&lt;/ref-type&gt;&lt;contributors&gt;&lt;authors&gt;&lt;author&gt;Osman, Amatu-Quddus&lt;/author&gt;&lt;/authors&gt;&lt;/contributors&gt;&lt;titles&gt;&lt;title&gt;Nutrition &amp;amp; Health Status, Quality of Life, and Associated Factors among Non-Institutionalized Older Ghanaians&lt;/title&gt;&lt;secondary-title&gt;Department of Biochemistry and Biotechnology&lt;/secondary-title&gt;&lt;/titles&gt;&lt;volume&gt;MPhil&lt;/volume&gt;&lt;dates&gt;&lt;year&gt;2017&lt;/year&gt;&lt;/dates&gt;&lt;pub-location&gt;Kumasi&lt;/pub-location&gt;&lt;publisher&gt;Kwame Nkrumah University of Science and Technology&lt;/publisher&gt;&lt;work-type&gt;MPhil in Human Nutrition and Dietetics&lt;/work-type&gt;&lt;urls&gt;&lt;/urls&gt;&lt;/record&gt;&lt;/Cite&gt;&lt;/EndNote&gt;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(Osman, 2017)</w:t>
            </w:r>
            <w:r w:rsidRPr="00000849">
              <w:rPr>
                <w:rFonts w:ascii="Calibri" w:eastAsia="Times New Roman" w:hAnsi="Calibri" w:cs="Calibri"/>
                <w:color w:val="000000"/>
                <w:sz w:val="14"/>
                <w:szCs w:val="14"/>
              </w:rPr>
              <w:fldChar w:fldCharType="end"/>
            </w:r>
          </w:p>
        </w:tc>
        <w:tc>
          <w:tcPr>
            <w:tcW w:w="329" w:type="pct"/>
            <w:hideMark/>
          </w:tcPr>
          <w:p w14:paraId="3D543BC8"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Nov 2016 - Dec 2016</w:t>
            </w:r>
          </w:p>
        </w:tc>
        <w:tc>
          <w:tcPr>
            <w:tcW w:w="292" w:type="pct"/>
            <w:hideMark/>
          </w:tcPr>
          <w:p w14:paraId="63864EAE"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3285600C"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Ghana</w:t>
            </w:r>
          </w:p>
        </w:tc>
        <w:tc>
          <w:tcPr>
            <w:tcW w:w="398" w:type="pct"/>
            <w:hideMark/>
          </w:tcPr>
          <w:p w14:paraId="41C28958"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 districts in Ashanti Region</w:t>
            </w:r>
          </w:p>
        </w:tc>
        <w:tc>
          <w:tcPr>
            <w:tcW w:w="305" w:type="pct"/>
            <w:hideMark/>
          </w:tcPr>
          <w:p w14:paraId="5F1BDEC4"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4B3DF153"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≥65 years</w:t>
            </w:r>
          </w:p>
        </w:tc>
        <w:tc>
          <w:tcPr>
            <w:tcW w:w="196" w:type="pct"/>
            <w:hideMark/>
          </w:tcPr>
          <w:p w14:paraId="225FDB1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135</w:t>
            </w:r>
          </w:p>
        </w:tc>
        <w:tc>
          <w:tcPr>
            <w:tcW w:w="263" w:type="pct"/>
            <w:hideMark/>
          </w:tcPr>
          <w:p w14:paraId="5265B8D5"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265</w:t>
            </w:r>
          </w:p>
        </w:tc>
        <w:tc>
          <w:tcPr>
            <w:tcW w:w="198" w:type="pct"/>
            <w:hideMark/>
          </w:tcPr>
          <w:p w14:paraId="2370A04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400</w:t>
            </w:r>
          </w:p>
        </w:tc>
        <w:tc>
          <w:tcPr>
            <w:tcW w:w="320" w:type="pct"/>
            <w:hideMark/>
          </w:tcPr>
          <w:p w14:paraId="32C219B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308" w:type="pct"/>
            <w:hideMark/>
          </w:tcPr>
          <w:p w14:paraId="5B614B5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3E94E60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7148AF8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4" w:type="pct"/>
            <w:hideMark/>
          </w:tcPr>
          <w:p w14:paraId="0C835904"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25FAA92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57.8</w:t>
            </w:r>
          </w:p>
        </w:tc>
        <w:tc>
          <w:tcPr>
            <w:tcW w:w="263" w:type="pct"/>
            <w:hideMark/>
          </w:tcPr>
          <w:p w14:paraId="1C36ECB8"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52.5</w:t>
            </w:r>
          </w:p>
        </w:tc>
        <w:tc>
          <w:tcPr>
            <w:tcW w:w="198" w:type="pct"/>
            <w:hideMark/>
          </w:tcPr>
          <w:p w14:paraId="02241C4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54.3</w:t>
            </w:r>
          </w:p>
        </w:tc>
      </w:tr>
      <w:tr w:rsidR="00DE034C" w:rsidRPr="00000849" w14:paraId="2106D3C9"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7A2A076D" w14:textId="365DC853"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Paddick 2015 </w:t>
            </w:r>
            <w:r w:rsidRPr="00000849">
              <w:rPr>
                <w:rFonts w:ascii="Calibri" w:eastAsia="Times New Roman" w:hAnsi="Calibri" w:cs="Calibri"/>
                <w:color w:val="000000"/>
                <w:sz w:val="14"/>
                <w:szCs w:val="14"/>
              </w:rPr>
              <w:fldChar w:fldCharType="begin">
                <w:fldData xml:space="preserve">PEVuZE5vdGU+PENpdGU+PEF1dGhvcj5QYWRkaWNrPC9BdXRob3I+PFllYXI+MjAxNTwvWWVhcj48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</w:fldData>
              </w:fldChar>
            </w:r>
            <w:r w:rsidR="00806613" w:rsidRPr="00000849">
              <w:rPr>
                <w:rFonts w:ascii="Calibri" w:eastAsia="Times New Roman" w:hAnsi="Calibri" w:cs="Calibri"/>
                <w:color w:val="000000"/>
                <w:sz w:val="14"/>
                <w:szCs w:val="14"/>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PEVuZE5vdGU+PENpdGU+PEF1dGhvcj5QYWRkaWNrPC9BdXRob3I+PFllYXI+MjAxNTwvWWVhcj48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</w:fldData>
              </w:fldChar>
            </w:r>
            <w:r w:rsidR="00806613" w:rsidRPr="00000849">
              <w:rPr>
                <w:rFonts w:ascii="Calibri" w:eastAsia="Times New Roman" w:hAnsi="Calibri" w:cs="Calibri"/>
                <w:color w:val="000000"/>
                <w:sz w:val="14"/>
                <w:szCs w:val="14"/>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(Paddick et al., 2015)</w:t>
            </w:r>
            <w:r w:rsidRPr="00000849">
              <w:rPr>
                <w:rFonts w:ascii="Calibri" w:eastAsia="Times New Roman" w:hAnsi="Calibri" w:cs="Calibri"/>
                <w:color w:val="000000"/>
                <w:sz w:val="14"/>
                <w:szCs w:val="14"/>
              </w:rPr>
              <w:fldChar w:fldCharType="end"/>
            </w:r>
          </w:p>
        </w:tc>
        <w:tc>
          <w:tcPr>
            <w:tcW w:w="329" w:type="pct"/>
            <w:hideMark/>
          </w:tcPr>
          <w:p w14:paraId="396BD45D"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Apr 2010 - Mar 2014</w:t>
            </w:r>
          </w:p>
        </w:tc>
        <w:tc>
          <w:tcPr>
            <w:tcW w:w="292" w:type="pct"/>
            <w:hideMark/>
          </w:tcPr>
          <w:p w14:paraId="78BEBFAF"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48CC9CD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Tanzania</w:t>
            </w:r>
          </w:p>
        </w:tc>
        <w:tc>
          <w:tcPr>
            <w:tcW w:w="398" w:type="pct"/>
            <w:hideMark/>
          </w:tcPr>
          <w:p w14:paraId="6CAA2FD5"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Hai district</w:t>
            </w:r>
          </w:p>
        </w:tc>
        <w:tc>
          <w:tcPr>
            <w:tcW w:w="305" w:type="pct"/>
            <w:hideMark/>
          </w:tcPr>
          <w:p w14:paraId="57F9FA02"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w:t>
            </w:r>
          </w:p>
        </w:tc>
        <w:tc>
          <w:tcPr>
            <w:tcW w:w="372" w:type="pct"/>
            <w:hideMark/>
          </w:tcPr>
          <w:p w14:paraId="2BF913D7"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≥70 years with mild cognitive impairment</w:t>
            </w:r>
          </w:p>
        </w:tc>
        <w:tc>
          <w:tcPr>
            <w:tcW w:w="196" w:type="pct"/>
            <w:hideMark/>
          </w:tcPr>
          <w:p w14:paraId="0D7AF54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w:t>
            </w:r>
          </w:p>
        </w:tc>
        <w:tc>
          <w:tcPr>
            <w:tcW w:w="263" w:type="pct"/>
            <w:hideMark/>
          </w:tcPr>
          <w:p w14:paraId="412053E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36</w:t>
            </w:r>
          </w:p>
        </w:tc>
        <w:tc>
          <w:tcPr>
            <w:tcW w:w="198" w:type="pct"/>
            <w:hideMark/>
          </w:tcPr>
          <w:p w14:paraId="1040683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46</w:t>
            </w:r>
          </w:p>
        </w:tc>
        <w:tc>
          <w:tcPr>
            <w:tcW w:w="320" w:type="pct"/>
            <w:hideMark/>
          </w:tcPr>
          <w:p w14:paraId="11EBCE6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15.5</w:t>
            </w:r>
          </w:p>
        </w:tc>
        <w:tc>
          <w:tcPr>
            <w:tcW w:w="308" w:type="pct"/>
            <w:hideMark/>
          </w:tcPr>
          <w:p w14:paraId="1E59B13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15.5</w:t>
            </w:r>
          </w:p>
        </w:tc>
        <w:tc>
          <w:tcPr>
            <w:tcW w:w="224" w:type="pct"/>
            <w:hideMark/>
          </w:tcPr>
          <w:p w14:paraId="71EF56A0"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05DB3050"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64" w:type="pct"/>
            <w:hideMark/>
          </w:tcPr>
          <w:p w14:paraId="44D92E0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5AC7888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33CD6F8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6B3D12CB"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69.6</w:t>
            </w:r>
          </w:p>
        </w:tc>
      </w:tr>
      <w:tr w:rsidR="00DE034C" w:rsidRPr="00000849" w14:paraId="1720812D"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1DF77800" w14:textId="0F460399" w:rsidR="00DE034C" w:rsidRPr="00000849" w:rsidRDefault="00DE034C" w:rsidP="00DE034C">
            <w:pPr>
              <w:spacing w:after="0" w:line="240" w:lineRule="auto"/>
              <w:rPr>
                <w:rFonts w:ascii="Calibri" w:eastAsia="Times New Roman" w:hAnsi="Calibri" w:cs="Calibri"/>
                <w:b w:val="0"/>
                <w:color w:val="000000"/>
                <w:sz w:val="14"/>
                <w:szCs w:val="14"/>
                <w:lang w:val="pt-PT"/>
              </w:rPr>
            </w:pPr>
            <w:r w:rsidRPr="00000849">
              <w:rPr>
                <w:rFonts w:ascii="Calibri" w:eastAsia="Times New Roman" w:hAnsi="Calibri" w:cs="Calibri"/>
                <w:color w:val="000000"/>
                <w:sz w:val="14"/>
                <w:szCs w:val="14"/>
                <w:lang w:val="pt-PT"/>
              </w:rPr>
              <w:t xml:space="preserve">Peltzer 2013 </w:t>
            </w:r>
            <w:r w:rsidRPr="00000849">
              <w:rPr>
                <w:rFonts w:ascii="Calibri" w:eastAsia="Times New Roman" w:hAnsi="Calibri" w:cs="Calibri"/>
                <w:color w:val="000000"/>
                <w:sz w:val="14"/>
                <w:szCs w:val="14"/>
              </w:rPr>
              <w:fldChar w:fldCharType="begin"/>
            </w:r>
            <w:r w:rsidR="00AC2BE6" w:rsidRPr="00920AA1">
              <w:rPr>
                <w:rFonts w:ascii="Calibri" w:eastAsia="Times New Roman" w:hAnsi="Calibri" w:cs="Calibri"/>
                <w:color w:val="000000"/>
                <w:sz w:val="14"/>
                <w:szCs w:val="14"/>
                <w:lang w:val="pt-PT"/>
              </w:rPr>
              <w:instrText xml:space="preserve"> ADDIN EN.CITE &lt;EndNote&gt;&lt;Cite&gt;&lt;Author&gt;Peltzer&lt;/Author&gt;&lt;Year&gt;2013&lt;/Year&gt;&lt;RecNum&gt;869&lt;/RecNum&gt;&lt;DisplayText&gt;(Peltzer &amp;amp; Phaswana-Mafuya, 2013a)&lt;/DisplayText&gt;&lt;record&gt;&lt;rec-number&gt;869&lt;/rec-number&gt;&lt;foreign-keys&gt;&lt;key app="EN" db-id="29t2ptva8t9xtgex0z2vepsadpwpfxd9a2zv" timestamp="1615774562"&gt;869&lt;/key&gt;&lt;/foreign-keys&gt;&lt;ref-type name="Journal Article"&gt;17&lt;/ref-type&gt;&lt;contributors&gt;&lt;authors&gt;&lt;author&gt;Peltzer, K.&lt;/author&gt;&lt;author&gt;Phaswana-Mafuya, N.&lt;/author&gt;&lt;/authors&gt;&lt;/contributors&gt;&lt;auth-address&gt;HIV/AIDS/SIT and TB (HAST), Human Sciences Research Council, Pretoria, South Africa&lt;/auth-address&gt;&lt;titles&gt;&lt;title&gt;Hypertension and associated factors in older adults in South Africa&lt;/title&gt;&lt;secondary-title&gt;Cardiovascular Journal of Africa&lt;/secondary-title&gt;&lt;/titles&gt;&lt;periodical&gt;&lt;full-title&gt;Cardiovascular Journal of Africa&lt;/full-title&gt;&lt;abbr-1&gt;Cardiovasc J Afr&lt;/abbr-1&gt;&lt;/periodical&gt;&lt;pages&gt;66-71&lt;/pages&gt;&lt;volume&gt;24&lt;/volume&gt;&lt;number&gt;3&lt;/number&gt;&lt;keywords&gt;&lt;keyword&gt;adult&lt;/keyword&gt;&lt;keyword&gt;aged&lt;/keyword&gt;&lt;keyword&gt;anthropometry&lt;/keyword&gt;&lt;keyword&gt;article&lt;/keyword&gt;&lt;keyword&gt;blood pressure measurement&lt;/keyword&gt;&lt;keyword&gt;female&lt;/keyword&gt;&lt;keyword&gt;human&lt;/keyword&gt;&lt;keyword&gt;*hypertension/ep [Epidemiology]&lt;/keyword&gt;&lt;keyword&gt;major clinical study&lt;/keyword&gt;&lt;keyword&gt;male&lt;/keyword&gt;&lt;keyword&gt;outpatient care&lt;/keyword&gt;&lt;keyword&gt;prevalence&lt;/keyword&gt;&lt;keyword&gt;questionnaire&lt;/keyword&gt;&lt;keyword&gt;*senescence&lt;/keyword&gt;&lt;keyword&gt;*South Africa&lt;/keyword&gt;&lt;/keywords&gt;&lt;dates&gt;&lt;year&gt;2013&lt;/year&gt;&lt;/dates&gt;&lt;pub-location&gt;South Africa&lt;/pub-location&gt;&lt;publisher&gt;Clinics Cardive Publishing (PTY)Ltd (PO Box 1013, Durbanville 7551, South Africa)&lt;/publisher&gt;&lt;isbn&gt;1995-1892&lt;/isbn&gt;&lt;urls&gt;&lt;related-urls&gt;&lt;url&gt;http://search.sabinet.co.za/WebZ/images/ejour/cardio1/cardio1_v24_n3_a5.pdf?sessionid=01-35585-666414646&amp;amp;format=F&lt;/url&gt;&lt;url&gt;http://ovidsp.ovid.com/ovidweb.cgi?T=JS&amp;amp;PAGE=reference&amp;amp;D=emed15&amp;amp;NEWS=N&amp;amp;AN=368996853&lt;/url&gt;&lt;/related-urls&gt;&lt;/urls&gt;&lt;electronic-resource-num&gt;10.5830/cvja-2013-002&lt;/electronic-resource-num&gt;&lt;/record&gt;&lt;/Cite&gt;&lt;/EndNote&gt;</w:instrText>
            </w:r>
            <w:r w:rsidRPr="00000849">
              <w:rPr>
                <w:rFonts w:ascii="Calibri" w:eastAsia="Times New Roman" w:hAnsi="Calibri" w:cs="Calibri"/>
                <w:color w:val="000000"/>
                <w:sz w:val="14"/>
                <w:szCs w:val="14"/>
              </w:rPr>
              <w:fldChar w:fldCharType="separate"/>
            </w:r>
            <w:r w:rsidR="00D363A0" w:rsidRPr="00D363A0">
              <w:rPr>
                <w:rFonts w:ascii="Calibri" w:eastAsia="Times New Roman" w:hAnsi="Calibri" w:cs="Calibri"/>
                <w:noProof/>
                <w:color w:val="000000"/>
                <w:sz w:val="14"/>
                <w:szCs w:val="14"/>
                <w:lang w:val="pt-PT"/>
              </w:rPr>
              <w:t>(Peltzer &amp; Phaswana-Mafuya, 2013a)</w:t>
            </w:r>
            <w:r w:rsidRPr="00000849">
              <w:rPr>
                <w:rFonts w:ascii="Calibri" w:eastAsia="Times New Roman" w:hAnsi="Calibri" w:cs="Calibri"/>
                <w:color w:val="000000"/>
                <w:sz w:val="14"/>
                <w:szCs w:val="14"/>
              </w:rPr>
              <w:fldChar w:fldCharType="end"/>
            </w:r>
          </w:p>
        </w:tc>
        <w:tc>
          <w:tcPr>
            <w:tcW w:w="329" w:type="pct"/>
            <w:hideMark/>
          </w:tcPr>
          <w:p w14:paraId="39C35165" w14:textId="77777777" w:rsidR="00DE034C" w:rsidRPr="00000849" w:rsidRDefault="00DE034C" w:rsidP="00DE034C">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2007</w:t>
            </w:r>
          </w:p>
        </w:tc>
        <w:tc>
          <w:tcPr>
            <w:tcW w:w="292" w:type="pct"/>
            <w:hideMark/>
          </w:tcPr>
          <w:p w14:paraId="15166EC7"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Southern</w:t>
            </w:r>
          </w:p>
        </w:tc>
        <w:tc>
          <w:tcPr>
            <w:tcW w:w="318" w:type="pct"/>
            <w:hideMark/>
          </w:tcPr>
          <w:p w14:paraId="18A48F07"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South Africa</w:t>
            </w:r>
          </w:p>
        </w:tc>
        <w:tc>
          <w:tcPr>
            <w:tcW w:w="398" w:type="pct"/>
            <w:hideMark/>
          </w:tcPr>
          <w:p w14:paraId="7C0FC500"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National</w:t>
            </w:r>
          </w:p>
        </w:tc>
        <w:tc>
          <w:tcPr>
            <w:tcW w:w="305" w:type="pct"/>
            <w:hideMark/>
          </w:tcPr>
          <w:p w14:paraId="04057974"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611112B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 50 years</w:t>
            </w:r>
          </w:p>
        </w:tc>
        <w:tc>
          <w:tcPr>
            <w:tcW w:w="196" w:type="pct"/>
            <w:hideMark/>
          </w:tcPr>
          <w:p w14:paraId="6707931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1638</w:t>
            </w:r>
          </w:p>
        </w:tc>
        <w:tc>
          <w:tcPr>
            <w:tcW w:w="263" w:type="pct"/>
            <w:hideMark/>
          </w:tcPr>
          <w:p w14:paraId="28A3351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2202</w:t>
            </w:r>
          </w:p>
        </w:tc>
        <w:tc>
          <w:tcPr>
            <w:tcW w:w="198" w:type="pct"/>
            <w:hideMark/>
          </w:tcPr>
          <w:p w14:paraId="1839B696"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3840</w:t>
            </w:r>
          </w:p>
        </w:tc>
        <w:tc>
          <w:tcPr>
            <w:tcW w:w="320" w:type="pct"/>
            <w:hideMark/>
          </w:tcPr>
          <w:p w14:paraId="791E678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60.0</w:t>
            </w:r>
          </w:p>
        </w:tc>
        <w:tc>
          <w:tcPr>
            <w:tcW w:w="308" w:type="pct"/>
            <w:hideMark/>
          </w:tcPr>
          <w:p w14:paraId="1E770B2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95.6</w:t>
            </w:r>
          </w:p>
        </w:tc>
        <w:tc>
          <w:tcPr>
            <w:tcW w:w="224" w:type="pct"/>
            <w:hideMark/>
          </w:tcPr>
          <w:p w14:paraId="57F48281"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5A3F81C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23.8</w:t>
            </w:r>
          </w:p>
        </w:tc>
        <w:tc>
          <w:tcPr>
            <w:tcW w:w="264" w:type="pct"/>
            <w:hideMark/>
          </w:tcPr>
          <w:p w14:paraId="516387BD" w14:textId="77777777" w:rsidR="00DE034C" w:rsidRPr="00000849" w:rsidRDefault="00DE034C" w:rsidP="00DE034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p>
        </w:tc>
        <w:tc>
          <w:tcPr>
            <w:tcW w:w="188" w:type="pct"/>
            <w:hideMark/>
          </w:tcPr>
          <w:p w14:paraId="725B379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r w:rsidRPr="00000849">
              <w:rPr>
                <w:rFonts w:ascii="Calibri" w:eastAsia="Times New Roman" w:hAnsi="Calibri" w:cs="Calibri"/>
                <w:color w:val="000000"/>
                <w:sz w:val="14"/>
                <w:szCs w:val="14"/>
              </w:rPr>
              <w:t>74.4</w:t>
            </w:r>
          </w:p>
        </w:tc>
        <w:tc>
          <w:tcPr>
            <w:tcW w:w="263" w:type="pct"/>
            <w:hideMark/>
          </w:tcPr>
          <w:p w14:paraId="306FDB0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79.6</w:t>
            </w:r>
          </w:p>
        </w:tc>
        <w:tc>
          <w:tcPr>
            <w:tcW w:w="198" w:type="pct"/>
            <w:hideMark/>
          </w:tcPr>
          <w:p w14:paraId="4E330A5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77.4</w:t>
            </w:r>
          </w:p>
        </w:tc>
      </w:tr>
      <w:tr w:rsidR="00DE034C" w:rsidRPr="00000849" w14:paraId="66B982EC"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55085F75" w14:textId="42D31CF8" w:rsidR="00DE034C" w:rsidRPr="00000849" w:rsidRDefault="00DE034C" w:rsidP="00DE034C">
            <w:pPr>
              <w:spacing w:after="0" w:line="240" w:lineRule="auto"/>
              <w:rPr>
                <w:rFonts w:ascii="Calibri" w:eastAsia="Times New Roman" w:hAnsi="Calibri" w:cs="Calibri"/>
                <w:b w:val="0"/>
                <w:color w:val="000000"/>
                <w:sz w:val="14"/>
                <w:szCs w:val="14"/>
                <w:lang w:val="fr-FR"/>
              </w:rPr>
            </w:pPr>
            <w:r w:rsidRPr="00000849">
              <w:rPr>
                <w:rFonts w:ascii="Calibri" w:eastAsia="Times New Roman" w:hAnsi="Calibri" w:cs="Calibri"/>
                <w:color w:val="000000"/>
                <w:sz w:val="14"/>
                <w:szCs w:val="14"/>
                <w:lang w:val="fr-FR"/>
              </w:rPr>
              <w:t xml:space="preserve">Pilleron 2017A </w:t>
            </w:r>
            <w:r w:rsidRPr="00000849">
              <w:rPr>
                <w:rFonts w:ascii="Calibri" w:eastAsia="Times New Roman" w:hAnsi="Calibri" w:cs="Calibri"/>
                <w:color w:val="000000"/>
                <w:sz w:val="14"/>
                <w:szCs w:val="1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806613" w:rsidRPr="00000849">
              <w:rPr>
                <w:rFonts w:ascii="Calibri" w:eastAsia="Times New Roman" w:hAnsi="Calibri" w:cs="Calibri"/>
                <w:color w:val="000000"/>
                <w:sz w:val="14"/>
                <w:szCs w:val="14"/>
                <w:lang w:val="fr-FR"/>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806613" w:rsidRPr="00000849">
              <w:rPr>
                <w:rFonts w:ascii="Calibri" w:eastAsia="Times New Roman" w:hAnsi="Calibri" w:cs="Calibri"/>
                <w:color w:val="000000"/>
                <w:sz w:val="14"/>
                <w:szCs w:val="14"/>
                <w:lang w:val="fr-FR"/>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lang w:val="fr-FR"/>
              </w:rPr>
              <w:t>(Pilleron et al., 2017)</w:t>
            </w:r>
            <w:r w:rsidRPr="00000849">
              <w:rPr>
                <w:rFonts w:ascii="Calibri" w:eastAsia="Times New Roman" w:hAnsi="Calibri" w:cs="Calibri"/>
                <w:color w:val="000000"/>
                <w:sz w:val="14"/>
                <w:szCs w:val="14"/>
              </w:rPr>
              <w:fldChar w:fldCharType="end"/>
            </w:r>
          </w:p>
        </w:tc>
        <w:tc>
          <w:tcPr>
            <w:tcW w:w="329" w:type="pct"/>
            <w:hideMark/>
          </w:tcPr>
          <w:p w14:paraId="3D42E99D"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Nov 2011 - Dec 2012</w:t>
            </w:r>
          </w:p>
        </w:tc>
        <w:tc>
          <w:tcPr>
            <w:tcW w:w="292" w:type="pct"/>
            <w:hideMark/>
          </w:tcPr>
          <w:p w14:paraId="4B090B45"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Central</w:t>
            </w:r>
          </w:p>
        </w:tc>
        <w:tc>
          <w:tcPr>
            <w:tcW w:w="318" w:type="pct"/>
            <w:hideMark/>
          </w:tcPr>
          <w:p w14:paraId="35022ABD"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CAR</w:t>
            </w:r>
          </w:p>
        </w:tc>
        <w:tc>
          <w:tcPr>
            <w:tcW w:w="398" w:type="pct"/>
            <w:hideMark/>
          </w:tcPr>
          <w:p w14:paraId="2F2E51E1"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Bangui, Nola</w:t>
            </w:r>
          </w:p>
        </w:tc>
        <w:tc>
          <w:tcPr>
            <w:tcW w:w="305" w:type="pct"/>
            <w:hideMark/>
          </w:tcPr>
          <w:p w14:paraId="1F07E794"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0D4BCD25"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≥65 years</w:t>
            </w:r>
          </w:p>
        </w:tc>
        <w:tc>
          <w:tcPr>
            <w:tcW w:w="196" w:type="pct"/>
            <w:hideMark/>
          </w:tcPr>
          <w:p w14:paraId="3009B6A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366</w:t>
            </w:r>
          </w:p>
        </w:tc>
        <w:tc>
          <w:tcPr>
            <w:tcW w:w="263" w:type="pct"/>
            <w:hideMark/>
          </w:tcPr>
          <w:p w14:paraId="7FB0A63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601</w:t>
            </w:r>
          </w:p>
        </w:tc>
        <w:tc>
          <w:tcPr>
            <w:tcW w:w="198" w:type="pct"/>
            <w:hideMark/>
          </w:tcPr>
          <w:p w14:paraId="36E66B3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967</w:t>
            </w:r>
          </w:p>
        </w:tc>
        <w:tc>
          <w:tcPr>
            <w:tcW w:w="320" w:type="pct"/>
            <w:hideMark/>
          </w:tcPr>
          <w:p w14:paraId="40AD17B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94.7</w:t>
            </w:r>
          </w:p>
        </w:tc>
        <w:tc>
          <w:tcPr>
            <w:tcW w:w="308" w:type="pct"/>
            <w:hideMark/>
          </w:tcPr>
          <w:p w14:paraId="4B74B54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575B5C2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65 - 93</w:t>
            </w:r>
          </w:p>
        </w:tc>
        <w:tc>
          <w:tcPr>
            <w:tcW w:w="211" w:type="pct"/>
            <w:hideMark/>
          </w:tcPr>
          <w:p w14:paraId="66EB2B9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60.4</w:t>
            </w:r>
          </w:p>
        </w:tc>
        <w:tc>
          <w:tcPr>
            <w:tcW w:w="264" w:type="pct"/>
            <w:hideMark/>
          </w:tcPr>
          <w:p w14:paraId="66F34CF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72.8 ± 6.5, 72.6 ± 6.4</w:t>
            </w:r>
          </w:p>
        </w:tc>
        <w:tc>
          <w:tcPr>
            <w:tcW w:w="188" w:type="pct"/>
            <w:hideMark/>
          </w:tcPr>
          <w:p w14:paraId="1EDD74A8"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30D11657"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6052E21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53.7</w:t>
            </w:r>
          </w:p>
        </w:tc>
      </w:tr>
      <w:tr w:rsidR="00DE034C" w:rsidRPr="00000849" w14:paraId="19F89533"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75E07265" w14:textId="6943E2B5" w:rsidR="00DE034C" w:rsidRPr="00000849" w:rsidRDefault="00DE034C" w:rsidP="00DE034C">
            <w:pPr>
              <w:spacing w:after="0" w:line="240" w:lineRule="auto"/>
              <w:rPr>
                <w:rFonts w:ascii="Calibri" w:eastAsia="Times New Roman" w:hAnsi="Calibri" w:cs="Calibri"/>
                <w:b w:val="0"/>
                <w:color w:val="000000"/>
                <w:sz w:val="14"/>
                <w:szCs w:val="14"/>
                <w:lang w:val="fr-FR"/>
              </w:rPr>
            </w:pPr>
            <w:r w:rsidRPr="00000849">
              <w:rPr>
                <w:rFonts w:ascii="Calibri" w:eastAsia="Times New Roman" w:hAnsi="Calibri" w:cs="Calibri"/>
                <w:color w:val="000000"/>
                <w:sz w:val="14"/>
                <w:szCs w:val="14"/>
                <w:lang w:val="fr-FR"/>
              </w:rPr>
              <w:t xml:space="preserve">Pilleron 2017B </w:t>
            </w:r>
            <w:r w:rsidRPr="00000849">
              <w:rPr>
                <w:rFonts w:ascii="Calibri" w:eastAsia="Times New Roman" w:hAnsi="Calibri" w:cs="Calibri"/>
                <w:color w:val="000000"/>
                <w:sz w:val="14"/>
                <w:szCs w:val="1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806613" w:rsidRPr="00000849">
              <w:rPr>
                <w:rFonts w:ascii="Calibri" w:eastAsia="Times New Roman" w:hAnsi="Calibri" w:cs="Calibri"/>
                <w:color w:val="000000"/>
                <w:sz w:val="14"/>
                <w:szCs w:val="14"/>
                <w:lang w:val="fr-FR"/>
              </w:rPr>
              <w:instrText xml:space="preserve"> ADDIN EN.CITE </w:instrText>
            </w:r>
            <w:r w:rsidR="00806613" w:rsidRPr="00000849">
              <w:rPr>
                <w:rFonts w:ascii="Calibri" w:eastAsia="Times New Roman" w:hAnsi="Calibri" w:cs="Calibri"/>
                <w:color w:val="000000"/>
                <w:sz w:val="14"/>
                <w:szCs w:val="14"/>
              </w:rPr>
              <w:fldChar w:fldCharType="begin">
                <w:fldData xml:space="preserve">PEVuZE5vdGU+PENpdGU+PEF1dGhvcj5QaWxsZXJvbjwvQXV0aG9yPjxZZWFyPjIwMTc8L1llYXI+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</w:fldData>
              </w:fldChar>
            </w:r>
            <w:r w:rsidR="00806613" w:rsidRPr="00000849">
              <w:rPr>
                <w:rFonts w:ascii="Calibri" w:eastAsia="Times New Roman" w:hAnsi="Calibri" w:cs="Calibri"/>
                <w:color w:val="000000"/>
                <w:sz w:val="14"/>
                <w:szCs w:val="14"/>
                <w:lang w:val="fr-FR"/>
              </w:rPr>
              <w:instrText xml:space="preserve"> ADDIN EN.CITE.DATA </w:instrText>
            </w:r>
            <w:r w:rsidR="00806613" w:rsidRPr="00000849">
              <w:rPr>
                <w:rFonts w:ascii="Calibri" w:eastAsia="Times New Roman" w:hAnsi="Calibri" w:cs="Calibri"/>
                <w:color w:val="000000"/>
                <w:sz w:val="14"/>
                <w:szCs w:val="14"/>
              </w:rPr>
            </w:r>
            <w:r w:rsidR="00806613" w:rsidRPr="00000849">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lang w:val="fr-FR"/>
              </w:rPr>
              <w:t>(Pilleron et al., 2017)</w:t>
            </w:r>
            <w:r w:rsidRPr="00000849">
              <w:rPr>
                <w:rFonts w:ascii="Calibri" w:eastAsia="Times New Roman" w:hAnsi="Calibri" w:cs="Calibri"/>
                <w:color w:val="000000"/>
                <w:sz w:val="14"/>
                <w:szCs w:val="14"/>
              </w:rPr>
              <w:fldChar w:fldCharType="end"/>
            </w:r>
          </w:p>
        </w:tc>
        <w:tc>
          <w:tcPr>
            <w:tcW w:w="329" w:type="pct"/>
            <w:hideMark/>
          </w:tcPr>
          <w:p w14:paraId="3E9184A7"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Nov 2011 - Dec 2012</w:t>
            </w:r>
          </w:p>
        </w:tc>
        <w:tc>
          <w:tcPr>
            <w:tcW w:w="292" w:type="pct"/>
            <w:hideMark/>
          </w:tcPr>
          <w:p w14:paraId="6F9ACD29"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Central</w:t>
            </w:r>
          </w:p>
        </w:tc>
        <w:tc>
          <w:tcPr>
            <w:tcW w:w="318" w:type="pct"/>
            <w:hideMark/>
          </w:tcPr>
          <w:p w14:paraId="20BD9D93"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Congo</w:t>
            </w:r>
          </w:p>
        </w:tc>
        <w:tc>
          <w:tcPr>
            <w:tcW w:w="398" w:type="pct"/>
            <w:hideMark/>
          </w:tcPr>
          <w:p w14:paraId="2552D7A9"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Brazzaville, Gamboma</w:t>
            </w:r>
          </w:p>
        </w:tc>
        <w:tc>
          <w:tcPr>
            <w:tcW w:w="305" w:type="pct"/>
            <w:hideMark/>
          </w:tcPr>
          <w:p w14:paraId="76283E44"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00E9A8AC"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≥65 years</w:t>
            </w:r>
          </w:p>
        </w:tc>
        <w:tc>
          <w:tcPr>
            <w:tcW w:w="196" w:type="pct"/>
            <w:hideMark/>
          </w:tcPr>
          <w:p w14:paraId="1EF88C9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400</w:t>
            </w:r>
          </w:p>
        </w:tc>
        <w:tc>
          <w:tcPr>
            <w:tcW w:w="263" w:type="pct"/>
            <w:hideMark/>
          </w:tcPr>
          <w:p w14:paraId="4036B9A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623</w:t>
            </w:r>
          </w:p>
        </w:tc>
        <w:tc>
          <w:tcPr>
            <w:tcW w:w="198" w:type="pct"/>
            <w:hideMark/>
          </w:tcPr>
          <w:p w14:paraId="0E7DFD00"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1023</w:t>
            </w:r>
          </w:p>
        </w:tc>
        <w:tc>
          <w:tcPr>
            <w:tcW w:w="320" w:type="pct"/>
            <w:hideMark/>
          </w:tcPr>
          <w:p w14:paraId="125FAE6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94.7</w:t>
            </w:r>
          </w:p>
        </w:tc>
        <w:tc>
          <w:tcPr>
            <w:tcW w:w="308" w:type="pct"/>
            <w:hideMark/>
          </w:tcPr>
          <w:p w14:paraId="7BB1C714"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6E2F568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65 - 99</w:t>
            </w:r>
          </w:p>
        </w:tc>
        <w:tc>
          <w:tcPr>
            <w:tcW w:w="211" w:type="pct"/>
            <w:hideMark/>
          </w:tcPr>
          <w:p w14:paraId="29177A72"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66.8</w:t>
            </w:r>
          </w:p>
        </w:tc>
        <w:tc>
          <w:tcPr>
            <w:tcW w:w="264" w:type="pct"/>
            <w:hideMark/>
          </w:tcPr>
          <w:p w14:paraId="04C13591"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74.0 ± 6.9; 73.6 ± 6.7</w:t>
            </w:r>
          </w:p>
        </w:tc>
        <w:tc>
          <w:tcPr>
            <w:tcW w:w="188" w:type="pct"/>
            <w:hideMark/>
          </w:tcPr>
          <w:p w14:paraId="0330C07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00543EF8"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3B006A3E"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68.0</w:t>
            </w:r>
          </w:p>
        </w:tc>
      </w:tr>
      <w:tr w:rsidR="00DE034C" w:rsidRPr="00000849" w14:paraId="70D20882"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630"/>
        </w:trPr>
        <w:tc>
          <w:tcPr>
            <w:cnfStyle w:val="001000000000" w:firstRow="0" w:lastRow="0" w:firstColumn="1" w:lastColumn="0" w:oddVBand="0" w:evenVBand="0" w:oddHBand="0" w:evenHBand="0" w:firstRowFirstColumn="0" w:firstRowLastColumn="0" w:lastRowFirstColumn="0" w:lastRowLastColumn="0"/>
            <w:tcW w:w="351" w:type="pct"/>
            <w:hideMark/>
          </w:tcPr>
          <w:p w14:paraId="70809672" w14:textId="07D3460A"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lastRenderedPageBreak/>
              <w:t xml:space="preserve">Putnam 2018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&lt;EndNote&gt;&lt;Cite&gt;&lt;Author&gt;Putnam&lt;/Author&gt;&lt;Year&gt;2018&lt;/Year&gt;&lt;RecNum&gt;44&lt;/RecNum&gt;&lt;DisplayText&gt;(Putnam et al., 2018)&lt;/DisplayText&gt;&lt;record&gt;&lt;rec-number&gt;44&lt;/rec-number&gt;&lt;foreign-keys&gt;&lt;key app="EN" db-id="pzfw02x58peadyevdp8vswt40etp25t5ddp0" timestamp="1533782220"&gt;44&lt;/key&gt;&lt;/foreign-keys&gt;&lt;ref-type name="Journal Article"&gt;17&lt;/ref-type&gt;&lt;contributors&gt;&lt;authors&gt;&lt;author&gt;Putnam, Harry W. I.&lt;/author&gt;&lt;author&gt;Jones, Rebecca&lt;/author&gt;&lt;author&gt;Rogathi, Jane&lt;/author&gt;&lt;author&gt;Gray, William K.&lt;/author&gt;&lt;author&gt;Swai, Bernadetha&lt;/author&gt;&lt;author&gt;Dewhurst, Matthew&lt;/author&gt;&lt;author&gt;Dewhurst, Felicity&lt;/author&gt;&lt;author&gt;Walker, Richard W.&lt;/author&gt;&lt;/authors&gt;&lt;/contributors&gt;&lt;titles&gt;&lt;title&gt;Hypertension in a resource-limited setting: Is it associated with end organ damage in older adults in rural Tanzania?&lt;/title&gt;&lt;secondary-title&gt;Journal of Clinical Hypertension&lt;/secondary-title&gt;&lt;/titles&gt;&lt;periodical&gt;&lt;full-title&gt;Journal of Clinical Hypertension&lt;/full-title&gt;&lt;abbr-1&gt;J Clin Hypertens (Greenwich)&lt;/abbr-1&gt;&lt;/periodical&gt;&lt;pages&gt;217-224&lt;/pages&gt;&lt;volume&gt;20&lt;/volume&gt;&lt;number&gt;2&lt;/number&gt;&lt;keywords&gt;&lt;keyword&gt;end organ damage&lt;/keyword&gt;&lt;keyword&gt;hypertension&lt;/keyword&gt;&lt;keyword&gt;low‐ and middle‐income countries&lt;/keyword&gt;&lt;keyword&gt;sub‐Saharan Africa&lt;/keyword&gt;&lt;keyword&gt;Tanzania&lt;/keyword&gt;&lt;/keywords&gt;&lt;dates&gt;&lt;year&gt;2018&lt;/year&gt;&lt;/dates&gt;&lt;isbn&gt;15246175&lt;/isbn&gt;&lt;accession-num&gt;128138159&lt;/accession-num&gt;&lt;work-type&gt;journal article&lt;/work-type&gt;&lt;urls&gt;&lt;related-urls&gt;&lt;url&gt;http://search.ebscohost.com/login.aspx?direct=true&amp;amp;db=asn&amp;amp;AN=128138159&amp;amp;site=ehost-live&amp;amp;authtype=ip,shib&amp;amp;user=s1523151&lt;/url&gt;&lt;/related-urls&gt;&lt;/urls&gt;&lt;electronic-resource-num&gt;10.1111/jch.13187&lt;/electronic-resource-num&gt;&lt;remote-database-name&gt;asn&lt;/remote-database-name&gt;&lt;remote-database-provider&gt;EBSCOhost&lt;/remote-database-provider&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(Putnam et al., 2018)</w:t>
            </w:r>
            <w:r w:rsidRPr="00000849">
              <w:rPr>
                <w:rFonts w:ascii="Calibri" w:eastAsia="Times New Roman" w:hAnsi="Calibri" w:cs="Calibri"/>
                <w:color w:val="000000"/>
                <w:sz w:val="14"/>
                <w:szCs w:val="14"/>
              </w:rPr>
              <w:fldChar w:fldCharType="end"/>
            </w:r>
          </w:p>
        </w:tc>
        <w:tc>
          <w:tcPr>
            <w:tcW w:w="329" w:type="pct"/>
            <w:hideMark/>
          </w:tcPr>
          <w:p w14:paraId="10189A37"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29 Feb 2016 - 13 May 2016</w:t>
            </w:r>
          </w:p>
        </w:tc>
        <w:tc>
          <w:tcPr>
            <w:tcW w:w="292" w:type="pct"/>
            <w:hideMark/>
          </w:tcPr>
          <w:p w14:paraId="1AE0DAC4"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3F35602E"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Tanzania</w:t>
            </w:r>
          </w:p>
        </w:tc>
        <w:tc>
          <w:tcPr>
            <w:tcW w:w="398" w:type="pct"/>
            <w:hideMark/>
          </w:tcPr>
          <w:p w14:paraId="7DB7896B"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Hai district</w:t>
            </w:r>
          </w:p>
        </w:tc>
        <w:tc>
          <w:tcPr>
            <w:tcW w:w="305" w:type="pct"/>
            <w:hideMark/>
          </w:tcPr>
          <w:p w14:paraId="051FBD5E"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w:t>
            </w:r>
          </w:p>
        </w:tc>
        <w:tc>
          <w:tcPr>
            <w:tcW w:w="372" w:type="pct"/>
            <w:hideMark/>
          </w:tcPr>
          <w:p w14:paraId="2DB07D6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Sub-sample of a cohort aged ≥70 years who were seen at baseline in 2009/10, and also in 2012/13</w:t>
            </w:r>
          </w:p>
        </w:tc>
        <w:tc>
          <w:tcPr>
            <w:tcW w:w="196" w:type="pct"/>
            <w:hideMark/>
          </w:tcPr>
          <w:p w14:paraId="66C8232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116</w:t>
            </w:r>
          </w:p>
        </w:tc>
        <w:tc>
          <w:tcPr>
            <w:tcW w:w="263" w:type="pct"/>
            <w:hideMark/>
          </w:tcPr>
          <w:p w14:paraId="26FA3CC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130</w:t>
            </w:r>
          </w:p>
        </w:tc>
        <w:tc>
          <w:tcPr>
            <w:tcW w:w="198" w:type="pct"/>
            <w:hideMark/>
          </w:tcPr>
          <w:p w14:paraId="68F995EC"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246</w:t>
            </w:r>
          </w:p>
        </w:tc>
        <w:tc>
          <w:tcPr>
            <w:tcW w:w="320" w:type="pct"/>
            <w:hideMark/>
          </w:tcPr>
          <w:p w14:paraId="49F9687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59.7</w:t>
            </w:r>
          </w:p>
        </w:tc>
        <w:tc>
          <w:tcPr>
            <w:tcW w:w="308" w:type="pct"/>
            <w:hideMark/>
          </w:tcPr>
          <w:p w14:paraId="002935A9"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47FC501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359A3976"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64" w:type="pct"/>
            <w:hideMark/>
          </w:tcPr>
          <w:p w14:paraId="789B2C5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7400386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4781AA8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5476E8E9"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67.5</w:t>
            </w:r>
          </w:p>
        </w:tc>
      </w:tr>
      <w:tr w:rsidR="00DE034C" w:rsidRPr="00000849" w14:paraId="72B4A6F6" w14:textId="77777777" w:rsidTr="0017762C">
        <w:trPr>
          <w:divId w:val="1161234288"/>
          <w:trHeight w:val="840"/>
        </w:trPr>
        <w:tc>
          <w:tcPr>
            <w:cnfStyle w:val="001000000000" w:firstRow="0" w:lastRow="0" w:firstColumn="1" w:lastColumn="0" w:oddVBand="0" w:evenVBand="0" w:oddHBand="0" w:evenHBand="0" w:firstRowFirstColumn="0" w:firstRowLastColumn="0" w:lastRowFirstColumn="0" w:lastRowLastColumn="0"/>
            <w:tcW w:w="351" w:type="pct"/>
            <w:hideMark/>
          </w:tcPr>
          <w:p w14:paraId="449D6993" w14:textId="6A951379"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Raji 2017 </w:t>
            </w:r>
            <w:r w:rsidRPr="00000849">
              <w:rPr>
                <w:rFonts w:ascii="Calibri" w:eastAsia="Times New Roman" w:hAnsi="Calibri" w:cs="Calibri"/>
                <w:color w:val="000000"/>
                <w:sz w:val="14"/>
                <w:szCs w:val="1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rFonts w:ascii="Calibri" w:eastAsia="Times New Roman" w:hAnsi="Calibri" w:cs="Calibri"/>
                <w:color w:val="000000"/>
                <w:sz w:val="14"/>
                <w:szCs w:val="14"/>
              </w:rPr>
              <w:instrText xml:space="preserve"> ADDIN EN.CITE </w:instrText>
            </w:r>
            <w:r w:rsidR="00AC2BE6">
              <w:rPr>
                <w:rFonts w:ascii="Calibri" w:eastAsia="Times New Roman" w:hAnsi="Calibri" w:cs="Calibri"/>
                <w:color w:val="000000"/>
                <w:sz w:val="14"/>
                <w:szCs w:val="14"/>
              </w:rPr>
              <w:fldChar w:fldCharType="begin">
                <w:fldData xml:space="preserve">PEVuZE5vdGU+PENpdGU+PEF1dGhvcj5SYWppPC9BdXRob3I+PFllYXI+MjAxNzwvWWVhcj48UmVj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</w:fldData>
              </w:fldChar>
            </w:r>
            <w:r w:rsidR="00AC2BE6">
              <w:rPr>
                <w:rFonts w:ascii="Calibri" w:eastAsia="Times New Roman" w:hAnsi="Calibri" w:cs="Calibri"/>
                <w:color w:val="000000"/>
                <w:sz w:val="14"/>
                <w:szCs w:val="14"/>
              </w:rPr>
              <w:instrText xml:space="preserve"> ADDIN EN.CITE.DATA </w:instrText>
            </w:r>
            <w:r w:rsidR="00AC2BE6">
              <w:rPr>
                <w:rFonts w:ascii="Calibri" w:eastAsia="Times New Roman" w:hAnsi="Calibri" w:cs="Calibri"/>
                <w:color w:val="000000"/>
                <w:sz w:val="14"/>
                <w:szCs w:val="14"/>
              </w:rPr>
            </w:r>
            <w:r w:rsidR="00AC2BE6">
              <w:rPr>
                <w:rFonts w:ascii="Calibri" w:eastAsia="Times New Roman" w:hAnsi="Calibri" w:cs="Calibri"/>
                <w:color w:val="000000"/>
                <w:sz w:val="14"/>
                <w:szCs w:val="14"/>
              </w:rPr>
              <w:fldChar w:fldCharType="end"/>
            </w:r>
            <w:r w:rsidRPr="00000849">
              <w:rPr>
                <w:rFonts w:ascii="Calibri" w:eastAsia="Times New Roman" w:hAnsi="Calibri" w:cs="Calibri"/>
                <w:color w:val="000000"/>
                <w:sz w:val="14"/>
                <w:szCs w:val="14"/>
              </w:rPr>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(Raji et al., 2017)</w:t>
            </w:r>
            <w:r w:rsidRPr="00000849">
              <w:rPr>
                <w:rFonts w:ascii="Calibri" w:eastAsia="Times New Roman" w:hAnsi="Calibri" w:cs="Calibri"/>
                <w:color w:val="000000"/>
                <w:sz w:val="14"/>
                <w:szCs w:val="14"/>
              </w:rPr>
              <w:fldChar w:fldCharType="end"/>
            </w:r>
          </w:p>
        </w:tc>
        <w:tc>
          <w:tcPr>
            <w:tcW w:w="329" w:type="pct"/>
            <w:hideMark/>
          </w:tcPr>
          <w:p w14:paraId="65E7FA1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Baseline cohort of 2003/2004 followed up in Wave 1 in 2007</w:t>
            </w:r>
          </w:p>
        </w:tc>
        <w:tc>
          <w:tcPr>
            <w:tcW w:w="292" w:type="pct"/>
            <w:hideMark/>
          </w:tcPr>
          <w:p w14:paraId="0F729F26"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Western</w:t>
            </w:r>
          </w:p>
        </w:tc>
        <w:tc>
          <w:tcPr>
            <w:tcW w:w="318" w:type="pct"/>
            <w:hideMark/>
          </w:tcPr>
          <w:p w14:paraId="3B503744"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Nigeria</w:t>
            </w:r>
          </w:p>
        </w:tc>
        <w:tc>
          <w:tcPr>
            <w:tcW w:w="398" w:type="pct"/>
            <w:hideMark/>
          </w:tcPr>
          <w:p w14:paraId="0F6509F7"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 contiguous states in the Southwestern and North central regions</w:t>
            </w:r>
          </w:p>
        </w:tc>
        <w:tc>
          <w:tcPr>
            <w:tcW w:w="305" w:type="pct"/>
            <w:hideMark/>
          </w:tcPr>
          <w:p w14:paraId="323C0F8A"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452CED8F"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 65 years, part of Ibadan Study of Ageing</w:t>
            </w:r>
          </w:p>
        </w:tc>
        <w:tc>
          <w:tcPr>
            <w:tcW w:w="196" w:type="pct"/>
            <w:hideMark/>
          </w:tcPr>
          <w:p w14:paraId="67A26B47"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660</w:t>
            </w:r>
          </w:p>
        </w:tc>
        <w:tc>
          <w:tcPr>
            <w:tcW w:w="263" w:type="pct"/>
            <w:hideMark/>
          </w:tcPr>
          <w:p w14:paraId="5CFA64F3"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809</w:t>
            </w:r>
          </w:p>
        </w:tc>
        <w:tc>
          <w:tcPr>
            <w:tcW w:w="198" w:type="pct"/>
            <w:hideMark/>
          </w:tcPr>
          <w:p w14:paraId="0CFF962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1469</w:t>
            </w:r>
          </w:p>
        </w:tc>
        <w:tc>
          <w:tcPr>
            <w:tcW w:w="320" w:type="pct"/>
            <w:hideMark/>
          </w:tcPr>
          <w:p w14:paraId="4430CBE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76.8</w:t>
            </w:r>
          </w:p>
        </w:tc>
        <w:tc>
          <w:tcPr>
            <w:tcW w:w="308" w:type="pct"/>
            <w:hideMark/>
          </w:tcPr>
          <w:p w14:paraId="1F0C6146"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38FC7EE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499DB199"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79.0</w:t>
            </w:r>
          </w:p>
        </w:tc>
        <w:tc>
          <w:tcPr>
            <w:tcW w:w="264" w:type="pct"/>
            <w:hideMark/>
          </w:tcPr>
          <w:p w14:paraId="41B30536"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76.9 ± 8.4</w:t>
            </w:r>
          </w:p>
        </w:tc>
        <w:tc>
          <w:tcPr>
            <w:tcW w:w="188" w:type="pct"/>
            <w:hideMark/>
          </w:tcPr>
          <w:p w14:paraId="0BDBBF2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62.0</w:t>
            </w:r>
          </w:p>
        </w:tc>
        <w:tc>
          <w:tcPr>
            <w:tcW w:w="263" w:type="pct"/>
            <w:hideMark/>
          </w:tcPr>
          <w:p w14:paraId="084159DF"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70.7</w:t>
            </w:r>
          </w:p>
        </w:tc>
        <w:tc>
          <w:tcPr>
            <w:tcW w:w="198" w:type="pct"/>
            <w:hideMark/>
          </w:tcPr>
          <w:p w14:paraId="4E21688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66.8</w:t>
            </w:r>
          </w:p>
        </w:tc>
      </w:tr>
      <w:tr w:rsidR="00DE034C" w:rsidRPr="00000849" w14:paraId="6B252FE8"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630"/>
        </w:trPr>
        <w:tc>
          <w:tcPr>
            <w:cnfStyle w:val="001000000000" w:firstRow="0" w:lastRow="0" w:firstColumn="1" w:lastColumn="0" w:oddVBand="0" w:evenVBand="0" w:oddHBand="0" w:evenHBand="0" w:firstRowFirstColumn="0" w:firstRowLastColumn="0" w:lastRowFirstColumn="0" w:lastRowLastColumn="0"/>
            <w:tcW w:w="351" w:type="pct"/>
            <w:hideMark/>
          </w:tcPr>
          <w:p w14:paraId="17761EFC" w14:textId="3685843B"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Scholten 2011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&lt;EndNote&gt;&lt;Cite&gt;&lt;Author&gt;Scholten&lt;/Author&gt;&lt;Year&gt;2011&lt;/Year&gt;&lt;RecNum&gt;58&lt;/RecNum&gt;&lt;DisplayText&gt;(Scholten et al., 2011)&lt;/DisplayText&gt;&lt;record&gt;&lt;rec-number&gt;58&lt;/rec-number&gt;&lt;foreign-keys&gt;&lt;key app="EN" db-id="pzfw02x58peadyevdp8vswt40etp25t5ddp0" timestamp="1533820372"&gt;58&lt;/key&gt;&lt;/foreign-keys&gt;&lt;ref-type name="Journal Article"&gt;17&lt;/ref-type&gt;&lt;contributors&gt;&lt;authors&gt;&lt;author&gt;Scholten, Francien&lt;/author&gt;&lt;author&gt;Mugisha, Joseph&lt;/author&gt;&lt;author&gt;Seeley, Janet&lt;/author&gt;&lt;author&gt;Kinyanda, Eugene&lt;/author&gt;&lt;author&gt;Nakubukwa, Susan&lt;/author&gt;&lt;author&gt;Kowal, Paul&lt;/author&gt;&lt;author&gt;Naidoo, Nirmala&lt;/author&gt;&lt;author&gt;Boerma, Ties&lt;/author&gt;&lt;author&gt;Chatterji, Somnath&lt;/author&gt;&lt;author&gt;Grosskurth, Heiner&lt;/author&gt;&lt;/authors&gt;&lt;/contributors&gt;&lt;titles&gt;&lt;title&gt;Health and functional status among older people with HIV/AIDS in Uganda&lt;/title&gt;&lt;secondary-title&gt;BMC Public Health&lt;/secondary-title&gt;&lt;/titles&gt;&lt;periodical&gt;&lt;full-title&gt;BMC Public Health&lt;/full-title&gt;&lt;abbr-1&gt;BMC Public Health&lt;/abbr-1&gt;&lt;/periodical&gt;&lt;pages&gt;886&lt;/pages&gt;&lt;volume&gt;11&lt;/volume&gt;&lt;dates&gt;&lt;year&gt;2011&lt;/year&gt;&lt;/dates&gt;&lt;isbn&gt;1471-2458&lt;/isbn&gt;&lt;urls&gt;&lt;/urls&gt;&lt;electronic-resource-num&gt;10.1186/1471-2458-11-886&lt;/electronic-resource-num&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(Scholten et al., 2011)</w:t>
            </w:r>
            <w:r w:rsidRPr="00000849">
              <w:rPr>
                <w:rFonts w:ascii="Calibri" w:eastAsia="Times New Roman" w:hAnsi="Calibri" w:cs="Calibri"/>
                <w:color w:val="000000"/>
                <w:sz w:val="14"/>
                <w:szCs w:val="14"/>
              </w:rPr>
              <w:fldChar w:fldCharType="end"/>
            </w:r>
          </w:p>
        </w:tc>
        <w:tc>
          <w:tcPr>
            <w:tcW w:w="329" w:type="pct"/>
            <w:hideMark/>
          </w:tcPr>
          <w:p w14:paraId="298F6784"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Jun 2009 - Apr 2010</w:t>
            </w:r>
          </w:p>
        </w:tc>
        <w:tc>
          <w:tcPr>
            <w:tcW w:w="292" w:type="pct"/>
            <w:hideMark/>
          </w:tcPr>
          <w:p w14:paraId="7D82EEBE"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230DED48"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Uganda</w:t>
            </w:r>
          </w:p>
        </w:tc>
        <w:tc>
          <w:tcPr>
            <w:tcW w:w="398" w:type="pct"/>
            <w:hideMark/>
          </w:tcPr>
          <w:p w14:paraId="6854992D"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 area of Masaka district, and peri-urban Wakiso district</w:t>
            </w:r>
          </w:p>
        </w:tc>
        <w:tc>
          <w:tcPr>
            <w:tcW w:w="305" w:type="pct"/>
            <w:hideMark/>
          </w:tcPr>
          <w:p w14:paraId="10855221"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65AC7C5A"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≥50 years</w:t>
            </w:r>
          </w:p>
        </w:tc>
        <w:tc>
          <w:tcPr>
            <w:tcW w:w="196" w:type="pct"/>
            <w:hideMark/>
          </w:tcPr>
          <w:p w14:paraId="252B63A9"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198</w:t>
            </w:r>
          </w:p>
        </w:tc>
        <w:tc>
          <w:tcPr>
            <w:tcW w:w="263" w:type="pct"/>
            <w:hideMark/>
          </w:tcPr>
          <w:p w14:paraId="0C9B118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312</w:t>
            </w:r>
          </w:p>
        </w:tc>
        <w:tc>
          <w:tcPr>
            <w:tcW w:w="198" w:type="pct"/>
            <w:hideMark/>
          </w:tcPr>
          <w:p w14:paraId="33FB43C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510</w:t>
            </w:r>
          </w:p>
        </w:tc>
        <w:tc>
          <w:tcPr>
            <w:tcW w:w="320" w:type="pct"/>
            <w:hideMark/>
          </w:tcPr>
          <w:p w14:paraId="4964E351"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&gt;99%</w:t>
            </w:r>
          </w:p>
        </w:tc>
        <w:tc>
          <w:tcPr>
            <w:tcW w:w="308" w:type="pct"/>
            <w:hideMark/>
          </w:tcPr>
          <w:p w14:paraId="3E717E15"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100.0</w:t>
            </w:r>
          </w:p>
        </w:tc>
        <w:tc>
          <w:tcPr>
            <w:tcW w:w="224" w:type="pct"/>
            <w:hideMark/>
          </w:tcPr>
          <w:p w14:paraId="22FEB56F"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11" w:type="pct"/>
            <w:hideMark/>
          </w:tcPr>
          <w:p w14:paraId="208339F2"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34.9</w:t>
            </w:r>
          </w:p>
        </w:tc>
        <w:tc>
          <w:tcPr>
            <w:tcW w:w="264" w:type="pct"/>
            <w:hideMark/>
          </w:tcPr>
          <w:p w14:paraId="6552AB7D"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2F89CB8E"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30.3</w:t>
            </w:r>
          </w:p>
        </w:tc>
        <w:tc>
          <w:tcPr>
            <w:tcW w:w="263" w:type="pct"/>
            <w:hideMark/>
          </w:tcPr>
          <w:p w14:paraId="5452C4B3"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34.6</w:t>
            </w:r>
          </w:p>
        </w:tc>
        <w:tc>
          <w:tcPr>
            <w:tcW w:w="198" w:type="pct"/>
            <w:hideMark/>
          </w:tcPr>
          <w:p w14:paraId="0650F720" w14:textId="77777777" w:rsidR="00DE034C" w:rsidRPr="00000849" w:rsidRDefault="00DE034C" w:rsidP="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32.9</w:t>
            </w:r>
          </w:p>
        </w:tc>
      </w:tr>
      <w:tr w:rsidR="00DE034C" w:rsidRPr="00000849" w14:paraId="783DC864" w14:textId="77777777" w:rsidTr="0017762C">
        <w:trPr>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0CABDAB5" w14:textId="51505042"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Tianyi 2017 </w:t>
            </w:r>
            <w:r w:rsidRPr="00000849">
              <w:rPr>
                <w:rFonts w:ascii="Calibri" w:eastAsia="Times New Roman" w:hAnsi="Calibri" w:cs="Calibri"/>
                <w:color w:val="000000"/>
                <w:sz w:val="14"/>
                <w:szCs w:val="14"/>
              </w:rPr>
              <w:fldChar w:fldCharType="begin"/>
            </w:r>
            <w:r w:rsidR="00806613" w:rsidRPr="00000849">
              <w:rPr>
                <w:rFonts w:ascii="Calibri" w:eastAsia="Times New Roman" w:hAnsi="Calibri" w:cs="Calibri"/>
                <w:color w:val="000000"/>
                <w:sz w:val="14"/>
                <w:szCs w:val="14"/>
              </w:rPr>
              <w:instrText xml:space="preserve"> ADDIN EN.CITE &lt;EndNote&gt;&lt;Cite&gt;&lt;Author&gt;Tianyi&lt;/Author&gt;&lt;Year&gt;2018&lt;/Year&gt;&lt;RecNum&gt;47&lt;/RecNum&gt;&lt;DisplayText&gt;(Tianyi et al., 2018)&lt;/DisplayText&gt;&lt;record&gt;&lt;rec-number&gt;47&lt;/rec-number&gt;&lt;foreign-keys&gt;&lt;key app="EN" db-id="pzfw02x58peadyevdp8vswt40etp25t5ddp0" timestamp="1533786270"&gt;47&lt;/key&gt;&lt;/foreign-keys&gt;&lt;ref-type name="Journal Article"&gt;17&lt;/ref-type&gt;&lt;contributors&gt;&lt;authors&gt;&lt;author&gt;Tianyi, Frank L&lt;/author&gt;&lt;author&gt;Agbor, Valirie N&lt;/author&gt;&lt;author&gt;Njamnshi, Alfred K %J Health Science Reports&lt;/author&gt;&lt;/authors&gt;&lt;/contributors&gt;&lt;titles&gt;&lt;title&gt;Prevalence, awareness, treatment, and control of hypertension in Cameroonians aged 50 years and older: A community‐based study&lt;/title&gt;&lt;secondary-title&gt;Health Science Reports&lt;/secondary-title&gt;&lt;/titles&gt;&lt;periodical&gt;&lt;full-title&gt;Health Science Reports&lt;/full-title&gt;&lt;abbr-1&gt;Health Sci Rep&lt;/abbr-1&gt;&lt;/periodical&gt;&lt;pages&gt;e44&lt;/pages&gt;&lt;volume&gt;1&lt;/volume&gt;&lt;number&gt;5&lt;/number&gt;&lt;dates&gt;&lt;year&gt;2018&lt;/year&gt;&lt;/dates&gt;&lt;isbn&gt;2398-8835&lt;/isbn&gt;&lt;urls&gt;&lt;/urls&gt;&lt;/record&gt;&lt;/Cite&gt;&lt;/EndNote&gt;</w:instrText>
            </w:r>
            <w:r w:rsidRPr="00000849">
              <w:rPr>
                <w:rFonts w:ascii="Calibri" w:eastAsia="Times New Roman" w:hAnsi="Calibri" w:cs="Calibri"/>
                <w:color w:val="000000"/>
                <w:sz w:val="14"/>
                <w:szCs w:val="14"/>
              </w:rPr>
              <w:fldChar w:fldCharType="separate"/>
            </w:r>
            <w:r w:rsidR="00806613" w:rsidRPr="00000849">
              <w:rPr>
                <w:rFonts w:ascii="Calibri" w:eastAsia="Times New Roman" w:hAnsi="Calibri" w:cs="Calibri"/>
                <w:b w:val="0"/>
                <w:bCs w:val="0"/>
                <w:noProof/>
                <w:color w:val="000000"/>
                <w:sz w:val="14"/>
                <w:szCs w:val="14"/>
              </w:rPr>
              <w:t>(Tianyi et al., 2018)</w:t>
            </w:r>
            <w:r w:rsidRPr="00000849">
              <w:rPr>
                <w:rFonts w:ascii="Calibri" w:eastAsia="Times New Roman" w:hAnsi="Calibri" w:cs="Calibri"/>
                <w:color w:val="000000"/>
                <w:sz w:val="14"/>
                <w:szCs w:val="14"/>
              </w:rPr>
              <w:fldChar w:fldCharType="end"/>
            </w:r>
          </w:p>
        </w:tc>
        <w:tc>
          <w:tcPr>
            <w:tcW w:w="329" w:type="pct"/>
            <w:hideMark/>
          </w:tcPr>
          <w:p w14:paraId="37F21C4F"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May 2013 - July 2013</w:t>
            </w:r>
          </w:p>
        </w:tc>
        <w:tc>
          <w:tcPr>
            <w:tcW w:w="292" w:type="pct"/>
            <w:hideMark/>
          </w:tcPr>
          <w:p w14:paraId="5E34D246"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Central</w:t>
            </w:r>
          </w:p>
        </w:tc>
        <w:tc>
          <w:tcPr>
            <w:tcW w:w="318" w:type="pct"/>
            <w:hideMark/>
          </w:tcPr>
          <w:p w14:paraId="2B739D86"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Cameroon</w:t>
            </w:r>
          </w:p>
        </w:tc>
        <w:tc>
          <w:tcPr>
            <w:tcW w:w="398" w:type="pct"/>
            <w:hideMark/>
          </w:tcPr>
          <w:p w14:paraId="0D6EEC35"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Batibo health district</w:t>
            </w:r>
          </w:p>
        </w:tc>
        <w:tc>
          <w:tcPr>
            <w:tcW w:w="305" w:type="pct"/>
            <w:hideMark/>
          </w:tcPr>
          <w:p w14:paraId="73686E83"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Rural</w:t>
            </w:r>
          </w:p>
        </w:tc>
        <w:tc>
          <w:tcPr>
            <w:tcW w:w="372" w:type="pct"/>
            <w:hideMark/>
          </w:tcPr>
          <w:p w14:paraId="08649FD0" w14:textId="77777777" w:rsidR="00DE034C" w:rsidRPr="00000849" w:rsidRDefault="00DE034C" w:rsidP="00DE034C">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≥50 years</w:t>
            </w:r>
          </w:p>
        </w:tc>
        <w:tc>
          <w:tcPr>
            <w:tcW w:w="196" w:type="pct"/>
            <w:hideMark/>
          </w:tcPr>
          <w:p w14:paraId="1753AAB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156</w:t>
            </w:r>
          </w:p>
        </w:tc>
        <w:tc>
          <w:tcPr>
            <w:tcW w:w="263" w:type="pct"/>
            <w:hideMark/>
          </w:tcPr>
          <w:p w14:paraId="7FC99C4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345</w:t>
            </w:r>
          </w:p>
        </w:tc>
        <w:tc>
          <w:tcPr>
            <w:tcW w:w="198" w:type="pct"/>
            <w:hideMark/>
          </w:tcPr>
          <w:p w14:paraId="747E240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501</w:t>
            </w:r>
          </w:p>
        </w:tc>
        <w:tc>
          <w:tcPr>
            <w:tcW w:w="320" w:type="pct"/>
            <w:hideMark/>
          </w:tcPr>
          <w:p w14:paraId="26398D65" w14:textId="77777777" w:rsidR="00DE034C" w:rsidRPr="00000849" w:rsidRDefault="00DE034C" w:rsidP="00DE034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p>
        </w:tc>
        <w:tc>
          <w:tcPr>
            <w:tcW w:w="308" w:type="pct"/>
            <w:hideMark/>
          </w:tcPr>
          <w:p w14:paraId="08F2159D"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lang w:val="en-GB"/>
              </w:rPr>
            </w:pPr>
            <w:r w:rsidRPr="00000849">
              <w:rPr>
                <w:rFonts w:ascii="Calibri" w:eastAsia="Times New Roman" w:hAnsi="Calibri" w:cs="Calibri"/>
                <w:color w:val="000000"/>
                <w:sz w:val="14"/>
                <w:szCs w:val="14"/>
              </w:rPr>
              <w:t>100.0</w:t>
            </w:r>
          </w:p>
        </w:tc>
        <w:tc>
          <w:tcPr>
            <w:tcW w:w="224" w:type="pct"/>
            <w:hideMark/>
          </w:tcPr>
          <w:p w14:paraId="4A33EB2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50 - 110</w:t>
            </w:r>
          </w:p>
        </w:tc>
        <w:tc>
          <w:tcPr>
            <w:tcW w:w="211" w:type="pct"/>
            <w:hideMark/>
          </w:tcPr>
          <w:p w14:paraId="44D1C73C"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24.2</w:t>
            </w:r>
          </w:p>
        </w:tc>
        <w:tc>
          <w:tcPr>
            <w:tcW w:w="264" w:type="pct"/>
            <w:hideMark/>
          </w:tcPr>
          <w:p w14:paraId="3ED510E1"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62.7 ± 9</w:t>
            </w:r>
          </w:p>
        </w:tc>
        <w:tc>
          <w:tcPr>
            <w:tcW w:w="188" w:type="pct"/>
            <w:hideMark/>
          </w:tcPr>
          <w:p w14:paraId="0EF5578A"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60.9</w:t>
            </w:r>
          </w:p>
        </w:tc>
        <w:tc>
          <w:tcPr>
            <w:tcW w:w="263" w:type="pct"/>
            <w:hideMark/>
          </w:tcPr>
          <w:p w14:paraId="752C0DC4"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55.7</w:t>
            </w:r>
          </w:p>
        </w:tc>
        <w:tc>
          <w:tcPr>
            <w:tcW w:w="198" w:type="pct"/>
            <w:hideMark/>
          </w:tcPr>
          <w:p w14:paraId="361900BB" w14:textId="77777777" w:rsidR="00DE034C" w:rsidRPr="00000849" w:rsidRDefault="00DE034C" w:rsidP="00DE034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57.3</w:t>
            </w:r>
          </w:p>
        </w:tc>
      </w:tr>
      <w:tr w:rsidR="00DE034C" w:rsidRPr="00000849" w14:paraId="6C5F3AA4" w14:textId="77777777" w:rsidTr="0017762C">
        <w:trPr>
          <w:cnfStyle w:val="000000100000" w:firstRow="0" w:lastRow="0" w:firstColumn="0" w:lastColumn="0" w:oddVBand="0" w:evenVBand="0" w:oddHBand="1" w:evenHBand="0" w:firstRowFirstColumn="0" w:firstRowLastColumn="0" w:lastRowFirstColumn="0" w:lastRowLastColumn="0"/>
          <w:divId w:val="1161234288"/>
          <w:trHeight w:val="420"/>
        </w:trPr>
        <w:tc>
          <w:tcPr>
            <w:cnfStyle w:val="001000000000" w:firstRow="0" w:lastRow="0" w:firstColumn="1" w:lastColumn="0" w:oddVBand="0" w:evenVBand="0" w:oddHBand="0" w:evenHBand="0" w:firstRowFirstColumn="0" w:firstRowLastColumn="0" w:lastRowFirstColumn="0" w:lastRowLastColumn="0"/>
            <w:tcW w:w="351" w:type="pct"/>
            <w:hideMark/>
          </w:tcPr>
          <w:p w14:paraId="753DA8F3" w14:textId="3155D5F6" w:rsidR="00DE034C" w:rsidRPr="00000849" w:rsidRDefault="00DE034C" w:rsidP="00DE034C">
            <w:pPr>
              <w:spacing w:after="0" w:line="240" w:lineRule="auto"/>
              <w:rPr>
                <w:rFonts w:ascii="Calibri" w:eastAsia="Times New Roman" w:hAnsi="Calibri" w:cs="Calibri"/>
                <w:b w:val="0"/>
                <w:color w:val="000000"/>
                <w:sz w:val="14"/>
                <w:szCs w:val="14"/>
              </w:rPr>
            </w:pPr>
            <w:r w:rsidRPr="00000849">
              <w:rPr>
                <w:rFonts w:ascii="Calibri" w:eastAsia="Times New Roman" w:hAnsi="Calibri" w:cs="Calibri"/>
                <w:color w:val="000000"/>
                <w:sz w:val="14"/>
                <w:szCs w:val="14"/>
              </w:rPr>
              <w:t xml:space="preserve">Yerly 2013 </w:t>
            </w:r>
            <w:r w:rsidRPr="00000849">
              <w:rPr>
                <w:rFonts w:ascii="Calibri" w:eastAsia="Times New Roman" w:hAnsi="Calibri" w:cs="Calibri"/>
                <w:color w:val="000000"/>
                <w:sz w:val="14"/>
                <w:szCs w:val="14"/>
              </w:rPr>
              <w:fldChar w:fldCharType="begin"/>
            </w:r>
            <w:r w:rsidR="00431DA0" w:rsidRPr="00000849">
              <w:rPr>
                <w:rFonts w:ascii="Calibri" w:eastAsia="Times New Roman" w:hAnsi="Calibri" w:cs="Calibri"/>
                <w:color w:val="000000"/>
                <w:sz w:val="14"/>
                <w:szCs w:val="14"/>
              </w:rPr>
              <w:instrText xml:space="preserve"> ADDIN EN.CITE &lt;EndNote&gt;&lt;Cite&gt;&lt;Author&gt;Yerly&lt;/Author&gt;&lt;Year&gt;2013&lt;/Year&gt;&lt;RecNum&gt;305&lt;/RecNum&gt;&lt;DisplayText&gt;(Yerly et al., 2013)&lt;/DisplayText&gt;&lt;record&gt;&lt;rec-number&gt;305&lt;/rec-number&gt;&lt;foreign-keys&gt;&lt;key app="EN" db-id="pzfw02x58peadyevdp8vswt40etp25t5ddp0" timestamp="1541335131"&gt;305&lt;/key&gt;&lt;/foreign-keys&gt;&lt;ref-type name="Journal Article"&gt;17&lt;/ref-type&gt;&lt;contributors&gt;&lt;authors&gt;&lt;author&gt;Yerly, P.&lt;/author&gt;&lt;author&gt;Madeleine, G.&lt;/author&gt;&lt;author&gt;Riesen, W.&lt;/author&gt;&lt;author&gt;Bovet, P.&lt;/author&gt;&lt;/authors&gt;&lt;/contributors&gt;&lt;auth-address&gt;Department of Internal Medicine, Division of Cardiology, Lausanne University Hospital (CHUV), Lausanne, Switzerland. patrick.yerly@erasme.ulb.ac.be&lt;/auth-address&gt;&lt;titles&gt;&lt;title&gt;Low prevalence of abdominal aortic aneurysm in the Seychelles population aged 50 to 65 years&lt;/title&gt;&lt;secondary-title&gt;Cardiovasc J Afr&lt;/secondary-title&gt;&lt;alt-title&gt;Cardiovascular journal of Africa&lt;/alt-title&gt;&lt;/titles&gt;&lt;periodical&gt;&lt;full-title&gt;Cardiovascular Journal of Africa&lt;/full-title&gt;&lt;abbr-1&gt;Cardiovasc J Afr&lt;/abbr-1&gt;&lt;/periodical&gt;&lt;alt-periodical&gt;&lt;full-title&gt;Cardiovascular Journal of Africa&lt;/full-title&gt;&lt;abbr-1&gt;Cardiovasc J Afr&lt;/abbr-1&gt;&lt;/alt-periodical&gt;&lt;pages&gt;17-8&lt;/pages&gt;&lt;volume&gt;24&lt;/volume&gt;&lt;number&gt;2&lt;/number&gt;&lt;edition&gt;2013/04/25&lt;/edition&gt;&lt;keywords&gt;&lt;keyword&gt;Age Factors&lt;/keyword&gt;&lt;keyword&gt;Aged&lt;/keyword&gt;&lt;keyword&gt;Aortic Aneurysm, Abdominal/diagnostic imaging/*epidemiology&lt;/keyword&gt;&lt;keyword&gt;Female&lt;/keyword&gt;&lt;keyword&gt;Humans&lt;/keyword&gt;&lt;keyword&gt;Male&lt;/keyword&gt;&lt;keyword&gt;Middle Aged&lt;/keyword&gt;&lt;keyword&gt;Prevalence&lt;/keyword&gt;&lt;keyword&gt;Risk Factors&lt;/keyword&gt;&lt;keyword&gt;Seychelles/epidemiology&lt;/keyword&gt;&lt;keyword&gt;Ultrasonography&lt;/keyword&gt;&lt;/keywords&gt;&lt;dates&gt;&lt;year&gt;2013&lt;/year&gt;&lt;pub-dates&gt;&lt;date&gt;Mar&lt;/date&gt;&lt;/pub-dates&gt;&lt;/dates&gt;&lt;isbn&gt;1015-9657&lt;/isbn&gt;&lt;accession-num&gt;23612948&lt;/accession-num&gt;&lt;urls&gt;&lt;/urls&gt;&lt;custom2&gt;PMC3734875&lt;/custom2&gt;&lt;electronic-resource-num&gt;10.5830/cvja-2012-070&lt;/electronic-resource-num&gt;&lt;remote-database-provider&gt;NLM&lt;/remote-database-provider&gt;&lt;language&gt;eng&lt;/language&gt;&lt;/record&gt;&lt;/Cite&gt;&lt;/EndNote&gt;</w:instrText>
            </w:r>
            <w:r w:rsidRPr="00000849">
              <w:rPr>
                <w:rFonts w:ascii="Calibri" w:eastAsia="Times New Roman" w:hAnsi="Calibri" w:cs="Calibri"/>
                <w:color w:val="000000"/>
                <w:sz w:val="14"/>
                <w:szCs w:val="14"/>
              </w:rPr>
              <w:fldChar w:fldCharType="separate"/>
            </w:r>
            <w:r w:rsidR="00431DA0" w:rsidRPr="00000849">
              <w:rPr>
                <w:rFonts w:ascii="Calibri" w:eastAsia="Times New Roman" w:hAnsi="Calibri" w:cs="Calibri"/>
                <w:noProof/>
                <w:color w:val="000000"/>
                <w:sz w:val="14"/>
                <w:szCs w:val="14"/>
              </w:rPr>
              <w:t>(Yerly et al., 2013)</w:t>
            </w:r>
            <w:r w:rsidRPr="00000849">
              <w:rPr>
                <w:rFonts w:ascii="Calibri" w:eastAsia="Times New Roman" w:hAnsi="Calibri" w:cs="Calibri"/>
                <w:color w:val="000000"/>
                <w:sz w:val="14"/>
                <w:szCs w:val="14"/>
              </w:rPr>
              <w:fldChar w:fldCharType="end"/>
            </w:r>
          </w:p>
        </w:tc>
        <w:tc>
          <w:tcPr>
            <w:tcW w:w="329" w:type="pct"/>
            <w:hideMark/>
          </w:tcPr>
          <w:p w14:paraId="59875F99"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2004</w:t>
            </w:r>
          </w:p>
        </w:tc>
        <w:tc>
          <w:tcPr>
            <w:tcW w:w="292" w:type="pct"/>
            <w:hideMark/>
          </w:tcPr>
          <w:p w14:paraId="396B4B05"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Eastern</w:t>
            </w:r>
          </w:p>
        </w:tc>
        <w:tc>
          <w:tcPr>
            <w:tcW w:w="318" w:type="pct"/>
            <w:hideMark/>
          </w:tcPr>
          <w:p w14:paraId="6429E1DF"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Seychelles</w:t>
            </w:r>
          </w:p>
        </w:tc>
        <w:tc>
          <w:tcPr>
            <w:tcW w:w="398" w:type="pct"/>
            <w:hideMark/>
          </w:tcPr>
          <w:p w14:paraId="35CB06CC" w14:textId="77777777" w:rsidR="00DE034C" w:rsidRPr="00000849" w:rsidRDefault="00DE034C" w:rsidP="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National</w:t>
            </w:r>
          </w:p>
        </w:tc>
        <w:tc>
          <w:tcPr>
            <w:tcW w:w="305" w:type="pct"/>
            <w:hideMark/>
          </w:tcPr>
          <w:p w14:paraId="48D09155" w14:textId="77777777" w:rsidR="00DE034C" w:rsidRPr="00000849" w:rsidRDefault="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Mixed</w:t>
            </w:r>
          </w:p>
        </w:tc>
        <w:tc>
          <w:tcPr>
            <w:tcW w:w="372" w:type="pct"/>
            <w:hideMark/>
          </w:tcPr>
          <w:p w14:paraId="04643FD3" w14:textId="77777777" w:rsidR="00DE034C" w:rsidRPr="00000849" w:rsidRDefault="00DE034C">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Adults aged 50 to 64 years</w:t>
            </w:r>
          </w:p>
        </w:tc>
        <w:tc>
          <w:tcPr>
            <w:tcW w:w="196" w:type="pct"/>
            <w:hideMark/>
          </w:tcPr>
          <w:p w14:paraId="14F1423E"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151</w:t>
            </w:r>
          </w:p>
        </w:tc>
        <w:tc>
          <w:tcPr>
            <w:tcW w:w="263" w:type="pct"/>
            <w:hideMark/>
          </w:tcPr>
          <w:p w14:paraId="06870E08"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178</w:t>
            </w:r>
          </w:p>
        </w:tc>
        <w:tc>
          <w:tcPr>
            <w:tcW w:w="198" w:type="pct"/>
            <w:hideMark/>
          </w:tcPr>
          <w:p w14:paraId="063203A7"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329</w:t>
            </w:r>
          </w:p>
        </w:tc>
        <w:tc>
          <w:tcPr>
            <w:tcW w:w="320" w:type="pct"/>
            <w:hideMark/>
          </w:tcPr>
          <w:p w14:paraId="47C2E0BB"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83.7</w:t>
            </w:r>
          </w:p>
        </w:tc>
        <w:tc>
          <w:tcPr>
            <w:tcW w:w="308" w:type="pct"/>
            <w:hideMark/>
          </w:tcPr>
          <w:p w14:paraId="1A342F37"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93.2</w:t>
            </w:r>
          </w:p>
        </w:tc>
        <w:tc>
          <w:tcPr>
            <w:tcW w:w="224" w:type="pct"/>
            <w:hideMark/>
          </w:tcPr>
          <w:p w14:paraId="5F041D2E"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50 - 64</w:t>
            </w:r>
          </w:p>
        </w:tc>
        <w:tc>
          <w:tcPr>
            <w:tcW w:w="211" w:type="pct"/>
            <w:hideMark/>
          </w:tcPr>
          <w:p w14:paraId="3BE06380"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0.0</w:t>
            </w:r>
          </w:p>
        </w:tc>
        <w:tc>
          <w:tcPr>
            <w:tcW w:w="264" w:type="pct"/>
            <w:hideMark/>
          </w:tcPr>
          <w:p w14:paraId="2A55EDA8"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88" w:type="pct"/>
            <w:hideMark/>
          </w:tcPr>
          <w:p w14:paraId="3D8B1CCC"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263" w:type="pct"/>
            <w:hideMark/>
          </w:tcPr>
          <w:p w14:paraId="1CDCA4FD"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NR</w:t>
            </w:r>
          </w:p>
        </w:tc>
        <w:tc>
          <w:tcPr>
            <w:tcW w:w="198" w:type="pct"/>
            <w:hideMark/>
          </w:tcPr>
          <w:p w14:paraId="57B24072" w14:textId="77777777" w:rsidR="00DE034C" w:rsidRPr="00000849" w:rsidRDefault="00DE0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4"/>
                <w:szCs w:val="14"/>
              </w:rPr>
            </w:pPr>
            <w:r w:rsidRPr="00000849">
              <w:rPr>
                <w:rFonts w:ascii="Calibri" w:eastAsia="Times New Roman" w:hAnsi="Calibri" w:cs="Calibri"/>
                <w:color w:val="000000"/>
                <w:sz w:val="14"/>
                <w:szCs w:val="14"/>
              </w:rPr>
              <w:t>69.9</w:t>
            </w:r>
          </w:p>
        </w:tc>
      </w:tr>
    </w:tbl>
    <w:p w14:paraId="7602712A" w14:textId="77777777" w:rsidR="002E4BE5" w:rsidRPr="00000849" w:rsidRDefault="002E4BE5" w:rsidP="006037A7">
      <w:pPr>
        <w:rPr>
          <w:lang w:val="en-US"/>
        </w:rPr>
      </w:pPr>
    </w:p>
    <w:p w14:paraId="05898AA3" w14:textId="49E3A29F" w:rsidR="00584301" w:rsidRPr="00000849" w:rsidRDefault="00584301" w:rsidP="0018020F"/>
    <w:p w14:paraId="0CC8A993" w14:textId="091E2893" w:rsidR="00584301" w:rsidRPr="00000849" w:rsidRDefault="00584301" w:rsidP="006037A7"/>
    <w:p w14:paraId="7689053E" w14:textId="77777777" w:rsidR="00905BD8" w:rsidRPr="00000849" w:rsidRDefault="00905BD8" w:rsidP="006037A7">
      <w:pPr>
        <w:sectPr w:rsidR="00905BD8" w:rsidRPr="00000849" w:rsidSect="00452493">
          <w:pgSz w:w="16838" w:h="11906" w:orient="landscape"/>
          <w:pgMar w:top="2155" w:right="1440" w:bottom="1440" w:left="1440" w:header="708" w:footer="708" w:gutter="0"/>
          <w:cols w:space="708"/>
          <w:docGrid w:linePitch="360"/>
        </w:sectPr>
      </w:pPr>
    </w:p>
    <w:p w14:paraId="31FD3BE4" w14:textId="08CCD9EA" w:rsidR="00315587" w:rsidRPr="00000849" w:rsidRDefault="00315587" w:rsidP="004E2350">
      <w:pPr>
        <w:pStyle w:val="Heading3"/>
        <w:rPr>
          <w:lang w:val="en-US"/>
        </w:rPr>
      </w:pPr>
      <w:bookmarkStart w:id="139" w:name="_Toc51472169"/>
      <w:r w:rsidRPr="00000849">
        <w:rPr>
          <w:lang w:val="en-US"/>
        </w:rPr>
        <w:lastRenderedPageBreak/>
        <w:t xml:space="preserve">Table </w:t>
      </w:r>
      <w:r w:rsidR="0076258C" w:rsidRPr="00000849">
        <w:rPr>
          <w:lang w:val="en-US"/>
        </w:rPr>
        <w:t>A</w:t>
      </w:r>
      <w:r w:rsidR="00C7396B" w:rsidRPr="00000849">
        <w:rPr>
          <w:lang w:val="en-US"/>
        </w:rPr>
        <w:t>3</w:t>
      </w:r>
      <w:r w:rsidR="0076258C" w:rsidRPr="00000849">
        <w:rPr>
          <w:lang w:val="en-US"/>
        </w:rPr>
        <w:t xml:space="preserve">  </w:t>
      </w:r>
      <w:r w:rsidRPr="00000849">
        <w:rPr>
          <w:lang w:val="en-US"/>
        </w:rPr>
        <w:t xml:space="preserve">Evaluation of </w:t>
      </w:r>
      <w:r w:rsidR="003E6344" w:rsidRPr="00000849">
        <w:rPr>
          <w:lang w:val="en-US"/>
        </w:rPr>
        <w:t xml:space="preserve">the risk of </w:t>
      </w:r>
      <w:r w:rsidRPr="00000849">
        <w:rPr>
          <w:lang w:val="en-US"/>
        </w:rPr>
        <w:t xml:space="preserve">bias </w:t>
      </w:r>
      <w:r w:rsidR="001929B0" w:rsidRPr="00000849">
        <w:rPr>
          <w:lang w:val="en-US"/>
        </w:rPr>
        <w:t>in</w:t>
      </w:r>
      <w:r w:rsidRPr="00000849">
        <w:rPr>
          <w:lang w:val="en-US"/>
        </w:rPr>
        <w:t xml:space="preserve"> included studies </w:t>
      </w:r>
      <w:r w:rsidR="00097CE0" w:rsidRPr="00000849">
        <w:rPr>
          <w:lang w:val="en-US"/>
        </w:rPr>
        <w:t xml:space="preserve">on the meta-analysis of the prevalence of hypertension </w:t>
      </w:r>
      <w:r w:rsidRPr="00000849">
        <w:rPr>
          <w:lang w:val="en-US"/>
        </w:rPr>
        <w:t>based on the Hoy criteria</w:t>
      </w:r>
      <w:bookmarkEnd w:id="139"/>
    </w:p>
    <w:p w14:paraId="46C78FE3" w14:textId="77777777" w:rsidR="0018020F" w:rsidRPr="00000849" w:rsidRDefault="0018020F" w:rsidP="0018020F"/>
    <w:tbl>
      <w:tblPr>
        <w:tblStyle w:val="PlainTable2"/>
        <w:tblW w:w="5000" w:type="pct"/>
        <w:tblLook w:val="04A0" w:firstRow="1" w:lastRow="0" w:firstColumn="1" w:lastColumn="0" w:noHBand="0" w:noVBand="1"/>
      </w:tblPr>
      <w:tblGrid>
        <w:gridCol w:w="868"/>
        <w:gridCol w:w="1533"/>
        <w:gridCol w:w="1018"/>
        <w:gridCol w:w="1018"/>
        <w:gridCol w:w="1018"/>
        <w:gridCol w:w="1018"/>
        <w:gridCol w:w="1018"/>
        <w:gridCol w:w="985"/>
        <w:gridCol w:w="985"/>
        <w:gridCol w:w="985"/>
        <w:gridCol w:w="985"/>
        <w:gridCol w:w="1094"/>
        <w:gridCol w:w="1433"/>
      </w:tblGrid>
      <w:tr w:rsidR="00026F48" w:rsidRPr="00000849" w14:paraId="37995938" w14:textId="77777777" w:rsidTr="00143B7E">
        <w:trPr>
          <w:cnfStyle w:val="100000000000" w:firstRow="1" w:lastRow="0" w:firstColumn="0" w:lastColumn="0" w:oddVBand="0" w:evenVBand="0" w:oddHBand="0" w:evenHBand="0" w:firstRowFirstColumn="0" w:firstRowLastColumn="0" w:lastRowFirstColumn="0" w:lastRowLastColumn="0"/>
          <w:trHeight w:val="1318"/>
          <w:tblHeader/>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2B9B1216" w14:textId="77777777" w:rsidR="00026F48" w:rsidRPr="00000849" w:rsidRDefault="00026F48" w:rsidP="00026F48">
            <w:pPr>
              <w:rPr>
                <w:rFonts w:ascii="Calibri" w:eastAsia="Times New Roman" w:hAnsi="Calibri" w:cs="Calibri"/>
                <w:bCs w:val="0"/>
                <w:color w:val="000000"/>
                <w:sz w:val="18"/>
                <w:szCs w:val="14"/>
              </w:rPr>
            </w:pPr>
            <w:r w:rsidRPr="00000849">
              <w:rPr>
                <w:rFonts w:ascii="Calibri" w:eastAsia="Times New Roman" w:hAnsi="Calibri" w:cs="Calibri"/>
                <w:bCs w:val="0"/>
                <w:color w:val="000000"/>
                <w:sz w:val="18"/>
                <w:szCs w:val="14"/>
              </w:rPr>
              <w:t>#</w:t>
            </w:r>
          </w:p>
        </w:tc>
        <w:tc>
          <w:tcPr>
            <w:tcW w:w="0" w:type="pct"/>
            <w:vAlign w:val="center"/>
            <w:hideMark/>
          </w:tcPr>
          <w:p w14:paraId="7711A9D5" w14:textId="77777777" w:rsidR="00026F48" w:rsidRPr="00000849" w:rsidRDefault="00026F48" w:rsidP="00026F48">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18"/>
                <w:szCs w:val="14"/>
              </w:rPr>
            </w:pPr>
            <w:r w:rsidRPr="00000849">
              <w:rPr>
                <w:rFonts w:ascii="Calibri" w:eastAsia="Times New Roman" w:hAnsi="Calibri" w:cs="Calibri"/>
                <w:bCs w:val="0"/>
                <w:color w:val="000000"/>
                <w:sz w:val="18"/>
                <w:szCs w:val="14"/>
              </w:rPr>
              <w:t>Primary Reference</w:t>
            </w:r>
          </w:p>
        </w:tc>
        <w:tc>
          <w:tcPr>
            <w:tcW w:w="0" w:type="pct"/>
            <w:vAlign w:val="center"/>
            <w:hideMark/>
          </w:tcPr>
          <w:p w14:paraId="7BAD5A65"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Q1</w:t>
            </w:r>
          </w:p>
        </w:tc>
        <w:tc>
          <w:tcPr>
            <w:tcW w:w="0" w:type="pct"/>
            <w:vAlign w:val="center"/>
            <w:hideMark/>
          </w:tcPr>
          <w:p w14:paraId="4471C502"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Q2</w:t>
            </w:r>
          </w:p>
        </w:tc>
        <w:tc>
          <w:tcPr>
            <w:tcW w:w="0" w:type="pct"/>
            <w:vAlign w:val="center"/>
            <w:hideMark/>
          </w:tcPr>
          <w:p w14:paraId="5B9FC25B"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Q3</w:t>
            </w:r>
          </w:p>
        </w:tc>
        <w:tc>
          <w:tcPr>
            <w:tcW w:w="0" w:type="pct"/>
            <w:vAlign w:val="center"/>
            <w:hideMark/>
          </w:tcPr>
          <w:p w14:paraId="1AEFF4BA"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Q4</w:t>
            </w:r>
          </w:p>
        </w:tc>
        <w:tc>
          <w:tcPr>
            <w:tcW w:w="0" w:type="pct"/>
            <w:vAlign w:val="center"/>
            <w:hideMark/>
          </w:tcPr>
          <w:p w14:paraId="028C4AFB"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Q5</w:t>
            </w:r>
          </w:p>
        </w:tc>
        <w:tc>
          <w:tcPr>
            <w:tcW w:w="0" w:type="pct"/>
            <w:vAlign w:val="center"/>
            <w:hideMark/>
          </w:tcPr>
          <w:p w14:paraId="5B2536A1"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Q6</w:t>
            </w:r>
          </w:p>
        </w:tc>
        <w:tc>
          <w:tcPr>
            <w:tcW w:w="0" w:type="pct"/>
            <w:vAlign w:val="center"/>
            <w:hideMark/>
          </w:tcPr>
          <w:p w14:paraId="3DADA837"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Q7</w:t>
            </w:r>
          </w:p>
        </w:tc>
        <w:tc>
          <w:tcPr>
            <w:tcW w:w="0" w:type="pct"/>
            <w:vAlign w:val="center"/>
            <w:hideMark/>
          </w:tcPr>
          <w:p w14:paraId="4A1B1BC6"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Q8</w:t>
            </w:r>
          </w:p>
        </w:tc>
        <w:tc>
          <w:tcPr>
            <w:tcW w:w="0" w:type="pct"/>
            <w:vAlign w:val="center"/>
            <w:hideMark/>
          </w:tcPr>
          <w:p w14:paraId="0D0553F3"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Q9</w:t>
            </w:r>
          </w:p>
        </w:tc>
        <w:tc>
          <w:tcPr>
            <w:tcW w:w="0" w:type="pct"/>
            <w:vAlign w:val="center"/>
            <w:hideMark/>
          </w:tcPr>
          <w:p w14:paraId="20723CAA" w14:textId="77777777" w:rsidR="00026F48" w:rsidRPr="00000849" w:rsidRDefault="00026F48" w:rsidP="00026F4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i/>
                <w:iCs/>
                <w:color w:val="000000"/>
                <w:sz w:val="18"/>
                <w:szCs w:val="14"/>
              </w:rPr>
            </w:pPr>
            <w:r w:rsidRPr="00000849">
              <w:rPr>
                <w:rFonts w:ascii="Verdana" w:eastAsia="Times New Roman" w:hAnsi="Verdana" w:cs="Calibri"/>
                <w:i/>
                <w:iCs/>
                <w:color w:val="000000"/>
                <w:sz w:val="18"/>
                <w:szCs w:val="14"/>
              </w:rPr>
              <w:t>Q10</w:t>
            </w:r>
          </w:p>
        </w:tc>
        <w:tc>
          <w:tcPr>
            <w:tcW w:w="0" w:type="pct"/>
            <w:vAlign w:val="center"/>
            <w:hideMark/>
          </w:tcPr>
          <w:p w14:paraId="598DFFC0" w14:textId="77777777" w:rsidR="00026F48" w:rsidRPr="00000849" w:rsidRDefault="00026F48" w:rsidP="00026F48">
            <w:pPr>
              <w:cnfStyle w:val="100000000000" w:firstRow="1" w:lastRow="0" w:firstColumn="0" w:lastColumn="0" w:oddVBand="0" w:evenVBand="0" w:oddHBand="0" w:evenHBand="0" w:firstRowFirstColumn="0" w:firstRowLastColumn="0" w:lastRowFirstColumn="0" w:lastRowLastColumn="0"/>
              <w:rPr>
                <w:rFonts w:ascii="Verdana" w:eastAsia="Times New Roman" w:hAnsi="Verdana" w:cs="Calibri"/>
                <w:bCs w:val="0"/>
                <w:i/>
                <w:iCs/>
                <w:color w:val="000000"/>
                <w:sz w:val="18"/>
                <w:szCs w:val="14"/>
              </w:rPr>
            </w:pPr>
            <w:r w:rsidRPr="00000849">
              <w:rPr>
                <w:rFonts w:ascii="Verdana" w:eastAsia="Times New Roman" w:hAnsi="Verdana" w:cs="Calibri"/>
                <w:bCs w:val="0"/>
                <w:i/>
                <w:iCs/>
                <w:color w:val="000000"/>
                <w:sz w:val="18"/>
                <w:szCs w:val="14"/>
              </w:rPr>
              <w:t xml:space="preserve">Overall risk of study bias </w:t>
            </w:r>
          </w:p>
        </w:tc>
      </w:tr>
      <w:tr w:rsidR="00026F48" w:rsidRPr="00000849" w14:paraId="5116F428" w14:textId="77777777" w:rsidTr="00143B7E">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1008579"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w:t>
            </w:r>
          </w:p>
        </w:tc>
        <w:tc>
          <w:tcPr>
            <w:tcW w:w="0" w:type="pct"/>
            <w:vAlign w:val="center"/>
            <w:hideMark/>
          </w:tcPr>
          <w:p w14:paraId="5C0D3B69"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Tianyi 2017</w:t>
            </w:r>
          </w:p>
        </w:tc>
        <w:tc>
          <w:tcPr>
            <w:tcW w:w="0" w:type="pct"/>
            <w:vAlign w:val="center"/>
            <w:hideMark/>
          </w:tcPr>
          <w:p w14:paraId="02AD1DC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65C7E6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56A6C8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ED2FEA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F7FB3DE"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12420C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209E63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0D235E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B6AE24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E774B8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19876E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36B2AC85" w14:textId="77777777" w:rsidTr="00143B7E">
        <w:trPr>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78A173C0"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w:t>
            </w:r>
          </w:p>
        </w:tc>
        <w:tc>
          <w:tcPr>
            <w:tcW w:w="0" w:type="pct"/>
            <w:vAlign w:val="center"/>
            <w:hideMark/>
          </w:tcPr>
          <w:p w14:paraId="64E29485"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Pilleron 2017A</w:t>
            </w:r>
          </w:p>
        </w:tc>
        <w:tc>
          <w:tcPr>
            <w:tcW w:w="0" w:type="pct"/>
            <w:vAlign w:val="center"/>
            <w:hideMark/>
          </w:tcPr>
          <w:p w14:paraId="6368914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D99236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6F040D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9F4862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4CC0871"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26CDBA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53442C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0F3B33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02E879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41574F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634126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5C8B4159"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7F913F82"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3</w:t>
            </w:r>
          </w:p>
        </w:tc>
        <w:tc>
          <w:tcPr>
            <w:tcW w:w="0" w:type="pct"/>
            <w:vAlign w:val="center"/>
            <w:hideMark/>
          </w:tcPr>
          <w:p w14:paraId="023E4C3A"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Pilleron 2017B</w:t>
            </w:r>
          </w:p>
        </w:tc>
        <w:tc>
          <w:tcPr>
            <w:tcW w:w="0" w:type="pct"/>
            <w:vAlign w:val="center"/>
            <w:hideMark/>
          </w:tcPr>
          <w:p w14:paraId="2AFEF31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1BF63D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664F97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AC3B22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095A31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79E499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E796A4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2EF633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4BDEFA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59F95C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641273E"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7523FDE2" w14:textId="77777777" w:rsidTr="00143B7E">
        <w:trPr>
          <w:trHeight w:val="1241"/>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6556ECA4"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4</w:t>
            </w:r>
          </w:p>
        </w:tc>
        <w:tc>
          <w:tcPr>
            <w:tcW w:w="0" w:type="pct"/>
            <w:vAlign w:val="center"/>
            <w:hideMark/>
          </w:tcPr>
          <w:p w14:paraId="52C12C57"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Guerchet 2012A</w:t>
            </w:r>
          </w:p>
        </w:tc>
        <w:tc>
          <w:tcPr>
            <w:tcW w:w="0" w:type="pct"/>
            <w:vAlign w:val="center"/>
            <w:hideMark/>
          </w:tcPr>
          <w:p w14:paraId="57CEDA8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5A1329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41FDA9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511FB71"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DE8126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B1749B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773F03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5D21AD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85C3C7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58867F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D09343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0300FD87"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00CFCF40"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5</w:t>
            </w:r>
          </w:p>
        </w:tc>
        <w:tc>
          <w:tcPr>
            <w:tcW w:w="0" w:type="pct"/>
            <w:vAlign w:val="center"/>
            <w:hideMark/>
          </w:tcPr>
          <w:p w14:paraId="3F4E7F60"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Guerchet 2012B</w:t>
            </w:r>
          </w:p>
        </w:tc>
        <w:tc>
          <w:tcPr>
            <w:tcW w:w="0" w:type="pct"/>
            <w:vAlign w:val="center"/>
            <w:hideMark/>
          </w:tcPr>
          <w:p w14:paraId="4179576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71ABAF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783B0E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22694F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D2CA12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42FAA4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3A3BCA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B895D9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FD8143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F8B675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207DEF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3F2EA212" w14:textId="77777777" w:rsidTr="00143B7E">
        <w:trPr>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580AD113"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6</w:t>
            </w:r>
          </w:p>
        </w:tc>
        <w:tc>
          <w:tcPr>
            <w:tcW w:w="0" w:type="pct"/>
            <w:vAlign w:val="center"/>
            <w:hideMark/>
          </w:tcPr>
          <w:p w14:paraId="3203BD1C"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Mathenge 2010</w:t>
            </w:r>
          </w:p>
        </w:tc>
        <w:tc>
          <w:tcPr>
            <w:tcW w:w="0" w:type="pct"/>
            <w:vAlign w:val="center"/>
            <w:hideMark/>
          </w:tcPr>
          <w:p w14:paraId="547AACF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14B739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69EA0E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E9096F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BFC522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9E7920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3D91E4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B6B9BE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A48CE6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62304F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882060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1175A883" w14:textId="77777777" w:rsidTr="00143B7E">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7B0C70B7"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lastRenderedPageBreak/>
              <w:t>7</w:t>
            </w:r>
          </w:p>
        </w:tc>
        <w:tc>
          <w:tcPr>
            <w:tcW w:w="0" w:type="pct"/>
            <w:vAlign w:val="center"/>
            <w:hideMark/>
          </w:tcPr>
          <w:p w14:paraId="274D1711"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Ice 2008</w:t>
            </w:r>
          </w:p>
        </w:tc>
        <w:tc>
          <w:tcPr>
            <w:tcW w:w="0" w:type="pct"/>
            <w:vAlign w:val="center"/>
            <w:hideMark/>
          </w:tcPr>
          <w:p w14:paraId="537AA0F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227D3F7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noWrap/>
            <w:vAlign w:val="center"/>
            <w:hideMark/>
          </w:tcPr>
          <w:p w14:paraId="39F903D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p>
        </w:tc>
        <w:tc>
          <w:tcPr>
            <w:tcW w:w="0" w:type="pct"/>
            <w:vAlign w:val="center"/>
            <w:hideMark/>
          </w:tcPr>
          <w:p w14:paraId="211409E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8CC6D0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57FB9C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005DF87"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C5D23B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C303657"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0A1820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F06C30E"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High risk</w:t>
            </w:r>
          </w:p>
        </w:tc>
      </w:tr>
      <w:tr w:rsidR="00026F48" w:rsidRPr="00000849" w14:paraId="05143D63" w14:textId="77777777" w:rsidTr="00143B7E">
        <w:trPr>
          <w:trHeight w:val="162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69CE5472"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8</w:t>
            </w:r>
          </w:p>
        </w:tc>
        <w:tc>
          <w:tcPr>
            <w:tcW w:w="0" w:type="pct"/>
            <w:vAlign w:val="center"/>
            <w:hideMark/>
          </w:tcPr>
          <w:p w14:paraId="2B8A95B9"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Yerly 2013</w:t>
            </w:r>
          </w:p>
        </w:tc>
        <w:tc>
          <w:tcPr>
            <w:tcW w:w="0" w:type="pct"/>
            <w:vAlign w:val="center"/>
            <w:hideMark/>
          </w:tcPr>
          <w:p w14:paraId="7E9E9AC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5A54D9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19F613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A616B5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661070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357B0D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62840BD"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148463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CBA5E41"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4BEDF3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98742A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60ADC108" w14:textId="77777777" w:rsidTr="00143B7E">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7483AE18"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9</w:t>
            </w:r>
          </w:p>
        </w:tc>
        <w:tc>
          <w:tcPr>
            <w:tcW w:w="0" w:type="pct"/>
            <w:vAlign w:val="center"/>
            <w:hideMark/>
          </w:tcPr>
          <w:p w14:paraId="7ABAB238"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Dewhurst 2013</w:t>
            </w:r>
          </w:p>
        </w:tc>
        <w:tc>
          <w:tcPr>
            <w:tcW w:w="0" w:type="pct"/>
            <w:vAlign w:val="center"/>
            <w:hideMark/>
          </w:tcPr>
          <w:p w14:paraId="675416F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000D42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AD6886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33C64EF"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EF90C8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362598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F10883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845DA4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AD4AAA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BA33A4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FFFBAC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17BF1FDD" w14:textId="77777777" w:rsidTr="00143B7E">
        <w:trPr>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04D32E18"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10</w:t>
            </w:r>
          </w:p>
        </w:tc>
        <w:tc>
          <w:tcPr>
            <w:tcW w:w="0" w:type="pct"/>
            <w:vAlign w:val="center"/>
            <w:hideMark/>
          </w:tcPr>
          <w:p w14:paraId="349C0E8F"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Ivy 2015</w:t>
            </w:r>
          </w:p>
        </w:tc>
        <w:tc>
          <w:tcPr>
            <w:tcW w:w="0" w:type="pct"/>
            <w:vAlign w:val="center"/>
            <w:hideMark/>
          </w:tcPr>
          <w:p w14:paraId="61E7547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2A1701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656080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D7F076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7D4BEBD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4A3D4E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C2CC90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D2953E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584CC04"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2937C0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F0A432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Moderate risk</w:t>
            </w:r>
          </w:p>
        </w:tc>
      </w:tr>
      <w:tr w:rsidR="00026F48" w:rsidRPr="00000849" w14:paraId="7BBD654F"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A361BF5"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11</w:t>
            </w:r>
          </w:p>
        </w:tc>
        <w:tc>
          <w:tcPr>
            <w:tcW w:w="0" w:type="pct"/>
            <w:vAlign w:val="center"/>
            <w:hideMark/>
          </w:tcPr>
          <w:p w14:paraId="28DB4219"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Paddick 2015</w:t>
            </w:r>
          </w:p>
        </w:tc>
        <w:tc>
          <w:tcPr>
            <w:tcW w:w="0" w:type="pct"/>
            <w:vAlign w:val="center"/>
            <w:hideMark/>
          </w:tcPr>
          <w:p w14:paraId="7E83867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6CB0EE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07067A5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E8F788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01108E1F"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328E70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33387A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AE7F92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04DD45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4D8CF2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C8EC23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High risk</w:t>
            </w:r>
          </w:p>
        </w:tc>
      </w:tr>
      <w:tr w:rsidR="00026F48" w:rsidRPr="00000849" w14:paraId="77707912" w14:textId="77777777" w:rsidTr="00143B7E">
        <w:trPr>
          <w:trHeight w:val="46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2BE483C8"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12</w:t>
            </w:r>
          </w:p>
        </w:tc>
        <w:tc>
          <w:tcPr>
            <w:tcW w:w="0" w:type="pct"/>
            <w:vAlign w:val="center"/>
            <w:hideMark/>
          </w:tcPr>
          <w:p w14:paraId="78A061B3"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Gray 2016</w:t>
            </w:r>
          </w:p>
        </w:tc>
        <w:tc>
          <w:tcPr>
            <w:tcW w:w="0" w:type="pct"/>
            <w:vAlign w:val="center"/>
            <w:hideMark/>
          </w:tcPr>
          <w:p w14:paraId="3BD10C4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DD0201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46CADBD"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851DDC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67B655B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903245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8954BA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2836AA1"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69E881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AD7BFE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1E91FA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Moderate risk</w:t>
            </w:r>
          </w:p>
        </w:tc>
      </w:tr>
      <w:tr w:rsidR="00026F48" w:rsidRPr="00000849" w14:paraId="2C7B4944"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30E1B036"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13</w:t>
            </w:r>
          </w:p>
        </w:tc>
        <w:tc>
          <w:tcPr>
            <w:tcW w:w="0" w:type="pct"/>
            <w:vAlign w:val="center"/>
            <w:hideMark/>
          </w:tcPr>
          <w:p w14:paraId="5D31C714"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Putnam 2018</w:t>
            </w:r>
          </w:p>
        </w:tc>
        <w:tc>
          <w:tcPr>
            <w:tcW w:w="0" w:type="pct"/>
            <w:vAlign w:val="center"/>
            <w:hideMark/>
          </w:tcPr>
          <w:p w14:paraId="59AF44B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3EB593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6CAC38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BBB505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2C059B4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E21E64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58D021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D954E2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3E4BB7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8F870A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E06F89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Moderate risk</w:t>
            </w:r>
          </w:p>
        </w:tc>
      </w:tr>
      <w:tr w:rsidR="00026F48" w:rsidRPr="00000849" w14:paraId="676E7844" w14:textId="77777777" w:rsidTr="00143B7E">
        <w:trPr>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0B68714"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14</w:t>
            </w:r>
          </w:p>
        </w:tc>
        <w:tc>
          <w:tcPr>
            <w:tcW w:w="0" w:type="pct"/>
            <w:vAlign w:val="center"/>
            <w:hideMark/>
          </w:tcPr>
          <w:p w14:paraId="4568C7C8"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Mugisha 2013</w:t>
            </w:r>
          </w:p>
        </w:tc>
        <w:tc>
          <w:tcPr>
            <w:tcW w:w="0" w:type="pct"/>
            <w:vAlign w:val="center"/>
            <w:hideMark/>
          </w:tcPr>
          <w:p w14:paraId="5FC5225D"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8C43A6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B015B7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E1F644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5562B5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5CA847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549E3A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EB0B1F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BA891F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CF4C23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4CC949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Moderate risk</w:t>
            </w:r>
          </w:p>
        </w:tc>
      </w:tr>
      <w:tr w:rsidR="00026F48" w:rsidRPr="00000849" w14:paraId="791F05AF"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408C71C"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lastRenderedPageBreak/>
              <w:t>15</w:t>
            </w:r>
          </w:p>
        </w:tc>
        <w:tc>
          <w:tcPr>
            <w:tcW w:w="0" w:type="pct"/>
            <w:vAlign w:val="center"/>
            <w:hideMark/>
          </w:tcPr>
          <w:p w14:paraId="2FCB410F"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Kinyanda 2016</w:t>
            </w:r>
          </w:p>
        </w:tc>
        <w:tc>
          <w:tcPr>
            <w:tcW w:w="0" w:type="pct"/>
            <w:vAlign w:val="center"/>
            <w:hideMark/>
          </w:tcPr>
          <w:p w14:paraId="238BA5A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3F5EE34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36417B4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9220E0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A81233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7300A4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907532F"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90F028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FE191D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BA4F54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2621DD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High risk</w:t>
            </w:r>
          </w:p>
        </w:tc>
      </w:tr>
      <w:tr w:rsidR="00026F48" w:rsidRPr="00000849" w14:paraId="1DB14BAD" w14:textId="77777777" w:rsidTr="00143B7E">
        <w:trPr>
          <w:trHeight w:val="46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362A0934"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16</w:t>
            </w:r>
          </w:p>
        </w:tc>
        <w:tc>
          <w:tcPr>
            <w:tcW w:w="0" w:type="pct"/>
            <w:vAlign w:val="center"/>
            <w:hideMark/>
          </w:tcPr>
          <w:p w14:paraId="05AFE8D6"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Scholten 2011</w:t>
            </w:r>
          </w:p>
        </w:tc>
        <w:tc>
          <w:tcPr>
            <w:tcW w:w="0" w:type="pct"/>
            <w:vAlign w:val="center"/>
            <w:hideMark/>
          </w:tcPr>
          <w:p w14:paraId="4883FE2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ABA290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2C421D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95244F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42B884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516C9A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642F3A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18AC57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3C5E74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A467D7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D47FC9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34A7661B"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35B0EF22"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17</w:t>
            </w:r>
          </w:p>
        </w:tc>
        <w:tc>
          <w:tcPr>
            <w:tcW w:w="0" w:type="pct"/>
            <w:vAlign w:val="center"/>
            <w:hideMark/>
          </w:tcPr>
          <w:p w14:paraId="5FD2C989"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Chami 2015</w:t>
            </w:r>
          </w:p>
        </w:tc>
        <w:tc>
          <w:tcPr>
            <w:tcW w:w="0" w:type="pct"/>
            <w:vAlign w:val="center"/>
            <w:hideMark/>
          </w:tcPr>
          <w:p w14:paraId="348A72F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E698B0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206895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FCECE1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BC5A80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8CB82F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26AF0B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BA1EA9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DB230C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804F3B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10695A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1FB533BC" w14:textId="77777777" w:rsidTr="00143B7E">
        <w:trPr>
          <w:trHeight w:val="46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504F620"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18</w:t>
            </w:r>
          </w:p>
        </w:tc>
        <w:tc>
          <w:tcPr>
            <w:tcW w:w="0" w:type="pct"/>
            <w:vAlign w:val="center"/>
            <w:hideMark/>
          </w:tcPr>
          <w:p w14:paraId="7A62D4B5"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El Tallawy 2012</w:t>
            </w:r>
          </w:p>
        </w:tc>
        <w:tc>
          <w:tcPr>
            <w:tcW w:w="0" w:type="pct"/>
            <w:vAlign w:val="center"/>
            <w:hideMark/>
          </w:tcPr>
          <w:p w14:paraId="3C870E9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44804A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9E8862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86EE16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0C9190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DD23D1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57E9ED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5A1146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F98428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F3E0F9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AE8CAB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1DF1E54A"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058E6CB2"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19</w:t>
            </w:r>
          </w:p>
        </w:tc>
        <w:tc>
          <w:tcPr>
            <w:tcW w:w="0" w:type="pct"/>
            <w:vAlign w:val="center"/>
            <w:hideMark/>
          </w:tcPr>
          <w:p w14:paraId="43ECA163"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Hammami 2011</w:t>
            </w:r>
          </w:p>
        </w:tc>
        <w:tc>
          <w:tcPr>
            <w:tcW w:w="0" w:type="pct"/>
            <w:vAlign w:val="center"/>
            <w:hideMark/>
          </w:tcPr>
          <w:p w14:paraId="67F819B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33FEAD7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C52567F"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DCD27E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2813DC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32C129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CD160F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7822CE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801F28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DC2505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290895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79F6EB1D" w14:textId="77777777" w:rsidTr="00143B7E">
        <w:trPr>
          <w:trHeight w:val="46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63F60612"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20</w:t>
            </w:r>
          </w:p>
        </w:tc>
        <w:tc>
          <w:tcPr>
            <w:tcW w:w="0" w:type="pct"/>
            <w:vAlign w:val="center"/>
            <w:hideMark/>
          </w:tcPr>
          <w:p w14:paraId="7053D799"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Mkhize 2013</w:t>
            </w:r>
          </w:p>
        </w:tc>
        <w:tc>
          <w:tcPr>
            <w:tcW w:w="0" w:type="pct"/>
            <w:vAlign w:val="center"/>
            <w:hideMark/>
          </w:tcPr>
          <w:p w14:paraId="5B82FA7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ACFD164"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1A0D69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25498C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276AA51"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D70C7F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AB3D67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036C87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0B4D97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50877F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0EEF341"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7AE61EA9" w14:textId="77777777" w:rsidTr="00143B7E">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0A6A3F6"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21</w:t>
            </w:r>
          </w:p>
        </w:tc>
        <w:tc>
          <w:tcPr>
            <w:tcW w:w="0" w:type="pct"/>
            <w:vAlign w:val="center"/>
            <w:hideMark/>
          </w:tcPr>
          <w:p w14:paraId="63ECC18C"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Peltzer 2013</w:t>
            </w:r>
          </w:p>
        </w:tc>
        <w:tc>
          <w:tcPr>
            <w:tcW w:w="0" w:type="pct"/>
            <w:vAlign w:val="center"/>
            <w:hideMark/>
          </w:tcPr>
          <w:p w14:paraId="0CCA060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D552EA7"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7EB91C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344B30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2D95A3D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0BAFF8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0E93C5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EBC200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225B19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B1BD027"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50D50E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Moderate risk</w:t>
            </w:r>
          </w:p>
        </w:tc>
      </w:tr>
      <w:tr w:rsidR="00026F48" w:rsidRPr="00000849" w14:paraId="01518607" w14:textId="77777777" w:rsidTr="00143B7E">
        <w:trPr>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69332AAF"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22</w:t>
            </w:r>
          </w:p>
        </w:tc>
        <w:tc>
          <w:tcPr>
            <w:tcW w:w="0" w:type="pct"/>
            <w:vAlign w:val="center"/>
            <w:hideMark/>
          </w:tcPr>
          <w:p w14:paraId="6AF96DFD"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Hien 2014</w:t>
            </w:r>
          </w:p>
        </w:tc>
        <w:tc>
          <w:tcPr>
            <w:tcW w:w="0" w:type="pct"/>
            <w:vAlign w:val="center"/>
            <w:hideMark/>
          </w:tcPr>
          <w:p w14:paraId="7DFD6AC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DF58B6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FF138F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42454F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0DD839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D0F1B3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794E10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588C824"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B72F2A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3D4E2B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90B4B3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7A51CBB0" w14:textId="77777777" w:rsidTr="00143B7E">
        <w:trPr>
          <w:cnfStyle w:val="000000100000" w:firstRow="0" w:lastRow="0" w:firstColumn="0" w:lastColumn="0" w:oddVBand="0" w:evenVBand="0" w:oddHBand="1" w:evenHBand="0" w:firstRowFirstColumn="0" w:firstRowLastColumn="0" w:lastRowFirstColumn="0" w:lastRowLastColumn="0"/>
          <w:trHeight w:val="2076"/>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2F8F767D"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23</w:t>
            </w:r>
          </w:p>
        </w:tc>
        <w:tc>
          <w:tcPr>
            <w:tcW w:w="0" w:type="pct"/>
            <w:vAlign w:val="center"/>
            <w:hideMark/>
          </w:tcPr>
          <w:p w14:paraId="2DC158E1"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Minicuci 2014</w:t>
            </w:r>
          </w:p>
        </w:tc>
        <w:tc>
          <w:tcPr>
            <w:tcW w:w="0" w:type="pct"/>
            <w:vAlign w:val="center"/>
            <w:hideMark/>
          </w:tcPr>
          <w:p w14:paraId="6D7B68F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275ECC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108B2CE"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5C06AF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1D56A5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35C696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B43CB37"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2D7C50F"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AAFC69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46339A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DA83DA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0E6A35B8" w14:textId="77777777" w:rsidTr="00143B7E">
        <w:trPr>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2F001C98"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lastRenderedPageBreak/>
              <w:t>24</w:t>
            </w:r>
          </w:p>
        </w:tc>
        <w:tc>
          <w:tcPr>
            <w:tcW w:w="0" w:type="pct"/>
            <w:vAlign w:val="center"/>
            <w:hideMark/>
          </w:tcPr>
          <w:p w14:paraId="3255BE39"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Koopman 2012</w:t>
            </w:r>
          </w:p>
        </w:tc>
        <w:tc>
          <w:tcPr>
            <w:tcW w:w="0" w:type="pct"/>
            <w:vAlign w:val="center"/>
            <w:hideMark/>
          </w:tcPr>
          <w:p w14:paraId="1E6F63B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251BA4D"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464ECC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EDB2DE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97C106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78EA021"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5A1E1D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E62A6E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9A936D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BAACBC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2583EB4"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185FEC7D" w14:textId="77777777" w:rsidTr="00143B7E">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B9B7B69"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25</w:t>
            </w:r>
          </w:p>
        </w:tc>
        <w:tc>
          <w:tcPr>
            <w:tcW w:w="0" w:type="pct"/>
            <w:vAlign w:val="center"/>
            <w:hideMark/>
          </w:tcPr>
          <w:p w14:paraId="36DA3207"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Nuertey 2017</w:t>
            </w:r>
          </w:p>
        </w:tc>
        <w:tc>
          <w:tcPr>
            <w:tcW w:w="0" w:type="pct"/>
            <w:vAlign w:val="center"/>
            <w:hideMark/>
          </w:tcPr>
          <w:p w14:paraId="6BBE09F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74901C6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579E313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AD32C2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251A2D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0E107D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3F5C47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67F573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E4172C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FDC428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FF1553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High risk</w:t>
            </w:r>
          </w:p>
        </w:tc>
      </w:tr>
      <w:tr w:rsidR="00026F48" w:rsidRPr="00000849" w14:paraId="4C60E7DA" w14:textId="77777777" w:rsidTr="00143B7E">
        <w:trPr>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33003D78"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26</w:t>
            </w:r>
          </w:p>
        </w:tc>
        <w:tc>
          <w:tcPr>
            <w:tcW w:w="0" w:type="pct"/>
            <w:vAlign w:val="center"/>
            <w:hideMark/>
          </w:tcPr>
          <w:p w14:paraId="2B42F811"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Osman 2017</w:t>
            </w:r>
          </w:p>
        </w:tc>
        <w:tc>
          <w:tcPr>
            <w:tcW w:w="0" w:type="pct"/>
            <w:vAlign w:val="center"/>
            <w:hideMark/>
          </w:tcPr>
          <w:p w14:paraId="433364FD"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25B61C5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56694A8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05D2DF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1B8CEB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9DF43F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53EE30D"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899236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5F0947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97C75E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6C4864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High risk</w:t>
            </w:r>
          </w:p>
        </w:tc>
      </w:tr>
      <w:tr w:rsidR="00026F48" w:rsidRPr="00000849" w14:paraId="55D84612"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3CAB72A8"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27</w:t>
            </w:r>
          </w:p>
        </w:tc>
        <w:tc>
          <w:tcPr>
            <w:tcW w:w="0" w:type="pct"/>
            <w:vAlign w:val="center"/>
            <w:hideMark/>
          </w:tcPr>
          <w:p w14:paraId="185A766B"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Fajemilehin 2005</w:t>
            </w:r>
          </w:p>
        </w:tc>
        <w:tc>
          <w:tcPr>
            <w:tcW w:w="0" w:type="pct"/>
            <w:vAlign w:val="center"/>
            <w:hideMark/>
          </w:tcPr>
          <w:p w14:paraId="617DA31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2BE76AE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67FBD6F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43726F1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81B8E8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437C97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B383D0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78955D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AAFB47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1ABD18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7926277"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High risk</w:t>
            </w:r>
          </w:p>
        </w:tc>
      </w:tr>
      <w:tr w:rsidR="00026F48" w:rsidRPr="00000849" w14:paraId="689F7138" w14:textId="77777777" w:rsidTr="00143B7E">
        <w:trPr>
          <w:trHeight w:val="46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65050E62"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28</w:t>
            </w:r>
          </w:p>
        </w:tc>
        <w:tc>
          <w:tcPr>
            <w:tcW w:w="0" w:type="pct"/>
            <w:vAlign w:val="center"/>
            <w:hideMark/>
          </w:tcPr>
          <w:p w14:paraId="0E05AA62"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Ochayi 2006</w:t>
            </w:r>
          </w:p>
        </w:tc>
        <w:tc>
          <w:tcPr>
            <w:tcW w:w="0" w:type="pct"/>
            <w:vAlign w:val="center"/>
            <w:hideMark/>
          </w:tcPr>
          <w:p w14:paraId="0A6630D8"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D6C8DA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8825E6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C6CC4D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3C7B4F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F7600D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D0ABF7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05F70F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87DE44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0AAB61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018206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232FA301" w14:textId="77777777" w:rsidTr="00143B7E">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47C769E7"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29</w:t>
            </w:r>
          </w:p>
        </w:tc>
        <w:tc>
          <w:tcPr>
            <w:tcW w:w="0" w:type="pct"/>
            <w:vAlign w:val="center"/>
            <w:hideMark/>
          </w:tcPr>
          <w:p w14:paraId="4836A6B9"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Lasisi 2010</w:t>
            </w:r>
          </w:p>
        </w:tc>
        <w:tc>
          <w:tcPr>
            <w:tcW w:w="0" w:type="pct"/>
            <w:vAlign w:val="center"/>
            <w:hideMark/>
          </w:tcPr>
          <w:p w14:paraId="73A6DEF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3C3DEA7"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6C41868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8D1FAE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A93231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9B62BE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CBE409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9C193C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24E79AF"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79ED9E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4198C7E"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Moderate risk</w:t>
            </w:r>
          </w:p>
        </w:tc>
      </w:tr>
      <w:tr w:rsidR="00026F48" w:rsidRPr="00000849" w14:paraId="48892665" w14:textId="77777777" w:rsidTr="00143B7E">
        <w:trPr>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758D200C"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30</w:t>
            </w:r>
          </w:p>
        </w:tc>
        <w:tc>
          <w:tcPr>
            <w:tcW w:w="0" w:type="pct"/>
            <w:vAlign w:val="center"/>
            <w:hideMark/>
          </w:tcPr>
          <w:p w14:paraId="42135F86"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Ogunniyi 2011A</w:t>
            </w:r>
          </w:p>
        </w:tc>
        <w:tc>
          <w:tcPr>
            <w:tcW w:w="0" w:type="pct"/>
            <w:vAlign w:val="center"/>
            <w:hideMark/>
          </w:tcPr>
          <w:p w14:paraId="7C44788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9D200D4"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876C10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ED7CE4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81093F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F094A5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275BCC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9D7071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937C21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B1CCF4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B49C7F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5922C3CA"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5092DE76"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31</w:t>
            </w:r>
          </w:p>
        </w:tc>
        <w:tc>
          <w:tcPr>
            <w:tcW w:w="0" w:type="pct"/>
            <w:vAlign w:val="center"/>
            <w:hideMark/>
          </w:tcPr>
          <w:p w14:paraId="2D6D32AE"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Ogunniyi 2011B</w:t>
            </w:r>
          </w:p>
        </w:tc>
        <w:tc>
          <w:tcPr>
            <w:tcW w:w="0" w:type="pct"/>
            <w:vAlign w:val="center"/>
            <w:hideMark/>
          </w:tcPr>
          <w:p w14:paraId="513E009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2A8C63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FC827E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CAEDA07"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4AEEF89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CC4701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70DAA2E"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2466F8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331F04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DDAAF6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987C87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Moderate risk</w:t>
            </w:r>
          </w:p>
        </w:tc>
      </w:tr>
      <w:tr w:rsidR="00026F48" w:rsidRPr="00000849" w14:paraId="428CBD5A" w14:textId="77777777" w:rsidTr="00143B7E">
        <w:trPr>
          <w:trHeight w:val="936"/>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25BE0390"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32</w:t>
            </w:r>
          </w:p>
        </w:tc>
        <w:tc>
          <w:tcPr>
            <w:tcW w:w="0" w:type="pct"/>
            <w:vAlign w:val="center"/>
            <w:hideMark/>
          </w:tcPr>
          <w:p w14:paraId="059B635D"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Raji 2017</w:t>
            </w:r>
          </w:p>
        </w:tc>
        <w:tc>
          <w:tcPr>
            <w:tcW w:w="0" w:type="pct"/>
            <w:vAlign w:val="center"/>
            <w:hideMark/>
          </w:tcPr>
          <w:p w14:paraId="353F952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634A56C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5F101E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9E3491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1F78FF4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FE7337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3AE5E2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35EFD2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E23564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CB0CA3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54A6835"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Moderate risk</w:t>
            </w:r>
          </w:p>
        </w:tc>
      </w:tr>
      <w:tr w:rsidR="00026F48" w:rsidRPr="00000849" w14:paraId="5CAE2275"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2C490887"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lastRenderedPageBreak/>
              <w:t>33</w:t>
            </w:r>
          </w:p>
        </w:tc>
        <w:tc>
          <w:tcPr>
            <w:tcW w:w="0" w:type="pct"/>
            <w:vAlign w:val="center"/>
            <w:hideMark/>
          </w:tcPr>
          <w:p w14:paraId="08D8ECED"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Iribhogbe 2013</w:t>
            </w:r>
          </w:p>
        </w:tc>
        <w:tc>
          <w:tcPr>
            <w:tcW w:w="0" w:type="pct"/>
            <w:vAlign w:val="center"/>
            <w:hideMark/>
          </w:tcPr>
          <w:p w14:paraId="0505F75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50EDD99B"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4FC200D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60A67F9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E7A5F2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7A1796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8BBC953"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7274B9F"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98CDDC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C247B3A"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E981D6F"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High risk</w:t>
            </w:r>
          </w:p>
        </w:tc>
      </w:tr>
      <w:tr w:rsidR="00026F48" w:rsidRPr="00000849" w14:paraId="52A7D330" w14:textId="77777777" w:rsidTr="00143B7E">
        <w:trPr>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F6CDB84"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34</w:t>
            </w:r>
          </w:p>
        </w:tc>
        <w:tc>
          <w:tcPr>
            <w:tcW w:w="0" w:type="pct"/>
            <w:vAlign w:val="center"/>
            <w:hideMark/>
          </w:tcPr>
          <w:p w14:paraId="2E2E17D8"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Abegunde 2013</w:t>
            </w:r>
          </w:p>
        </w:tc>
        <w:tc>
          <w:tcPr>
            <w:tcW w:w="0" w:type="pct"/>
            <w:vAlign w:val="center"/>
            <w:hideMark/>
          </w:tcPr>
          <w:p w14:paraId="3955787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EFBFDA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43F740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153AB8D"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1E92D1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3973C8A3"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9E4E3A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CFED16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6B4B57C"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DA3380E"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9AA3B0A"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r w:rsidR="00026F48" w:rsidRPr="00000849" w14:paraId="6316FC9D"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0B5DA924"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35</w:t>
            </w:r>
          </w:p>
        </w:tc>
        <w:tc>
          <w:tcPr>
            <w:tcW w:w="0" w:type="pct"/>
            <w:vAlign w:val="center"/>
            <w:hideMark/>
          </w:tcPr>
          <w:p w14:paraId="232E6F3F"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Macia 2012</w:t>
            </w:r>
          </w:p>
        </w:tc>
        <w:tc>
          <w:tcPr>
            <w:tcW w:w="0" w:type="pct"/>
            <w:vAlign w:val="center"/>
            <w:hideMark/>
          </w:tcPr>
          <w:p w14:paraId="476E7AF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46FF63F"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646C8A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48C4239"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73D56E34"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DF1B780"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D199806"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9E9CE9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9A71102"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9443C57"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9CB9B71"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Moderate risk</w:t>
            </w:r>
          </w:p>
        </w:tc>
      </w:tr>
      <w:tr w:rsidR="00026F48" w:rsidRPr="00000849" w14:paraId="21FAD4E8" w14:textId="77777777" w:rsidTr="00143B7E">
        <w:trPr>
          <w:trHeight w:val="936"/>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03E60694"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36</w:t>
            </w:r>
          </w:p>
        </w:tc>
        <w:tc>
          <w:tcPr>
            <w:tcW w:w="0" w:type="pct"/>
            <w:vAlign w:val="center"/>
            <w:hideMark/>
          </w:tcPr>
          <w:p w14:paraId="2A9712B1" w14:textId="77777777" w:rsidR="00026F48" w:rsidRPr="00000849" w:rsidRDefault="00026F48" w:rsidP="00026F4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Duboz 2015</w:t>
            </w:r>
          </w:p>
        </w:tc>
        <w:tc>
          <w:tcPr>
            <w:tcW w:w="0" w:type="pct"/>
            <w:vAlign w:val="center"/>
            <w:hideMark/>
          </w:tcPr>
          <w:p w14:paraId="00B4C940"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3299518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3ED96124"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347070CB"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58A3DB49"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1205A8F"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13EEE0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63E405D"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6D37DDB7"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3419C96"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720D792" w14:textId="77777777" w:rsidR="00026F48" w:rsidRPr="00000849" w:rsidRDefault="00026F48" w:rsidP="00026F4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High risk</w:t>
            </w:r>
          </w:p>
        </w:tc>
      </w:tr>
      <w:tr w:rsidR="00026F48" w:rsidRPr="00000849" w14:paraId="446015EB" w14:textId="77777777" w:rsidTr="00143B7E">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2EC68C18" w14:textId="77777777" w:rsidR="00026F48" w:rsidRPr="00000849" w:rsidRDefault="00026F48" w:rsidP="00026F48">
            <w:pPr>
              <w:jc w:val="center"/>
              <w:rPr>
                <w:rFonts w:ascii="Calibri" w:eastAsia="Times New Roman" w:hAnsi="Calibri" w:cs="Calibri"/>
                <w:b w:val="0"/>
                <w:bCs w:val="0"/>
                <w:color w:val="000000"/>
                <w:sz w:val="18"/>
                <w:szCs w:val="14"/>
              </w:rPr>
            </w:pPr>
            <w:r w:rsidRPr="00000849">
              <w:rPr>
                <w:rFonts w:ascii="Calibri" w:eastAsia="Times New Roman" w:hAnsi="Calibri" w:cs="Calibri"/>
                <w:b w:val="0"/>
                <w:bCs w:val="0"/>
                <w:color w:val="000000"/>
                <w:sz w:val="18"/>
                <w:szCs w:val="14"/>
              </w:rPr>
              <w:t>37</w:t>
            </w:r>
          </w:p>
        </w:tc>
        <w:tc>
          <w:tcPr>
            <w:tcW w:w="0" w:type="pct"/>
            <w:vAlign w:val="center"/>
            <w:hideMark/>
          </w:tcPr>
          <w:p w14:paraId="11F936F5" w14:textId="77777777" w:rsidR="00026F48" w:rsidRPr="00000849" w:rsidRDefault="00026F48" w:rsidP="00026F48">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Kamoun 2006</w:t>
            </w:r>
          </w:p>
        </w:tc>
        <w:tc>
          <w:tcPr>
            <w:tcW w:w="0" w:type="pct"/>
            <w:vAlign w:val="center"/>
            <w:hideMark/>
          </w:tcPr>
          <w:p w14:paraId="20BE1E5C"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389F8298"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5A61CC8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74EFF935"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High risk</w:t>
            </w:r>
          </w:p>
        </w:tc>
        <w:tc>
          <w:tcPr>
            <w:tcW w:w="0" w:type="pct"/>
            <w:vAlign w:val="center"/>
            <w:hideMark/>
          </w:tcPr>
          <w:p w14:paraId="35385FDD" w14:textId="77777777" w:rsidR="00026F48" w:rsidRPr="00000849" w:rsidRDefault="00026F48" w:rsidP="00026F4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4EC273A1" w14:textId="77777777" w:rsidR="00026F48" w:rsidRPr="00000849" w:rsidRDefault="00026F48" w:rsidP="00CD5B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14DAD93B" w14:textId="77777777" w:rsidR="00026F48" w:rsidRPr="00000849" w:rsidRDefault="00026F48" w:rsidP="00CD5B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ACC7BEF" w14:textId="77777777" w:rsidR="00026F48" w:rsidRPr="00000849" w:rsidRDefault="00026F48" w:rsidP="00CD5B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1BB4EF4" w14:textId="77777777" w:rsidR="00026F48" w:rsidRPr="00000849" w:rsidRDefault="00026F48" w:rsidP="00CD5B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09D092ED" w14:textId="77777777" w:rsidR="00026F48" w:rsidRPr="00000849" w:rsidRDefault="00026F48" w:rsidP="00CD5B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4"/>
              </w:rPr>
            </w:pPr>
            <w:r w:rsidRPr="00000849">
              <w:rPr>
                <w:rFonts w:ascii="Calibri" w:eastAsia="Times New Roman" w:hAnsi="Calibri" w:cs="Calibri"/>
                <w:color w:val="000000"/>
                <w:sz w:val="18"/>
                <w:szCs w:val="14"/>
              </w:rPr>
              <w:t>Low risk</w:t>
            </w:r>
          </w:p>
        </w:tc>
        <w:tc>
          <w:tcPr>
            <w:tcW w:w="0" w:type="pct"/>
            <w:vAlign w:val="center"/>
            <w:hideMark/>
          </w:tcPr>
          <w:p w14:paraId="21A14EFD" w14:textId="77777777" w:rsidR="00026F48" w:rsidRPr="00000849" w:rsidRDefault="00026F48" w:rsidP="00CD5B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4"/>
              </w:rPr>
            </w:pPr>
            <w:r w:rsidRPr="00000849">
              <w:rPr>
                <w:rFonts w:ascii="Calibri" w:eastAsia="Times New Roman" w:hAnsi="Calibri" w:cs="Calibri"/>
                <w:b/>
                <w:bCs/>
                <w:color w:val="000000"/>
                <w:sz w:val="18"/>
                <w:szCs w:val="14"/>
              </w:rPr>
              <w:t>Low risk</w:t>
            </w:r>
          </w:p>
        </w:tc>
      </w:tr>
    </w:tbl>
    <w:p w14:paraId="271D90D0" w14:textId="77777777" w:rsidR="00026F48" w:rsidRPr="00000849" w:rsidRDefault="00026F48" w:rsidP="006037A7"/>
    <w:p w14:paraId="17DA04D7" w14:textId="77777777" w:rsidR="00585094" w:rsidRPr="00000849" w:rsidRDefault="00585094" w:rsidP="00585094"/>
    <w:p w14:paraId="21F864FA" w14:textId="2F6B43F1" w:rsidR="00585094" w:rsidRPr="00000849" w:rsidRDefault="00585094" w:rsidP="00585094">
      <w:r w:rsidRPr="00000849">
        <w:t>List of 10 questions (Q1 – Q10) applied to the studies</w:t>
      </w:r>
      <w:r w:rsidR="00501851" w:rsidRPr="00000849">
        <w:t xml:space="preserve"> </w:t>
      </w:r>
      <w:r w:rsidR="00806613" w:rsidRPr="00000849">
        <w:fldChar w:fldCharType="begin"/>
      </w:r>
      <w:r w:rsidR="003E660C" w:rsidRPr="00000849">
        <w:instrText xml:space="preserve"> ADDIN EN.CITE &lt;EndNote&gt;&lt;Cite&gt;&lt;Author&gt;Hoy&lt;/Author&gt;&lt;Year&gt;2012&lt;/Year&gt;&lt;RecNum&gt;172&lt;/RecNum&gt;&lt;DisplayText&gt;(Hoy et al., 2012)&lt;/DisplayText&gt;&lt;record&gt;&lt;rec-number&gt;172&lt;/rec-number&gt;&lt;foreign-keys&gt;&lt;key app="EN" db-id="9tzf2rda8re2a9es5tuxart3swzx2zws2s02" timestamp="1485607619"&gt;172&lt;/key&gt;&lt;/foreign-keys&gt;&lt;ref-type name="Journal Article"&gt;17&lt;/ref-type&gt;&lt;contributors&gt;&lt;authors&gt;&lt;author&gt;Hoy, Damian&lt;/author&gt;&lt;author&gt;Brooks, Peter&lt;/author&gt;&lt;author&gt;Woolf, Anthony&lt;/author&gt;&lt;author&gt;Blyth, Fiona&lt;/author&gt;&lt;author&gt;March, Lyn&lt;/author&gt;&lt;author&gt;Bain, Chris&lt;/author&gt;&lt;author&gt;Baker, Peter&lt;/author&gt;&lt;author&gt;Smith, Emma&lt;/author&gt;&lt;author&gt;Buchbinder, Rachelle&lt;/author&gt;&lt;/authors&gt;&lt;/contributors&gt;&lt;titles&gt;&lt;title&gt;Assessing risk of bias in prevalence studies: modification of an existing tool and evidence of interrater agreement&lt;/title&gt;&lt;secondary-title&gt;Journal of Clinical Epidemiology&lt;/secondary-title&gt;&lt;/titles&gt;&lt;periodical&gt;&lt;full-title&gt;Journal of Clinical Epidemiology&lt;/full-title&gt;&lt;abbr-1&gt;J Clin Epidemiol&lt;/abbr-1&gt;&lt;/periodical&gt;&lt;pages&gt;934-939&lt;/pages&gt;&lt;volume&gt;65&lt;/volume&gt;&lt;number&gt;9&lt;/number&gt;&lt;dates&gt;&lt;year&gt;2012&lt;/year&gt;&lt;/dates&gt;&lt;isbn&gt;0895-4356&lt;/isbn&gt;&lt;urls&gt;&lt;/urls&gt;&lt;/record&gt;&lt;/Cite&gt;&lt;/EndNote&gt;</w:instrText>
      </w:r>
      <w:r w:rsidR="00806613" w:rsidRPr="00000849">
        <w:fldChar w:fldCharType="separate"/>
      </w:r>
      <w:r w:rsidR="00806613" w:rsidRPr="00000849">
        <w:rPr>
          <w:noProof/>
        </w:rPr>
        <w:t>(Hoy et al., 2012)</w:t>
      </w:r>
      <w:r w:rsidR="00806613" w:rsidRPr="00000849">
        <w:fldChar w:fldCharType="end"/>
      </w:r>
      <w:r w:rsidRPr="00000849">
        <w:t>:</w:t>
      </w:r>
    </w:p>
    <w:p w14:paraId="51469F7D" w14:textId="77777777" w:rsidR="00585094" w:rsidRPr="00000849" w:rsidRDefault="00585094" w:rsidP="00585094"/>
    <w:p w14:paraId="1D6161FE" w14:textId="77777777"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t xml:space="preserve">Was the study's target population a close representation of the national population in relation to relevant variables, e.g. age, sex, occupation? </w:t>
      </w:r>
    </w:p>
    <w:p w14:paraId="3BF9101C" w14:textId="77777777"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t xml:space="preserve">Was the sampling frame a true or close representation of the target population? </w:t>
      </w:r>
    </w:p>
    <w:p w14:paraId="5CEBDCE9" w14:textId="77777777"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t xml:space="preserve">Was some form of random selection used to select the sample, OR, was a census undertaken? </w:t>
      </w:r>
    </w:p>
    <w:p w14:paraId="5F86AF35" w14:textId="77777777"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t xml:space="preserve">Was the likelihood of non-response bias minimal? </w:t>
      </w:r>
    </w:p>
    <w:p w14:paraId="4CFC78EB" w14:textId="70E7C084"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t xml:space="preserve">Were data collected directly from the subjects (as opposed to a proxy)? </w:t>
      </w:r>
    </w:p>
    <w:p w14:paraId="0CB7A218" w14:textId="77777777"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lastRenderedPageBreak/>
        <w:t xml:space="preserve">Was an acceptable case definition used in the study? </w:t>
      </w:r>
    </w:p>
    <w:p w14:paraId="7BD23A92" w14:textId="77777777"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t xml:space="preserve">Was the study instrument that measured the parameter of interest (e.g. prevalence of low back pain) shown to have reliability and validity (if necessary)? </w:t>
      </w:r>
    </w:p>
    <w:p w14:paraId="4B1DFAA9" w14:textId="77777777"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t xml:space="preserve">Was the same mode of data collection used for all subjects? </w:t>
      </w:r>
    </w:p>
    <w:p w14:paraId="5825F68A" w14:textId="77777777"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t xml:space="preserve">Was the </w:t>
      </w:r>
      <w:r w:rsidRPr="00000849">
        <w:rPr>
          <w:rFonts w:ascii="Verdana" w:eastAsia="Times New Roman" w:hAnsi="Verdana" w:cs="Calibri"/>
          <w:i/>
          <w:iCs/>
          <w:color w:val="000000"/>
          <w:sz w:val="18"/>
          <w:szCs w:val="18"/>
          <w:u w:val="single"/>
        </w:rPr>
        <w:t>length</w:t>
      </w:r>
      <w:r w:rsidRPr="00000849">
        <w:rPr>
          <w:rFonts w:ascii="Verdana" w:eastAsia="Times New Roman" w:hAnsi="Verdana" w:cs="Calibri"/>
          <w:i/>
          <w:iCs/>
          <w:color w:val="000000"/>
          <w:sz w:val="18"/>
          <w:szCs w:val="18"/>
        </w:rPr>
        <w:t xml:space="preserve"> of the shortest prevalence period for the parameter of interest appropriate?</w:t>
      </w:r>
    </w:p>
    <w:p w14:paraId="43700178" w14:textId="77777777" w:rsidR="00585094" w:rsidRPr="00000849" w:rsidRDefault="00585094" w:rsidP="00585094">
      <w:pPr>
        <w:pStyle w:val="ListParagraph"/>
        <w:numPr>
          <w:ilvl w:val="0"/>
          <w:numId w:val="30"/>
        </w:numPr>
        <w:spacing w:after="0" w:line="240" w:lineRule="auto"/>
        <w:rPr>
          <w:rFonts w:ascii="Verdana" w:eastAsia="Times New Roman" w:hAnsi="Verdana" w:cs="Calibri"/>
          <w:i/>
          <w:iCs/>
          <w:color w:val="000000"/>
          <w:sz w:val="18"/>
          <w:szCs w:val="18"/>
        </w:rPr>
      </w:pPr>
      <w:r w:rsidRPr="00000849">
        <w:rPr>
          <w:rFonts w:ascii="Verdana" w:eastAsia="Times New Roman" w:hAnsi="Verdana" w:cs="Calibri"/>
          <w:i/>
          <w:iCs/>
          <w:color w:val="000000"/>
          <w:sz w:val="18"/>
          <w:szCs w:val="18"/>
        </w:rPr>
        <w:t xml:space="preserve">Were the numerator(s) and denominator(s) for the parameter of interest appropriate? </w:t>
      </w:r>
    </w:p>
    <w:p w14:paraId="27FB5E12" w14:textId="323F0FB2" w:rsidR="00AA605A" w:rsidRPr="00000849" w:rsidRDefault="00AA605A">
      <w:pPr>
        <w:spacing w:after="160" w:line="259" w:lineRule="auto"/>
      </w:pPr>
    </w:p>
    <w:p w14:paraId="6364C177" w14:textId="77777777" w:rsidR="001A258D" w:rsidRPr="00000849" w:rsidRDefault="001A258D">
      <w:pPr>
        <w:spacing w:after="160" w:line="259" w:lineRule="auto"/>
        <w:sectPr w:rsidR="001A258D" w:rsidRPr="00000849" w:rsidSect="00026F48">
          <w:pgSz w:w="16838" w:h="11906" w:orient="landscape"/>
          <w:pgMar w:top="2155" w:right="1440" w:bottom="1440" w:left="1440" w:header="708" w:footer="708" w:gutter="0"/>
          <w:cols w:space="708"/>
          <w:docGrid w:linePitch="360"/>
        </w:sectPr>
      </w:pPr>
    </w:p>
    <w:p w14:paraId="61557BC5" w14:textId="77777777" w:rsidR="001A258D" w:rsidRPr="00000849" w:rsidRDefault="001A258D" w:rsidP="004E2350">
      <w:pPr>
        <w:pStyle w:val="Heading3"/>
        <w:rPr>
          <w:lang w:val="en-US"/>
        </w:rPr>
      </w:pPr>
      <w:bookmarkStart w:id="140" w:name="_Toc51472170"/>
      <w:r w:rsidRPr="00000849">
        <w:rPr>
          <w:lang w:val="en-US"/>
        </w:rPr>
        <w:lastRenderedPageBreak/>
        <w:t>Table A4  Univariate and multivariate meta-regression analysis of potential sources of heterogeneity in the meta-analysis of the prevalence of hypertension in older adults in Africa</w:t>
      </w:r>
      <w:bookmarkEnd w:id="140"/>
    </w:p>
    <w:p w14:paraId="277A1ED1" w14:textId="77777777" w:rsidR="001A258D" w:rsidRPr="00000849" w:rsidRDefault="001A258D" w:rsidP="001A258D"/>
    <w:tbl>
      <w:tblPr>
        <w:tblStyle w:val="PlainTable2"/>
        <w:tblW w:w="5000" w:type="pct"/>
        <w:tblLook w:val="04A0" w:firstRow="1" w:lastRow="0" w:firstColumn="1" w:lastColumn="0" w:noHBand="0" w:noVBand="1"/>
      </w:tblPr>
      <w:tblGrid>
        <w:gridCol w:w="2019"/>
        <w:gridCol w:w="140"/>
        <w:gridCol w:w="592"/>
        <w:gridCol w:w="2367"/>
        <w:gridCol w:w="800"/>
        <w:gridCol w:w="800"/>
        <w:gridCol w:w="800"/>
        <w:gridCol w:w="793"/>
      </w:tblGrid>
      <w:tr w:rsidR="001A258D" w:rsidRPr="00000849" w14:paraId="0F40D2FF" w14:textId="77777777" w:rsidTr="00AC6D4B">
        <w:trPr>
          <w:cnfStyle w:val="100000000000" w:firstRow="1" w:lastRow="0" w:firstColumn="0" w:lastColumn="0" w:oddVBand="0" w:evenVBand="0" w:oddHBand="0"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1215" w:type="pct"/>
            <w:hideMark/>
          </w:tcPr>
          <w:p w14:paraId="12FD0C99" w14:textId="77777777" w:rsidR="001A258D" w:rsidRPr="00000849" w:rsidRDefault="001A258D" w:rsidP="00AC6D4B">
            <w:pPr>
              <w:rPr>
                <w:rFonts w:ascii="Calibri" w:eastAsia="Times New Roman" w:hAnsi="Calibri" w:cs="Calibri"/>
                <w:color w:val="000000"/>
                <w:sz w:val="20"/>
                <w:szCs w:val="20"/>
              </w:rPr>
            </w:pPr>
            <w:r w:rsidRPr="00000849">
              <w:rPr>
                <w:rFonts w:ascii="Calibri" w:eastAsia="Times New Roman" w:hAnsi="Calibri" w:cs="Calibri"/>
                <w:color w:val="000000"/>
                <w:sz w:val="20"/>
                <w:szCs w:val="20"/>
              </w:rPr>
              <w:t>Model</w:t>
            </w:r>
          </w:p>
        </w:tc>
        <w:tc>
          <w:tcPr>
            <w:tcW w:w="440" w:type="pct"/>
            <w:gridSpan w:val="2"/>
            <w:hideMark/>
          </w:tcPr>
          <w:p w14:paraId="10D906CD" w14:textId="77777777" w:rsidR="001A258D" w:rsidRPr="00000849" w:rsidRDefault="001A258D" w:rsidP="00AC6D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N</w:t>
            </w:r>
          </w:p>
        </w:tc>
        <w:tc>
          <w:tcPr>
            <w:tcW w:w="1424" w:type="pct"/>
            <w:hideMark/>
          </w:tcPr>
          <w:p w14:paraId="70E6A94E" w14:textId="77777777" w:rsidR="001A258D" w:rsidRPr="00000849" w:rsidRDefault="001A258D" w:rsidP="00AC6D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Coefficient (95% CI)</w:t>
            </w:r>
          </w:p>
        </w:tc>
        <w:tc>
          <w:tcPr>
            <w:tcW w:w="481" w:type="pct"/>
            <w:hideMark/>
          </w:tcPr>
          <w:p w14:paraId="5BFA1670" w14:textId="77777777" w:rsidR="001A258D" w:rsidRPr="00000849" w:rsidRDefault="001A258D" w:rsidP="00AC6D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Tau</w:t>
            </w:r>
            <w:r w:rsidRPr="00000849">
              <w:rPr>
                <w:rFonts w:ascii="Calibri" w:eastAsia="Times New Roman" w:hAnsi="Calibri" w:cs="Calibri"/>
                <w:color w:val="000000"/>
                <w:sz w:val="20"/>
                <w:szCs w:val="20"/>
                <w:vertAlign w:val="superscript"/>
              </w:rPr>
              <w:t>2</w:t>
            </w:r>
          </w:p>
        </w:tc>
        <w:tc>
          <w:tcPr>
            <w:tcW w:w="481" w:type="pct"/>
            <w:hideMark/>
          </w:tcPr>
          <w:p w14:paraId="243B9F54" w14:textId="77777777" w:rsidR="001A258D" w:rsidRPr="00000849" w:rsidRDefault="001A258D" w:rsidP="00AC6D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Adj. R</w:t>
            </w:r>
            <w:r w:rsidRPr="00000849">
              <w:rPr>
                <w:rFonts w:ascii="Calibri" w:eastAsia="Times New Roman" w:hAnsi="Calibri" w:cs="Calibri"/>
                <w:color w:val="000000"/>
                <w:sz w:val="20"/>
                <w:szCs w:val="20"/>
                <w:vertAlign w:val="superscript"/>
              </w:rPr>
              <w:t>2</w:t>
            </w:r>
            <w:r w:rsidRPr="00000849">
              <w:rPr>
                <w:rFonts w:ascii="Calibri" w:eastAsia="Times New Roman" w:hAnsi="Calibri" w:cs="Calibri"/>
                <w:color w:val="000000"/>
                <w:sz w:val="20"/>
                <w:szCs w:val="20"/>
              </w:rPr>
              <w:t xml:space="preserve"> (%)</w:t>
            </w:r>
          </w:p>
        </w:tc>
        <w:tc>
          <w:tcPr>
            <w:tcW w:w="481" w:type="pct"/>
            <w:hideMark/>
          </w:tcPr>
          <w:p w14:paraId="1E5C2EC9" w14:textId="77777777" w:rsidR="001A258D" w:rsidRPr="00000849" w:rsidRDefault="001A258D" w:rsidP="00AC6D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I</w:t>
            </w:r>
            <w:r w:rsidRPr="00000849">
              <w:rPr>
                <w:rFonts w:ascii="Calibri" w:eastAsia="Times New Roman" w:hAnsi="Calibri" w:cs="Calibri"/>
                <w:color w:val="000000"/>
                <w:sz w:val="20"/>
                <w:szCs w:val="20"/>
                <w:vertAlign w:val="superscript"/>
              </w:rPr>
              <w:t>2</w:t>
            </w:r>
            <w:r w:rsidRPr="00000849">
              <w:rPr>
                <w:rFonts w:ascii="Calibri" w:eastAsia="Times New Roman" w:hAnsi="Calibri" w:cs="Calibri"/>
                <w:color w:val="000000"/>
                <w:sz w:val="20"/>
                <w:szCs w:val="20"/>
              </w:rPr>
              <w:t xml:space="preserve"> (%)</w:t>
            </w:r>
          </w:p>
        </w:tc>
        <w:tc>
          <w:tcPr>
            <w:tcW w:w="478" w:type="pct"/>
            <w:hideMark/>
          </w:tcPr>
          <w:p w14:paraId="517BA39E" w14:textId="77777777" w:rsidR="001A258D" w:rsidRPr="00000849" w:rsidRDefault="001A258D" w:rsidP="00AC6D4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p value</w:t>
            </w:r>
          </w:p>
        </w:tc>
      </w:tr>
      <w:tr w:rsidR="001A258D" w:rsidRPr="00000849" w14:paraId="7745F0AC" w14:textId="77777777" w:rsidTr="00AC6D4B">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44EB3802" w14:textId="77777777" w:rsidR="001A258D" w:rsidRPr="00000849" w:rsidRDefault="001A258D" w:rsidP="00AC6D4B">
            <w:pPr>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No covariates</w:t>
            </w:r>
          </w:p>
        </w:tc>
        <w:tc>
          <w:tcPr>
            <w:tcW w:w="356" w:type="pct"/>
            <w:noWrap/>
            <w:hideMark/>
          </w:tcPr>
          <w:p w14:paraId="0ED0877C"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37</w:t>
            </w:r>
          </w:p>
        </w:tc>
        <w:tc>
          <w:tcPr>
            <w:tcW w:w="1424" w:type="pct"/>
            <w:hideMark/>
          </w:tcPr>
          <w:p w14:paraId="70EA62F5"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0.561 (0.503, 0.618)</w:t>
            </w:r>
          </w:p>
        </w:tc>
        <w:tc>
          <w:tcPr>
            <w:tcW w:w="481" w:type="pct"/>
            <w:hideMark/>
          </w:tcPr>
          <w:p w14:paraId="6AE332B5"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0.026</w:t>
            </w:r>
          </w:p>
        </w:tc>
        <w:tc>
          <w:tcPr>
            <w:tcW w:w="481" w:type="pct"/>
            <w:hideMark/>
          </w:tcPr>
          <w:p w14:paraId="291D4490"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62DC170F"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95.2</w:t>
            </w:r>
          </w:p>
        </w:tc>
        <w:tc>
          <w:tcPr>
            <w:tcW w:w="478" w:type="pct"/>
            <w:hideMark/>
          </w:tcPr>
          <w:p w14:paraId="306D96FB"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&lt;0.001</w:t>
            </w:r>
          </w:p>
        </w:tc>
      </w:tr>
      <w:tr w:rsidR="001A258D" w:rsidRPr="00000849" w14:paraId="5BD0DCEC" w14:textId="77777777" w:rsidTr="00AC6D4B">
        <w:trPr>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512F005A" w14:textId="77777777" w:rsidR="001A258D" w:rsidRPr="00000849" w:rsidRDefault="001A258D" w:rsidP="00AC6D4B">
            <w:pPr>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Univariate</w:t>
            </w:r>
          </w:p>
        </w:tc>
        <w:tc>
          <w:tcPr>
            <w:tcW w:w="356" w:type="pct"/>
            <w:noWrap/>
            <w:hideMark/>
          </w:tcPr>
          <w:p w14:paraId="132D5EEE"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1424" w:type="pct"/>
            <w:hideMark/>
          </w:tcPr>
          <w:p w14:paraId="4E9F88F5"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5955F731"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51F90AFC"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5A274CDF"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78" w:type="pct"/>
            <w:hideMark/>
          </w:tcPr>
          <w:p w14:paraId="30BCF35C"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r>
      <w:tr w:rsidR="001A258D" w:rsidRPr="00000849" w14:paraId="58301B74" w14:textId="77777777" w:rsidTr="00AC6D4B">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76B83507"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Study year</w:t>
            </w:r>
          </w:p>
        </w:tc>
        <w:tc>
          <w:tcPr>
            <w:tcW w:w="356" w:type="pct"/>
            <w:noWrap/>
            <w:hideMark/>
          </w:tcPr>
          <w:p w14:paraId="13D751F2"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35</w:t>
            </w:r>
          </w:p>
        </w:tc>
        <w:tc>
          <w:tcPr>
            <w:tcW w:w="1424" w:type="pct"/>
            <w:hideMark/>
          </w:tcPr>
          <w:p w14:paraId="466F62E4"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.0049 (-0.0110, 0.0207)</w:t>
            </w:r>
          </w:p>
        </w:tc>
        <w:tc>
          <w:tcPr>
            <w:tcW w:w="481" w:type="pct"/>
            <w:hideMark/>
          </w:tcPr>
          <w:p w14:paraId="3A31A496"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0.027</w:t>
            </w:r>
          </w:p>
        </w:tc>
        <w:tc>
          <w:tcPr>
            <w:tcW w:w="481" w:type="pct"/>
            <w:hideMark/>
          </w:tcPr>
          <w:p w14:paraId="1D83ED94"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-2.96</w:t>
            </w:r>
          </w:p>
        </w:tc>
        <w:tc>
          <w:tcPr>
            <w:tcW w:w="481" w:type="pct"/>
            <w:hideMark/>
          </w:tcPr>
          <w:p w14:paraId="693E0D7F"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95.3</w:t>
            </w:r>
          </w:p>
        </w:tc>
        <w:tc>
          <w:tcPr>
            <w:tcW w:w="478" w:type="pct"/>
            <w:hideMark/>
          </w:tcPr>
          <w:p w14:paraId="0C98ACF6"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0.537</w:t>
            </w:r>
          </w:p>
        </w:tc>
      </w:tr>
      <w:tr w:rsidR="001A258D" w:rsidRPr="00000849" w14:paraId="1CF422D9" w14:textId="77777777" w:rsidTr="00AC6D4B">
        <w:trPr>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489A12EC"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Publication year</w:t>
            </w:r>
          </w:p>
        </w:tc>
        <w:tc>
          <w:tcPr>
            <w:tcW w:w="356" w:type="pct"/>
            <w:noWrap/>
            <w:hideMark/>
          </w:tcPr>
          <w:p w14:paraId="59D4C325"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37</w:t>
            </w:r>
          </w:p>
        </w:tc>
        <w:tc>
          <w:tcPr>
            <w:tcW w:w="1424" w:type="pct"/>
            <w:hideMark/>
          </w:tcPr>
          <w:p w14:paraId="524F535C"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0.0121 (-0.0054, 0.0296)</w:t>
            </w:r>
          </w:p>
        </w:tc>
        <w:tc>
          <w:tcPr>
            <w:tcW w:w="481" w:type="pct"/>
            <w:hideMark/>
          </w:tcPr>
          <w:p w14:paraId="483DBFFF"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0.026</w:t>
            </w:r>
          </w:p>
        </w:tc>
        <w:tc>
          <w:tcPr>
            <w:tcW w:w="481" w:type="pct"/>
            <w:hideMark/>
          </w:tcPr>
          <w:p w14:paraId="03FB6FBC"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1.73</w:t>
            </w:r>
          </w:p>
        </w:tc>
        <w:tc>
          <w:tcPr>
            <w:tcW w:w="481" w:type="pct"/>
            <w:hideMark/>
          </w:tcPr>
          <w:p w14:paraId="5FFA2775"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95.4</w:t>
            </w:r>
          </w:p>
        </w:tc>
        <w:tc>
          <w:tcPr>
            <w:tcW w:w="478" w:type="pct"/>
            <w:hideMark/>
          </w:tcPr>
          <w:p w14:paraId="1AC89B22"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0.168</w:t>
            </w:r>
          </w:p>
        </w:tc>
      </w:tr>
      <w:tr w:rsidR="001A258D" w:rsidRPr="00000849" w14:paraId="48BA901F" w14:textId="77777777" w:rsidTr="00AC6D4B">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5CE99AD9"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Enrolled sample size</w:t>
            </w:r>
          </w:p>
        </w:tc>
        <w:tc>
          <w:tcPr>
            <w:tcW w:w="356" w:type="pct"/>
            <w:noWrap/>
            <w:hideMark/>
          </w:tcPr>
          <w:p w14:paraId="08E663A2"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37</w:t>
            </w:r>
          </w:p>
        </w:tc>
        <w:tc>
          <w:tcPr>
            <w:tcW w:w="1424" w:type="pct"/>
            <w:hideMark/>
          </w:tcPr>
          <w:p w14:paraId="0988E771"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2.69e-6 (-4.22e-5, 4.75e-5)</w:t>
            </w:r>
          </w:p>
        </w:tc>
        <w:tc>
          <w:tcPr>
            <w:tcW w:w="481" w:type="pct"/>
            <w:hideMark/>
          </w:tcPr>
          <w:p w14:paraId="64238642"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0.027</w:t>
            </w:r>
          </w:p>
        </w:tc>
        <w:tc>
          <w:tcPr>
            <w:tcW w:w="481" w:type="pct"/>
            <w:hideMark/>
          </w:tcPr>
          <w:p w14:paraId="41E27242"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-3.29</w:t>
            </w:r>
          </w:p>
        </w:tc>
        <w:tc>
          <w:tcPr>
            <w:tcW w:w="481" w:type="pct"/>
            <w:hideMark/>
          </w:tcPr>
          <w:p w14:paraId="2746377A"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95.4</w:t>
            </w:r>
          </w:p>
        </w:tc>
        <w:tc>
          <w:tcPr>
            <w:tcW w:w="478" w:type="pct"/>
            <w:hideMark/>
          </w:tcPr>
          <w:p w14:paraId="4BCB1391"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0.904</w:t>
            </w:r>
          </w:p>
        </w:tc>
      </w:tr>
      <w:tr w:rsidR="001A258D" w:rsidRPr="00000849" w14:paraId="22D14D40" w14:textId="77777777" w:rsidTr="00AC6D4B">
        <w:trPr>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3837C510"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Percentage obesity</w:t>
            </w:r>
          </w:p>
        </w:tc>
        <w:tc>
          <w:tcPr>
            <w:tcW w:w="356" w:type="pct"/>
            <w:noWrap/>
            <w:hideMark/>
          </w:tcPr>
          <w:p w14:paraId="4E8FBB72"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17</w:t>
            </w:r>
          </w:p>
        </w:tc>
        <w:tc>
          <w:tcPr>
            <w:tcW w:w="1424" w:type="pct"/>
            <w:hideMark/>
          </w:tcPr>
          <w:p w14:paraId="7B16ECF0"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0.0041 (0.0003, 0.0079)</w:t>
            </w:r>
          </w:p>
        </w:tc>
        <w:tc>
          <w:tcPr>
            <w:tcW w:w="481" w:type="pct"/>
            <w:hideMark/>
          </w:tcPr>
          <w:p w14:paraId="398C9BF0"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0.012</w:t>
            </w:r>
          </w:p>
        </w:tc>
        <w:tc>
          <w:tcPr>
            <w:tcW w:w="481" w:type="pct"/>
            <w:hideMark/>
          </w:tcPr>
          <w:p w14:paraId="62471DA1"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23.19</w:t>
            </w:r>
          </w:p>
        </w:tc>
        <w:tc>
          <w:tcPr>
            <w:tcW w:w="481" w:type="pct"/>
            <w:hideMark/>
          </w:tcPr>
          <w:p w14:paraId="5D48825A"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92.0</w:t>
            </w:r>
          </w:p>
        </w:tc>
        <w:tc>
          <w:tcPr>
            <w:tcW w:w="478" w:type="pct"/>
            <w:hideMark/>
          </w:tcPr>
          <w:p w14:paraId="41BDA0DE"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0.036</w:t>
            </w:r>
          </w:p>
        </w:tc>
      </w:tr>
      <w:tr w:rsidR="001A258D" w:rsidRPr="00000849" w14:paraId="7C4E5F35" w14:textId="77777777" w:rsidTr="00AC6D4B">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528D599B"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Percentage no education</w:t>
            </w:r>
          </w:p>
        </w:tc>
        <w:tc>
          <w:tcPr>
            <w:tcW w:w="356" w:type="pct"/>
            <w:noWrap/>
            <w:hideMark/>
          </w:tcPr>
          <w:p w14:paraId="13B3627B"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23</w:t>
            </w:r>
          </w:p>
        </w:tc>
        <w:tc>
          <w:tcPr>
            <w:tcW w:w="1424" w:type="pct"/>
            <w:hideMark/>
          </w:tcPr>
          <w:p w14:paraId="63D5D3FC"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0.0006 (-0.0024, 0.0036)</w:t>
            </w:r>
          </w:p>
        </w:tc>
        <w:tc>
          <w:tcPr>
            <w:tcW w:w="481" w:type="pct"/>
            <w:hideMark/>
          </w:tcPr>
          <w:p w14:paraId="1D325971"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0.024</w:t>
            </w:r>
          </w:p>
        </w:tc>
        <w:tc>
          <w:tcPr>
            <w:tcW w:w="481" w:type="pct"/>
            <w:hideMark/>
          </w:tcPr>
          <w:p w14:paraId="2F9E174C"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-4.54</w:t>
            </w:r>
          </w:p>
        </w:tc>
        <w:tc>
          <w:tcPr>
            <w:tcW w:w="481" w:type="pct"/>
            <w:hideMark/>
          </w:tcPr>
          <w:p w14:paraId="5EF090E1"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95.5</w:t>
            </w:r>
          </w:p>
        </w:tc>
        <w:tc>
          <w:tcPr>
            <w:tcW w:w="478" w:type="pct"/>
            <w:hideMark/>
          </w:tcPr>
          <w:p w14:paraId="4DF2F283"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0.676</w:t>
            </w:r>
          </w:p>
        </w:tc>
      </w:tr>
      <w:tr w:rsidR="001A258D" w:rsidRPr="00000849" w14:paraId="6B247D7B" w14:textId="77777777" w:rsidTr="00AC6D4B">
        <w:trPr>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65A7695D"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Device (ref: manual type)</w:t>
            </w:r>
          </w:p>
        </w:tc>
        <w:tc>
          <w:tcPr>
            <w:tcW w:w="356" w:type="pct"/>
            <w:noWrap/>
            <w:hideMark/>
          </w:tcPr>
          <w:p w14:paraId="62821164"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22</w:t>
            </w:r>
          </w:p>
        </w:tc>
        <w:tc>
          <w:tcPr>
            <w:tcW w:w="1424" w:type="pct"/>
            <w:hideMark/>
          </w:tcPr>
          <w:p w14:paraId="32E205CA"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0.1317 (-0.0267, 0.2900)</w:t>
            </w:r>
          </w:p>
        </w:tc>
        <w:tc>
          <w:tcPr>
            <w:tcW w:w="481" w:type="pct"/>
            <w:hideMark/>
          </w:tcPr>
          <w:p w14:paraId="2404F5C5"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0.025</w:t>
            </w:r>
          </w:p>
        </w:tc>
        <w:tc>
          <w:tcPr>
            <w:tcW w:w="481" w:type="pct"/>
            <w:hideMark/>
          </w:tcPr>
          <w:p w14:paraId="6D5542CE"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8.45</w:t>
            </w:r>
          </w:p>
        </w:tc>
        <w:tc>
          <w:tcPr>
            <w:tcW w:w="481" w:type="pct"/>
            <w:hideMark/>
          </w:tcPr>
          <w:p w14:paraId="7AF0DA89"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96.6</w:t>
            </w:r>
          </w:p>
        </w:tc>
        <w:tc>
          <w:tcPr>
            <w:tcW w:w="478" w:type="pct"/>
            <w:hideMark/>
          </w:tcPr>
          <w:p w14:paraId="04FCA3CC"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0.098</w:t>
            </w:r>
          </w:p>
        </w:tc>
      </w:tr>
      <w:tr w:rsidR="001A258D" w:rsidRPr="00000849" w14:paraId="7CCFEEC9" w14:textId="77777777" w:rsidTr="00AC6D4B">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71EED69C"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 </w:t>
            </w:r>
          </w:p>
        </w:tc>
        <w:tc>
          <w:tcPr>
            <w:tcW w:w="356" w:type="pct"/>
            <w:noWrap/>
            <w:hideMark/>
          </w:tcPr>
          <w:p w14:paraId="72AC137B"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1424" w:type="pct"/>
            <w:hideMark/>
          </w:tcPr>
          <w:p w14:paraId="4E745CC7"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61182B50"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774280EA"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4D587D94"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78" w:type="pct"/>
            <w:hideMark/>
          </w:tcPr>
          <w:p w14:paraId="56D6783F"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r>
      <w:tr w:rsidR="001A258D" w:rsidRPr="00000849" w14:paraId="07851F9E" w14:textId="77777777" w:rsidTr="00AC6D4B">
        <w:trPr>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5008966C" w14:textId="77777777" w:rsidR="001A258D" w:rsidRPr="00000849" w:rsidRDefault="001A258D" w:rsidP="00AC6D4B">
            <w:pPr>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Multiple covariates</w:t>
            </w:r>
          </w:p>
        </w:tc>
        <w:tc>
          <w:tcPr>
            <w:tcW w:w="356" w:type="pct"/>
            <w:noWrap/>
            <w:hideMark/>
          </w:tcPr>
          <w:p w14:paraId="747F7B62"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16</w:t>
            </w:r>
          </w:p>
        </w:tc>
        <w:tc>
          <w:tcPr>
            <w:tcW w:w="1424" w:type="pct"/>
            <w:hideMark/>
          </w:tcPr>
          <w:p w14:paraId="59AD49BF"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67F31AFF"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0.008</w:t>
            </w:r>
          </w:p>
        </w:tc>
        <w:tc>
          <w:tcPr>
            <w:tcW w:w="481" w:type="pct"/>
            <w:hideMark/>
          </w:tcPr>
          <w:p w14:paraId="745F9714"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50.00</w:t>
            </w:r>
          </w:p>
        </w:tc>
        <w:tc>
          <w:tcPr>
            <w:tcW w:w="481" w:type="pct"/>
            <w:hideMark/>
          </w:tcPr>
          <w:p w14:paraId="1233D06E"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87.5</w:t>
            </w:r>
          </w:p>
        </w:tc>
        <w:tc>
          <w:tcPr>
            <w:tcW w:w="478" w:type="pct"/>
            <w:hideMark/>
          </w:tcPr>
          <w:p w14:paraId="68CFD0AB"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0.030</w:t>
            </w:r>
          </w:p>
        </w:tc>
      </w:tr>
      <w:tr w:rsidR="001A258D" w:rsidRPr="00000849" w14:paraId="2A88C373" w14:textId="77777777" w:rsidTr="00AC6D4B">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191AAEAB"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Study year</w:t>
            </w:r>
          </w:p>
        </w:tc>
        <w:tc>
          <w:tcPr>
            <w:tcW w:w="356" w:type="pct"/>
            <w:noWrap/>
            <w:hideMark/>
          </w:tcPr>
          <w:p w14:paraId="2FAB876D"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16</w:t>
            </w:r>
          </w:p>
        </w:tc>
        <w:tc>
          <w:tcPr>
            <w:tcW w:w="1424" w:type="pct"/>
            <w:hideMark/>
          </w:tcPr>
          <w:p w14:paraId="62772801"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-0.0248 (-0.0470, -0.0027)</w:t>
            </w:r>
          </w:p>
        </w:tc>
        <w:tc>
          <w:tcPr>
            <w:tcW w:w="481" w:type="pct"/>
            <w:hideMark/>
          </w:tcPr>
          <w:p w14:paraId="10468C2D"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7D7C5DB4"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2723CDE9"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78" w:type="pct"/>
            <w:hideMark/>
          </w:tcPr>
          <w:p w14:paraId="239F1F84"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0.031</w:t>
            </w:r>
          </w:p>
        </w:tc>
      </w:tr>
      <w:tr w:rsidR="001A258D" w:rsidRPr="00000849" w14:paraId="6A276639" w14:textId="77777777" w:rsidTr="00AC6D4B">
        <w:trPr>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5BBEEAF7"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Publication year</w:t>
            </w:r>
          </w:p>
        </w:tc>
        <w:tc>
          <w:tcPr>
            <w:tcW w:w="356" w:type="pct"/>
            <w:noWrap/>
            <w:hideMark/>
          </w:tcPr>
          <w:p w14:paraId="4648FDEA"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16</w:t>
            </w:r>
          </w:p>
        </w:tc>
        <w:tc>
          <w:tcPr>
            <w:tcW w:w="1424" w:type="pct"/>
            <w:hideMark/>
          </w:tcPr>
          <w:p w14:paraId="7941E155"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0.0320 (0.0076, 0.0564)</w:t>
            </w:r>
          </w:p>
        </w:tc>
        <w:tc>
          <w:tcPr>
            <w:tcW w:w="481" w:type="pct"/>
            <w:hideMark/>
          </w:tcPr>
          <w:p w14:paraId="6F6E6639"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79548BB8"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3B810B27"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78" w:type="pct"/>
            <w:hideMark/>
          </w:tcPr>
          <w:p w14:paraId="6095B401"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0.027</w:t>
            </w:r>
          </w:p>
        </w:tc>
      </w:tr>
      <w:tr w:rsidR="001A258D" w:rsidRPr="00000849" w14:paraId="213CE5AC" w14:textId="77777777" w:rsidTr="00AC6D4B">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04898D13"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Enrolled sample size</w:t>
            </w:r>
          </w:p>
        </w:tc>
        <w:tc>
          <w:tcPr>
            <w:tcW w:w="356" w:type="pct"/>
            <w:noWrap/>
            <w:hideMark/>
          </w:tcPr>
          <w:p w14:paraId="2BF5C8C0"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16</w:t>
            </w:r>
          </w:p>
        </w:tc>
        <w:tc>
          <w:tcPr>
            <w:tcW w:w="1424" w:type="pct"/>
            <w:hideMark/>
          </w:tcPr>
          <w:p w14:paraId="0F234618"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-4.73e-6 (-4.09e-5, 3.14e-5)</w:t>
            </w:r>
          </w:p>
        </w:tc>
        <w:tc>
          <w:tcPr>
            <w:tcW w:w="481" w:type="pct"/>
            <w:hideMark/>
          </w:tcPr>
          <w:p w14:paraId="5744C01D"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038AF7A0"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054A557F"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78" w:type="pct"/>
            <w:hideMark/>
          </w:tcPr>
          <w:p w14:paraId="0FBEAE99" w14:textId="77777777" w:rsidR="001A258D" w:rsidRPr="00000849" w:rsidRDefault="001A258D" w:rsidP="00AC6D4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0.779</w:t>
            </w:r>
          </w:p>
        </w:tc>
      </w:tr>
      <w:tr w:rsidR="001A258D" w:rsidRPr="00000849" w14:paraId="555B1795" w14:textId="77777777" w:rsidTr="00AC6D4B">
        <w:trPr>
          <w:trHeight w:val="528"/>
        </w:trPr>
        <w:tc>
          <w:tcPr>
            <w:cnfStyle w:val="001000000000" w:firstRow="0" w:lastRow="0" w:firstColumn="1" w:lastColumn="0" w:oddVBand="0" w:evenVBand="0" w:oddHBand="0" w:evenHBand="0" w:firstRowFirstColumn="0" w:firstRowLastColumn="0" w:lastRowFirstColumn="0" w:lastRowLastColumn="0"/>
            <w:tcW w:w="1300" w:type="pct"/>
            <w:gridSpan w:val="2"/>
            <w:hideMark/>
          </w:tcPr>
          <w:p w14:paraId="3843B2E7" w14:textId="77777777" w:rsidR="001A258D" w:rsidRPr="00000849" w:rsidRDefault="001A258D" w:rsidP="00AC6D4B">
            <w:pPr>
              <w:ind w:firstLineChars="100" w:firstLine="200"/>
              <w:rPr>
                <w:rFonts w:ascii="Calibri" w:eastAsia="Times New Roman" w:hAnsi="Calibri" w:cs="Calibri"/>
                <w:b w:val="0"/>
                <w:color w:val="000000"/>
                <w:sz w:val="20"/>
                <w:szCs w:val="20"/>
              </w:rPr>
            </w:pPr>
            <w:r w:rsidRPr="00000849">
              <w:rPr>
                <w:rFonts w:ascii="Calibri" w:eastAsia="Times New Roman" w:hAnsi="Calibri" w:cs="Calibri"/>
                <w:b w:val="0"/>
                <w:color w:val="000000"/>
                <w:sz w:val="20"/>
                <w:szCs w:val="20"/>
              </w:rPr>
              <w:t>Percentage obesity</w:t>
            </w:r>
          </w:p>
        </w:tc>
        <w:tc>
          <w:tcPr>
            <w:tcW w:w="356" w:type="pct"/>
            <w:noWrap/>
            <w:hideMark/>
          </w:tcPr>
          <w:p w14:paraId="18332355"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16</w:t>
            </w:r>
          </w:p>
        </w:tc>
        <w:tc>
          <w:tcPr>
            <w:tcW w:w="1424" w:type="pct"/>
            <w:hideMark/>
          </w:tcPr>
          <w:p w14:paraId="7CDF3E6E"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0.0044 (0.0009, 0.0079)</w:t>
            </w:r>
          </w:p>
        </w:tc>
        <w:tc>
          <w:tcPr>
            <w:tcW w:w="481" w:type="pct"/>
            <w:hideMark/>
          </w:tcPr>
          <w:p w14:paraId="1B6AF7E7"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71B508CB"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81" w:type="pct"/>
            <w:hideMark/>
          </w:tcPr>
          <w:p w14:paraId="491F5692"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 </w:t>
            </w:r>
          </w:p>
        </w:tc>
        <w:tc>
          <w:tcPr>
            <w:tcW w:w="478" w:type="pct"/>
            <w:hideMark/>
          </w:tcPr>
          <w:p w14:paraId="5248FE92" w14:textId="77777777" w:rsidR="001A258D" w:rsidRPr="00000849" w:rsidRDefault="001A258D" w:rsidP="00AC6D4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0.018</w:t>
            </w:r>
          </w:p>
        </w:tc>
      </w:tr>
    </w:tbl>
    <w:p w14:paraId="22A4823A" w14:textId="77777777" w:rsidR="001A258D" w:rsidRPr="00000849" w:rsidRDefault="001A258D" w:rsidP="001A258D"/>
    <w:p w14:paraId="3849E918" w14:textId="084F405C" w:rsidR="001A258D" w:rsidRPr="00000849" w:rsidRDefault="001A258D">
      <w:pPr>
        <w:spacing w:after="160" w:line="259" w:lineRule="auto"/>
      </w:pPr>
    </w:p>
    <w:p w14:paraId="1BC3322B" w14:textId="3558BA99" w:rsidR="002B4A07" w:rsidRPr="00000849" w:rsidRDefault="002B4A07">
      <w:pPr>
        <w:spacing w:after="160" w:line="259" w:lineRule="auto"/>
      </w:pPr>
      <w:r w:rsidRPr="00000849">
        <w:br w:type="page"/>
      </w:r>
    </w:p>
    <w:p w14:paraId="3A7C41E2" w14:textId="77777777" w:rsidR="00EF63CE" w:rsidRPr="00000849" w:rsidRDefault="00EF63CE" w:rsidP="00A61BAB">
      <w:pPr>
        <w:pStyle w:val="Heading2"/>
        <w:sectPr w:rsidR="00EF63CE" w:rsidRPr="00000849" w:rsidSect="00063693">
          <w:pgSz w:w="11906" w:h="16838"/>
          <w:pgMar w:top="1440" w:right="1440" w:bottom="1440" w:left="2155" w:header="708" w:footer="708" w:gutter="0"/>
          <w:cols w:space="708"/>
          <w:docGrid w:linePitch="360"/>
        </w:sectPr>
      </w:pPr>
    </w:p>
    <w:p w14:paraId="3CB4B688" w14:textId="51E02BD9" w:rsidR="002B4A07" w:rsidRPr="00000849" w:rsidRDefault="00735CD5" w:rsidP="00A61BAB">
      <w:pPr>
        <w:pStyle w:val="Heading2"/>
      </w:pPr>
      <w:bookmarkStart w:id="141" w:name="_Toc51472171"/>
      <w:r w:rsidRPr="00000849">
        <w:rPr>
          <w:noProof/>
        </w:rPr>
        <w:lastRenderedPageBreak/>
        <w:drawing>
          <wp:anchor distT="0" distB="0" distL="114300" distR="114300" simplePos="0" relativeHeight="251676672" behindDoc="0" locked="0" layoutInCell="1" allowOverlap="1" wp14:anchorId="2505BD5E" wp14:editId="28EB51AF">
            <wp:simplePos x="0" y="0"/>
            <wp:positionH relativeFrom="column">
              <wp:posOffset>29210</wp:posOffset>
            </wp:positionH>
            <wp:positionV relativeFrom="paragraph">
              <wp:posOffset>795655</wp:posOffset>
            </wp:positionV>
            <wp:extent cx="2051685" cy="370205"/>
            <wp:effectExtent l="0" t="0" r="5715" b="0"/>
            <wp:wrapSquare wrapText="bothSides"/>
            <wp:docPr id="143317" name="Picture 143317"/>
            <wp:cNvGraphicFramePr/>
            <a:graphic xmlns:a="http://schemas.openxmlformats.org/drawingml/2006/main">
              <a:graphicData uri="http://schemas.openxmlformats.org/drawingml/2006/picture">
                <pic:pic xmlns:pic="http://schemas.openxmlformats.org/drawingml/2006/picture">
                  <pic:nvPicPr>
                    <pic:cNvPr id="143317" name="Picture 143317"/>
                    <pic:cNvPicPr/>
                  </pic:nvPicPr>
                  <pic:blipFill>
                    <a:blip r:embed="rId374"/>
                    <a:stretch>
                      <a:fillRect/>
                    </a:stretch>
                  </pic:blipFill>
                  <pic:spPr>
                    <a:xfrm>
                      <a:off x="0" y="0"/>
                      <a:ext cx="2051685" cy="370205"/>
                    </a:xfrm>
                    <a:prstGeom prst="rect">
                      <a:avLst/>
                    </a:prstGeom>
                  </pic:spPr>
                </pic:pic>
              </a:graphicData>
            </a:graphic>
            <wp14:sizeRelV relativeFrom="margin">
              <wp14:pctHeight>0</wp14:pctHeight>
            </wp14:sizeRelV>
          </wp:anchor>
        </w:drawing>
      </w:r>
      <w:r w:rsidR="002B4A07" w:rsidRPr="00000849">
        <w:t>Appendix 3: Published Paper – Determinants of hypertension in older adults in Africa: a systematic review</w:t>
      </w:r>
      <w:bookmarkEnd w:id="141"/>
      <w:r w:rsidR="002B4A07" w:rsidRPr="00000849">
        <w:t xml:space="preserve"> </w:t>
      </w:r>
    </w:p>
    <w:p w14:paraId="4B19D2F4" w14:textId="0704AF20" w:rsidR="00AC6D4B" w:rsidRPr="00000849" w:rsidRDefault="00735CD5" w:rsidP="006759FF">
      <w:pPr>
        <w:pStyle w:val="BodyText"/>
        <w:spacing w:before="7"/>
        <w:rPr>
          <w:rFonts w:ascii="Calibri" w:eastAsia="Calibri" w:hAnsi="Calibri" w:cs="Calibri"/>
          <w:w w:val="93"/>
          <w:sz w:val="22"/>
          <w:szCs w:val="22"/>
          <w:lang w:val="fr-FR"/>
        </w:rPr>
      </w:pPr>
      <w:r w:rsidRPr="00000849">
        <w:rPr>
          <w:rFonts w:ascii="Calibri" w:eastAsia="Calibri" w:hAnsi="Calibri" w:cs="Calibri"/>
          <w:w w:val="93"/>
          <w:sz w:val="22"/>
          <w:szCs w:val="22"/>
          <w:lang w:val="en-GB"/>
        </w:rPr>
        <w:tab/>
      </w:r>
      <w:r w:rsidRPr="00000849">
        <w:rPr>
          <w:rFonts w:ascii="Calibri" w:eastAsia="Calibri" w:hAnsi="Calibri" w:cs="Calibri"/>
          <w:w w:val="93"/>
          <w:sz w:val="22"/>
          <w:szCs w:val="22"/>
          <w:lang w:val="en-GB"/>
        </w:rPr>
        <w:tab/>
      </w:r>
      <w:r w:rsidRPr="00000849">
        <w:rPr>
          <w:rFonts w:ascii="Calibri" w:eastAsia="Calibri" w:hAnsi="Calibri" w:cs="Calibri"/>
          <w:w w:val="93"/>
          <w:sz w:val="22"/>
          <w:szCs w:val="22"/>
          <w:lang w:val="en-GB"/>
        </w:rPr>
        <w:tab/>
      </w:r>
      <w:r w:rsidRPr="00000849">
        <w:rPr>
          <w:rFonts w:ascii="Calibri"/>
          <w:color w:val="131413"/>
          <w:sz w:val="18"/>
          <w:szCs w:val="24"/>
          <w:lang w:val="fr-FR"/>
        </w:rPr>
        <w:t xml:space="preserve">Bosu </w:t>
      </w:r>
      <w:r w:rsidRPr="00000849">
        <w:rPr>
          <w:rFonts w:ascii="Calibri"/>
          <w:i/>
          <w:color w:val="131413"/>
          <w:sz w:val="18"/>
          <w:szCs w:val="24"/>
          <w:lang w:val="fr-FR"/>
        </w:rPr>
        <w:t>et al. BMC</w:t>
      </w:r>
      <w:r w:rsidRPr="00000849">
        <w:rPr>
          <w:rFonts w:ascii="Calibri"/>
          <w:i/>
          <w:color w:val="131413"/>
          <w:spacing w:val="13"/>
          <w:sz w:val="18"/>
          <w:szCs w:val="24"/>
          <w:lang w:val="fr-FR"/>
        </w:rPr>
        <w:t xml:space="preserve"> </w:t>
      </w:r>
      <w:r w:rsidRPr="00000849">
        <w:rPr>
          <w:rFonts w:ascii="Calibri"/>
          <w:i/>
          <w:color w:val="131413"/>
          <w:sz w:val="18"/>
          <w:szCs w:val="24"/>
          <w:lang w:val="fr-FR"/>
        </w:rPr>
        <w:t>Cardiovascular</w:t>
      </w:r>
      <w:r w:rsidRPr="00000849">
        <w:rPr>
          <w:rFonts w:ascii="Calibri"/>
          <w:i/>
          <w:color w:val="131413"/>
          <w:spacing w:val="3"/>
          <w:sz w:val="18"/>
          <w:szCs w:val="24"/>
          <w:lang w:val="fr-FR"/>
        </w:rPr>
        <w:t xml:space="preserve"> </w:t>
      </w:r>
      <w:r w:rsidRPr="00000849">
        <w:rPr>
          <w:rFonts w:ascii="Calibri"/>
          <w:i/>
          <w:color w:val="131413"/>
          <w:sz w:val="18"/>
          <w:szCs w:val="24"/>
          <w:lang w:val="fr-FR"/>
        </w:rPr>
        <w:t xml:space="preserve">Disorders </w:t>
      </w:r>
      <w:r w:rsidRPr="00000849">
        <w:rPr>
          <w:rFonts w:ascii="Gill Sans MT"/>
          <w:color w:val="131413"/>
          <w:sz w:val="18"/>
          <w:szCs w:val="24"/>
          <w:lang w:val="fr-FR"/>
        </w:rPr>
        <w:t>(2019)</w:t>
      </w:r>
      <w:r w:rsidRPr="00000849">
        <w:rPr>
          <w:rFonts w:ascii="Gill Sans MT"/>
          <w:color w:val="131413"/>
          <w:spacing w:val="-10"/>
          <w:sz w:val="18"/>
          <w:szCs w:val="24"/>
          <w:lang w:val="fr-FR"/>
        </w:rPr>
        <w:t xml:space="preserve"> </w:t>
      </w:r>
      <w:r w:rsidRPr="00000849">
        <w:rPr>
          <w:rFonts w:ascii="Gill Sans MT"/>
          <w:color w:val="131413"/>
          <w:sz w:val="18"/>
          <w:szCs w:val="24"/>
          <w:lang w:val="fr-FR"/>
        </w:rPr>
        <w:t>19:173</w:t>
      </w:r>
    </w:p>
    <w:p w14:paraId="4E8F8E16" w14:textId="36038A25" w:rsidR="00AC6D4B" w:rsidRPr="00000849" w:rsidRDefault="00AC6D4B" w:rsidP="00063693">
      <w:pPr>
        <w:rPr>
          <w:w w:val="93"/>
          <w:lang w:val="fr-FR"/>
        </w:rPr>
      </w:pPr>
      <w:r w:rsidRPr="00000849">
        <w:rPr>
          <w:noProof/>
        </w:rPr>
        <mc:AlternateContent>
          <mc:Choice Requires="wps">
            <w:drawing>
              <wp:anchor distT="0" distB="0" distL="114300" distR="114300" simplePos="0" relativeHeight="251681792" behindDoc="0" locked="0" layoutInCell="1" allowOverlap="1" wp14:anchorId="6884DB1A" wp14:editId="19F30DC1">
                <wp:simplePos x="0" y="0"/>
                <wp:positionH relativeFrom="column">
                  <wp:posOffset>133350</wp:posOffset>
                </wp:positionH>
                <wp:positionV relativeFrom="paragraph">
                  <wp:posOffset>188595</wp:posOffset>
                </wp:positionV>
                <wp:extent cx="2212992" cy="251706"/>
                <wp:effectExtent l="0" t="0" r="0" b="0"/>
                <wp:wrapNone/>
                <wp:docPr id="106058" name="Rectangle 106058"/>
                <wp:cNvGraphicFramePr/>
                <a:graphic xmlns:a="http://schemas.openxmlformats.org/drawingml/2006/main">
                  <a:graphicData uri="http://schemas.microsoft.com/office/word/2010/wordprocessingShape">
                    <wps:wsp>
                      <wps:cNvSpPr/>
                      <wps:spPr>
                        <a:xfrm>
                          <a:off x="0" y="0"/>
                          <a:ext cx="2212992" cy="251706"/>
                        </a:xfrm>
                        <a:prstGeom prst="rect">
                          <a:avLst/>
                        </a:prstGeom>
                        <a:ln>
                          <a:noFill/>
                        </a:ln>
                      </wps:spPr>
                      <wps:txbx>
                        <w:txbxContent>
                          <w:p w14:paraId="32D4CFFA" w14:textId="77777777" w:rsidR="00AC2BE6" w:rsidRPr="00063693" w:rsidRDefault="00AC2BE6" w:rsidP="00AC6D4B">
                            <w:pPr>
                              <w:spacing w:after="160" w:line="259" w:lineRule="auto"/>
                              <w:rPr>
                                <w:b/>
                                <w:bCs/>
                                <w:color w:val="FFFFFF" w:themeColor="background1"/>
                              </w:rPr>
                            </w:pPr>
                            <w:r w:rsidRPr="00063693">
                              <w:rPr>
                                <w:rFonts w:ascii="Calibri" w:eastAsia="Calibri" w:hAnsi="Calibri" w:cs="Calibri"/>
                                <w:b/>
                                <w:bCs/>
                                <w:color w:val="FFFFFF" w:themeColor="background1"/>
                                <w:spacing w:val="30"/>
                                <w:w w:val="111"/>
                                <w:sz w:val="26"/>
                              </w:rPr>
                              <w:t>RESEARCH</w:t>
                            </w:r>
                            <w:r w:rsidRPr="00063693">
                              <w:rPr>
                                <w:rFonts w:ascii="Calibri" w:eastAsia="Calibri" w:hAnsi="Calibri" w:cs="Calibri"/>
                                <w:b/>
                                <w:bCs/>
                                <w:color w:val="FFFFFF" w:themeColor="background1"/>
                                <w:spacing w:val="19"/>
                                <w:w w:val="111"/>
                                <w:sz w:val="26"/>
                              </w:rPr>
                              <w:t xml:space="preserve"> </w:t>
                            </w:r>
                            <w:r w:rsidRPr="00063693">
                              <w:rPr>
                                <w:rFonts w:ascii="Calibri" w:eastAsia="Calibri" w:hAnsi="Calibri" w:cs="Calibri"/>
                                <w:b/>
                                <w:bCs/>
                                <w:color w:val="FFFFFF" w:themeColor="background1"/>
                                <w:spacing w:val="30"/>
                                <w:w w:val="111"/>
                                <w:sz w:val="26"/>
                              </w:rPr>
                              <w:t>ARTICLE</w:t>
                            </w:r>
                          </w:p>
                        </w:txbxContent>
                      </wps:txbx>
                      <wps:bodyPr horzOverflow="overflow" vert="horz" lIns="0" tIns="0" rIns="0" bIns="0" rtlCol="0">
                        <a:noAutofit/>
                      </wps:bodyPr>
                    </wps:wsp>
                  </a:graphicData>
                </a:graphic>
              </wp:anchor>
            </w:drawing>
          </mc:Choice>
          <mc:Fallback>
            <w:pict>
              <v:rect w14:anchorId="6884DB1A" id="Rectangle 106058" o:spid="_x0000_s1073" style="position:absolute;margin-left:10.5pt;margin-top:14.85pt;width:174.25pt;height:19.8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" filled="f" stroked="f">
                <v:textbox inset="0,0,0,0">
                  <w:txbxContent>
                    <w:p w14:paraId="32D4CFFA" w14:textId="77777777" w:rsidR="00AC2BE6" w:rsidRPr="00063693" w:rsidRDefault="00AC2BE6" w:rsidP="00AC6D4B">
                      <w:pPr>
                        <w:spacing w:after="160" w:line="259" w:lineRule="auto"/>
                        <w:rPr>
                          <w:b/>
                          <w:bCs/>
                          <w:color w:val="FFFFFF" w:themeColor="background1"/>
                        </w:rPr>
                      </w:pPr>
                      <w:r w:rsidRPr="00063693">
                        <w:rPr>
                          <w:rFonts w:ascii="Calibri" w:eastAsia="Calibri" w:hAnsi="Calibri" w:cs="Calibri"/>
                          <w:b/>
                          <w:bCs/>
                          <w:color w:val="FFFFFF" w:themeColor="background1"/>
                          <w:spacing w:val="30"/>
                          <w:w w:val="111"/>
                          <w:sz w:val="26"/>
                        </w:rPr>
                        <w:t>RESEARCH</w:t>
                      </w:r>
                      <w:r w:rsidRPr="00063693">
                        <w:rPr>
                          <w:rFonts w:ascii="Calibri" w:eastAsia="Calibri" w:hAnsi="Calibri" w:cs="Calibri"/>
                          <w:b/>
                          <w:bCs/>
                          <w:color w:val="FFFFFF" w:themeColor="background1"/>
                          <w:spacing w:val="19"/>
                          <w:w w:val="111"/>
                          <w:sz w:val="26"/>
                        </w:rPr>
                        <w:t xml:space="preserve"> </w:t>
                      </w:r>
                      <w:r w:rsidRPr="00063693">
                        <w:rPr>
                          <w:rFonts w:ascii="Calibri" w:eastAsia="Calibri" w:hAnsi="Calibri" w:cs="Calibri"/>
                          <w:b/>
                          <w:bCs/>
                          <w:color w:val="FFFFFF" w:themeColor="background1"/>
                          <w:spacing w:val="30"/>
                          <w:w w:val="111"/>
                          <w:sz w:val="26"/>
                        </w:rPr>
                        <w:t>ARTICLE</w:t>
                      </w:r>
                    </w:p>
                  </w:txbxContent>
                </v:textbox>
              </v:rect>
            </w:pict>
          </mc:Fallback>
        </mc:AlternateContent>
      </w:r>
      <w:r w:rsidRPr="00000849">
        <w:rPr>
          <w:noProof/>
        </w:rPr>
        <mc:AlternateContent>
          <mc:Choice Requires="wps">
            <w:drawing>
              <wp:anchor distT="0" distB="0" distL="114300" distR="114300" simplePos="0" relativeHeight="251680768" behindDoc="0" locked="0" layoutInCell="1" allowOverlap="1" wp14:anchorId="5F9F0C32" wp14:editId="3D67BFB2">
                <wp:simplePos x="0" y="0"/>
                <wp:positionH relativeFrom="margin">
                  <wp:align>center</wp:align>
                </wp:positionH>
                <wp:positionV relativeFrom="paragraph">
                  <wp:posOffset>150495</wp:posOffset>
                </wp:positionV>
                <wp:extent cx="5994008" cy="268223"/>
                <wp:effectExtent l="0" t="0" r="6985" b="0"/>
                <wp:wrapNone/>
                <wp:docPr id="93" name="Shape 6"/>
                <wp:cNvGraphicFramePr/>
                <a:graphic xmlns:a="http://schemas.openxmlformats.org/drawingml/2006/main">
                  <a:graphicData uri="http://schemas.microsoft.com/office/word/2010/wordprocessingShape">
                    <wps:wsp>
                      <wps:cNvSpPr/>
                      <wps:spPr>
                        <a:xfrm>
                          <a:off x="0" y="0"/>
                          <a:ext cx="5994008" cy="268223"/>
                        </a:xfrm>
                        <a:custGeom>
                          <a:avLst/>
                          <a:gdLst/>
                          <a:ahLst/>
                          <a:cxnLst/>
                          <a:rect l="0" t="0" r="0" b="0"/>
                          <a:pathLst>
                            <a:path w="6120003" h="215278">
                              <a:moveTo>
                                <a:pt x="31674" y="0"/>
                              </a:moveTo>
                              <a:lnTo>
                                <a:pt x="6088316" y="0"/>
                              </a:lnTo>
                              <a:cubicBezTo>
                                <a:pt x="6102769" y="4242"/>
                                <a:pt x="6112091" y="10071"/>
                                <a:pt x="6117844" y="24473"/>
                              </a:cubicBezTo>
                              <a:lnTo>
                                <a:pt x="6119279" y="30963"/>
                              </a:lnTo>
                              <a:lnTo>
                                <a:pt x="6120003" y="37440"/>
                              </a:lnTo>
                              <a:lnTo>
                                <a:pt x="6120003" y="177114"/>
                              </a:lnTo>
                              <a:lnTo>
                                <a:pt x="6119279" y="184315"/>
                              </a:lnTo>
                              <a:cubicBezTo>
                                <a:pt x="6118454" y="196291"/>
                                <a:pt x="6106186" y="209893"/>
                                <a:pt x="6094793" y="213119"/>
                              </a:cubicBezTo>
                              <a:lnTo>
                                <a:pt x="6088316" y="215278"/>
                              </a:lnTo>
                              <a:lnTo>
                                <a:pt x="31674" y="215278"/>
                              </a:lnTo>
                              <a:lnTo>
                                <a:pt x="25197" y="213119"/>
                              </a:lnTo>
                              <a:lnTo>
                                <a:pt x="18720" y="210236"/>
                              </a:lnTo>
                              <a:lnTo>
                                <a:pt x="13678" y="206642"/>
                              </a:lnTo>
                              <a:lnTo>
                                <a:pt x="8636" y="201600"/>
                              </a:lnTo>
                              <a:lnTo>
                                <a:pt x="5042" y="196558"/>
                              </a:lnTo>
                              <a:lnTo>
                                <a:pt x="2159" y="190805"/>
                              </a:lnTo>
                              <a:lnTo>
                                <a:pt x="724" y="184315"/>
                              </a:lnTo>
                              <a:lnTo>
                                <a:pt x="0" y="177114"/>
                              </a:lnTo>
                              <a:lnTo>
                                <a:pt x="0" y="37440"/>
                              </a:lnTo>
                              <a:lnTo>
                                <a:pt x="724" y="30963"/>
                              </a:lnTo>
                              <a:lnTo>
                                <a:pt x="2159" y="24473"/>
                              </a:lnTo>
                              <a:lnTo>
                                <a:pt x="5042" y="18720"/>
                              </a:lnTo>
                              <a:lnTo>
                                <a:pt x="8636" y="12954"/>
                              </a:lnTo>
                              <a:lnTo>
                                <a:pt x="13678" y="8636"/>
                              </a:lnTo>
                              <a:lnTo>
                                <a:pt x="18720" y="5042"/>
                              </a:lnTo>
                              <a:lnTo>
                                <a:pt x="25197" y="2159"/>
                              </a:lnTo>
                              <a:lnTo>
                                <a:pt x="31674" y="0"/>
                              </a:lnTo>
                              <a:close/>
                            </a:path>
                          </a:pathLst>
                        </a:custGeom>
                        <a:ln w="0" cap="flat">
                          <a:miter lim="127000"/>
                        </a:ln>
                      </wps:spPr>
                      <wps:style>
                        <a:lnRef idx="0">
                          <a:srgbClr val="000000">
                            <a:alpha val="0"/>
                          </a:srgbClr>
                        </a:lnRef>
                        <a:fillRef idx="1">
                          <a:srgbClr val="04C8AC"/>
                        </a:fillRef>
                        <a:effectRef idx="0">
                          <a:scrgbClr r="0" g="0" b="0"/>
                        </a:effectRef>
                        <a:fontRef idx="none"/>
                      </wps:style>
                      <wps:bodyPr/>
                    </wps:wsp>
                  </a:graphicData>
                </a:graphic>
              </wp:anchor>
            </w:drawing>
          </mc:Choice>
          <mc:Fallback>
            <w:pict>
              <v:shape w14:anchorId="4B892264" id="Shape 6" o:spid="_x0000_s1026" style="position:absolute;margin-left:0;margin-top:11.85pt;width:471.95pt;height:21.1pt;z-index:251680768;visibility:visible;mso-wrap-style:square;mso-wrap-distance-left:9pt;mso-wrap-distance-top:0;mso-wrap-distance-right:9pt;mso-wrap-distance-bottom:0;mso-position-horizontal:center;mso-position-horizontal-relative:margin;mso-position-vertical:absolute;mso-position-vertical-relative:text;v-text-anchor:top" coordsize="6120003,215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" path="m31674,l6088316,v14453,4242,23775,10071,29528,24473l6119279,30963r724,6477l6120003,177114r-724,7201c6118454,196291,6106186,209893,6094793,213119r-6477,2159l31674,215278r-6477,-2159l18720,210236r-5042,-3594l8636,201600,5042,196558,2159,190805,724,184315,,177114,,37440,724,30963,2159,24473,5042,18720,8636,12954,13678,8636,18720,5042,25197,2159,31674,xe" fillcolor="#04c8ac" stroked="f" strokeweight="0">
                <v:stroke miterlimit="83231f" joinstyle="miter"/>
                <v:path arrowok="t" textboxrect="0,0,6120003,215278"/>
                <w10:wrap anchorx="margin"/>
              </v:shape>
            </w:pict>
          </mc:Fallback>
        </mc:AlternateContent>
      </w:r>
    </w:p>
    <w:p w14:paraId="6F9DAB4D" w14:textId="741E79D1" w:rsidR="00AC6D4B" w:rsidRPr="00000849" w:rsidRDefault="00AC6D4B" w:rsidP="00063693">
      <w:pPr>
        <w:rPr>
          <w:w w:val="93"/>
          <w:lang w:val="fr-FR"/>
        </w:rPr>
      </w:pPr>
    </w:p>
    <w:p w14:paraId="57CDC77E" w14:textId="45994DF7" w:rsidR="00AC6D4B" w:rsidRPr="00000849" w:rsidRDefault="00AC6D4B" w:rsidP="00D5375C">
      <w:pPr>
        <w:spacing w:after="160" w:line="240" w:lineRule="auto"/>
        <w:rPr>
          <w:b/>
          <w:bCs/>
          <w:sz w:val="29"/>
        </w:rPr>
      </w:pPr>
      <w:r w:rsidRPr="00000849">
        <w:rPr>
          <w:rFonts w:ascii="Calibri" w:eastAsia="Calibri" w:hAnsi="Calibri" w:cs="Calibri"/>
          <w:w w:val="93"/>
          <w:sz w:val="48"/>
        </w:rPr>
        <w:t>Determinants of systemic hypertension in older</w:t>
      </w:r>
      <w:r w:rsidRPr="00000849">
        <w:rPr>
          <w:rFonts w:ascii="Calibri" w:eastAsia="Calibri" w:hAnsi="Calibri" w:cs="Calibri"/>
          <w:spacing w:val="30"/>
          <w:w w:val="92"/>
          <w:sz w:val="48"/>
        </w:rPr>
        <w:t xml:space="preserve"> </w:t>
      </w:r>
      <w:r w:rsidRPr="00000849">
        <w:rPr>
          <w:rFonts w:ascii="Calibri" w:eastAsia="Calibri" w:hAnsi="Calibri" w:cs="Calibri"/>
          <w:w w:val="92"/>
          <w:sz w:val="48"/>
        </w:rPr>
        <w:t>adults</w:t>
      </w:r>
      <w:r w:rsidRPr="00000849">
        <w:rPr>
          <w:rFonts w:ascii="Calibri" w:eastAsia="Calibri" w:hAnsi="Calibri" w:cs="Calibri"/>
          <w:spacing w:val="29"/>
          <w:w w:val="92"/>
          <w:sz w:val="48"/>
        </w:rPr>
        <w:t xml:space="preserve"> </w:t>
      </w:r>
      <w:r w:rsidRPr="00000849">
        <w:rPr>
          <w:rFonts w:ascii="Calibri" w:eastAsia="Calibri" w:hAnsi="Calibri" w:cs="Calibri"/>
          <w:w w:val="92"/>
          <w:sz w:val="48"/>
        </w:rPr>
        <w:t>in</w:t>
      </w:r>
      <w:r w:rsidRPr="00000849">
        <w:rPr>
          <w:rFonts w:ascii="Calibri" w:eastAsia="Calibri" w:hAnsi="Calibri" w:cs="Calibri"/>
          <w:spacing w:val="29"/>
          <w:w w:val="92"/>
          <w:sz w:val="48"/>
        </w:rPr>
        <w:t xml:space="preserve"> </w:t>
      </w:r>
      <w:r w:rsidRPr="00000849">
        <w:rPr>
          <w:rFonts w:ascii="Calibri" w:eastAsia="Calibri" w:hAnsi="Calibri" w:cs="Calibri"/>
          <w:w w:val="92"/>
          <w:sz w:val="48"/>
        </w:rPr>
        <w:t>Africa:</w:t>
      </w:r>
      <w:r w:rsidRPr="00000849">
        <w:rPr>
          <w:rFonts w:ascii="Calibri" w:eastAsia="Calibri" w:hAnsi="Calibri" w:cs="Calibri"/>
          <w:spacing w:val="30"/>
          <w:w w:val="92"/>
          <w:sz w:val="48"/>
        </w:rPr>
        <w:t xml:space="preserve"> </w:t>
      </w:r>
      <w:r w:rsidRPr="00000849">
        <w:rPr>
          <w:rFonts w:ascii="Calibri" w:eastAsia="Calibri" w:hAnsi="Calibri" w:cs="Calibri"/>
          <w:w w:val="92"/>
          <w:sz w:val="48"/>
        </w:rPr>
        <w:t>a</w:t>
      </w:r>
      <w:r w:rsidRPr="00000849">
        <w:rPr>
          <w:rFonts w:ascii="Calibri" w:eastAsia="Calibri" w:hAnsi="Calibri" w:cs="Calibri"/>
          <w:spacing w:val="28"/>
          <w:w w:val="92"/>
          <w:sz w:val="48"/>
        </w:rPr>
        <w:t xml:space="preserve"> </w:t>
      </w:r>
      <w:r w:rsidRPr="00000849">
        <w:rPr>
          <w:rFonts w:ascii="Calibri" w:eastAsia="Calibri" w:hAnsi="Calibri" w:cs="Calibri"/>
          <w:w w:val="92"/>
          <w:sz w:val="48"/>
        </w:rPr>
        <w:t>systematic</w:t>
      </w:r>
      <w:r w:rsidRPr="00000849">
        <w:rPr>
          <w:rFonts w:ascii="Calibri" w:eastAsia="Calibri" w:hAnsi="Calibri" w:cs="Calibri"/>
          <w:spacing w:val="31"/>
          <w:w w:val="92"/>
          <w:sz w:val="48"/>
        </w:rPr>
        <w:t xml:space="preserve"> </w:t>
      </w:r>
      <w:r w:rsidRPr="00000849">
        <w:rPr>
          <w:rFonts w:ascii="Calibri" w:eastAsia="Calibri" w:hAnsi="Calibri" w:cs="Calibri"/>
          <w:w w:val="92"/>
          <w:sz w:val="48"/>
        </w:rPr>
        <w:t>review</w:t>
      </w:r>
    </w:p>
    <w:p w14:paraId="1C32E101" w14:textId="087B0DBF" w:rsidR="00AC6D4B" w:rsidRPr="00000849" w:rsidRDefault="008D40AF" w:rsidP="00D5375C">
      <w:pPr>
        <w:tabs>
          <w:tab w:val="center" w:pos="5179"/>
        </w:tabs>
        <w:spacing w:after="240" w:line="259" w:lineRule="auto"/>
      </w:pPr>
      <w:r w:rsidRPr="00000849">
        <w:rPr>
          <w:rFonts w:ascii="Calibri" w:eastAsia="Calibri" w:hAnsi="Calibri" w:cs="Calibri"/>
          <w:noProof/>
          <w:color w:val="000000"/>
        </w:rPr>
        <mc:AlternateContent>
          <mc:Choice Requires="wpg">
            <w:drawing>
              <wp:anchor distT="0" distB="0" distL="114300" distR="114300" simplePos="0" relativeHeight="251670528" behindDoc="1" locked="0" layoutInCell="1" allowOverlap="1" wp14:anchorId="391EF292" wp14:editId="30ED9FA5">
                <wp:simplePos x="0" y="0"/>
                <wp:positionH relativeFrom="margin">
                  <wp:align>right</wp:align>
                </wp:positionH>
                <wp:positionV relativeFrom="paragraph">
                  <wp:posOffset>217170</wp:posOffset>
                </wp:positionV>
                <wp:extent cx="6122035" cy="4318000"/>
                <wp:effectExtent l="0" t="0" r="31115" b="25400"/>
                <wp:wrapNone/>
                <wp:docPr id="143319" name="Group 143319"/>
                <wp:cNvGraphicFramePr/>
                <a:graphic xmlns:a="http://schemas.openxmlformats.org/drawingml/2006/main">
                  <a:graphicData uri="http://schemas.microsoft.com/office/word/2010/wordprocessingGroup">
                    <wpg:wgp>
                      <wpg:cNvGrpSpPr/>
                      <wpg:grpSpPr>
                        <a:xfrm>
                          <a:off x="0" y="0"/>
                          <a:ext cx="6122035" cy="4318000"/>
                          <a:chOff x="0" y="20485"/>
                          <a:chExt cx="6122670" cy="3946499"/>
                        </a:xfrm>
                      </wpg:grpSpPr>
                      <wps:wsp>
                        <wps:cNvPr id="143320" name="Shape 81981"/>
                        <wps:cNvSpPr/>
                        <wps:spPr>
                          <a:xfrm>
                            <a:off x="0" y="459359"/>
                            <a:ext cx="9144" cy="120244"/>
                          </a:xfrm>
                          <a:custGeom>
                            <a:avLst/>
                            <a:gdLst/>
                            <a:ahLst/>
                            <a:cxnLst/>
                            <a:rect l="0" t="0" r="0" b="0"/>
                            <a:pathLst>
                              <a:path w="9144" h="120244">
                                <a:moveTo>
                                  <a:pt x="0" y="0"/>
                                </a:moveTo>
                                <a:lnTo>
                                  <a:pt x="9144" y="0"/>
                                </a:lnTo>
                                <a:lnTo>
                                  <a:pt x="9144" y="120244"/>
                                </a:lnTo>
                                <a:lnTo>
                                  <a:pt x="0" y="12024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21" name="Shape 23"/>
                        <wps:cNvSpPr/>
                        <wps:spPr>
                          <a:xfrm>
                            <a:off x="0" y="408241"/>
                            <a:ext cx="51118" cy="51117"/>
                          </a:xfrm>
                          <a:custGeom>
                            <a:avLst/>
                            <a:gdLst/>
                            <a:ahLst/>
                            <a:cxnLst/>
                            <a:rect l="0" t="0" r="0" b="0"/>
                            <a:pathLst>
                              <a:path w="51118" h="51117">
                                <a:moveTo>
                                  <a:pt x="51118" y="0"/>
                                </a:moveTo>
                                <a:lnTo>
                                  <a:pt x="51118" y="6477"/>
                                </a:lnTo>
                                <a:lnTo>
                                  <a:pt x="43205" y="7201"/>
                                </a:lnTo>
                                <a:cubicBezTo>
                                  <a:pt x="23609" y="11036"/>
                                  <a:pt x="11036" y="23609"/>
                                  <a:pt x="7201" y="43193"/>
                                </a:cubicBezTo>
                                <a:lnTo>
                                  <a:pt x="6477" y="51117"/>
                                </a:lnTo>
                                <a:lnTo>
                                  <a:pt x="0" y="51117"/>
                                </a:lnTo>
                                <a:lnTo>
                                  <a:pt x="724" y="41758"/>
                                </a:lnTo>
                                <a:cubicBezTo>
                                  <a:pt x="2299" y="23368"/>
                                  <a:pt x="23368" y="2299"/>
                                  <a:pt x="41758" y="711"/>
                                </a:cubicBezTo>
                                <a:lnTo>
                                  <a:pt x="51118" y="0"/>
                                </a:lnTo>
                                <a:close/>
                              </a:path>
                            </a:pathLst>
                          </a:custGeom>
                          <a:ln w="0" cap="rnd">
                            <a:round/>
                          </a:ln>
                        </wps:spPr>
                        <wps:style>
                          <a:lnRef idx="1">
                            <a:srgbClr val="04C8AC"/>
                          </a:lnRef>
                          <a:fillRef idx="1">
                            <a:srgbClr val="04C8AC"/>
                          </a:fillRef>
                          <a:effectRef idx="0">
                            <a:scrgbClr r="0" g="0" b="0"/>
                          </a:effectRef>
                          <a:fontRef idx="none"/>
                        </wps:style>
                        <wps:bodyPr/>
                      </wps:wsp>
                      <wps:wsp>
                        <wps:cNvPr id="143322" name="Shape 81982"/>
                        <wps:cNvSpPr/>
                        <wps:spPr>
                          <a:xfrm>
                            <a:off x="51118" y="408241"/>
                            <a:ext cx="6017755" cy="9144"/>
                          </a:xfrm>
                          <a:custGeom>
                            <a:avLst/>
                            <a:gdLst/>
                            <a:ahLst/>
                            <a:cxnLst/>
                            <a:rect l="0" t="0" r="0" b="0"/>
                            <a:pathLst>
                              <a:path w="6017755" h="9144">
                                <a:moveTo>
                                  <a:pt x="0" y="0"/>
                                </a:moveTo>
                                <a:lnTo>
                                  <a:pt x="6017755" y="0"/>
                                </a:lnTo>
                                <a:lnTo>
                                  <a:pt x="6017755" y="9144"/>
                                </a:lnTo>
                                <a:lnTo>
                                  <a:pt x="0" y="914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23" name="Shape 25"/>
                        <wps:cNvSpPr/>
                        <wps:spPr>
                          <a:xfrm>
                            <a:off x="6068873" y="408241"/>
                            <a:ext cx="51118" cy="51117"/>
                          </a:xfrm>
                          <a:custGeom>
                            <a:avLst/>
                            <a:gdLst/>
                            <a:ahLst/>
                            <a:cxnLst/>
                            <a:rect l="0" t="0" r="0" b="0"/>
                            <a:pathLst>
                              <a:path w="51118" h="51117">
                                <a:moveTo>
                                  <a:pt x="0" y="0"/>
                                </a:moveTo>
                                <a:lnTo>
                                  <a:pt x="9360" y="724"/>
                                </a:lnTo>
                                <a:cubicBezTo>
                                  <a:pt x="27749" y="2299"/>
                                  <a:pt x="48819" y="23368"/>
                                  <a:pt x="50406" y="41758"/>
                                </a:cubicBezTo>
                                <a:lnTo>
                                  <a:pt x="51118" y="51117"/>
                                </a:lnTo>
                                <a:lnTo>
                                  <a:pt x="44641" y="51117"/>
                                </a:lnTo>
                                <a:lnTo>
                                  <a:pt x="43917" y="43205"/>
                                </a:lnTo>
                                <a:cubicBezTo>
                                  <a:pt x="40081" y="23609"/>
                                  <a:pt x="27508" y="11036"/>
                                  <a:pt x="7925" y="7201"/>
                                </a:cubicBezTo>
                                <a:lnTo>
                                  <a:pt x="0" y="6477"/>
                                </a:lnTo>
                                <a:lnTo>
                                  <a:pt x="0" y="0"/>
                                </a:lnTo>
                                <a:close/>
                              </a:path>
                            </a:pathLst>
                          </a:custGeom>
                          <a:ln w="0" cap="rnd">
                            <a:round/>
                          </a:ln>
                        </wps:spPr>
                        <wps:style>
                          <a:lnRef idx="1">
                            <a:srgbClr val="04C8AC"/>
                          </a:lnRef>
                          <a:fillRef idx="1">
                            <a:srgbClr val="04C8AC"/>
                          </a:fillRef>
                          <a:effectRef idx="0">
                            <a:scrgbClr r="0" g="0" b="0"/>
                          </a:effectRef>
                          <a:fontRef idx="none"/>
                        </wps:style>
                        <wps:bodyPr/>
                      </wps:wsp>
                      <wps:wsp>
                        <wps:cNvPr id="143324" name="Shape 81983"/>
                        <wps:cNvSpPr/>
                        <wps:spPr>
                          <a:xfrm>
                            <a:off x="6113526" y="459359"/>
                            <a:ext cx="9144" cy="120244"/>
                          </a:xfrm>
                          <a:custGeom>
                            <a:avLst/>
                            <a:gdLst/>
                            <a:ahLst/>
                            <a:cxnLst/>
                            <a:rect l="0" t="0" r="0" b="0"/>
                            <a:pathLst>
                              <a:path w="9144" h="120244">
                                <a:moveTo>
                                  <a:pt x="0" y="0"/>
                                </a:moveTo>
                                <a:lnTo>
                                  <a:pt x="9144" y="0"/>
                                </a:lnTo>
                                <a:lnTo>
                                  <a:pt x="9144" y="120244"/>
                                </a:lnTo>
                                <a:lnTo>
                                  <a:pt x="0" y="12024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25" name="Shape 27"/>
                        <wps:cNvSpPr/>
                        <wps:spPr>
                          <a:xfrm>
                            <a:off x="51118" y="408241"/>
                            <a:ext cx="6017755" cy="6477"/>
                          </a:xfrm>
                          <a:custGeom>
                            <a:avLst/>
                            <a:gdLst/>
                            <a:ahLst/>
                            <a:cxnLst/>
                            <a:rect l="0" t="0" r="0" b="0"/>
                            <a:pathLst>
                              <a:path w="6017755" h="6477">
                                <a:moveTo>
                                  <a:pt x="0" y="0"/>
                                </a:moveTo>
                                <a:lnTo>
                                  <a:pt x="6017755" y="6477"/>
                                </a:lnTo>
                                <a:lnTo>
                                  <a:pt x="0" y="6477"/>
                                </a:lnTo>
                                <a:lnTo>
                                  <a:pt x="0" y="0"/>
                                </a:lnTo>
                                <a:close/>
                              </a:path>
                            </a:pathLst>
                          </a:custGeom>
                          <a:ln w="0" cap="rnd">
                            <a:round/>
                          </a:ln>
                        </wps:spPr>
                        <wps:style>
                          <a:lnRef idx="1">
                            <a:srgbClr val="04C8AC"/>
                          </a:lnRef>
                          <a:fillRef idx="1">
                            <a:srgbClr val="04C8AC"/>
                          </a:fillRef>
                          <a:effectRef idx="0">
                            <a:scrgbClr r="0" g="0" b="0"/>
                          </a:effectRef>
                          <a:fontRef idx="none"/>
                        </wps:style>
                        <wps:bodyPr/>
                      </wps:wsp>
                      <wps:wsp>
                        <wps:cNvPr id="143326" name="Shape 81984"/>
                        <wps:cNvSpPr/>
                        <wps:spPr>
                          <a:xfrm>
                            <a:off x="6113526" y="579603"/>
                            <a:ext cx="9144" cy="76327"/>
                          </a:xfrm>
                          <a:custGeom>
                            <a:avLst/>
                            <a:gdLst/>
                            <a:ahLst/>
                            <a:cxnLst/>
                            <a:rect l="0" t="0" r="0" b="0"/>
                            <a:pathLst>
                              <a:path w="9144" h="76327">
                                <a:moveTo>
                                  <a:pt x="0" y="0"/>
                                </a:moveTo>
                                <a:lnTo>
                                  <a:pt x="9144" y="0"/>
                                </a:lnTo>
                                <a:lnTo>
                                  <a:pt x="9144" y="76327"/>
                                </a:lnTo>
                                <a:lnTo>
                                  <a:pt x="0" y="7632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27" name="Shape 81985"/>
                        <wps:cNvSpPr/>
                        <wps:spPr>
                          <a:xfrm>
                            <a:off x="0" y="579590"/>
                            <a:ext cx="9144" cy="76327"/>
                          </a:xfrm>
                          <a:custGeom>
                            <a:avLst/>
                            <a:gdLst/>
                            <a:ahLst/>
                            <a:cxnLst/>
                            <a:rect l="0" t="0" r="0" b="0"/>
                            <a:pathLst>
                              <a:path w="9144" h="76327">
                                <a:moveTo>
                                  <a:pt x="0" y="0"/>
                                </a:moveTo>
                                <a:lnTo>
                                  <a:pt x="9144" y="0"/>
                                </a:lnTo>
                                <a:lnTo>
                                  <a:pt x="9144" y="76327"/>
                                </a:lnTo>
                                <a:lnTo>
                                  <a:pt x="0" y="7632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28" name="Shape 81986"/>
                        <wps:cNvSpPr/>
                        <wps:spPr>
                          <a:xfrm>
                            <a:off x="6113526" y="655917"/>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29" name="Shape 81987"/>
                        <wps:cNvSpPr/>
                        <wps:spPr>
                          <a:xfrm>
                            <a:off x="0" y="655917"/>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0" name="Shape 81988"/>
                        <wps:cNvSpPr/>
                        <wps:spPr>
                          <a:xfrm>
                            <a:off x="6113526" y="808558"/>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1" name="Shape 81989"/>
                        <wps:cNvSpPr/>
                        <wps:spPr>
                          <a:xfrm>
                            <a:off x="0" y="808558"/>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2" name="Shape 81990"/>
                        <wps:cNvSpPr/>
                        <wps:spPr>
                          <a:xfrm>
                            <a:off x="6113526" y="960476"/>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3" name="Shape 81991"/>
                        <wps:cNvSpPr/>
                        <wps:spPr>
                          <a:xfrm>
                            <a:off x="0" y="960475"/>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4" name="Shape 81992"/>
                        <wps:cNvSpPr/>
                        <wps:spPr>
                          <a:xfrm>
                            <a:off x="6113526" y="1113117"/>
                            <a:ext cx="9144" cy="38164"/>
                          </a:xfrm>
                          <a:custGeom>
                            <a:avLst/>
                            <a:gdLst/>
                            <a:ahLst/>
                            <a:cxnLst/>
                            <a:rect l="0" t="0" r="0" b="0"/>
                            <a:pathLst>
                              <a:path w="9144" h="38164">
                                <a:moveTo>
                                  <a:pt x="0" y="0"/>
                                </a:moveTo>
                                <a:lnTo>
                                  <a:pt x="9144" y="0"/>
                                </a:lnTo>
                                <a:lnTo>
                                  <a:pt x="9144" y="38164"/>
                                </a:lnTo>
                                <a:lnTo>
                                  <a:pt x="0" y="3816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5" name="Shape 81993"/>
                        <wps:cNvSpPr/>
                        <wps:spPr>
                          <a:xfrm>
                            <a:off x="0" y="1113117"/>
                            <a:ext cx="9144" cy="38164"/>
                          </a:xfrm>
                          <a:custGeom>
                            <a:avLst/>
                            <a:gdLst/>
                            <a:ahLst/>
                            <a:cxnLst/>
                            <a:rect l="0" t="0" r="0" b="0"/>
                            <a:pathLst>
                              <a:path w="9144" h="38164">
                                <a:moveTo>
                                  <a:pt x="0" y="0"/>
                                </a:moveTo>
                                <a:lnTo>
                                  <a:pt x="9144" y="0"/>
                                </a:lnTo>
                                <a:lnTo>
                                  <a:pt x="9144" y="38164"/>
                                </a:lnTo>
                                <a:lnTo>
                                  <a:pt x="0" y="3816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6" name="Shape 81994"/>
                        <wps:cNvSpPr/>
                        <wps:spPr>
                          <a:xfrm>
                            <a:off x="6113526" y="1151280"/>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7" name="Shape 81995"/>
                        <wps:cNvSpPr/>
                        <wps:spPr>
                          <a:xfrm>
                            <a:off x="0" y="1151280"/>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8" name="Shape 81996"/>
                        <wps:cNvSpPr/>
                        <wps:spPr>
                          <a:xfrm>
                            <a:off x="6113526" y="1303921"/>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39" name="Shape 81997"/>
                        <wps:cNvSpPr/>
                        <wps:spPr>
                          <a:xfrm>
                            <a:off x="0" y="1303921"/>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40" name="Shape 81998"/>
                        <wps:cNvSpPr/>
                        <wps:spPr>
                          <a:xfrm>
                            <a:off x="6113526" y="1455839"/>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41" name="Shape 81999"/>
                        <wps:cNvSpPr/>
                        <wps:spPr>
                          <a:xfrm>
                            <a:off x="0" y="1455839"/>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42" name="Shape 82000"/>
                        <wps:cNvSpPr/>
                        <wps:spPr>
                          <a:xfrm>
                            <a:off x="6113526" y="1608480"/>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43" name="Shape 82001"/>
                        <wps:cNvSpPr/>
                        <wps:spPr>
                          <a:xfrm>
                            <a:off x="0" y="1608480"/>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44" name="Shape 82002"/>
                        <wps:cNvSpPr/>
                        <wps:spPr>
                          <a:xfrm>
                            <a:off x="6113526" y="1761121"/>
                            <a:ext cx="9144" cy="37440"/>
                          </a:xfrm>
                          <a:custGeom>
                            <a:avLst/>
                            <a:gdLst/>
                            <a:ahLst/>
                            <a:cxnLst/>
                            <a:rect l="0" t="0" r="0" b="0"/>
                            <a:pathLst>
                              <a:path w="9144" h="37440">
                                <a:moveTo>
                                  <a:pt x="0" y="0"/>
                                </a:moveTo>
                                <a:lnTo>
                                  <a:pt x="9144" y="0"/>
                                </a:lnTo>
                                <a:lnTo>
                                  <a:pt x="9144" y="37440"/>
                                </a:lnTo>
                                <a:lnTo>
                                  <a:pt x="0" y="37440"/>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45" name="Shape 82003"/>
                        <wps:cNvSpPr/>
                        <wps:spPr>
                          <a:xfrm>
                            <a:off x="0" y="1761122"/>
                            <a:ext cx="9144" cy="37440"/>
                          </a:xfrm>
                          <a:custGeom>
                            <a:avLst/>
                            <a:gdLst/>
                            <a:ahLst/>
                            <a:cxnLst/>
                            <a:rect l="0" t="0" r="0" b="0"/>
                            <a:pathLst>
                              <a:path w="9144" h="37440">
                                <a:moveTo>
                                  <a:pt x="0" y="0"/>
                                </a:moveTo>
                                <a:lnTo>
                                  <a:pt x="9144" y="0"/>
                                </a:lnTo>
                                <a:lnTo>
                                  <a:pt x="9144" y="37440"/>
                                </a:lnTo>
                                <a:lnTo>
                                  <a:pt x="0" y="37440"/>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46" name="Shape 82004"/>
                        <wps:cNvSpPr/>
                        <wps:spPr>
                          <a:xfrm>
                            <a:off x="6113526" y="1798561"/>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48" name="Shape 82005"/>
                        <wps:cNvSpPr/>
                        <wps:spPr>
                          <a:xfrm>
                            <a:off x="0" y="1798561"/>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49" name="Shape 82006"/>
                        <wps:cNvSpPr/>
                        <wps:spPr>
                          <a:xfrm>
                            <a:off x="6113526" y="1951202"/>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0" name="Shape 82007"/>
                        <wps:cNvSpPr/>
                        <wps:spPr>
                          <a:xfrm>
                            <a:off x="0" y="1951189"/>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1" name="Shape 82008"/>
                        <wps:cNvSpPr/>
                        <wps:spPr>
                          <a:xfrm>
                            <a:off x="6113526" y="2103831"/>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2" name="Shape 82009"/>
                        <wps:cNvSpPr/>
                        <wps:spPr>
                          <a:xfrm>
                            <a:off x="0" y="2103844"/>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3" name="Shape 82010"/>
                        <wps:cNvSpPr/>
                        <wps:spPr>
                          <a:xfrm>
                            <a:off x="6113526" y="2255761"/>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4" name="Shape 82011"/>
                        <wps:cNvSpPr/>
                        <wps:spPr>
                          <a:xfrm>
                            <a:off x="0" y="2255761"/>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5" name="Shape 82012"/>
                        <wps:cNvSpPr/>
                        <wps:spPr>
                          <a:xfrm>
                            <a:off x="6113526" y="2408402"/>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6" name="Shape 82013"/>
                        <wps:cNvSpPr/>
                        <wps:spPr>
                          <a:xfrm>
                            <a:off x="0" y="2408390"/>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7" name="Shape 82014"/>
                        <wps:cNvSpPr/>
                        <wps:spPr>
                          <a:xfrm>
                            <a:off x="6113526" y="2561031"/>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8" name="Shape 82015"/>
                        <wps:cNvSpPr/>
                        <wps:spPr>
                          <a:xfrm>
                            <a:off x="0" y="2561044"/>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59" name="Shape 82016"/>
                        <wps:cNvSpPr/>
                        <wps:spPr>
                          <a:xfrm>
                            <a:off x="6113526" y="2712961"/>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0" name="Shape 82017"/>
                        <wps:cNvSpPr/>
                        <wps:spPr>
                          <a:xfrm>
                            <a:off x="0" y="2712961"/>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1" name="Shape 82018"/>
                        <wps:cNvSpPr/>
                        <wps:spPr>
                          <a:xfrm>
                            <a:off x="6113526" y="2865602"/>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2" name="Shape 82019"/>
                        <wps:cNvSpPr/>
                        <wps:spPr>
                          <a:xfrm>
                            <a:off x="0" y="2865590"/>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3" name="Shape 82020"/>
                        <wps:cNvSpPr/>
                        <wps:spPr>
                          <a:xfrm>
                            <a:off x="6113526" y="3018231"/>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4" name="Shape 82021"/>
                        <wps:cNvSpPr/>
                        <wps:spPr>
                          <a:xfrm>
                            <a:off x="0" y="3018244"/>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5" name="Shape 82022"/>
                        <wps:cNvSpPr/>
                        <wps:spPr>
                          <a:xfrm>
                            <a:off x="6113526" y="3170161"/>
                            <a:ext cx="9144" cy="38164"/>
                          </a:xfrm>
                          <a:custGeom>
                            <a:avLst/>
                            <a:gdLst/>
                            <a:ahLst/>
                            <a:cxnLst/>
                            <a:rect l="0" t="0" r="0" b="0"/>
                            <a:pathLst>
                              <a:path w="9144" h="38164">
                                <a:moveTo>
                                  <a:pt x="0" y="0"/>
                                </a:moveTo>
                                <a:lnTo>
                                  <a:pt x="9144" y="0"/>
                                </a:lnTo>
                                <a:lnTo>
                                  <a:pt x="9144" y="38164"/>
                                </a:lnTo>
                                <a:lnTo>
                                  <a:pt x="0" y="3816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6" name="Shape 82023"/>
                        <wps:cNvSpPr/>
                        <wps:spPr>
                          <a:xfrm>
                            <a:off x="0" y="3170148"/>
                            <a:ext cx="9144" cy="38164"/>
                          </a:xfrm>
                          <a:custGeom>
                            <a:avLst/>
                            <a:gdLst/>
                            <a:ahLst/>
                            <a:cxnLst/>
                            <a:rect l="0" t="0" r="0" b="0"/>
                            <a:pathLst>
                              <a:path w="9144" h="38164">
                                <a:moveTo>
                                  <a:pt x="0" y="0"/>
                                </a:moveTo>
                                <a:lnTo>
                                  <a:pt x="9144" y="0"/>
                                </a:lnTo>
                                <a:lnTo>
                                  <a:pt x="9144" y="38164"/>
                                </a:lnTo>
                                <a:lnTo>
                                  <a:pt x="0" y="3816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7" name="Shape 82024"/>
                        <wps:cNvSpPr/>
                        <wps:spPr>
                          <a:xfrm>
                            <a:off x="6113526" y="3208312"/>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8" name="Shape 82025"/>
                        <wps:cNvSpPr/>
                        <wps:spPr>
                          <a:xfrm>
                            <a:off x="0" y="3208312"/>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69" name="Shape 82026"/>
                        <wps:cNvSpPr/>
                        <wps:spPr>
                          <a:xfrm>
                            <a:off x="6113526" y="3360953"/>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70" name="Shape 82027"/>
                        <wps:cNvSpPr/>
                        <wps:spPr>
                          <a:xfrm>
                            <a:off x="0" y="3360953"/>
                            <a:ext cx="9144" cy="152641"/>
                          </a:xfrm>
                          <a:custGeom>
                            <a:avLst/>
                            <a:gdLst/>
                            <a:ahLst/>
                            <a:cxnLst/>
                            <a:rect l="0" t="0" r="0" b="0"/>
                            <a:pathLst>
                              <a:path w="9144" h="152641">
                                <a:moveTo>
                                  <a:pt x="0" y="0"/>
                                </a:moveTo>
                                <a:lnTo>
                                  <a:pt x="9144" y="0"/>
                                </a:lnTo>
                                <a:lnTo>
                                  <a:pt x="9144" y="152641"/>
                                </a:lnTo>
                                <a:lnTo>
                                  <a:pt x="0" y="152641"/>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71" name="Shape 82028"/>
                        <wps:cNvSpPr/>
                        <wps:spPr>
                          <a:xfrm>
                            <a:off x="6113526" y="3513595"/>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72" name="Shape 82029"/>
                        <wps:cNvSpPr/>
                        <wps:spPr>
                          <a:xfrm>
                            <a:off x="0" y="3513595"/>
                            <a:ext cx="9144" cy="151917"/>
                          </a:xfrm>
                          <a:custGeom>
                            <a:avLst/>
                            <a:gdLst/>
                            <a:ahLst/>
                            <a:cxnLst/>
                            <a:rect l="0" t="0" r="0" b="0"/>
                            <a:pathLst>
                              <a:path w="9144" h="151917">
                                <a:moveTo>
                                  <a:pt x="0" y="0"/>
                                </a:moveTo>
                                <a:lnTo>
                                  <a:pt x="9144" y="0"/>
                                </a:lnTo>
                                <a:lnTo>
                                  <a:pt x="9144" y="151917"/>
                                </a:lnTo>
                                <a:lnTo>
                                  <a:pt x="0" y="151917"/>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73" name="Shape 82030"/>
                        <wps:cNvSpPr/>
                        <wps:spPr>
                          <a:xfrm>
                            <a:off x="6113526" y="3665512"/>
                            <a:ext cx="9144" cy="64084"/>
                          </a:xfrm>
                          <a:custGeom>
                            <a:avLst/>
                            <a:gdLst/>
                            <a:ahLst/>
                            <a:cxnLst/>
                            <a:rect l="0" t="0" r="0" b="0"/>
                            <a:pathLst>
                              <a:path w="9144" h="64084">
                                <a:moveTo>
                                  <a:pt x="0" y="0"/>
                                </a:moveTo>
                                <a:lnTo>
                                  <a:pt x="9144" y="0"/>
                                </a:lnTo>
                                <a:lnTo>
                                  <a:pt x="9144" y="64084"/>
                                </a:lnTo>
                                <a:lnTo>
                                  <a:pt x="0" y="6408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74" name="Shape 82031"/>
                        <wps:cNvSpPr/>
                        <wps:spPr>
                          <a:xfrm>
                            <a:off x="0" y="3665512"/>
                            <a:ext cx="9144" cy="64084"/>
                          </a:xfrm>
                          <a:custGeom>
                            <a:avLst/>
                            <a:gdLst/>
                            <a:ahLst/>
                            <a:cxnLst/>
                            <a:rect l="0" t="0" r="0" b="0"/>
                            <a:pathLst>
                              <a:path w="9144" h="64084">
                                <a:moveTo>
                                  <a:pt x="0" y="0"/>
                                </a:moveTo>
                                <a:lnTo>
                                  <a:pt x="9144" y="0"/>
                                </a:lnTo>
                                <a:lnTo>
                                  <a:pt x="9144" y="64084"/>
                                </a:lnTo>
                                <a:lnTo>
                                  <a:pt x="0" y="6408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75" name="Shape 82032"/>
                        <wps:cNvSpPr/>
                        <wps:spPr>
                          <a:xfrm>
                            <a:off x="6113526" y="3729596"/>
                            <a:ext cx="9144" cy="183604"/>
                          </a:xfrm>
                          <a:custGeom>
                            <a:avLst/>
                            <a:gdLst/>
                            <a:ahLst/>
                            <a:cxnLst/>
                            <a:rect l="0" t="0" r="0" b="0"/>
                            <a:pathLst>
                              <a:path w="9144" h="183604">
                                <a:moveTo>
                                  <a:pt x="0" y="0"/>
                                </a:moveTo>
                                <a:lnTo>
                                  <a:pt x="9144" y="0"/>
                                </a:lnTo>
                                <a:lnTo>
                                  <a:pt x="9144" y="183604"/>
                                </a:lnTo>
                                <a:lnTo>
                                  <a:pt x="0" y="18360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76" name="Shape 77"/>
                        <wps:cNvSpPr/>
                        <wps:spPr>
                          <a:xfrm>
                            <a:off x="6068886" y="3913200"/>
                            <a:ext cx="51118" cy="51117"/>
                          </a:xfrm>
                          <a:custGeom>
                            <a:avLst/>
                            <a:gdLst/>
                            <a:ahLst/>
                            <a:cxnLst/>
                            <a:rect l="0" t="0" r="0" b="0"/>
                            <a:pathLst>
                              <a:path w="51118" h="51117">
                                <a:moveTo>
                                  <a:pt x="44641" y="0"/>
                                </a:moveTo>
                                <a:lnTo>
                                  <a:pt x="51118" y="0"/>
                                </a:lnTo>
                                <a:lnTo>
                                  <a:pt x="50394" y="9360"/>
                                </a:lnTo>
                                <a:cubicBezTo>
                                  <a:pt x="47917" y="29172"/>
                                  <a:pt x="28245" y="47511"/>
                                  <a:pt x="9360" y="50406"/>
                                </a:cubicBezTo>
                                <a:lnTo>
                                  <a:pt x="0" y="51117"/>
                                </a:lnTo>
                                <a:lnTo>
                                  <a:pt x="0" y="44641"/>
                                </a:lnTo>
                                <a:lnTo>
                                  <a:pt x="7913" y="43917"/>
                                </a:lnTo>
                                <a:cubicBezTo>
                                  <a:pt x="28296" y="39611"/>
                                  <a:pt x="39307" y="28105"/>
                                  <a:pt x="43917" y="7925"/>
                                </a:cubicBezTo>
                                <a:lnTo>
                                  <a:pt x="44641" y="0"/>
                                </a:lnTo>
                                <a:close/>
                              </a:path>
                            </a:pathLst>
                          </a:custGeom>
                          <a:ln w="0" cap="rnd">
                            <a:round/>
                          </a:ln>
                        </wps:spPr>
                        <wps:style>
                          <a:lnRef idx="1">
                            <a:srgbClr val="04C8AC"/>
                          </a:lnRef>
                          <a:fillRef idx="1">
                            <a:srgbClr val="04C8AC"/>
                          </a:fillRef>
                          <a:effectRef idx="0">
                            <a:scrgbClr r="0" g="0" b="0"/>
                          </a:effectRef>
                          <a:fontRef idx="none"/>
                        </wps:style>
                        <wps:bodyPr/>
                      </wps:wsp>
                      <wps:wsp>
                        <wps:cNvPr id="143377" name="Shape 82033"/>
                        <wps:cNvSpPr/>
                        <wps:spPr>
                          <a:xfrm>
                            <a:off x="51118" y="3957840"/>
                            <a:ext cx="6017755" cy="9144"/>
                          </a:xfrm>
                          <a:custGeom>
                            <a:avLst/>
                            <a:gdLst/>
                            <a:ahLst/>
                            <a:cxnLst/>
                            <a:rect l="0" t="0" r="0" b="0"/>
                            <a:pathLst>
                              <a:path w="6017755" h="9144">
                                <a:moveTo>
                                  <a:pt x="0" y="0"/>
                                </a:moveTo>
                                <a:lnTo>
                                  <a:pt x="6017755" y="0"/>
                                </a:lnTo>
                                <a:lnTo>
                                  <a:pt x="6017755" y="9144"/>
                                </a:lnTo>
                                <a:lnTo>
                                  <a:pt x="0" y="914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78" name="Shape 79"/>
                        <wps:cNvSpPr/>
                        <wps:spPr>
                          <a:xfrm>
                            <a:off x="0" y="3913200"/>
                            <a:ext cx="51118" cy="51117"/>
                          </a:xfrm>
                          <a:custGeom>
                            <a:avLst/>
                            <a:gdLst/>
                            <a:ahLst/>
                            <a:cxnLst/>
                            <a:rect l="0" t="0" r="0" b="0"/>
                            <a:pathLst>
                              <a:path w="51118" h="51117">
                                <a:moveTo>
                                  <a:pt x="0" y="0"/>
                                </a:moveTo>
                                <a:lnTo>
                                  <a:pt x="6477" y="0"/>
                                </a:lnTo>
                                <a:lnTo>
                                  <a:pt x="7201" y="7912"/>
                                </a:lnTo>
                                <a:cubicBezTo>
                                  <a:pt x="11811" y="28105"/>
                                  <a:pt x="22809" y="39611"/>
                                  <a:pt x="43193" y="43917"/>
                                </a:cubicBezTo>
                                <a:lnTo>
                                  <a:pt x="51118" y="44640"/>
                                </a:lnTo>
                                <a:lnTo>
                                  <a:pt x="51118" y="51117"/>
                                </a:lnTo>
                                <a:lnTo>
                                  <a:pt x="41758" y="50393"/>
                                </a:lnTo>
                                <a:cubicBezTo>
                                  <a:pt x="22873" y="47511"/>
                                  <a:pt x="3200" y="29172"/>
                                  <a:pt x="711" y="9360"/>
                                </a:cubicBezTo>
                                <a:lnTo>
                                  <a:pt x="0" y="0"/>
                                </a:lnTo>
                                <a:close/>
                              </a:path>
                            </a:pathLst>
                          </a:custGeom>
                          <a:ln w="0" cap="rnd">
                            <a:round/>
                          </a:ln>
                        </wps:spPr>
                        <wps:style>
                          <a:lnRef idx="1">
                            <a:srgbClr val="04C8AC"/>
                          </a:lnRef>
                          <a:fillRef idx="1">
                            <a:srgbClr val="04C8AC"/>
                          </a:fillRef>
                          <a:effectRef idx="0">
                            <a:scrgbClr r="0" g="0" b="0"/>
                          </a:effectRef>
                          <a:fontRef idx="none"/>
                        </wps:style>
                        <wps:bodyPr/>
                      </wps:wsp>
                      <wps:wsp>
                        <wps:cNvPr id="143379" name="Shape 82034"/>
                        <wps:cNvSpPr/>
                        <wps:spPr>
                          <a:xfrm>
                            <a:off x="0" y="3729596"/>
                            <a:ext cx="9144" cy="183604"/>
                          </a:xfrm>
                          <a:custGeom>
                            <a:avLst/>
                            <a:gdLst/>
                            <a:ahLst/>
                            <a:cxnLst/>
                            <a:rect l="0" t="0" r="0" b="0"/>
                            <a:pathLst>
                              <a:path w="9144" h="183604">
                                <a:moveTo>
                                  <a:pt x="0" y="0"/>
                                </a:moveTo>
                                <a:lnTo>
                                  <a:pt x="9144" y="0"/>
                                </a:lnTo>
                                <a:lnTo>
                                  <a:pt x="9144" y="183604"/>
                                </a:lnTo>
                                <a:lnTo>
                                  <a:pt x="0" y="183604"/>
                                </a:lnTo>
                                <a:lnTo>
                                  <a:pt x="0" y="0"/>
                                </a:lnTo>
                              </a:path>
                            </a:pathLst>
                          </a:custGeom>
                          <a:ln w="0" cap="rnd">
                            <a:round/>
                          </a:ln>
                        </wps:spPr>
                        <wps:style>
                          <a:lnRef idx="1">
                            <a:srgbClr val="04C8AC"/>
                          </a:lnRef>
                          <a:fillRef idx="1">
                            <a:srgbClr val="04C8AC"/>
                          </a:fillRef>
                          <a:effectRef idx="0">
                            <a:scrgbClr r="0" g="0" b="0"/>
                          </a:effectRef>
                          <a:fontRef idx="none"/>
                        </wps:style>
                        <wps:bodyPr/>
                      </wps:wsp>
                      <wps:wsp>
                        <wps:cNvPr id="143382" name="Shape 82035"/>
                        <wps:cNvSpPr/>
                        <wps:spPr>
                          <a:xfrm>
                            <a:off x="1096607" y="34683"/>
                            <a:ext cx="9144" cy="46965"/>
                          </a:xfrm>
                          <a:custGeom>
                            <a:avLst/>
                            <a:gdLst/>
                            <a:ahLst/>
                            <a:cxnLst/>
                            <a:rect l="0" t="0" r="0" b="0"/>
                            <a:pathLst>
                              <a:path w="9144" h="46965">
                                <a:moveTo>
                                  <a:pt x="0" y="0"/>
                                </a:moveTo>
                                <a:lnTo>
                                  <a:pt x="9144" y="0"/>
                                </a:lnTo>
                                <a:lnTo>
                                  <a:pt x="9144" y="46965"/>
                                </a:lnTo>
                                <a:lnTo>
                                  <a:pt x="0" y="46965"/>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143383" name="Shape 126"/>
                        <wps:cNvSpPr/>
                        <wps:spPr>
                          <a:xfrm>
                            <a:off x="1113231" y="34671"/>
                            <a:ext cx="21520" cy="46952"/>
                          </a:xfrm>
                          <a:custGeom>
                            <a:avLst/>
                            <a:gdLst/>
                            <a:ahLst/>
                            <a:cxnLst/>
                            <a:rect l="0" t="0" r="0" b="0"/>
                            <a:pathLst>
                              <a:path w="21520" h="46952">
                                <a:moveTo>
                                  <a:pt x="0" y="0"/>
                                </a:moveTo>
                                <a:lnTo>
                                  <a:pt x="18250" y="0"/>
                                </a:lnTo>
                                <a:lnTo>
                                  <a:pt x="21520" y="1303"/>
                                </a:lnTo>
                                <a:lnTo>
                                  <a:pt x="21520" y="7610"/>
                                </a:lnTo>
                                <a:lnTo>
                                  <a:pt x="17170" y="6058"/>
                                </a:lnTo>
                                <a:lnTo>
                                  <a:pt x="6756" y="6058"/>
                                </a:lnTo>
                                <a:lnTo>
                                  <a:pt x="6756" y="40881"/>
                                </a:lnTo>
                                <a:lnTo>
                                  <a:pt x="17500" y="40881"/>
                                </a:lnTo>
                                <a:lnTo>
                                  <a:pt x="21520" y="39144"/>
                                </a:lnTo>
                                <a:lnTo>
                                  <a:pt x="21520" y="45690"/>
                                </a:lnTo>
                                <a:lnTo>
                                  <a:pt x="18326" y="46952"/>
                                </a:lnTo>
                                <a:lnTo>
                                  <a:pt x="0" y="46952"/>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43384" name="Shape 127"/>
                        <wps:cNvSpPr/>
                        <wps:spPr>
                          <a:xfrm>
                            <a:off x="1134751" y="35974"/>
                            <a:ext cx="21736" cy="44386"/>
                          </a:xfrm>
                          <a:custGeom>
                            <a:avLst/>
                            <a:gdLst/>
                            <a:ahLst/>
                            <a:cxnLst/>
                            <a:rect l="0" t="0" r="0" b="0"/>
                            <a:pathLst>
                              <a:path w="21736" h="44386">
                                <a:moveTo>
                                  <a:pt x="0" y="0"/>
                                </a:moveTo>
                                <a:lnTo>
                                  <a:pt x="15743" y="6274"/>
                                </a:lnTo>
                                <a:cubicBezTo>
                                  <a:pt x="19825" y="10755"/>
                                  <a:pt x="21736" y="16623"/>
                                  <a:pt x="21736" y="22166"/>
                                </a:cubicBezTo>
                                <a:cubicBezTo>
                                  <a:pt x="21736" y="28192"/>
                                  <a:pt x="19377" y="34063"/>
                                  <a:pt x="15081" y="38427"/>
                                </a:cubicBezTo>
                                <a:lnTo>
                                  <a:pt x="0" y="44386"/>
                                </a:lnTo>
                                <a:lnTo>
                                  <a:pt x="0" y="37840"/>
                                </a:lnTo>
                                <a:lnTo>
                                  <a:pt x="11106" y="33039"/>
                                </a:lnTo>
                                <a:cubicBezTo>
                                  <a:pt x="13891" y="29408"/>
                                  <a:pt x="14764" y="25056"/>
                                  <a:pt x="14764" y="22166"/>
                                </a:cubicBezTo>
                                <a:cubicBezTo>
                                  <a:pt x="14764" y="17448"/>
                                  <a:pt x="13268" y="13095"/>
                                  <a:pt x="10132" y="9922"/>
                                </a:cubicBezTo>
                                <a:lnTo>
                                  <a:pt x="0" y="6307"/>
                                </a:lnTo>
                                <a:lnTo>
                                  <a:pt x="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43385" name="Shape 128"/>
                        <wps:cNvSpPr/>
                        <wps:spPr>
                          <a:xfrm>
                            <a:off x="1095578" y="20485"/>
                            <a:ext cx="8839" cy="8839"/>
                          </a:xfrm>
                          <a:custGeom>
                            <a:avLst/>
                            <a:gdLst/>
                            <a:ahLst/>
                            <a:cxnLst/>
                            <a:rect l="0" t="0" r="0" b="0"/>
                            <a:pathLst>
                              <a:path w="8839" h="8839">
                                <a:moveTo>
                                  <a:pt x="4419" y="0"/>
                                </a:moveTo>
                                <a:cubicBezTo>
                                  <a:pt x="6858" y="0"/>
                                  <a:pt x="8839" y="1981"/>
                                  <a:pt x="8839" y="4420"/>
                                </a:cubicBezTo>
                                <a:cubicBezTo>
                                  <a:pt x="8839" y="6845"/>
                                  <a:pt x="6858" y="8839"/>
                                  <a:pt x="4419" y="8839"/>
                                </a:cubicBezTo>
                                <a:cubicBezTo>
                                  <a:pt x="1968" y="8839"/>
                                  <a:pt x="0" y="6845"/>
                                  <a:pt x="0" y="4420"/>
                                </a:cubicBezTo>
                                <a:cubicBezTo>
                                  <a:pt x="0" y="1981"/>
                                  <a:pt x="1968" y="0"/>
                                  <a:pt x="4419"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g:wgp>
                  </a:graphicData>
                </a:graphic>
                <wp14:sizeRelV relativeFrom="margin">
                  <wp14:pctHeight>0</wp14:pctHeight>
                </wp14:sizeRelV>
              </wp:anchor>
            </w:drawing>
          </mc:Choice>
          <mc:Fallback>
            <w:pict>
              <v:group w14:anchorId="227CD32D" id="Group 143319" o:spid="_x0000_s1026" style="position:absolute;margin-left:430.85pt;margin-top:17.1pt;width:482.05pt;height:340pt;z-index:-251645952;mso-position-horizontal:right;mso-position-horizontal-relative:margin;mso-height-relative:margin" coordorigin=",204" coordsize="61226,39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">
                <v:shape id="Shape 81981" o:spid="_x0000_s1027" style="position:absolute;top:4593;width:91;height:1203;visibility:visible;mso-wrap-style:square;v-text-anchor:top" coordsize="9144,12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" path="m,l9144,r,120244l,120244,,e" fillcolor="#04c8ac" strokecolor="#04c8ac" strokeweight="0">
                  <v:stroke endcap="round"/>
                  <v:path arrowok="t" textboxrect="0,0,9144,120244"/>
                </v:shape>
                <v:shape id="Shape 23" o:spid="_x0000_s1028" style="position:absolute;top:4082;width:511;height:511;visibility:visible;mso-wrap-style:square;v-text-anchor:top" coordsize="51118,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" path="m51118,r,6477l43205,7201c23609,11036,11036,23609,7201,43193r-724,7924l,51117,724,41758c2299,23368,23368,2299,41758,711l51118,xe" fillcolor="#04c8ac" strokecolor="#04c8ac" strokeweight="0">
                  <v:stroke endcap="round"/>
                  <v:path arrowok="t" textboxrect="0,0,51118,51117"/>
                </v:shape>
                <v:shape id="Shape 81982" o:spid="_x0000_s1029" style="position:absolute;left:511;top:4082;width:60177;height:91;visibility:visible;mso-wrap-style:square;v-text-anchor:top" coordsize="601775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" path="m,l6017755,r,9144l,9144,,e" fillcolor="#04c8ac" strokecolor="#04c8ac" strokeweight="0">
                  <v:stroke endcap="round"/>
                  <v:path arrowok="t" textboxrect="0,0,6017755,9144"/>
                </v:shape>
                <v:shape id="Shape 25" o:spid="_x0000_s1030" style="position:absolute;left:60688;top:4082;width:511;height:511;visibility:visible;mso-wrap-style:square;v-text-anchor:top" coordsize="51118,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" path="m,l9360,724c27749,2299,48819,23368,50406,41758r712,9359l44641,51117r-724,-7912c40081,23609,27508,11036,7925,7201l,6477,,xe" fillcolor="#04c8ac" strokecolor="#04c8ac" strokeweight="0">
                  <v:stroke endcap="round"/>
                  <v:path arrowok="t" textboxrect="0,0,51118,51117"/>
                </v:shape>
                <v:shape id="Shape 81983" o:spid="_x0000_s1031" style="position:absolute;left:61135;top:4593;width:91;height:1203;visibility:visible;mso-wrap-style:square;v-text-anchor:top" coordsize="9144,12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" path="m,l9144,r,120244l,120244,,e" fillcolor="#04c8ac" strokecolor="#04c8ac" strokeweight="0">
                  <v:stroke endcap="round"/>
                  <v:path arrowok="t" textboxrect="0,0,9144,120244"/>
                </v:shape>
                <v:shape id="Shape 27" o:spid="_x0000_s1032" style="position:absolute;left:511;top:4082;width:60177;height:65;visibility:visible;mso-wrap-style:square;v-text-anchor:top" coordsize="6017755,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" path="m,l6017755,6477,,6477,,xe" fillcolor="#04c8ac" strokecolor="#04c8ac" strokeweight="0">
                  <v:stroke endcap="round"/>
                  <v:path arrowok="t" textboxrect="0,0,6017755,6477"/>
                </v:shape>
                <v:shape id="Shape 81984" o:spid="_x0000_s1033" style="position:absolute;left:61135;top:5796;width:91;height:763;visibility:visible;mso-wrap-style:square;v-text-anchor:top" coordsize="9144,76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" path="m,l9144,r,76327l,76327,,e" fillcolor="#04c8ac" strokecolor="#04c8ac" strokeweight="0">
                  <v:stroke endcap="round"/>
                  <v:path arrowok="t" textboxrect="0,0,9144,76327"/>
                </v:shape>
                <v:shape id="Shape 81985" o:spid="_x0000_s1034" style="position:absolute;top:5795;width:91;height:764;visibility:visible;mso-wrap-style:square;v-text-anchor:top" coordsize="9144,76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" path="m,l9144,r,76327l,76327,,e" fillcolor="#04c8ac" strokecolor="#04c8ac" strokeweight="0">
                  <v:stroke endcap="round"/>
                  <v:path arrowok="t" textboxrect="0,0,9144,76327"/>
                </v:shape>
                <v:shape id="Shape 81986" o:spid="_x0000_s1035" style="position:absolute;left:61135;top:6559;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" path="m,l9144,r,152641l,152641,,e" fillcolor="#04c8ac" strokecolor="#04c8ac" strokeweight="0">
                  <v:stroke endcap="round"/>
                  <v:path arrowok="t" textboxrect="0,0,9144,152641"/>
                </v:shape>
                <v:shape id="Shape 81987" o:spid="_x0000_s1036" style="position:absolute;top:6559;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" path="m,l9144,r,152641l,152641,,e" fillcolor="#04c8ac" strokecolor="#04c8ac" strokeweight="0">
                  <v:stroke endcap="round"/>
                  <v:path arrowok="t" textboxrect="0,0,9144,152641"/>
                </v:shape>
                <v:shape id="Shape 81988" o:spid="_x0000_s1037" style="position:absolute;left:61135;top:8085;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" path="m,l9144,r,151917l,151917,,e" fillcolor="#04c8ac" strokecolor="#04c8ac" strokeweight="0">
                  <v:stroke endcap="round"/>
                  <v:path arrowok="t" textboxrect="0,0,9144,151917"/>
                </v:shape>
                <v:shape id="Shape 81989" o:spid="_x0000_s1038" style="position:absolute;top:8085;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" path="m,l9144,r,151917l,151917,,e" fillcolor="#04c8ac" strokecolor="#04c8ac" strokeweight="0">
                  <v:stroke endcap="round"/>
                  <v:path arrowok="t" textboxrect="0,0,9144,151917"/>
                </v:shape>
                <v:shape id="Shape 81990" o:spid="_x0000_s1039" style="position:absolute;left:61135;top:9604;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" path="m,l9144,r,152641l,152641,,e" fillcolor="#04c8ac" strokecolor="#04c8ac" strokeweight="0">
                  <v:stroke endcap="round"/>
                  <v:path arrowok="t" textboxrect="0,0,9144,152641"/>
                </v:shape>
                <v:shape id="Shape 81991" o:spid="_x0000_s1040" style="position:absolute;top:9604;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" path="m,l9144,r,152641l,152641,,e" fillcolor="#04c8ac" strokecolor="#04c8ac" strokeweight="0">
                  <v:stroke endcap="round"/>
                  <v:path arrowok="t" textboxrect="0,0,9144,152641"/>
                </v:shape>
                <v:shape id="Shape 81992" o:spid="_x0000_s1041" style="position:absolute;left:61135;top:11131;width:91;height:381;visibility:visible;mso-wrap-style:square;v-text-anchor:top" coordsize="9144,3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" path="m,l9144,r,38164l,38164,,e" fillcolor="#04c8ac" strokecolor="#04c8ac" strokeweight="0">
                  <v:stroke endcap="round"/>
                  <v:path arrowok="t" textboxrect="0,0,9144,38164"/>
                </v:shape>
                <v:shape id="Shape 81993" o:spid="_x0000_s1042" style="position:absolute;top:11131;width:91;height:381;visibility:visible;mso-wrap-style:square;v-text-anchor:top" coordsize="9144,3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" path="m,l9144,r,38164l,38164,,e" fillcolor="#04c8ac" strokecolor="#04c8ac" strokeweight="0">
                  <v:stroke endcap="round"/>
                  <v:path arrowok="t" textboxrect="0,0,9144,38164"/>
                </v:shape>
                <v:shape id="Shape 81994" o:spid="_x0000_s1043" style="position:absolute;left:61135;top:11512;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" path="m,l9144,r,152641l,152641,,e" fillcolor="#04c8ac" strokecolor="#04c8ac" strokeweight="0">
                  <v:stroke endcap="round"/>
                  <v:path arrowok="t" textboxrect="0,0,9144,152641"/>
                </v:shape>
                <v:shape id="Shape 81995" o:spid="_x0000_s1044" style="position:absolute;top:11512;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" path="m,l9144,r,152641l,152641,,e" fillcolor="#04c8ac" strokecolor="#04c8ac" strokeweight="0">
                  <v:stroke endcap="round"/>
                  <v:path arrowok="t" textboxrect="0,0,9144,152641"/>
                </v:shape>
                <v:shape id="Shape 81996" o:spid="_x0000_s1045" style="position:absolute;left:61135;top:13039;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" path="m,l9144,r,151917l,151917,,e" fillcolor="#04c8ac" strokecolor="#04c8ac" strokeweight="0">
                  <v:stroke endcap="round"/>
                  <v:path arrowok="t" textboxrect="0,0,9144,151917"/>
                </v:shape>
                <v:shape id="Shape 81997" o:spid="_x0000_s1046" style="position:absolute;top:13039;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" path="m,l9144,r,151917l,151917,,e" fillcolor="#04c8ac" strokecolor="#04c8ac" strokeweight="0">
                  <v:stroke endcap="round"/>
                  <v:path arrowok="t" textboxrect="0,0,9144,151917"/>
                </v:shape>
                <v:shape id="Shape 81998" o:spid="_x0000_s1047" style="position:absolute;left:61135;top:14558;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" path="m,l9144,r,152641l,152641,,e" fillcolor="#04c8ac" strokecolor="#04c8ac" strokeweight="0">
                  <v:stroke endcap="round"/>
                  <v:path arrowok="t" textboxrect="0,0,9144,152641"/>
                </v:shape>
                <v:shape id="Shape 81999" o:spid="_x0000_s1048" style="position:absolute;top:14558;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" path="m,l9144,r,152641l,152641,,e" fillcolor="#04c8ac" strokecolor="#04c8ac" strokeweight="0">
                  <v:stroke endcap="round"/>
                  <v:path arrowok="t" textboxrect="0,0,9144,152641"/>
                </v:shape>
                <v:shape id="Shape 82000" o:spid="_x0000_s1049" style="position:absolute;left:61135;top:16084;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" path="m,l9144,r,152641l,152641,,e" fillcolor="#04c8ac" strokecolor="#04c8ac" strokeweight="0">
                  <v:stroke endcap="round"/>
                  <v:path arrowok="t" textboxrect="0,0,9144,152641"/>
                </v:shape>
                <v:shape id="Shape 82001" o:spid="_x0000_s1050" style="position:absolute;top:16084;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" path="m,l9144,r,152641l,152641,,e" fillcolor="#04c8ac" strokecolor="#04c8ac" strokeweight="0">
                  <v:stroke endcap="round"/>
                  <v:path arrowok="t" textboxrect="0,0,9144,152641"/>
                </v:shape>
                <v:shape id="Shape 82002" o:spid="_x0000_s1051" style="position:absolute;left:61135;top:17611;width:91;height:374;visibility:visible;mso-wrap-style:square;v-text-anchor:top" coordsize="9144,37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" path="m,l9144,r,37440l,37440,,e" fillcolor="#04c8ac" strokecolor="#04c8ac" strokeweight="0">
                  <v:stroke endcap="round"/>
                  <v:path arrowok="t" textboxrect="0,0,9144,37440"/>
                </v:shape>
                <v:shape id="Shape 82003" o:spid="_x0000_s1052" style="position:absolute;top:17611;width:91;height:374;visibility:visible;mso-wrap-style:square;v-text-anchor:top" coordsize="9144,37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" path="m,l9144,r,37440l,37440,,e" fillcolor="#04c8ac" strokecolor="#04c8ac" strokeweight="0">
                  <v:stroke endcap="round"/>
                  <v:path arrowok="t" textboxrect="0,0,9144,37440"/>
                </v:shape>
                <v:shape id="Shape 82004" o:spid="_x0000_s1053" style="position:absolute;left:61135;top:17985;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" path="m,l9144,r,152641l,152641,,e" fillcolor="#04c8ac" strokecolor="#04c8ac" strokeweight="0">
                  <v:stroke endcap="round"/>
                  <v:path arrowok="t" textboxrect="0,0,9144,152641"/>
                </v:shape>
                <v:shape id="Shape 82005" o:spid="_x0000_s1054" style="position:absolute;top:17985;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" path="m,l9144,r,152641l,152641,,e" fillcolor="#04c8ac" strokecolor="#04c8ac" strokeweight="0">
                  <v:stroke endcap="round"/>
                  <v:path arrowok="t" textboxrect="0,0,9144,152641"/>
                </v:shape>
                <v:shape id="Shape 82006" o:spid="_x0000_s1055" style="position:absolute;left:61135;top:19512;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" path="m,l9144,r,152641l,152641,,e" fillcolor="#04c8ac" strokecolor="#04c8ac" strokeweight="0">
                  <v:stroke endcap="round"/>
                  <v:path arrowok="t" textboxrect="0,0,9144,152641"/>
                </v:shape>
                <v:shape id="Shape 82007" o:spid="_x0000_s1056" style="position:absolute;top:19511;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" path="m,l9144,r,152641l,152641,,e" fillcolor="#04c8ac" strokecolor="#04c8ac" strokeweight="0">
                  <v:stroke endcap="round"/>
                  <v:path arrowok="t" textboxrect="0,0,9144,152641"/>
                </v:shape>
                <v:shape id="Shape 82008" o:spid="_x0000_s1057" style="position:absolute;left:61135;top:21038;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" path="m,l9144,r,151917l,151917,,e" fillcolor="#04c8ac" strokecolor="#04c8ac" strokeweight="0">
                  <v:stroke endcap="round"/>
                  <v:path arrowok="t" textboxrect="0,0,9144,151917"/>
                </v:shape>
                <v:shape id="Shape 82009" o:spid="_x0000_s1058" style="position:absolute;top:21038;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" path="m,l9144,r,151917l,151917,,e" fillcolor="#04c8ac" strokecolor="#04c8ac" strokeweight="0">
                  <v:stroke endcap="round"/>
                  <v:path arrowok="t" textboxrect="0,0,9144,151917"/>
                </v:shape>
                <v:shape id="Shape 82010" o:spid="_x0000_s1059" style="position:absolute;left:61135;top:22557;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" path="m,l9144,r,152641l,152641,,e" fillcolor="#04c8ac" strokecolor="#04c8ac" strokeweight="0">
                  <v:stroke endcap="round"/>
                  <v:path arrowok="t" textboxrect="0,0,9144,152641"/>
                </v:shape>
                <v:shape id="Shape 82011" o:spid="_x0000_s1060" style="position:absolute;top:22557;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" path="m,l9144,r,152641l,152641,,e" fillcolor="#04c8ac" strokecolor="#04c8ac" strokeweight="0">
                  <v:stroke endcap="round"/>
                  <v:path arrowok="t" textboxrect="0,0,9144,152641"/>
                </v:shape>
                <v:shape id="Shape 82012" o:spid="_x0000_s1061" style="position:absolute;left:61135;top:24084;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" path="m,l9144,r,152641l,152641,,e" fillcolor="#04c8ac" strokecolor="#04c8ac" strokeweight="0">
                  <v:stroke endcap="round"/>
                  <v:path arrowok="t" textboxrect="0,0,9144,152641"/>
                </v:shape>
                <v:shape id="Shape 82013" o:spid="_x0000_s1062" style="position:absolute;top:24083;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" path="m,l9144,r,152641l,152641,,e" fillcolor="#04c8ac" strokecolor="#04c8ac" strokeweight="0">
                  <v:stroke endcap="round"/>
                  <v:path arrowok="t" textboxrect="0,0,9144,152641"/>
                </v:shape>
                <v:shape id="Shape 82014" o:spid="_x0000_s1063" style="position:absolute;left:61135;top:25610;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" path="m,l9144,r,151917l,151917,,e" fillcolor="#04c8ac" strokecolor="#04c8ac" strokeweight="0">
                  <v:stroke endcap="round"/>
                  <v:path arrowok="t" textboxrect="0,0,9144,151917"/>
                </v:shape>
                <v:shape id="Shape 82015" o:spid="_x0000_s1064" style="position:absolute;top:25610;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" path="m,l9144,r,151917l,151917,,e" fillcolor="#04c8ac" strokecolor="#04c8ac" strokeweight="0">
                  <v:stroke endcap="round"/>
                  <v:path arrowok="t" textboxrect="0,0,9144,151917"/>
                </v:shape>
                <v:shape id="Shape 82016" o:spid="_x0000_s1065" style="position:absolute;left:61135;top:27129;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" path="m,l9144,r,152641l,152641,,e" fillcolor="#04c8ac" strokecolor="#04c8ac" strokeweight="0">
                  <v:stroke endcap="round"/>
                  <v:path arrowok="t" textboxrect="0,0,9144,152641"/>
                </v:shape>
                <v:shape id="Shape 82017" o:spid="_x0000_s1066" style="position:absolute;top:27129;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" path="m,l9144,r,152641l,152641,,e" fillcolor="#04c8ac" strokecolor="#04c8ac" strokeweight="0">
                  <v:stroke endcap="round"/>
                  <v:path arrowok="t" textboxrect="0,0,9144,152641"/>
                </v:shape>
                <v:shape id="Shape 82018" o:spid="_x0000_s1067" style="position:absolute;left:61135;top:28656;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" path="m,l9144,r,152641l,152641,,e" fillcolor="#04c8ac" strokecolor="#04c8ac" strokeweight="0">
                  <v:stroke endcap="round"/>
                  <v:path arrowok="t" textboxrect="0,0,9144,152641"/>
                </v:shape>
                <v:shape id="Shape 82019" o:spid="_x0000_s1068" style="position:absolute;top:28655;width:91;height:1527;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" path="m,l9144,r,152641l,152641,,e" fillcolor="#04c8ac" strokecolor="#04c8ac" strokeweight="0">
                  <v:stroke endcap="round"/>
                  <v:path arrowok="t" textboxrect="0,0,9144,152641"/>
                </v:shape>
                <v:shape id="Shape 82020" o:spid="_x0000_s1069" style="position:absolute;left:61135;top:30182;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" path="m,l9144,r,151917l,151917,,e" fillcolor="#04c8ac" strokecolor="#04c8ac" strokeweight="0">
                  <v:stroke endcap="round"/>
                  <v:path arrowok="t" textboxrect="0,0,9144,151917"/>
                </v:shape>
                <v:shape id="Shape 82021" o:spid="_x0000_s1070" style="position:absolute;top:30182;width:91;height:1519;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" path="m,l9144,r,151917l,151917,,e" fillcolor="#04c8ac" strokecolor="#04c8ac" strokeweight="0">
                  <v:stroke endcap="round"/>
                  <v:path arrowok="t" textboxrect="0,0,9144,151917"/>
                </v:shape>
                <v:shape id="Shape 82022" o:spid="_x0000_s1071" style="position:absolute;left:61135;top:31701;width:91;height:382;visibility:visible;mso-wrap-style:square;v-text-anchor:top" coordsize="9144,3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" path="m,l9144,r,38164l,38164,,e" fillcolor="#04c8ac" strokecolor="#04c8ac" strokeweight="0">
                  <v:stroke endcap="round"/>
                  <v:path arrowok="t" textboxrect="0,0,9144,38164"/>
                </v:shape>
                <v:shape id="Shape 82023" o:spid="_x0000_s1072" style="position:absolute;top:31701;width:91;height:382;visibility:visible;mso-wrap-style:square;v-text-anchor:top" coordsize="9144,3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" path="m,l9144,r,38164l,38164,,e" fillcolor="#04c8ac" strokecolor="#04c8ac" strokeweight="0">
                  <v:stroke endcap="round"/>
                  <v:path arrowok="t" textboxrect="0,0,9144,38164"/>
                </v:shape>
                <v:shape id="Shape 82024" o:spid="_x0000_s1073" style="position:absolute;left:61135;top:32083;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" path="m,l9144,r,152641l,152641,,e" fillcolor="#04c8ac" strokecolor="#04c8ac" strokeweight="0">
                  <v:stroke endcap="round"/>
                  <v:path arrowok="t" textboxrect="0,0,9144,152641"/>
                </v:shape>
                <v:shape id="Shape 82025" o:spid="_x0000_s1074" style="position:absolute;top:32083;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" path="m,l9144,r,152641l,152641,,e" fillcolor="#04c8ac" strokecolor="#04c8ac" strokeweight="0">
                  <v:stroke endcap="round"/>
                  <v:path arrowok="t" textboxrect="0,0,9144,152641"/>
                </v:shape>
                <v:shape id="Shape 82026" o:spid="_x0000_s1075" style="position:absolute;left:61135;top:33609;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" path="m,l9144,r,152641l,152641,,e" fillcolor="#04c8ac" strokecolor="#04c8ac" strokeweight="0">
                  <v:stroke endcap="round"/>
                  <v:path arrowok="t" textboxrect="0,0,9144,152641"/>
                </v:shape>
                <v:shape id="Shape 82027" o:spid="_x0000_s1076" style="position:absolute;top:33609;width:91;height:1526;visibility:visible;mso-wrap-style:square;v-text-anchor:top" coordsize="9144,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" path="m,l9144,r,152641l,152641,,e" fillcolor="#04c8ac" strokecolor="#04c8ac" strokeweight="0">
                  <v:stroke endcap="round"/>
                  <v:path arrowok="t" textboxrect="0,0,9144,152641"/>
                </v:shape>
                <v:shape id="Shape 82028" o:spid="_x0000_s1077" style="position:absolute;left:61135;top:35135;width:91;height:1520;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" path="m,l9144,r,151917l,151917,,e" fillcolor="#04c8ac" strokecolor="#04c8ac" strokeweight="0">
                  <v:stroke endcap="round"/>
                  <v:path arrowok="t" textboxrect="0,0,9144,151917"/>
                </v:shape>
                <v:shape id="Shape 82029" o:spid="_x0000_s1078" style="position:absolute;top:35135;width:91;height:1520;visibility:visible;mso-wrap-style:square;v-text-anchor:top" coordsize="9144,15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" path="m,l9144,r,151917l,151917,,e" fillcolor="#04c8ac" strokecolor="#04c8ac" strokeweight="0">
                  <v:stroke endcap="round"/>
                  <v:path arrowok="t" textboxrect="0,0,9144,151917"/>
                </v:shape>
                <v:shape id="Shape 82030" o:spid="_x0000_s1079" style="position:absolute;left:61135;top:36655;width:91;height:640;visibility:visible;mso-wrap-style:square;v-text-anchor:top" coordsize="9144,64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" path="m,l9144,r,64084l,64084,,e" fillcolor="#04c8ac" strokecolor="#04c8ac" strokeweight="0">
                  <v:stroke endcap="round"/>
                  <v:path arrowok="t" textboxrect="0,0,9144,64084"/>
                </v:shape>
                <v:shape id="Shape 82031" o:spid="_x0000_s1080" style="position:absolute;top:36655;width:91;height:640;visibility:visible;mso-wrap-style:square;v-text-anchor:top" coordsize="9144,64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" path="m,l9144,r,64084l,64084,,e" fillcolor="#04c8ac" strokecolor="#04c8ac" strokeweight="0">
                  <v:stroke endcap="round"/>
                  <v:path arrowok="t" textboxrect="0,0,9144,64084"/>
                </v:shape>
                <v:shape id="Shape 82032" o:spid="_x0000_s1081" style="position:absolute;left:61135;top:37295;width:91;height:1837;visibility:visible;mso-wrap-style:square;v-text-anchor:top" coordsize="9144,18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" path="m,l9144,r,183604l,183604,,e" fillcolor="#04c8ac" strokecolor="#04c8ac" strokeweight="0">
                  <v:stroke endcap="round"/>
                  <v:path arrowok="t" textboxrect="0,0,9144,183604"/>
                </v:shape>
                <v:shape id="Shape 77" o:spid="_x0000_s1082" style="position:absolute;left:60688;top:39132;width:512;height:511;visibility:visible;mso-wrap-style:square;v-text-anchor:top" coordsize="51118,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" path="m44641,r6477,l50394,9360c47917,29172,28245,47511,9360,50406l,51117,,44641r7913,-724c28296,39611,39307,28105,43917,7925l44641,xe" fillcolor="#04c8ac" strokecolor="#04c8ac" strokeweight="0">
                  <v:stroke endcap="round"/>
                  <v:path arrowok="t" textboxrect="0,0,51118,51117"/>
                </v:shape>
                <v:shape id="Shape 82033" o:spid="_x0000_s1083" style="position:absolute;left:511;top:39578;width:60177;height:91;visibility:visible;mso-wrap-style:square;v-text-anchor:top" coordsize="601775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" path="m,l6017755,r,9144l,9144,,e" fillcolor="#04c8ac" strokecolor="#04c8ac" strokeweight="0">
                  <v:stroke endcap="round"/>
                  <v:path arrowok="t" textboxrect="0,0,6017755,9144"/>
                </v:shape>
                <v:shape id="Shape 79" o:spid="_x0000_s1084" style="position:absolute;top:39132;width:511;height:511;visibility:visible;mso-wrap-style:square;v-text-anchor:top" coordsize="51118,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" path="m,l6477,r724,7912c11811,28105,22809,39611,43193,43917r7925,723l51118,51117r-9360,-724c22873,47511,3200,29172,711,9360l,xe" fillcolor="#04c8ac" strokecolor="#04c8ac" strokeweight="0">
                  <v:stroke endcap="round"/>
                  <v:path arrowok="t" textboxrect="0,0,51118,51117"/>
                </v:shape>
                <v:shape id="Shape 82034" o:spid="_x0000_s1085" style="position:absolute;top:37295;width:91;height:1837;visibility:visible;mso-wrap-style:square;v-text-anchor:top" coordsize="9144,18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" path="m,l9144,r,183604l,183604,,e" fillcolor="#04c8ac" strokecolor="#04c8ac" strokeweight="0">
                  <v:stroke endcap="round"/>
                  <v:path arrowok="t" textboxrect="0,0,9144,183604"/>
                </v:shape>
                <v:shape id="Shape 82035" o:spid="_x0000_s1086" style="position:absolute;left:10966;top:346;width:91;height:470;visibility:visible;mso-wrap-style:square;v-text-anchor:top" coordsize="9144,4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" path="m,l9144,r,46965l,46965,,e" stroked="f" strokeweight="0">
                  <v:stroke endcap="round"/>
                  <v:path arrowok="t" textboxrect="0,0,9144,46965"/>
                </v:shape>
                <v:shape id="Shape 126" o:spid="_x0000_s1087" style="position:absolute;left:11132;top:346;width:215;height:470;visibility:visible;mso-wrap-style:square;v-text-anchor:top" coordsize="21520,46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" path="m,l18250,r3270,1303l21520,7610,17170,6058r-10414,l6756,40881r10744,l21520,39144r,6546l18326,46952,,46952,,xe" stroked="f" strokeweight="0">
                  <v:stroke endcap="round"/>
                  <v:path arrowok="t" textboxrect="0,0,21520,46952"/>
                </v:shape>
                <v:shape id="Shape 127" o:spid="_x0000_s1088" style="position:absolute;left:11347;top:359;width:217;height:444;visibility:visible;mso-wrap-style:square;v-text-anchor:top" coordsize="21736,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" path="m,l15743,6274v4082,4481,5993,10349,5993,15892c21736,28192,19377,34063,15081,38427l,44386,,37840,11106,33039v2785,-3631,3658,-7983,3658,-10873c14764,17448,13268,13095,10132,9922l,6307,,xe" stroked="f" strokeweight="0">
                  <v:stroke endcap="round"/>
                  <v:path arrowok="t" textboxrect="0,0,21736,44386"/>
                </v:shape>
                <v:shape id="Shape 128" o:spid="_x0000_s1089" style="position:absolute;left:10955;top:204;width:89;height:89;visibility:visible;mso-wrap-style:square;v-text-anchor:top" coordsize="8839,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" path="m4419,c6858,,8839,1981,8839,4420v,2425,-1981,4419,-4420,4419c1968,8839,,6845,,4420,,1981,1968,,4419,xe" stroked="f" strokeweight="0">
                  <v:stroke endcap="round"/>
                  <v:path arrowok="t" textboxrect="0,0,8839,8839"/>
                </v:shape>
                <w10:wrap anchorx="margin"/>
              </v:group>
            </w:pict>
          </mc:Fallback>
        </mc:AlternateContent>
      </w:r>
      <w:r w:rsidR="00AC6D4B" w:rsidRPr="00000849">
        <w:rPr>
          <w:rFonts w:ascii="Calibri" w:eastAsia="Calibri" w:hAnsi="Calibri" w:cs="Calibri"/>
        </w:rPr>
        <w:t>William Kofi Bosu</w:t>
      </w:r>
      <w:r w:rsidR="00AC6D4B" w:rsidRPr="00000849">
        <w:rPr>
          <w:rFonts w:ascii="Calibri" w:eastAsia="Calibri" w:hAnsi="Calibri" w:cs="Calibri"/>
          <w:vertAlign w:val="superscript"/>
        </w:rPr>
        <w:t>1,2*</w:t>
      </w:r>
      <w:r w:rsidR="00AC6D4B" w:rsidRPr="00000849">
        <w:rPr>
          <w:rFonts w:ascii="Calibri" w:eastAsia="Calibri" w:hAnsi="Calibri" w:cs="Calibri"/>
          <w:vertAlign w:val="superscript"/>
        </w:rPr>
        <w:tab/>
      </w:r>
      <w:hyperlink r:id="rId375">
        <w:r w:rsidR="00AC6D4B" w:rsidRPr="00000849">
          <w:rPr>
            <w:rFonts w:ascii="Calibri" w:eastAsia="Calibri" w:hAnsi="Calibri" w:cs="Calibri"/>
          </w:rPr>
          <w:t>,</w:t>
        </w:r>
      </w:hyperlink>
      <w:r w:rsidR="00AC6D4B" w:rsidRPr="00000849">
        <w:rPr>
          <w:rFonts w:ascii="Calibri" w:eastAsia="Calibri" w:hAnsi="Calibri" w:cs="Calibri"/>
        </w:rPr>
        <w:t xml:space="preserve"> Justice Moses Kwaku Aheto</w:t>
      </w:r>
      <w:r w:rsidR="00AC6D4B" w:rsidRPr="00000849">
        <w:rPr>
          <w:rFonts w:ascii="Calibri" w:eastAsia="Calibri" w:hAnsi="Calibri" w:cs="Calibri"/>
          <w:vertAlign w:val="superscript"/>
        </w:rPr>
        <w:t>3</w:t>
      </w:r>
      <w:r w:rsidR="00AC6D4B" w:rsidRPr="00000849">
        <w:rPr>
          <w:rFonts w:ascii="Calibri" w:eastAsia="Calibri" w:hAnsi="Calibri" w:cs="Calibri"/>
        </w:rPr>
        <w:t>, Eugenio Zucchelli</w:t>
      </w:r>
      <w:r w:rsidR="00AC6D4B" w:rsidRPr="00000849">
        <w:rPr>
          <w:rFonts w:ascii="Calibri" w:eastAsia="Calibri" w:hAnsi="Calibri" w:cs="Calibri"/>
          <w:vertAlign w:val="superscript"/>
        </w:rPr>
        <w:t xml:space="preserve">2,4 </w:t>
      </w:r>
      <w:r w:rsidR="00AC6D4B" w:rsidRPr="00000849">
        <w:rPr>
          <w:rFonts w:ascii="Calibri" w:eastAsia="Calibri" w:hAnsi="Calibri" w:cs="Calibri"/>
        </w:rPr>
        <w:t>and Siobhan Theresa Reilly</w:t>
      </w:r>
      <w:r w:rsidR="00AC6D4B" w:rsidRPr="00000849">
        <w:rPr>
          <w:rFonts w:ascii="Calibri" w:eastAsia="Calibri" w:hAnsi="Calibri" w:cs="Calibri"/>
          <w:vertAlign w:val="superscript"/>
        </w:rPr>
        <w:t>2</w:t>
      </w:r>
    </w:p>
    <w:p w14:paraId="45EFEBFD" w14:textId="72A6EA65" w:rsidR="00AC6D4B" w:rsidRPr="00000849" w:rsidRDefault="00AC6D4B" w:rsidP="00063693">
      <w:pPr>
        <w:spacing w:after="0" w:line="259" w:lineRule="auto"/>
        <w:jc w:val="both"/>
        <w:rPr>
          <w:b/>
          <w:bCs/>
          <w:sz w:val="29"/>
        </w:rPr>
      </w:pPr>
    </w:p>
    <w:p w14:paraId="5CC848DD" w14:textId="0F6137BF" w:rsidR="00BC221F" w:rsidRPr="00000849" w:rsidRDefault="00BC221F" w:rsidP="00063693">
      <w:pPr>
        <w:spacing w:after="0" w:line="259" w:lineRule="auto"/>
        <w:jc w:val="both"/>
        <w:rPr>
          <w:b/>
          <w:bCs/>
          <w:sz w:val="29"/>
        </w:rPr>
      </w:pPr>
      <w:r w:rsidRPr="00000849">
        <w:rPr>
          <w:b/>
          <w:bCs/>
          <w:sz w:val="29"/>
        </w:rPr>
        <w:t>Abstract</w:t>
      </w:r>
    </w:p>
    <w:p w14:paraId="0AA02DEA" w14:textId="494758D4" w:rsidR="00BC221F" w:rsidRPr="00000849" w:rsidRDefault="00BC221F" w:rsidP="00063693">
      <w:pPr>
        <w:spacing w:after="60" w:line="241" w:lineRule="auto"/>
        <w:ind w:left="126" w:right="192" w:hanging="10"/>
        <w:jc w:val="both"/>
      </w:pPr>
      <w:r w:rsidRPr="00000849">
        <w:rPr>
          <w:rFonts w:ascii="Calibri" w:eastAsia="Calibri" w:hAnsi="Calibri" w:cs="Calibri"/>
          <w:b/>
          <w:bCs/>
          <w:sz w:val="20"/>
        </w:rPr>
        <w:t>Background</w:t>
      </w:r>
      <w:r w:rsidRPr="00000849">
        <w:rPr>
          <w:rFonts w:ascii="Calibri" w:eastAsia="Calibri" w:hAnsi="Calibri" w:cs="Calibri"/>
          <w:sz w:val="20"/>
        </w:rPr>
        <w:t>: An estimated 55% of older adults in Africa have systemic hypertension, a major risk factor for stroke, heart failure and dementia in the region. The risk factors associated with hypertension in this population group in Africa have not been systematically evaluated. We, therefore, undertook a systematic review to identify these risk factors.</w:t>
      </w:r>
    </w:p>
    <w:p w14:paraId="3E0E2580" w14:textId="77777777" w:rsidR="00BC221F" w:rsidRPr="00000849" w:rsidRDefault="00BC221F" w:rsidP="00063693">
      <w:pPr>
        <w:spacing w:after="69" w:line="249" w:lineRule="auto"/>
        <w:ind w:left="126" w:right="151" w:hanging="10"/>
        <w:jc w:val="both"/>
      </w:pPr>
      <w:r w:rsidRPr="00000849">
        <w:rPr>
          <w:rFonts w:ascii="Calibri" w:eastAsia="Calibri" w:hAnsi="Calibri" w:cs="Calibri"/>
          <w:b/>
          <w:bCs/>
          <w:sz w:val="20"/>
        </w:rPr>
        <w:t>Methods</w:t>
      </w:r>
      <w:r w:rsidRPr="00000849">
        <w:rPr>
          <w:rFonts w:ascii="Calibri" w:eastAsia="Calibri" w:hAnsi="Calibri" w:cs="Calibri"/>
          <w:sz w:val="20"/>
        </w:rPr>
        <w:t>: We searched for population-based studies of adults aged ≥50 years living in Africa and reporting an estimate of hypertension and associated risk factors. We included articles published in any language between January 1980 and May 2018 using a comprehensive search strategy. We extracted data including the sample characteristics, prevalence of hypertension and risk factors with their effect sizes.</w:t>
      </w:r>
    </w:p>
    <w:p w14:paraId="3FC181E2" w14:textId="09011B87" w:rsidR="00BC221F" w:rsidRPr="00000849" w:rsidRDefault="00BC221F" w:rsidP="00063693">
      <w:pPr>
        <w:spacing w:after="76" w:line="241" w:lineRule="auto"/>
        <w:ind w:left="126" w:right="192" w:hanging="10"/>
        <w:jc w:val="both"/>
      </w:pPr>
      <w:r w:rsidRPr="00000849">
        <w:rPr>
          <w:rFonts w:ascii="Calibri" w:eastAsia="Calibri" w:hAnsi="Calibri" w:cs="Calibri"/>
          <w:b/>
          <w:bCs/>
          <w:sz w:val="20"/>
        </w:rPr>
        <w:t>Results</w:t>
      </w:r>
      <w:r w:rsidRPr="00000849">
        <w:rPr>
          <w:rFonts w:ascii="Calibri" w:eastAsia="Calibri" w:hAnsi="Calibri" w:cs="Calibri"/>
          <w:sz w:val="20"/>
        </w:rPr>
        <w:t>: From an initial 10,719 records, we retained 63 eligible full text articles for review out of which we analyzed 23 studies made up of 19 primary and four multiple publications which had data on risk factors from bivariate or multivariable analysis. The primary studies, published from 2010 to 2018, involved a total of 30,500 participants in 12 different countries with mean ages ranging from 62.7 ± 9 years to 76.9 ± 8.4 years. Through narrative synthesis, we found consistent determinants of hypertension (overweight/obesity and history of stroke), less consistent but frequent determinants (including older age group, female sex and urban residence), inconsistent determinants (including education, wealth index, alcohol intake and physical activity) and nonsignificant covariates (marital status and having health insurance). Overall, the highest adjusted odds ratios were those associated with obesity and history of stroke.</w:t>
      </w:r>
    </w:p>
    <w:p w14:paraId="7DA08188" w14:textId="77777777" w:rsidR="00BC221F" w:rsidRPr="00000849" w:rsidRDefault="00BC221F" w:rsidP="00BC221F">
      <w:pPr>
        <w:spacing w:after="110" w:line="249" w:lineRule="auto"/>
        <w:ind w:left="126" w:right="151" w:hanging="10"/>
      </w:pPr>
      <w:r w:rsidRPr="00000849">
        <w:rPr>
          <w:rFonts w:ascii="Calibri" w:eastAsia="Calibri" w:hAnsi="Calibri" w:cs="Calibri"/>
          <w:b/>
          <w:bCs/>
          <w:sz w:val="20"/>
        </w:rPr>
        <w:t>Conclusion</w:t>
      </w:r>
      <w:r w:rsidRPr="00000849">
        <w:rPr>
          <w:rFonts w:ascii="Calibri" w:eastAsia="Calibri" w:hAnsi="Calibri" w:cs="Calibri"/>
          <w:sz w:val="20"/>
        </w:rPr>
        <w:t>: The key determinants of systemic hypertension in older adults in Africa are older age group, overweight/obesity, history of stroke and female sex. Health programmes should promote weight reduction throughout the life course, including during the middle and older age of African adults.</w:t>
      </w:r>
    </w:p>
    <w:p w14:paraId="119634B9" w14:textId="77777777" w:rsidR="00BC221F" w:rsidRPr="00000849" w:rsidRDefault="00BC221F" w:rsidP="00BC221F">
      <w:pPr>
        <w:spacing w:after="166" w:line="249" w:lineRule="auto"/>
        <w:ind w:left="126" w:right="151" w:hanging="10"/>
      </w:pPr>
      <w:r w:rsidRPr="00000849">
        <w:rPr>
          <w:rFonts w:ascii="Calibri" w:eastAsia="Calibri" w:hAnsi="Calibri" w:cs="Calibri"/>
          <w:b/>
          <w:bCs/>
          <w:sz w:val="20"/>
        </w:rPr>
        <w:t>Keywords</w:t>
      </w:r>
      <w:r w:rsidRPr="00000849">
        <w:rPr>
          <w:rFonts w:ascii="Calibri" w:eastAsia="Calibri" w:hAnsi="Calibri" w:cs="Calibri"/>
          <w:sz w:val="20"/>
        </w:rPr>
        <w:t>: Hypertension, Determinants, Risk factors, Older adults, Systematic review, Multivariate analysis, Africa</w:t>
      </w:r>
    </w:p>
    <w:p w14:paraId="1ABD4CA6" w14:textId="1339AC97" w:rsidR="00BC221F" w:rsidRPr="00000849" w:rsidRDefault="00BC221F"/>
    <w:p w14:paraId="13F1D8B6" w14:textId="263D6A02" w:rsidR="00BC221F" w:rsidRPr="00000849" w:rsidRDefault="00C84E75" w:rsidP="00735CD5">
      <w:pPr>
        <w:spacing w:after="160" w:line="259" w:lineRule="auto"/>
        <w:rPr>
          <w:sz w:val="28"/>
          <w:szCs w:val="28"/>
        </w:rPr>
      </w:pPr>
      <w:hyperlink r:id="rId376" w:history="1">
        <w:r w:rsidR="00AC6D4B" w:rsidRPr="00000849">
          <w:rPr>
            <w:rStyle w:val="Hyperlink"/>
            <w:rFonts w:ascii="Calibri" w:eastAsia="Calibri" w:hAnsi="Calibri" w:cs="Calibri"/>
            <w:w w:val="99"/>
            <w:sz w:val="18"/>
            <w:szCs w:val="24"/>
          </w:rPr>
          <w:t>https://doi.org/10.1186/s12872-019-1147-7</w:t>
        </w:r>
      </w:hyperlink>
      <w:r w:rsidR="00AC6D4B" w:rsidRPr="00000849">
        <w:rPr>
          <w:rFonts w:ascii="Calibri" w:eastAsia="Calibri" w:hAnsi="Calibri" w:cs="Calibri"/>
          <w:w w:val="99"/>
          <w:sz w:val="18"/>
          <w:szCs w:val="24"/>
        </w:rPr>
        <w:tab/>
      </w:r>
      <w:r w:rsidR="008D40AF" w:rsidRPr="00000849">
        <w:rPr>
          <w:rFonts w:ascii="Calibri" w:eastAsia="Calibri" w:hAnsi="Calibri" w:cs="Calibri"/>
          <w:w w:val="99"/>
          <w:sz w:val="18"/>
          <w:szCs w:val="24"/>
        </w:rPr>
        <w:tab/>
      </w:r>
      <w:r w:rsidR="008D40AF" w:rsidRPr="00000849">
        <w:rPr>
          <w:rFonts w:ascii="Calibri" w:eastAsia="Calibri" w:hAnsi="Calibri" w:cs="Calibri"/>
          <w:w w:val="99"/>
          <w:sz w:val="18"/>
          <w:szCs w:val="24"/>
        </w:rPr>
        <w:tab/>
      </w:r>
      <w:r w:rsidR="00BC221F" w:rsidRPr="00000849">
        <w:rPr>
          <w:rFonts w:ascii="Calibri" w:eastAsia="Calibri" w:hAnsi="Calibri" w:cs="Calibri"/>
          <w:color w:val="000000"/>
          <w:sz w:val="18"/>
          <w:szCs w:val="28"/>
        </w:rPr>
        <w:t xml:space="preserve">* Correspondence: </w:t>
      </w:r>
      <w:r w:rsidR="00BC221F" w:rsidRPr="00000849">
        <w:rPr>
          <w:rFonts w:ascii="Calibri" w:eastAsia="Calibri" w:hAnsi="Calibri" w:cs="Calibri"/>
          <w:color w:val="0000FF"/>
          <w:sz w:val="18"/>
          <w:szCs w:val="28"/>
        </w:rPr>
        <w:t>billybosu@gmail.com</w:t>
      </w:r>
    </w:p>
    <w:p w14:paraId="462D380D" w14:textId="15061AC3" w:rsidR="00BC221F" w:rsidRPr="00000849" w:rsidRDefault="00BC221F" w:rsidP="00735CD5">
      <w:pPr>
        <w:spacing w:after="0" w:line="259" w:lineRule="auto"/>
        <w:rPr>
          <w:sz w:val="28"/>
          <w:szCs w:val="28"/>
        </w:rPr>
      </w:pPr>
      <w:r w:rsidRPr="00000849">
        <w:rPr>
          <w:rFonts w:ascii="Calibri" w:eastAsia="Calibri" w:hAnsi="Calibri" w:cs="Calibri"/>
          <w:color w:val="000000"/>
          <w:sz w:val="14"/>
          <w:szCs w:val="28"/>
        </w:rPr>
        <w:t>1</w:t>
      </w:r>
      <w:r w:rsidRPr="00000849">
        <w:rPr>
          <w:rFonts w:ascii="Calibri" w:eastAsia="Calibri" w:hAnsi="Calibri" w:cs="Calibri"/>
          <w:color w:val="000000"/>
          <w:sz w:val="18"/>
          <w:szCs w:val="28"/>
        </w:rPr>
        <w:t>Department of Public Health and Research, West African Health Organisation, Bobo-Dioulasso 01 BP 153, Burkina Faso</w:t>
      </w:r>
    </w:p>
    <w:p w14:paraId="4FCC3785" w14:textId="77777777" w:rsidR="00BC221F" w:rsidRPr="00000849" w:rsidRDefault="00BC221F" w:rsidP="00BC221F">
      <w:pPr>
        <w:spacing w:after="16" w:line="216" w:lineRule="auto"/>
        <w:ind w:left="53" w:right="86" w:hanging="53"/>
        <w:rPr>
          <w:sz w:val="28"/>
          <w:szCs w:val="28"/>
        </w:rPr>
      </w:pPr>
      <w:r w:rsidRPr="00000849">
        <w:rPr>
          <w:rFonts w:ascii="Calibri" w:eastAsia="Calibri" w:hAnsi="Calibri" w:cs="Calibri"/>
          <w:color w:val="000000"/>
          <w:sz w:val="14"/>
          <w:szCs w:val="28"/>
        </w:rPr>
        <w:t xml:space="preserve">2 </w:t>
      </w:r>
      <w:r w:rsidRPr="00000849">
        <w:rPr>
          <w:rFonts w:ascii="Calibri" w:eastAsia="Calibri" w:hAnsi="Calibri" w:cs="Calibri"/>
          <w:color w:val="000000"/>
          <w:sz w:val="18"/>
          <w:szCs w:val="28"/>
        </w:rPr>
        <w:t>Division of Health Research, Faculty of Health &amp; Medicine, Furness Building,</w:t>
      </w:r>
    </w:p>
    <w:p w14:paraId="5F54C687" w14:textId="1D1886ED" w:rsidR="00AC6D4B" w:rsidRPr="00000849" w:rsidRDefault="00BC221F" w:rsidP="00735CD5">
      <w:pPr>
        <w:spacing w:after="0" w:line="259" w:lineRule="auto"/>
        <w:rPr>
          <w:rFonts w:ascii="Calibri" w:eastAsia="Calibri" w:hAnsi="Calibri" w:cs="Calibri"/>
          <w:sz w:val="21"/>
        </w:rPr>
      </w:pPr>
      <w:r w:rsidRPr="00000849">
        <w:rPr>
          <w:rFonts w:ascii="Calibri" w:eastAsia="Calibri" w:hAnsi="Calibri" w:cs="Calibri"/>
          <w:color w:val="000000"/>
          <w:sz w:val="18"/>
          <w:szCs w:val="28"/>
        </w:rPr>
        <w:t>Lancaster University, Lancaster LA1 4YG, UK</w:t>
      </w:r>
    </w:p>
    <w:p w14:paraId="543422CC" w14:textId="77777777" w:rsidR="00AC6D4B" w:rsidRPr="00000849" w:rsidRDefault="00AC6D4B">
      <w:pPr>
        <w:spacing w:after="160" w:line="259" w:lineRule="auto"/>
        <w:rPr>
          <w:rFonts w:ascii="Calibri" w:eastAsia="Calibri" w:hAnsi="Calibri" w:cs="Calibri"/>
          <w:sz w:val="21"/>
        </w:rPr>
      </w:pPr>
    </w:p>
    <w:p w14:paraId="188EEEFB" w14:textId="77777777" w:rsidR="00AC6D4B" w:rsidRPr="00000849" w:rsidRDefault="00AC6D4B">
      <w:pPr>
        <w:spacing w:after="160" w:line="259" w:lineRule="auto"/>
        <w:rPr>
          <w:rFonts w:ascii="Calibri" w:eastAsia="Calibri" w:hAnsi="Calibri" w:cs="Calibri"/>
          <w:sz w:val="21"/>
        </w:rPr>
        <w:sectPr w:rsidR="00AC6D4B" w:rsidRPr="00000849" w:rsidSect="00063693">
          <w:headerReference w:type="even" r:id="rId377"/>
          <w:pgSz w:w="11906" w:h="15817"/>
          <w:pgMar w:top="1771" w:right="1138" w:bottom="1138" w:left="1138" w:header="720" w:footer="720" w:gutter="0"/>
          <w:cols w:space="282"/>
        </w:sectPr>
      </w:pPr>
    </w:p>
    <w:p w14:paraId="1F23ADA6" w14:textId="253B54AE" w:rsidR="00BC221F" w:rsidRPr="00000849" w:rsidRDefault="00BC221F" w:rsidP="00063693">
      <w:pPr>
        <w:spacing w:after="60" w:line="259" w:lineRule="auto"/>
        <w:jc w:val="both"/>
        <w:rPr>
          <w:b/>
          <w:bCs/>
          <w:sz w:val="29"/>
        </w:rPr>
      </w:pPr>
      <w:r w:rsidRPr="00000849">
        <w:rPr>
          <w:b/>
          <w:bCs/>
          <w:sz w:val="29"/>
        </w:rPr>
        <w:lastRenderedPageBreak/>
        <w:t>Background</w:t>
      </w:r>
    </w:p>
    <w:p w14:paraId="5BF0FE81" w14:textId="028534F7" w:rsidR="00BC221F" w:rsidRPr="00000849" w:rsidRDefault="00BC221F" w:rsidP="00063693">
      <w:pPr>
        <w:spacing w:after="60" w:line="258" w:lineRule="auto"/>
        <w:jc w:val="both"/>
      </w:pPr>
      <w:r w:rsidRPr="00000849">
        <w:t>Africa experiences a significant burden of cardiovascular diseases, although this is often obscured by the greater priority to and interest in infectious diseases. According to the Global Burden of Disease Study, cardiovascular diseases were the leading cause of death in Africa in 2017, being responsible for 1.42 million deaths in that year or 16.4% of the total deaths in all ages compared with 11.3% of total deaths in 1990 [</w:t>
      </w:r>
      <w:r w:rsidRPr="00000849">
        <w:rPr>
          <w:color w:val="0000FF"/>
        </w:rPr>
        <w:t>1</w:t>
      </w:r>
      <w:r w:rsidRPr="00000849">
        <w:t>]. The mortality represents a 61.0% increase over the estimated number of cardiovascular deaths in 1990. High systolic blood pressure (SBP) accounted for nearly two-thirds of the cardiovascular deaths in Africa in 2017. The region has the highest prevalence of raised blood pressure (27%) in the world [</w:t>
      </w:r>
      <w:r w:rsidRPr="00000849">
        <w:rPr>
          <w:color w:val="0000FF"/>
        </w:rPr>
        <w:t>2</w:t>
      </w:r>
      <w:r w:rsidRPr="00000849">
        <w:t>]. The increasing burden is attributed to ageing, increasing population and adoption of unhealthy lifestyles. The weak health systems, low literacy levels, infrequent medical check-ups and prevailing poverty contribute to frequent misconceptions about hypertension, low detection and poor control of the disease.</w:t>
      </w:r>
    </w:p>
    <w:p w14:paraId="6D016029" w14:textId="0D57898E" w:rsidR="00BC221F" w:rsidRPr="00000849" w:rsidRDefault="00BC221F" w:rsidP="00063693">
      <w:pPr>
        <w:tabs>
          <w:tab w:val="left" w:pos="360"/>
        </w:tabs>
        <w:spacing w:after="0" w:line="259" w:lineRule="auto"/>
        <w:ind w:firstLine="360"/>
        <w:jc w:val="both"/>
      </w:pPr>
      <w:r w:rsidRPr="00000849">
        <w:t>Africa, therefore, has an onerous task in meeting the</w:t>
      </w:r>
      <w:r w:rsidR="00AC6D4B" w:rsidRPr="00000849">
        <w:t xml:space="preserve"> </w:t>
      </w:r>
      <w:r w:rsidRPr="00000849">
        <w:t>global target of 25% relative reduction in the prevalence of hypertension by the year 2025. National responses to noncommunicable diseases (NCDs) have been slow, with many countries lacking diet and physical activity policies[</w:t>
      </w:r>
      <w:r w:rsidRPr="00000849">
        <w:rPr>
          <w:color w:val="0000FF"/>
        </w:rPr>
        <w:t>3</w:t>
      </w:r>
      <w:r w:rsidRPr="00000849">
        <w:t>]. In 2015, only 25.8% of African countries had developed or adopted clinical practice guidelines for the management of hypertension [</w:t>
      </w:r>
      <w:r w:rsidRPr="00000849">
        <w:rPr>
          <w:color w:val="0000FF"/>
        </w:rPr>
        <w:t>4</w:t>
      </w:r>
      <w:r w:rsidRPr="00000849">
        <w:t>]. On the other hand, the number of African countries that have conducted the chronic disease risk factor STEPS surveillance has doubled from 20 in 2009. There is a renewed political commitment to tackle NCDs following the third high-level meeting of the United Nations General Assembly in October 2018 during which Heads of State and Governments committed to reorienting health systems to respond to the needs of the rapidly ageing population in relation to NCDs [</w:t>
      </w:r>
      <w:r w:rsidRPr="00000849">
        <w:rPr>
          <w:color w:val="0000FF"/>
        </w:rPr>
        <w:t>5</w:t>
      </w:r>
      <w:r w:rsidRPr="00000849">
        <w:t>].</w:t>
      </w:r>
    </w:p>
    <w:p w14:paraId="68D2E493" w14:textId="77777777" w:rsidR="00BC221F" w:rsidRPr="00000849" w:rsidRDefault="00BC221F" w:rsidP="00063693">
      <w:pPr>
        <w:spacing w:after="233"/>
        <w:ind w:firstLine="360"/>
        <w:jc w:val="both"/>
      </w:pPr>
      <w:r w:rsidRPr="00000849">
        <w:t>Individual studies observe that older age, high body mass index (BMI), alcohol use, female sex and urban residence are among the main factors associated with hypertension in adults [</w:t>
      </w:r>
      <w:r w:rsidRPr="00000849">
        <w:rPr>
          <w:color w:val="0000FF"/>
        </w:rPr>
        <w:t>6</w:t>
      </w:r>
      <w:r w:rsidRPr="00000849">
        <w:rPr>
          <w:rFonts w:ascii="Calibri" w:eastAsia="Calibri" w:hAnsi="Calibri" w:cs="Calibri"/>
        </w:rPr>
        <w:t>–</w:t>
      </w:r>
      <w:r w:rsidRPr="00000849">
        <w:rPr>
          <w:color w:val="0000FF"/>
        </w:rPr>
        <w:t>9</w:t>
      </w:r>
      <w:r w:rsidRPr="00000849">
        <w:t>]. However, there have been few systematic reviews of the determinants of hypertension in Africa [</w:t>
      </w:r>
      <w:r w:rsidRPr="00000849">
        <w:rPr>
          <w:color w:val="0000FF"/>
        </w:rPr>
        <w:t>10</w:t>
      </w:r>
      <w:r w:rsidRPr="00000849">
        <w:t>]. Our systematic review among workers in West Africa found that the determinants included male sex, older age group, higher socioeconomic status, obesity, alcohol consumption, plasma glucose, and sodium excretion [</w:t>
      </w:r>
      <w:r w:rsidRPr="00000849">
        <w:rPr>
          <w:color w:val="0000FF"/>
        </w:rPr>
        <w:t>11</w:t>
      </w:r>
      <w:r w:rsidRPr="00000849">
        <w:t>]. There is currently no published report of a systematic review of the determinants of hypertension among older adults in Africa. It is in this context that, we systematically reviewed the literature to identify factors associated with hypertension in older adults in Africa.</w:t>
      </w:r>
    </w:p>
    <w:p w14:paraId="7D97D9F4" w14:textId="77777777" w:rsidR="00BC221F" w:rsidRPr="00000849" w:rsidRDefault="00BC221F" w:rsidP="00063693">
      <w:pPr>
        <w:spacing w:before="160" w:after="0" w:line="259" w:lineRule="auto"/>
        <w:jc w:val="both"/>
        <w:rPr>
          <w:b/>
          <w:bCs/>
          <w:sz w:val="29"/>
        </w:rPr>
      </w:pPr>
      <w:r w:rsidRPr="00000849">
        <w:rPr>
          <w:b/>
          <w:bCs/>
          <w:sz w:val="29"/>
        </w:rPr>
        <w:t>Methods</w:t>
      </w:r>
    </w:p>
    <w:p w14:paraId="45915DD3" w14:textId="4219BF65" w:rsidR="00BC221F" w:rsidRPr="00000849" w:rsidRDefault="00BC221F" w:rsidP="00063693">
      <w:pPr>
        <w:spacing w:before="160" w:after="0"/>
        <w:jc w:val="both"/>
      </w:pPr>
      <w:r w:rsidRPr="00000849">
        <w:t>This study was undertaken as part of a systematic review whose protocol has been published earlier [</w:t>
      </w:r>
      <w:r w:rsidRPr="00000849">
        <w:rPr>
          <w:color w:val="0000FF"/>
        </w:rPr>
        <w:t>12</w:t>
      </w:r>
      <w:r w:rsidRPr="00000849">
        <w:t>]. The study population, search terms and the meta-analysis have been described elsewhere [</w:t>
      </w:r>
      <w:r w:rsidRPr="00000849">
        <w:rPr>
          <w:color w:val="0000FF"/>
        </w:rPr>
        <w:t>13</w:t>
      </w:r>
      <w:r w:rsidRPr="00000849">
        <w:t>]. The reporting of our findings follows the Preferred Reporting Items for Systematic Reviews and Meta-Analyses (PRISMA) guidelines [</w:t>
      </w:r>
      <w:r w:rsidRPr="00000849">
        <w:rPr>
          <w:color w:val="0000FF"/>
        </w:rPr>
        <w:t>14</w:t>
      </w:r>
      <w:r w:rsidRPr="00000849">
        <w:t>]. The methods described here focus on the risk factors associated with hypertension.</w:t>
      </w:r>
    </w:p>
    <w:p w14:paraId="70D0550A" w14:textId="77777777" w:rsidR="00BB30DA" w:rsidRPr="00000849" w:rsidRDefault="00BB30DA" w:rsidP="00063693">
      <w:pPr>
        <w:spacing w:before="160" w:after="0"/>
        <w:jc w:val="both"/>
      </w:pPr>
    </w:p>
    <w:p w14:paraId="74C94EFA" w14:textId="77777777" w:rsidR="00BC221F" w:rsidRPr="00000849" w:rsidRDefault="00BC221F" w:rsidP="00063693">
      <w:pPr>
        <w:jc w:val="both"/>
        <w:rPr>
          <w:b/>
          <w:bCs/>
          <w:color w:val="0070C0"/>
          <w:sz w:val="24"/>
          <w:szCs w:val="24"/>
        </w:rPr>
      </w:pPr>
      <w:r w:rsidRPr="00000849">
        <w:rPr>
          <w:b/>
          <w:bCs/>
          <w:color w:val="0070C0"/>
          <w:sz w:val="24"/>
          <w:szCs w:val="24"/>
        </w:rPr>
        <w:t>Data sources and search strategy</w:t>
      </w:r>
    </w:p>
    <w:p w14:paraId="69E7B92A" w14:textId="71128C30" w:rsidR="00BC221F" w:rsidRPr="00000849" w:rsidRDefault="00BC221F" w:rsidP="00063693">
      <w:pPr>
        <w:jc w:val="both"/>
      </w:pPr>
      <w:r w:rsidRPr="00000849">
        <w:t xml:space="preserve">We searched major electronic databases, Medline and Embase through Ovid, PsychInfo and CINAHL as well as the African Journals Online repository for articles published between 1 January 1980 to 28 May 2018. We also searched grey literature via ProQuest and Google scholar. Guided by the Population, Intervention, Comparison, and Outcome (PICO)-strategy, we used search terms designed to comprehensively identify </w:t>
      </w:r>
      <w:r w:rsidRPr="00000849">
        <w:lastRenderedPageBreak/>
        <w:t xml:space="preserve">potential studies in which the prevalence of hypertension had been reported. The search terms included those related to hypertension or blood pressure combined with the names of each of the 58 African countries (See Additional file </w:t>
      </w:r>
      <w:r w:rsidRPr="00000849">
        <w:rPr>
          <w:color w:val="0000FF"/>
        </w:rPr>
        <w:t xml:space="preserve">1 </w:t>
      </w:r>
      <w:r w:rsidRPr="00000849">
        <w:t xml:space="preserve">Table S1). The identified articles were screened at the title, abstract and </w:t>
      </w:r>
      <w:r w:rsidR="00F06F94" w:rsidRPr="00000849">
        <w:t>full text</w:t>
      </w:r>
      <w:r w:rsidRPr="00000849">
        <w:t xml:space="preserve"> levels (Fig. </w:t>
      </w:r>
      <w:r w:rsidRPr="00000849">
        <w:rPr>
          <w:color w:val="0000FF"/>
        </w:rPr>
        <w:t>1</w:t>
      </w:r>
      <w:r w:rsidRPr="00000849">
        <w:t>). The bibliographies of included studies were also searched to identify additional studies.</w:t>
      </w:r>
    </w:p>
    <w:p w14:paraId="79B77345" w14:textId="77777777" w:rsidR="00BC221F" w:rsidRPr="00000849" w:rsidRDefault="00BC221F" w:rsidP="00063693">
      <w:pPr>
        <w:spacing w:after="233"/>
        <w:ind w:firstLine="270"/>
        <w:jc w:val="both"/>
      </w:pPr>
      <w:r w:rsidRPr="00000849">
        <w:t>The included studies were limited to those on human subjects but there was no language restriction. We took account of multiple publications on the same study sample and retained the one that was most informative in the analysis (in order to avoid multiple counts). Where necessary, we sought supplementary information from the other multiple publications. Longitudinal studies which reported the prevalence of hypertension with associated risk factors at baseline and at the end of follow-up were considered as one study which contributed two data points. Similarly, if a study conducted in more than one African country, say in country A and country B, reported the prevalence of hypertension in each country along with associated risk factors, then it was considered as one study contributing two data points.</w:t>
      </w:r>
    </w:p>
    <w:p w14:paraId="0DCE174E" w14:textId="77777777" w:rsidR="00BC221F" w:rsidRPr="00000849" w:rsidRDefault="00BC221F" w:rsidP="00063693">
      <w:pPr>
        <w:jc w:val="both"/>
        <w:rPr>
          <w:b/>
          <w:bCs/>
          <w:color w:val="0070C0"/>
          <w:sz w:val="24"/>
          <w:szCs w:val="24"/>
        </w:rPr>
      </w:pPr>
      <w:r w:rsidRPr="00000849">
        <w:rPr>
          <w:b/>
          <w:bCs/>
          <w:color w:val="0070C0"/>
          <w:sz w:val="24"/>
          <w:szCs w:val="24"/>
        </w:rPr>
        <w:t>Study selection and data extraction</w:t>
      </w:r>
    </w:p>
    <w:p w14:paraId="3660BAEB" w14:textId="0AB37A51" w:rsidR="00BC221F" w:rsidRPr="00000849" w:rsidRDefault="00BC221F" w:rsidP="00063693">
      <w:pPr>
        <w:jc w:val="both"/>
      </w:pPr>
      <w:r w:rsidRPr="00000849">
        <w:t xml:space="preserve">The included studies were population-based </w:t>
      </w:r>
      <w:r w:rsidR="00CF4F1E" w:rsidRPr="00000849">
        <w:t>cross-sectional</w:t>
      </w:r>
      <w:r w:rsidRPr="00000849">
        <w:t xml:space="preserve"> or follow-up designs conducted among subjects aged 50 years or older living in Africa. We included studies that reported the prevalence or incidence of systemic hypertension along with associated risk factors or correlates. We excluded studies conducted among patients in hospital, residents of restricted institutions or migrants living outside Africa or studies reporting self-reported or non-systemic hypertension.</w:t>
      </w:r>
    </w:p>
    <w:p w14:paraId="37EF89F6" w14:textId="77777777" w:rsidR="00BC221F" w:rsidRPr="00000849" w:rsidRDefault="00BC221F" w:rsidP="00063693">
      <w:pPr>
        <w:ind w:firstLine="270"/>
        <w:jc w:val="both"/>
      </w:pPr>
      <w:r w:rsidRPr="00000849">
        <w:t>We used the Covidence software to manage the selection of studies [</w:t>
      </w:r>
      <w:r w:rsidRPr="00000849">
        <w:rPr>
          <w:color w:val="0000FF"/>
        </w:rPr>
        <w:t>15</w:t>
      </w:r>
      <w:r w:rsidRPr="00000849">
        <w:t>]. This programme removed identical studies from different databases and also guided the independent evaluation of potential studies on their conformity with the inclusion criteria by two reviewers (WKB, JMKA). Any discrepancies between the two reviewers were resolved through consensus.</w:t>
      </w:r>
    </w:p>
    <w:p w14:paraId="7B8C6BDE" w14:textId="77777777" w:rsidR="00BC221F" w:rsidRPr="00000849" w:rsidRDefault="00BC221F" w:rsidP="00063693">
      <w:pPr>
        <w:spacing w:after="234"/>
        <w:ind w:firstLine="270"/>
        <w:jc w:val="both"/>
      </w:pPr>
      <w:r w:rsidRPr="00000849">
        <w:t>After assigning each included study a unique identification number, we extracted data on the publication characteristics, sociodemographic characteristics of the subjects, main objectives, sampling technique, sample size, anthropometric measurements, method of blood pressure measurements, and the prevalence or incidence of hypertension on to a pre-designed form in Excel. We also extracted age- and sex-specific prevalence of hypertension (where reported) as well as the crude and adjusted effect sizes from multivariable analysis, including the 95% confidence intervals (CI). The latter data on independent correlates of hypertension from multivariable analysis were obtained not only from primary studies, but also, from multiple publications. These multiple publications, which could be single- or multi-country studies, were all studies that had been published as and captured in the included primary studies.</w:t>
      </w:r>
    </w:p>
    <w:p w14:paraId="55132B1E" w14:textId="77777777" w:rsidR="00BC221F" w:rsidRPr="00000849" w:rsidRDefault="00BC221F" w:rsidP="00063693">
      <w:pPr>
        <w:jc w:val="both"/>
        <w:rPr>
          <w:b/>
          <w:bCs/>
          <w:color w:val="0070C0"/>
          <w:sz w:val="24"/>
          <w:szCs w:val="24"/>
        </w:rPr>
      </w:pPr>
      <w:r w:rsidRPr="00000849">
        <w:rPr>
          <w:b/>
          <w:bCs/>
          <w:color w:val="0070C0"/>
          <w:sz w:val="24"/>
          <w:szCs w:val="24"/>
        </w:rPr>
        <w:t>Data synthesis</w:t>
      </w:r>
    </w:p>
    <w:p w14:paraId="66748ADF" w14:textId="0CF99AE6" w:rsidR="00F06F94" w:rsidRPr="00000849" w:rsidRDefault="00BC221F" w:rsidP="00063693">
      <w:pPr>
        <w:jc w:val="both"/>
      </w:pPr>
      <w:r w:rsidRPr="00000849">
        <w:t xml:space="preserve">We classified included studies into three groups: i) single publications reporting the prevalence and some associated risk factors such as age, sex or BMI; ii) single publications reporting prevalence and the determinants from multivariate analysis; and iii) multiple publications reporting determinants from </w:t>
      </w:r>
      <w:r w:rsidR="00F06F94" w:rsidRPr="00000849">
        <w:t xml:space="preserve">multivariate We excluded studies which reported only the prevalence of hypertension (without further </w:t>
      </w:r>
      <w:r w:rsidR="00F06F94" w:rsidRPr="00000849">
        <w:br w:type="page"/>
      </w:r>
    </w:p>
    <w:p w14:paraId="300EE1B1" w14:textId="77777777" w:rsidR="00F06F94" w:rsidRPr="00000849" w:rsidRDefault="00F06F94" w:rsidP="00BB30DA">
      <w:pPr>
        <w:jc w:val="both"/>
      </w:pPr>
    </w:p>
    <w:p w14:paraId="5B6A0752" w14:textId="42CBE561" w:rsidR="00BC221F" w:rsidRPr="00000849" w:rsidRDefault="00BC221F" w:rsidP="00CF4F1E">
      <w:pPr>
        <w:jc w:val="both"/>
      </w:pPr>
      <w:r w:rsidRPr="00000849">
        <w:t>analysis) from the synthesis.</w:t>
      </w:r>
    </w:p>
    <w:p w14:paraId="0DA7C470" w14:textId="22681C3E" w:rsidR="00BC221F" w:rsidRPr="00000849" w:rsidRDefault="00BC221F" w:rsidP="00CF4F1E">
      <w:pPr>
        <w:jc w:val="both"/>
      </w:pPr>
      <w:r w:rsidRPr="00000849">
        <w:t>The risk factors or determinants were classified into demographic, socioeconomic, lifestyle and co-morbidity groups and analyzed through narrative synthesis. The demographic variables evaluated in the different studies included age, sex, marital status, residence, race or tribe and religion in different combinations. The socioeconomic variables included educational level, occupation, wealth quintile or income, and membership of a health insurance scheme. Lifestyle variables modelled included alcohol intake, smoking, fruit or vegetable intake, physical activity and BMI status. The final group of covariates were comorbidities including history of diabetes or stroke, self</w:t>
      </w:r>
      <w:r w:rsidR="00CF4F1E" w:rsidRPr="00000849">
        <w:t>-</w:t>
      </w:r>
      <w:r w:rsidRPr="00000849">
        <w:t>reported chronic illness, disability or depression.</w:t>
      </w:r>
    </w:p>
    <w:p w14:paraId="7827A286" w14:textId="77777777" w:rsidR="00BC221F" w:rsidRPr="00000849" w:rsidRDefault="00BC221F" w:rsidP="00CF4F1E">
      <w:pPr>
        <w:spacing w:after="232"/>
        <w:jc w:val="both"/>
      </w:pPr>
      <w:r w:rsidRPr="00000849">
        <w:rPr>
          <w:rFonts w:ascii="Calibri" w:eastAsia="Calibri" w:hAnsi="Calibri" w:cs="Calibri"/>
          <w:noProof/>
          <w:color w:val="000000"/>
        </w:rPr>
        <mc:AlternateContent>
          <mc:Choice Requires="wpg">
            <w:drawing>
              <wp:anchor distT="0" distB="0" distL="114300" distR="114300" simplePos="0" relativeHeight="251672576" behindDoc="0" locked="0" layoutInCell="1" allowOverlap="1" wp14:anchorId="1F180982" wp14:editId="78317BCB">
                <wp:simplePos x="0" y="0"/>
                <wp:positionH relativeFrom="margin">
                  <wp:posOffset>374</wp:posOffset>
                </wp:positionH>
                <wp:positionV relativeFrom="paragraph">
                  <wp:posOffset>-5330699</wp:posOffset>
                </wp:positionV>
                <wp:extent cx="6120003" cy="5171034"/>
                <wp:effectExtent l="0" t="0" r="0" b="0"/>
                <wp:wrapTopAndBottom/>
                <wp:docPr id="56667" name="Group 56667"/>
                <wp:cNvGraphicFramePr/>
                <a:graphic xmlns:a="http://schemas.openxmlformats.org/drawingml/2006/main">
                  <a:graphicData uri="http://schemas.microsoft.com/office/word/2010/wordprocessingGroup">
                    <wpg:wgp>
                      <wpg:cNvGrpSpPr/>
                      <wpg:grpSpPr>
                        <a:xfrm>
                          <a:off x="0" y="0"/>
                          <a:ext cx="6120003" cy="5171034"/>
                          <a:chOff x="0" y="0"/>
                          <a:chExt cx="6120003" cy="5171034"/>
                        </a:xfrm>
                      </wpg:grpSpPr>
                      <wps:wsp>
                        <wps:cNvPr id="82091" name="Shape 82091"/>
                        <wps:cNvSpPr/>
                        <wps:spPr>
                          <a:xfrm>
                            <a:off x="51117" y="0"/>
                            <a:ext cx="6017756" cy="9144"/>
                          </a:xfrm>
                          <a:custGeom>
                            <a:avLst/>
                            <a:gdLst/>
                            <a:ahLst/>
                            <a:cxnLst/>
                            <a:rect l="0" t="0" r="0" b="0"/>
                            <a:pathLst>
                              <a:path w="6017756" h="9144">
                                <a:moveTo>
                                  <a:pt x="0" y="0"/>
                                </a:moveTo>
                                <a:lnTo>
                                  <a:pt x="6017756" y="0"/>
                                </a:lnTo>
                                <a:lnTo>
                                  <a:pt x="6017756" y="9144"/>
                                </a:lnTo>
                                <a:lnTo>
                                  <a:pt x="0" y="9144"/>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487" name="Shape 487"/>
                        <wps:cNvSpPr/>
                        <wps:spPr>
                          <a:xfrm>
                            <a:off x="6068873" y="0"/>
                            <a:ext cx="51118" cy="50394"/>
                          </a:xfrm>
                          <a:custGeom>
                            <a:avLst/>
                            <a:gdLst/>
                            <a:ahLst/>
                            <a:cxnLst/>
                            <a:rect l="0" t="0" r="0" b="0"/>
                            <a:pathLst>
                              <a:path w="51118" h="50394">
                                <a:moveTo>
                                  <a:pt x="0" y="0"/>
                                </a:moveTo>
                                <a:lnTo>
                                  <a:pt x="9360" y="724"/>
                                </a:lnTo>
                                <a:cubicBezTo>
                                  <a:pt x="29146" y="2908"/>
                                  <a:pt x="47968" y="22466"/>
                                  <a:pt x="50406" y="41758"/>
                                </a:cubicBezTo>
                                <a:lnTo>
                                  <a:pt x="51118" y="50394"/>
                                </a:lnTo>
                                <a:lnTo>
                                  <a:pt x="48234" y="50394"/>
                                </a:lnTo>
                                <a:lnTo>
                                  <a:pt x="47523" y="42482"/>
                                </a:lnTo>
                                <a:cubicBezTo>
                                  <a:pt x="44793" y="23698"/>
                                  <a:pt x="27863" y="6452"/>
                                  <a:pt x="8636" y="3594"/>
                                </a:cubicBezTo>
                                <a:lnTo>
                                  <a:pt x="0" y="2883"/>
                                </a:lnTo>
                                <a:lnTo>
                                  <a:pt x="0" y="0"/>
                                </a:lnTo>
                                <a:close/>
                              </a:path>
                            </a:pathLst>
                          </a:custGeom>
                          <a:ln w="0" cap="rnd">
                            <a:round/>
                          </a:ln>
                        </wps:spPr>
                        <wps:style>
                          <a:lnRef idx="1">
                            <a:srgbClr val="131313"/>
                          </a:lnRef>
                          <a:fillRef idx="1">
                            <a:srgbClr val="131313"/>
                          </a:fillRef>
                          <a:effectRef idx="0">
                            <a:scrgbClr r="0" g="0" b="0"/>
                          </a:effectRef>
                          <a:fontRef idx="none"/>
                        </wps:style>
                        <wps:bodyPr/>
                      </wps:wsp>
                      <wps:wsp>
                        <wps:cNvPr id="82092" name="Shape 82092"/>
                        <wps:cNvSpPr/>
                        <wps:spPr>
                          <a:xfrm>
                            <a:off x="6117121" y="50406"/>
                            <a:ext cx="9144" cy="5069523"/>
                          </a:xfrm>
                          <a:custGeom>
                            <a:avLst/>
                            <a:gdLst/>
                            <a:ahLst/>
                            <a:cxnLst/>
                            <a:rect l="0" t="0" r="0" b="0"/>
                            <a:pathLst>
                              <a:path w="9144" h="5069523">
                                <a:moveTo>
                                  <a:pt x="0" y="0"/>
                                </a:moveTo>
                                <a:lnTo>
                                  <a:pt x="9144" y="0"/>
                                </a:lnTo>
                                <a:lnTo>
                                  <a:pt x="9144" y="5069523"/>
                                </a:lnTo>
                                <a:lnTo>
                                  <a:pt x="0" y="5069523"/>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489" name="Shape 489"/>
                        <wps:cNvSpPr/>
                        <wps:spPr>
                          <a:xfrm>
                            <a:off x="6068886" y="5119916"/>
                            <a:ext cx="51118" cy="51117"/>
                          </a:xfrm>
                          <a:custGeom>
                            <a:avLst/>
                            <a:gdLst/>
                            <a:ahLst/>
                            <a:cxnLst/>
                            <a:rect l="0" t="0" r="0" b="0"/>
                            <a:pathLst>
                              <a:path w="51118" h="51117">
                                <a:moveTo>
                                  <a:pt x="48235" y="0"/>
                                </a:moveTo>
                                <a:lnTo>
                                  <a:pt x="51118" y="0"/>
                                </a:lnTo>
                                <a:lnTo>
                                  <a:pt x="50394" y="8636"/>
                                </a:lnTo>
                                <a:cubicBezTo>
                                  <a:pt x="46724" y="30696"/>
                                  <a:pt x="30569" y="45148"/>
                                  <a:pt x="9360" y="50406"/>
                                </a:cubicBezTo>
                                <a:lnTo>
                                  <a:pt x="0" y="51117"/>
                                </a:lnTo>
                                <a:lnTo>
                                  <a:pt x="0" y="47523"/>
                                </a:lnTo>
                                <a:lnTo>
                                  <a:pt x="8637" y="46799"/>
                                </a:lnTo>
                                <a:cubicBezTo>
                                  <a:pt x="28626" y="43129"/>
                                  <a:pt x="43536" y="28537"/>
                                  <a:pt x="47523" y="8636"/>
                                </a:cubicBezTo>
                                <a:lnTo>
                                  <a:pt x="48235" y="0"/>
                                </a:lnTo>
                                <a:close/>
                              </a:path>
                            </a:pathLst>
                          </a:custGeom>
                          <a:ln w="0" cap="rnd">
                            <a:round/>
                          </a:ln>
                        </wps:spPr>
                        <wps:style>
                          <a:lnRef idx="1">
                            <a:srgbClr val="131313"/>
                          </a:lnRef>
                          <a:fillRef idx="1">
                            <a:srgbClr val="131313"/>
                          </a:fillRef>
                          <a:effectRef idx="0">
                            <a:scrgbClr r="0" g="0" b="0"/>
                          </a:effectRef>
                          <a:fontRef idx="none"/>
                        </wps:style>
                        <wps:bodyPr/>
                      </wps:wsp>
                      <wps:wsp>
                        <wps:cNvPr id="82093" name="Shape 82093"/>
                        <wps:cNvSpPr/>
                        <wps:spPr>
                          <a:xfrm>
                            <a:off x="51118" y="5167440"/>
                            <a:ext cx="6017755" cy="9144"/>
                          </a:xfrm>
                          <a:custGeom>
                            <a:avLst/>
                            <a:gdLst/>
                            <a:ahLst/>
                            <a:cxnLst/>
                            <a:rect l="0" t="0" r="0" b="0"/>
                            <a:pathLst>
                              <a:path w="6017755" h="9144">
                                <a:moveTo>
                                  <a:pt x="0" y="0"/>
                                </a:moveTo>
                                <a:lnTo>
                                  <a:pt x="6017755" y="0"/>
                                </a:lnTo>
                                <a:lnTo>
                                  <a:pt x="6017755" y="9144"/>
                                </a:lnTo>
                                <a:lnTo>
                                  <a:pt x="0" y="9144"/>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491" name="Shape 491"/>
                        <wps:cNvSpPr/>
                        <wps:spPr>
                          <a:xfrm>
                            <a:off x="0" y="5119916"/>
                            <a:ext cx="51118" cy="51117"/>
                          </a:xfrm>
                          <a:custGeom>
                            <a:avLst/>
                            <a:gdLst/>
                            <a:ahLst/>
                            <a:cxnLst/>
                            <a:rect l="0" t="0" r="0" b="0"/>
                            <a:pathLst>
                              <a:path w="51118" h="51117">
                                <a:moveTo>
                                  <a:pt x="0" y="0"/>
                                </a:moveTo>
                                <a:lnTo>
                                  <a:pt x="2883" y="0"/>
                                </a:lnTo>
                                <a:lnTo>
                                  <a:pt x="3594" y="8636"/>
                                </a:lnTo>
                                <a:cubicBezTo>
                                  <a:pt x="7582" y="28537"/>
                                  <a:pt x="22479" y="43116"/>
                                  <a:pt x="42482" y="46799"/>
                                </a:cubicBezTo>
                                <a:lnTo>
                                  <a:pt x="51118" y="47523"/>
                                </a:lnTo>
                                <a:lnTo>
                                  <a:pt x="51118" y="51117"/>
                                </a:lnTo>
                                <a:lnTo>
                                  <a:pt x="41758" y="50393"/>
                                </a:lnTo>
                                <a:cubicBezTo>
                                  <a:pt x="20536" y="45148"/>
                                  <a:pt x="4394" y="30696"/>
                                  <a:pt x="711" y="8636"/>
                                </a:cubicBezTo>
                                <a:lnTo>
                                  <a:pt x="0" y="0"/>
                                </a:lnTo>
                                <a:close/>
                              </a:path>
                            </a:pathLst>
                          </a:custGeom>
                          <a:ln w="0" cap="rnd">
                            <a:round/>
                          </a:ln>
                        </wps:spPr>
                        <wps:style>
                          <a:lnRef idx="1">
                            <a:srgbClr val="131313"/>
                          </a:lnRef>
                          <a:fillRef idx="1">
                            <a:srgbClr val="131313"/>
                          </a:fillRef>
                          <a:effectRef idx="0">
                            <a:scrgbClr r="0" g="0" b="0"/>
                          </a:effectRef>
                          <a:fontRef idx="none"/>
                        </wps:style>
                        <wps:bodyPr/>
                      </wps:wsp>
                      <wps:wsp>
                        <wps:cNvPr id="82094" name="Shape 82094"/>
                        <wps:cNvSpPr/>
                        <wps:spPr>
                          <a:xfrm>
                            <a:off x="0" y="50394"/>
                            <a:ext cx="9144" cy="5069523"/>
                          </a:xfrm>
                          <a:custGeom>
                            <a:avLst/>
                            <a:gdLst/>
                            <a:ahLst/>
                            <a:cxnLst/>
                            <a:rect l="0" t="0" r="0" b="0"/>
                            <a:pathLst>
                              <a:path w="9144" h="5069523">
                                <a:moveTo>
                                  <a:pt x="0" y="0"/>
                                </a:moveTo>
                                <a:lnTo>
                                  <a:pt x="9144" y="0"/>
                                </a:lnTo>
                                <a:lnTo>
                                  <a:pt x="9144" y="5069523"/>
                                </a:lnTo>
                                <a:lnTo>
                                  <a:pt x="0" y="5069523"/>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493" name="Shape 493"/>
                        <wps:cNvSpPr/>
                        <wps:spPr>
                          <a:xfrm>
                            <a:off x="0" y="13"/>
                            <a:ext cx="51118" cy="50394"/>
                          </a:xfrm>
                          <a:custGeom>
                            <a:avLst/>
                            <a:gdLst/>
                            <a:ahLst/>
                            <a:cxnLst/>
                            <a:rect l="0" t="0" r="0" b="0"/>
                            <a:pathLst>
                              <a:path w="51118" h="50394">
                                <a:moveTo>
                                  <a:pt x="51118" y="0"/>
                                </a:moveTo>
                                <a:lnTo>
                                  <a:pt x="51118" y="2870"/>
                                </a:lnTo>
                                <a:lnTo>
                                  <a:pt x="42482" y="3594"/>
                                </a:lnTo>
                                <a:cubicBezTo>
                                  <a:pt x="23254" y="6439"/>
                                  <a:pt x="6337" y="23686"/>
                                  <a:pt x="3594" y="42469"/>
                                </a:cubicBezTo>
                                <a:lnTo>
                                  <a:pt x="2883" y="50394"/>
                                </a:lnTo>
                                <a:lnTo>
                                  <a:pt x="0" y="50394"/>
                                </a:lnTo>
                                <a:lnTo>
                                  <a:pt x="724" y="41758"/>
                                </a:lnTo>
                                <a:cubicBezTo>
                                  <a:pt x="3150" y="22454"/>
                                  <a:pt x="21971" y="2908"/>
                                  <a:pt x="41758" y="711"/>
                                </a:cubicBezTo>
                                <a:lnTo>
                                  <a:pt x="51118" y="0"/>
                                </a:lnTo>
                                <a:close/>
                              </a:path>
                            </a:pathLst>
                          </a:custGeom>
                          <a:ln w="0" cap="rnd">
                            <a:round/>
                          </a:ln>
                        </wps:spPr>
                        <wps:style>
                          <a:lnRef idx="1">
                            <a:srgbClr val="131313"/>
                          </a:lnRef>
                          <a:fillRef idx="1">
                            <a:srgbClr val="131313"/>
                          </a:fillRef>
                          <a:effectRef idx="0">
                            <a:scrgbClr r="0" g="0" b="0"/>
                          </a:effectRef>
                          <a:fontRef idx="none"/>
                        </wps:style>
                        <wps:bodyPr/>
                      </wps:wsp>
                      <pic:pic xmlns:pic="http://schemas.openxmlformats.org/drawingml/2006/picture">
                        <pic:nvPicPr>
                          <pic:cNvPr id="495" name="Picture 495"/>
                          <pic:cNvPicPr/>
                        </pic:nvPicPr>
                        <pic:blipFill>
                          <a:blip r:embed="rId378"/>
                          <a:stretch>
                            <a:fillRect/>
                          </a:stretch>
                        </pic:blipFill>
                        <pic:spPr>
                          <a:xfrm>
                            <a:off x="896404" y="79197"/>
                            <a:ext cx="4327601" cy="4859998"/>
                          </a:xfrm>
                          <a:prstGeom prst="rect">
                            <a:avLst/>
                          </a:prstGeom>
                        </pic:spPr>
                      </pic:pic>
                      <wps:wsp>
                        <wps:cNvPr id="496" name="Rectangle 496"/>
                        <wps:cNvSpPr/>
                        <wps:spPr>
                          <a:xfrm>
                            <a:off x="76318" y="5018883"/>
                            <a:ext cx="334032" cy="124316"/>
                          </a:xfrm>
                          <a:prstGeom prst="rect">
                            <a:avLst/>
                          </a:prstGeom>
                          <a:ln>
                            <a:noFill/>
                          </a:ln>
                        </wps:spPr>
                        <wps:txbx>
                          <w:txbxContent>
                            <w:p w14:paraId="1106A813" w14:textId="77777777" w:rsidR="00AC2BE6" w:rsidRDefault="00AC2BE6" w:rsidP="00BC221F">
                              <w:pPr>
                                <w:spacing w:after="160" w:line="259" w:lineRule="auto"/>
                              </w:pPr>
                              <w:r>
                                <w:rPr>
                                  <w:rFonts w:ascii="Calibri" w:eastAsia="Calibri" w:hAnsi="Calibri" w:cs="Calibri"/>
                                  <w:w w:val="114"/>
                                  <w:sz w:val="16"/>
                                </w:rPr>
                                <w:t>Fig.</w:t>
                              </w:r>
                              <w:r>
                                <w:rPr>
                                  <w:rFonts w:ascii="Calibri" w:eastAsia="Calibri" w:hAnsi="Calibri" w:cs="Calibri"/>
                                  <w:spacing w:val="11"/>
                                  <w:w w:val="114"/>
                                  <w:sz w:val="16"/>
                                </w:rPr>
                                <w:t xml:space="preserve"> </w:t>
                              </w:r>
                              <w:r>
                                <w:rPr>
                                  <w:rFonts w:ascii="Calibri" w:eastAsia="Calibri" w:hAnsi="Calibri" w:cs="Calibri"/>
                                  <w:w w:val="114"/>
                                  <w:sz w:val="16"/>
                                </w:rPr>
                                <w:t>1</w:t>
                              </w:r>
                            </w:p>
                          </w:txbxContent>
                        </wps:txbx>
                        <wps:bodyPr horzOverflow="overflow" vert="horz" lIns="0" tIns="0" rIns="0" bIns="0" rtlCol="0">
                          <a:noAutofit/>
                        </wps:bodyPr>
                      </wps:wsp>
                      <wps:wsp>
                        <wps:cNvPr id="497" name="Rectangle 497"/>
                        <wps:cNvSpPr/>
                        <wps:spPr>
                          <a:xfrm>
                            <a:off x="357848" y="5018883"/>
                            <a:ext cx="1567871" cy="124316"/>
                          </a:xfrm>
                          <a:prstGeom prst="rect">
                            <a:avLst/>
                          </a:prstGeom>
                          <a:ln>
                            <a:noFill/>
                          </a:ln>
                        </wps:spPr>
                        <wps:txbx>
                          <w:txbxContent>
                            <w:p w14:paraId="6029CF21" w14:textId="77777777" w:rsidR="00AC2BE6" w:rsidRDefault="00AC2BE6" w:rsidP="00BC221F">
                              <w:pPr>
                                <w:spacing w:after="160" w:line="259" w:lineRule="auto"/>
                              </w:pPr>
                              <w:r>
                                <w:rPr>
                                  <w:rFonts w:ascii="Calibri" w:eastAsia="Calibri" w:hAnsi="Calibri" w:cs="Calibri"/>
                                  <w:w w:val="98"/>
                                  <w:sz w:val="16"/>
                                </w:rPr>
                                <w:t>Flow</w:t>
                              </w:r>
                              <w:r>
                                <w:rPr>
                                  <w:rFonts w:ascii="Calibri" w:eastAsia="Calibri" w:hAnsi="Calibri" w:cs="Calibri"/>
                                  <w:spacing w:val="11"/>
                                  <w:w w:val="98"/>
                                  <w:sz w:val="16"/>
                                </w:rPr>
                                <w:t xml:space="preserve"> </w:t>
                              </w:r>
                              <w:r>
                                <w:rPr>
                                  <w:rFonts w:ascii="Calibri" w:eastAsia="Calibri" w:hAnsi="Calibri" w:cs="Calibri"/>
                                  <w:w w:val="98"/>
                                  <w:sz w:val="16"/>
                                </w:rPr>
                                <w:t>chart</w:t>
                              </w:r>
                              <w:r>
                                <w:rPr>
                                  <w:rFonts w:ascii="Calibri" w:eastAsia="Calibri" w:hAnsi="Calibri" w:cs="Calibri"/>
                                  <w:spacing w:val="11"/>
                                  <w:w w:val="98"/>
                                  <w:sz w:val="16"/>
                                </w:rPr>
                                <w:t xml:space="preserve"> </w:t>
                              </w:r>
                              <w:r>
                                <w:rPr>
                                  <w:rFonts w:ascii="Calibri" w:eastAsia="Calibri" w:hAnsi="Calibri" w:cs="Calibri"/>
                                  <w:w w:val="98"/>
                                  <w:sz w:val="16"/>
                                </w:rPr>
                                <w:t>of</w:t>
                              </w:r>
                              <w:r>
                                <w:rPr>
                                  <w:rFonts w:ascii="Calibri" w:eastAsia="Calibri" w:hAnsi="Calibri" w:cs="Calibri"/>
                                  <w:spacing w:val="11"/>
                                  <w:w w:val="98"/>
                                  <w:sz w:val="16"/>
                                </w:rPr>
                                <w:t xml:space="preserve"> </w:t>
                              </w:r>
                              <w:r>
                                <w:rPr>
                                  <w:rFonts w:ascii="Calibri" w:eastAsia="Calibri" w:hAnsi="Calibri" w:cs="Calibri"/>
                                  <w:w w:val="98"/>
                                  <w:sz w:val="16"/>
                                </w:rPr>
                                <w:t>study</w:t>
                              </w:r>
                              <w:r>
                                <w:rPr>
                                  <w:rFonts w:ascii="Calibri" w:eastAsia="Calibri" w:hAnsi="Calibri" w:cs="Calibri"/>
                                  <w:spacing w:val="12"/>
                                  <w:w w:val="98"/>
                                  <w:sz w:val="16"/>
                                </w:rPr>
                                <w:t xml:space="preserve"> </w:t>
                              </w:r>
                              <w:r>
                                <w:rPr>
                                  <w:rFonts w:ascii="Calibri" w:eastAsia="Calibri" w:hAnsi="Calibri" w:cs="Calibri"/>
                                  <w:w w:val="98"/>
                                  <w:sz w:val="16"/>
                                </w:rPr>
                                <w:t>selection</w:t>
                              </w:r>
                            </w:p>
                          </w:txbxContent>
                        </wps:txbx>
                        <wps:bodyPr horzOverflow="overflow" vert="horz" lIns="0" tIns="0" rIns="0" bIns="0" rtlCol="0">
                          <a:noAutofit/>
                        </wps:bodyPr>
                      </wps:wsp>
                    </wpg:wgp>
                  </a:graphicData>
                </a:graphic>
              </wp:anchor>
            </w:drawing>
          </mc:Choice>
          <mc:Fallback>
            <w:pict>
              <v:group w14:anchorId="1F180982" id="Group 56667" o:spid="_x0000_s1074" style="position:absolute;left:0;text-align:left;margin-left:.05pt;margin-top:-419.75pt;width:481.9pt;height:407.15pt;z-index:251672576;mso-position-horizontal-relative:margin;mso-position-vertical-relative:text" coordsize="61200,517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kL4+AH9vr4C5Gf+Ke1/8A9FLXu9eEfHz/AJP6+A3/AGL2&#10;v/8Aopa93r2MH8D9TwMd/FXoFFFFegecFFFFABRRRQAUUUUAFeA/s0/8n0/tIf8AXlof/ohq9+rw&#10;H9mn/k+n9o//AK8tD/8ARDV5+M+BHpYD+I/Q+xKKKK8c94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">
                <v:shape id="Shape 82091" o:spid="_x0000_s1075" style="position:absolute;left:511;width:60177;height:91;visibility:visible;mso-wrap-style:square;v-text-anchor:top" coordsize="6017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" path="m,l6017756,r,9144l,9144,,e" fillcolor="#131313" strokecolor="#131313" strokeweight="0">
                  <v:stroke endcap="round"/>
                  <v:path arrowok="t" textboxrect="0,0,6017756,9144"/>
                </v:shape>
                <v:shape id="Shape 487" o:spid="_x0000_s1076" style="position:absolute;left:60688;width:511;height:503;visibility:visible;mso-wrap-style:square;v-text-anchor:top" coordsize="51118,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" path="m,l9360,724c29146,2908,47968,22466,50406,41758r712,8636l48234,50394r-711,-7912c44793,23698,27863,6452,8636,3594l,2883,,xe" fillcolor="#131313" strokecolor="#131313" strokeweight="0">
                  <v:stroke endcap="round"/>
                  <v:path arrowok="t" textboxrect="0,0,51118,50394"/>
                </v:shape>
                <v:shape id="Shape 82092" o:spid="_x0000_s1077" style="position:absolute;left:61171;top:504;width:91;height:50695;visibility:visible;mso-wrap-style:square;v-text-anchor:top" coordsize="9144,5069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" path="m,l9144,r,5069523l,5069523,,e" fillcolor="#131313" strokecolor="#131313" strokeweight="0">
                  <v:stroke endcap="round"/>
                  <v:path arrowok="t" textboxrect="0,0,9144,5069523"/>
                </v:shape>
                <v:shape id="Shape 489" o:spid="_x0000_s1078" style="position:absolute;left:60688;top:51199;width:512;height:511;visibility:visible;mso-wrap-style:square;v-text-anchor:top" coordsize="51118,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" path="m48235,r2883,l50394,8636c46724,30696,30569,45148,9360,50406l,51117,,47523r8637,-724c28626,43129,43536,28537,47523,8636l48235,xe" fillcolor="#131313" strokecolor="#131313" strokeweight="0">
                  <v:stroke endcap="round"/>
                  <v:path arrowok="t" textboxrect="0,0,51118,51117"/>
                </v:shape>
                <v:shape id="Shape 82093" o:spid="_x0000_s1079" style="position:absolute;left:511;top:51674;width:60177;height:91;visibility:visible;mso-wrap-style:square;v-text-anchor:top" coordsize="601775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" path="m,l6017755,r,9144l,9144,,e" fillcolor="#131313" strokecolor="#131313" strokeweight="0">
                  <v:stroke endcap="round"/>
                  <v:path arrowok="t" textboxrect="0,0,6017755,9144"/>
                </v:shape>
                <v:shape id="Shape 491" o:spid="_x0000_s1080" style="position:absolute;top:51199;width:511;height:511;visibility:visible;mso-wrap-style:square;v-text-anchor:top" coordsize="51118,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" path="m,l2883,r711,8636c7582,28537,22479,43116,42482,46799r8636,724l51118,51117r-9360,-724c20536,45148,4394,30696,711,8636l,xe" fillcolor="#131313" strokecolor="#131313" strokeweight="0">
                  <v:stroke endcap="round"/>
                  <v:path arrowok="t" textboxrect="0,0,51118,51117"/>
                </v:shape>
                <v:shape id="Shape 82094" o:spid="_x0000_s1081" style="position:absolute;top:503;width:91;height:50696;visibility:visible;mso-wrap-style:square;v-text-anchor:top" coordsize="9144,5069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" path="m,l9144,r,5069523l,5069523,,e" fillcolor="#131313" strokecolor="#131313" strokeweight="0">
                  <v:stroke endcap="round"/>
                  <v:path arrowok="t" textboxrect="0,0,9144,5069523"/>
                </v:shape>
                <v:shape id="Shape 493" o:spid="_x0000_s1082" style="position:absolute;width:511;height:504;visibility:visible;mso-wrap-style:square;v-text-anchor:top" coordsize="51118,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" path="m51118,r,2870l42482,3594c23254,6439,6337,23686,3594,42469r-711,7925l,50394,724,41758c3150,22454,21971,2908,41758,711l51118,xe" fillcolor="#131313" strokecolor="#131313" strokeweight="0">
                  <v:stroke endcap="round"/>
                  <v:path arrowok="t" textboxrect="0,0,51118,50394"/>
                </v:shape>
                <v:shape id="Picture 495" o:spid="_x0000_s1083" type="#_x0000_t75" style="position:absolute;left:8964;top:791;width:43276;height:4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">
                  <v:imagedata r:id="rId379" o:title=""/>
                </v:shape>
                <v:rect id="Rectangle 496" o:spid="_x0000_s1084" style="position:absolute;left:763;top:50188;width:3340;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mxQAAANwAAAAPAAAAZHJzL2Rvd25yZXYueG1sRI9Pi8Iw&#10;FMTvwn6H8Ba8aaqI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Cq+uemxQAAANwAAAAP&#10;AAAAAAAAAAAAAAAAAAcCAABkcnMvZG93bnJldi54bWxQSwUGAAAAAAMAAwC3AAAA+QIAAAAA&#10;" filled="f" stroked="f">
                  <v:textbox inset="0,0,0,0">
                    <w:txbxContent>
                      <w:p w14:paraId="1106A813" w14:textId="77777777" w:rsidR="00AC2BE6" w:rsidRDefault="00AC2BE6" w:rsidP="00BC221F">
                        <w:pPr>
                          <w:spacing w:after="160" w:line="259" w:lineRule="auto"/>
                        </w:pPr>
                        <w:r>
                          <w:rPr>
                            <w:rFonts w:ascii="Calibri" w:eastAsia="Calibri" w:hAnsi="Calibri" w:cs="Calibri"/>
                            <w:w w:val="114"/>
                            <w:sz w:val="16"/>
                          </w:rPr>
                          <w:t>Fig.</w:t>
                        </w:r>
                        <w:r>
                          <w:rPr>
                            <w:rFonts w:ascii="Calibri" w:eastAsia="Calibri" w:hAnsi="Calibri" w:cs="Calibri"/>
                            <w:spacing w:val="11"/>
                            <w:w w:val="114"/>
                            <w:sz w:val="16"/>
                          </w:rPr>
                          <w:t xml:space="preserve"> </w:t>
                        </w:r>
                        <w:r>
                          <w:rPr>
                            <w:rFonts w:ascii="Calibri" w:eastAsia="Calibri" w:hAnsi="Calibri" w:cs="Calibri"/>
                            <w:w w:val="114"/>
                            <w:sz w:val="16"/>
                          </w:rPr>
                          <w:t>1</w:t>
                        </w:r>
                      </w:p>
                    </w:txbxContent>
                  </v:textbox>
                </v:rect>
                <v:rect id="Rectangle 497" o:spid="_x0000_s1085" style="position:absolute;left:3578;top:50188;width:15679;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I9xQAAANwAAAAPAAAAZHJzL2Rvd25yZXYueG1sRI9Pa8JA&#10;FMTvhX6H5RW81Y1F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DFtkI9xQAAANwAAAAP&#10;AAAAAAAAAAAAAAAAAAcCAABkcnMvZG93bnJldi54bWxQSwUGAAAAAAMAAwC3AAAA+QIAAAAA&#10;" filled="f" stroked="f">
                  <v:textbox inset="0,0,0,0">
                    <w:txbxContent>
                      <w:p w14:paraId="6029CF21" w14:textId="77777777" w:rsidR="00AC2BE6" w:rsidRDefault="00AC2BE6" w:rsidP="00BC221F">
                        <w:pPr>
                          <w:spacing w:after="160" w:line="259" w:lineRule="auto"/>
                        </w:pPr>
                        <w:r>
                          <w:rPr>
                            <w:rFonts w:ascii="Calibri" w:eastAsia="Calibri" w:hAnsi="Calibri" w:cs="Calibri"/>
                            <w:w w:val="98"/>
                            <w:sz w:val="16"/>
                          </w:rPr>
                          <w:t>Flow</w:t>
                        </w:r>
                        <w:r>
                          <w:rPr>
                            <w:rFonts w:ascii="Calibri" w:eastAsia="Calibri" w:hAnsi="Calibri" w:cs="Calibri"/>
                            <w:spacing w:val="11"/>
                            <w:w w:val="98"/>
                            <w:sz w:val="16"/>
                          </w:rPr>
                          <w:t xml:space="preserve"> </w:t>
                        </w:r>
                        <w:r>
                          <w:rPr>
                            <w:rFonts w:ascii="Calibri" w:eastAsia="Calibri" w:hAnsi="Calibri" w:cs="Calibri"/>
                            <w:w w:val="98"/>
                            <w:sz w:val="16"/>
                          </w:rPr>
                          <w:t>chart</w:t>
                        </w:r>
                        <w:r>
                          <w:rPr>
                            <w:rFonts w:ascii="Calibri" w:eastAsia="Calibri" w:hAnsi="Calibri" w:cs="Calibri"/>
                            <w:spacing w:val="11"/>
                            <w:w w:val="98"/>
                            <w:sz w:val="16"/>
                          </w:rPr>
                          <w:t xml:space="preserve"> </w:t>
                        </w:r>
                        <w:r>
                          <w:rPr>
                            <w:rFonts w:ascii="Calibri" w:eastAsia="Calibri" w:hAnsi="Calibri" w:cs="Calibri"/>
                            <w:w w:val="98"/>
                            <w:sz w:val="16"/>
                          </w:rPr>
                          <w:t>of</w:t>
                        </w:r>
                        <w:r>
                          <w:rPr>
                            <w:rFonts w:ascii="Calibri" w:eastAsia="Calibri" w:hAnsi="Calibri" w:cs="Calibri"/>
                            <w:spacing w:val="11"/>
                            <w:w w:val="98"/>
                            <w:sz w:val="16"/>
                          </w:rPr>
                          <w:t xml:space="preserve"> </w:t>
                        </w:r>
                        <w:r>
                          <w:rPr>
                            <w:rFonts w:ascii="Calibri" w:eastAsia="Calibri" w:hAnsi="Calibri" w:cs="Calibri"/>
                            <w:w w:val="98"/>
                            <w:sz w:val="16"/>
                          </w:rPr>
                          <w:t>study</w:t>
                        </w:r>
                        <w:r>
                          <w:rPr>
                            <w:rFonts w:ascii="Calibri" w:eastAsia="Calibri" w:hAnsi="Calibri" w:cs="Calibri"/>
                            <w:spacing w:val="12"/>
                            <w:w w:val="98"/>
                            <w:sz w:val="16"/>
                          </w:rPr>
                          <w:t xml:space="preserve"> </w:t>
                        </w:r>
                        <w:r>
                          <w:rPr>
                            <w:rFonts w:ascii="Calibri" w:eastAsia="Calibri" w:hAnsi="Calibri" w:cs="Calibri"/>
                            <w:w w:val="98"/>
                            <w:sz w:val="16"/>
                          </w:rPr>
                          <w:t>selection</w:t>
                        </w:r>
                      </w:p>
                    </w:txbxContent>
                  </v:textbox>
                </v:rect>
                <w10:wrap type="topAndBottom" anchorx="margin"/>
              </v:group>
            </w:pict>
          </mc:Fallback>
        </mc:AlternateContent>
      </w:r>
      <w:r w:rsidRPr="00000849">
        <w:t xml:space="preserve">For each risk factor, we identified the reference category and considered the effect size (odds ratio, prevalence ratio, relative risk) as harmful if it was greater than 1 and protective if it was lower than 1. We identified the harmful, protective, statistically significant and nonsignificant determinants from both crude </w:t>
      </w:r>
      <w:r w:rsidRPr="00000849">
        <w:lastRenderedPageBreak/>
        <w:t xml:space="preserve">(bivariate) and multivariate analyses. All included studies set the </w:t>
      </w:r>
      <w:r w:rsidRPr="00000849">
        <w:rPr>
          <w:rFonts w:ascii="Calibri" w:eastAsia="Calibri" w:hAnsi="Calibri" w:cs="Calibri"/>
        </w:rPr>
        <w:t xml:space="preserve">p </w:t>
      </w:r>
      <w:r w:rsidRPr="00000849">
        <w:t>value for their tests of significance at 5%. We looked for consistency in the direction and patterns of association of hypertension across the studies.</w:t>
      </w:r>
    </w:p>
    <w:p w14:paraId="2392E478" w14:textId="77777777" w:rsidR="00BC221F" w:rsidRPr="00000849" w:rsidRDefault="00BC221F" w:rsidP="00CF4F1E">
      <w:pPr>
        <w:jc w:val="both"/>
        <w:rPr>
          <w:b/>
          <w:bCs/>
          <w:color w:val="0070C0"/>
          <w:sz w:val="24"/>
          <w:szCs w:val="24"/>
        </w:rPr>
      </w:pPr>
      <w:r w:rsidRPr="00000849">
        <w:rPr>
          <w:b/>
          <w:bCs/>
          <w:color w:val="0070C0"/>
          <w:sz w:val="24"/>
          <w:szCs w:val="24"/>
        </w:rPr>
        <w:t>Quality appraisal of studies</w:t>
      </w:r>
    </w:p>
    <w:p w14:paraId="555397C0" w14:textId="77777777" w:rsidR="00BC221F" w:rsidRPr="00000849" w:rsidRDefault="00BC221F" w:rsidP="00CF4F1E">
      <w:pPr>
        <w:spacing w:after="237"/>
        <w:jc w:val="both"/>
      </w:pPr>
      <w:r w:rsidRPr="00000849">
        <w:t>Two reviewers (WKB, JMKA) independently assessed the quality of the included primary studies using a tool developed by Hoy and others [</w:t>
      </w:r>
      <w:r w:rsidRPr="00000849">
        <w:rPr>
          <w:color w:val="0000FF"/>
        </w:rPr>
        <w:t>16</w:t>
      </w:r>
      <w:r w:rsidRPr="00000849">
        <w:t>] and validated specifically for prevalence studies. This appraisal tool uses ten questions to assess both external validity (e.g. representativeness of the sample, participation rate and sampling methods) and internal validity (e.g. direct data collection from subjects or from proxy, suitability of case definition, reliability of study instrument, application of same measurement methods for all subjects and appropriateness of exposure period) in each study. Based on an overall judgement from these criteria, we classified each study as having a low, moderate and high risk of bias. Our decision to include studies rated as high risk of bias our narrative synthesis of risk factors was guided by the results of a sensitivity analysis conducted to evaluate the effect of their exclusion on a pooled estimate of the prevalence of hypertension [</w:t>
      </w:r>
      <w:r w:rsidRPr="00000849">
        <w:rPr>
          <w:color w:val="0000FF"/>
        </w:rPr>
        <w:t>13</w:t>
      </w:r>
      <w:r w:rsidRPr="00000849">
        <w:t>].</w:t>
      </w:r>
    </w:p>
    <w:p w14:paraId="02F17785" w14:textId="77777777" w:rsidR="00BC221F" w:rsidRPr="00000849" w:rsidRDefault="00BC221F" w:rsidP="00CF4F1E">
      <w:pPr>
        <w:spacing w:after="467" w:line="259" w:lineRule="auto"/>
        <w:jc w:val="both"/>
        <w:rPr>
          <w:b/>
          <w:bCs/>
          <w:sz w:val="29"/>
        </w:rPr>
      </w:pPr>
      <w:r w:rsidRPr="00000849">
        <w:rPr>
          <w:b/>
          <w:bCs/>
          <w:sz w:val="29"/>
        </w:rPr>
        <w:t>Results</w:t>
      </w:r>
    </w:p>
    <w:p w14:paraId="0482E9D5" w14:textId="77777777" w:rsidR="00BC221F" w:rsidRPr="00000849" w:rsidRDefault="00BC221F" w:rsidP="00CF4F1E">
      <w:pPr>
        <w:jc w:val="both"/>
        <w:rPr>
          <w:b/>
          <w:bCs/>
          <w:color w:val="0070C0"/>
          <w:sz w:val="24"/>
          <w:szCs w:val="24"/>
        </w:rPr>
      </w:pPr>
      <w:r w:rsidRPr="00000849">
        <w:rPr>
          <w:b/>
          <w:bCs/>
          <w:color w:val="0070C0"/>
          <w:sz w:val="24"/>
          <w:szCs w:val="24"/>
        </w:rPr>
        <w:t>Description of selected studies</w:t>
      </w:r>
    </w:p>
    <w:p w14:paraId="2D5152EB" w14:textId="77777777" w:rsidR="00BC221F" w:rsidRPr="00000849" w:rsidRDefault="00BC221F" w:rsidP="00CF4F1E">
      <w:pPr>
        <w:jc w:val="both"/>
      </w:pPr>
      <w:r w:rsidRPr="00000849">
        <w:t xml:space="preserve">We screened 8,775 citations after removing duplicates out of which we retrieved 103 full-text versions to assess their eligibility for inclusion (Fig. </w:t>
      </w:r>
      <w:r w:rsidRPr="00000849">
        <w:rPr>
          <w:color w:val="0000FF"/>
        </w:rPr>
        <w:t>1</w:t>
      </w:r>
      <w:r w:rsidRPr="00000849">
        <w:t>). Of the latter, 63 studies, made up of 34 primary studies and 29 multiple publications, met the inclusion criteria for review. However, 40 of them reported information on only the prevalence of hypertension and so were excluded from further analysis. Of the remaining 23 studies, seven provided information on risk factors associated with the prevalence while 16 made up of 12 primary and four multiple publications provided data on the determinants of hypertension from multivariate analyses.</w:t>
      </w:r>
    </w:p>
    <w:p w14:paraId="23E6D73B" w14:textId="77777777" w:rsidR="00BC221F" w:rsidRPr="00000849" w:rsidRDefault="00BC221F" w:rsidP="00CF4F1E">
      <w:pPr>
        <w:jc w:val="both"/>
      </w:pPr>
      <w:r w:rsidRPr="00000849">
        <w:t>One of the seven primary publications reported sexspecific prevalence of hypertension in cities in two African countries (Bangui and Brazzaville) and so provided two data contributions relating to hypertension and its associated risk factors in two countries [</w:t>
      </w:r>
      <w:r w:rsidRPr="00000849">
        <w:rPr>
          <w:color w:val="0000FF"/>
        </w:rPr>
        <w:t>17</w:t>
      </w:r>
      <w:r w:rsidRPr="00000849">
        <w:t>]. Of the four multiple publications, three were multi-country publications based on the Study on Global Ageing and Adult Health (SAGE) in Ghana and South Africa, and so these provided a combined total of six data contributions [</w:t>
      </w:r>
      <w:r w:rsidRPr="00000849">
        <w:rPr>
          <w:color w:val="0000FF"/>
        </w:rPr>
        <w:t>18</w:t>
      </w:r>
      <w:r w:rsidRPr="00000849">
        <w:rPr>
          <w:rFonts w:ascii="Calibri" w:eastAsia="Calibri" w:hAnsi="Calibri" w:cs="Calibri"/>
        </w:rPr>
        <w:t>–</w:t>
      </w:r>
      <w:r w:rsidRPr="00000849">
        <w:rPr>
          <w:color w:val="0000FF"/>
        </w:rPr>
        <w:t>20</w:t>
      </w:r>
      <w:r w:rsidRPr="00000849">
        <w:t>]. The fourth multiple paper, based on SAGE Ghana, reported determinants separately for systolic hypertension (SHTN) and diastolic hypertension (DHTN) [</w:t>
      </w:r>
      <w:r w:rsidRPr="00000849">
        <w:rPr>
          <w:color w:val="0000FF"/>
        </w:rPr>
        <w:t>21</w:t>
      </w:r>
      <w:r w:rsidRPr="00000849">
        <w:t>]. The two respective primary publications for the SAGE Ghana and South African studies were included in the 12 unique studies providing data on determinants of hypertension [</w:t>
      </w:r>
      <w:r w:rsidRPr="00000849">
        <w:rPr>
          <w:color w:val="0000FF"/>
        </w:rPr>
        <w:t>22</w:t>
      </w:r>
      <w:r w:rsidRPr="00000849">
        <w:t xml:space="preserve">, </w:t>
      </w:r>
      <w:r w:rsidRPr="00000849">
        <w:rPr>
          <w:color w:val="0000FF"/>
        </w:rPr>
        <w:t>23</w:t>
      </w:r>
      <w:r w:rsidRPr="00000849">
        <w:t>]. Thus, there were 19 primary (providing 21 data points) and four multiple (non-primary) publications (providing eight data points) [</w:t>
      </w:r>
      <w:r w:rsidRPr="00000849">
        <w:rPr>
          <w:color w:val="0000FF"/>
        </w:rPr>
        <w:t>18</w:t>
      </w:r>
      <w:r w:rsidRPr="00000849">
        <w:rPr>
          <w:rFonts w:ascii="Calibri" w:eastAsia="Calibri" w:hAnsi="Calibri" w:cs="Calibri"/>
        </w:rPr>
        <w:t>–</w:t>
      </w:r>
      <w:r w:rsidRPr="00000849">
        <w:rPr>
          <w:color w:val="0000FF"/>
        </w:rPr>
        <w:t>21</w:t>
      </w:r>
      <w:r w:rsidRPr="00000849">
        <w:t>] of relevance that were analyzed.</w:t>
      </w:r>
    </w:p>
    <w:p w14:paraId="69DBC32B" w14:textId="77777777" w:rsidR="00BC221F" w:rsidRPr="00000849" w:rsidRDefault="00BC221F" w:rsidP="00CF4F1E">
      <w:pPr>
        <w:spacing w:after="242"/>
        <w:jc w:val="both"/>
      </w:pPr>
      <w:r w:rsidRPr="00000849">
        <w:t xml:space="preserve">Based on the Hoy et al. tool, we judged that 16 (84.2%) of the 19 included primary studies had either a low (63.2%) or moderate risk (21.0%) of bias (Table </w:t>
      </w:r>
      <w:r w:rsidRPr="00000849">
        <w:rPr>
          <w:color w:val="0000FF"/>
        </w:rPr>
        <w:t>1</w:t>
      </w:r>
      <w:r w:rsidRPr="00000849">
        <w:t xml:space="preserve">; Additional file </w:t>
      </w:r>
      <w:r w:rsidRPr="00000849">
        <w:rPr>
          <w:color w:val="0000FF"/>
        </w:rPr>
        <w:t xml:space="preserve">2 </w:t>
      </w:r>
      <w:r w:rsidRPr="00000849">
        <w:t xml:space="preserve">Table S2). Three (15.8%) studies were considered to have a high risk of bias, usually because of use of non-representative samples or low </w:t>
      </w:r>
      <w:r w:rsidRPr="00000849">
        <w:lastRenderedPageBreak/>
        <w:t>participation rate. We retained these studies in the narrative synthesis because we found in a sensitivity analysis conducted as part of a meta-analysis that, excluding them did not have any significant influence on the estimated prevalence of hypertension [</w:t>
      </w:r>
      <w:r w:rsidRPr="00000849">
        <w:rPr>
          <w:color w:val="0000FF"/>
        </w:rPr>
        <w:t>13</w:t>
      </w:r>
      <w:r w:rsidRPr="00000849">
        <w:t>].</w:t>
      </w:r>
    </w:p>
    <w:p w14:paraId="2EDB2AD1" w14:textId="77777777" w:rsidR="00BC221F" w:rsidRPr="00000849" w:rsidRDefault="00BC221F" w:rsidP="00CF4F1E">
      <w:pPr>
        <w:jc w:val="both"/>
        <w:rPr>
          <w:b/>
          <w:bCs/>
          <w:color w:val="0070C0"/>
          <w:sz w:val="24"/>
          <w:szCs w:val="24"/>
        </w:rPr>
      </w:pPr>
      <w:r w:rsidRPr="00000849">
        <w:rPr>
          <w:b/>
          <w:bCs/>
          <w:color w:val="0070C0"/>
          <w:sz w:val="24"/>
          <w:szCs w:val="24"/>
        </w:rPr>
        <w:t>Description of sample characteristics</w:t>
      </w:r>
    </w:p>
    <w:p w14:paraId="29065C29" w14:textId="77777777" w:rsidR="00BC221F" w:rsidRPr="00000849" w:rsidRDefault="00BC221F" w:rsidP="00CF4F1E">
      <w:pPr>
        <w:jc w:val="both"/>
      </w:pPr>
      <w:r w:rsidRPr="00000849">
        <w:t>The 19 primary studies / publications covered 12 different countries with four from Ghana [</w:t>
      </w:r>
      <w:r w:rsidRPr="00000849">
        <w:rPr>
          <w:color w:val="0000FF"/>
        </w:rPr>
        <w:t>22</w:t>
      </w:r>
      <w:r w:rsidRPr="00000849">
        <w:t xml:space="preserve">, </w:t>
      </w:r>
      <w:r w:rsidRPr="00000849">
        <w:rPr>
          <w:color w:val="0000FF"/>
        </w:rPr>
        <w:t>29</w:t>
      </w:r>
      <w:r w:rsidRPr="00000849">
        <w:t xml:space="preserve">, </w:t>
      </w:r>
      <w:r w:rsidRPr="00000849">
        <w:rPr>
          <w:color w:val="0000FF"/>
        </w:rPr>
        <w:t>34</w:t>
      </w:r>
      <w:r w:rsidRPr="00000849">
        <w:t xml:space="preserve">, </w:t>
      </w:r>
      <w:r w:rsidRPr="00000849">
        <w:rPr>
          <w:color w:val="0000FF"/>
        </w:rPr>
        <w:t>35</w:t>
      </w:r>
      <w:r w:rsidRPr="00000849">
        <w:t>]; three from Nigeria [</w:t>
      </w:r>
      <w:r w:rsidRPr="00000849">
        <w:rPr>
          <w:color w:val="0000FF"/>
        </w:rPr>
        <w:t>24</w:t>
      </w:r>
      <w:r w:rsidRPr="00000849">
        <w:t xml:space="preserve">, </w:t>
      </w:r>
      <w:r w:rsidRPr="00000849">
        <w:rPr>
          <w:color w:val="0000FF"/>
        </w:rPr>
        <w:t>28</w:t>
      </w:r>
      <w:r w:rsidRPr="00000849">
        <w:t xml:space="preserve">, </w:t>
      </w:r>
      <w:r w:rsidRPr="00000849">
        <w:rPr>
          <w:color w:val="0000FF"/>
        </w:rPr>
        <w:t>37</w:t>
      </w:r>
      <w:r w:rsidRPr="00000849">
        <w:t>]; two each from Central African Republic/Congo [</w:t>
      </w:r>
      <w:r w:rsidRPr="00000849">
        <w:rPr>
          <w:color w:val="0000FF"/>
        </w:rPr>
        <w:t>17</w:t>
      </w:r>
      <w:r w:rsidRPr="00000849">
        <w:t xml:space="preserve">, </w:t>
      </w:r>
      <w:r w:rsidRPr="00000849">
        <w:rPr>
          <w:color w:val="0000FF"/>
        </w:rPr>
        <w:t>36</w:t>
      </w:r>
      <w:r w:rsidRPr="00000849">
        <w:t>], South Africa [</w:t>
      </w:r>
      <w:r w:rsidRPr="00000849">
        <w:rPr>
          <w:color w:val="0000FF"/>
        </w:rPr>
        <w:t>23</w:t>
      </w:r>
      <w:r w:rsidRPr="00000849">
        <w:t xml:space="preserve">, </w:t>
      </w:r>
      <w:r w:rsidRPr="00000849">
        <w:rPr>
          <w:color w:val="0000FF"/>
        </w:rPr>
        <w:t>32</w:t>
      </w:r>
      <w:r w:rsidRPr="00000849">
        <w:t>] and Uganda [</w:t>
      </w:r>
      <w:r w:rsidRPr="00000849">
        <w:rPr>
          <w:color w:val="0000FF"/>
        </w:rPr>
        <w:t>33</w:t>
      </w:r>
      <w:r w:rsidRPr="00000849">
        <w:t xml:space="preserve">, </w:t>
      </w:r>
      <w:r w:rsidRPr="00000849">
        <w:rPr>
          <w:color w:val="0000FF"/>
        </w:rPr>
        <w:t>38</w:t>
      </w:r>
      <w:r w:rsidRPr="00000849">
        <w:t>]; and one each from Burkina Faso [</w:t>
      </w:r>
      <w:r w:rsidRPr="00000849">
        <w:rPr>
          <w:color w:val="0000FF"/>
        </w:rPr>
        <w:t>27</w:t>
      </w:r>
      <w:r w:rsidRPr="00000849">
        <w:t>], Cameroon [</w:t>
      </w:r>
      <w:r w:rsidRPr="00000849">
        <w:rPr>
          <w:color w:val="0000FF"/>
        </w:rPr>
        <w:t>39</w:t>
      </w:r>
      <w:r w:rsidRPr="00000849">
        <w:t>], Kenya [</w:t>
      </w:r>
      <w:r w:rsidRPr="00000849">
        <w:rPr>
          <w:color w:val="0000FF"/>
        </w:rPr>
        <w:t>31</w:t>
      </w:r>
      <w:r w:rsidRPr="00000849">
        <w:t>], Senegal [</w:t>
      </w:r>
      <w:r w:rsidRPr="00000849">
        <w:rPr>
          <w:color w:val="0000FF"/>
        </w:rPr>
        <w:t>30</w:t>
      </w:r>
      <w:r w:rsidRPr="00000849">
        <w:t>], Tanzania [</w:t>
      </w:r>
      <w:r w:rsidRPr="00000849">
        <w:rPr>
          <w:color w:val="0000FF"/>
        </w:rPr>
        <w:t>40</w:t>
      </w:r>
      <w:r w:rsidRPr="00000849">
        <w:t>] and Tunisia [</w:t>
      </w:r>
      <w:r w:rsidRPr="00000849">
        <w:rPr>
          <w:color w:val="0000FF"/>
        </w:rPr>
        <w:t>26</w:t>
      </w:r>
      <w:r w:rsidRPr="00000849">
        <w:t xml:space="preserve">] (Table </w:t>
      </w:r>
      <w:r w:rsidRPr="00000849">
        <w:rPr>
          <w:color w:val="0000FF"/>
        </w:rPr>
        <w:t>1</w:t>
      </w:r>
      <w:r w:rsidRPr="00000849">
        <w:t>). They involved a total of 30,500 participants out of whom 30,230 had their blood pressure measured. The prevalence of hypertension ranged from 24.1% in a rural community in northern Ghana [</w:t>
      </w:r>
      <w:r w:rsidRPr="00000849">
        <w:rPr>
          <w:color w:val="0000FF"/>
        </w:rPr>
        <w:t>29</w:t>
      </w:r>
      <w:r w:rsidRPr="00000849">
        <w:t>] to 90.0% in a South African township [</w:t>
      </w:r>
      <w:r w:rsidRPr="00000849">
        <w:rPr>
          <w:color w:val="0000FF"/>
        </w:rPr>
        <w:t>32</w:t>
      </w:r>
      <w:r w:rsidRPr="00000849">
        <w:t>]. The crude prevalence across all the subjects in the 21 data contributions was 55.9%.</w:t>
      </w:r>
    </w:p>
    <w:p w14:paraId="740A4844" w14:textId="77777777" w:rsidR="00BC221F" w:rsidRPr="00000849" w:rsidRDefault="00BC221F" w:rsidP="00CF4F1E">
      <w:pPr>
        <w:jc w:val="both"/>
      </w:pPr>
      <w:r w:rsidRPr="00000849">
        <w:t xml:space="preserve">The study participants were diverse and included older adults living generally in the community, those enrolled in cohort studies or a demographic surveillance site, church attendees or registered members of pensions associations (Table </w:t>
      </w:r>
      <w:r w:rsidRPr="00000849">
        <w:rPr>
          <w:color w:val="0000FF"/>
        </w:rPr>
        <w:t>1</w:t>
      </w:r>
      <w:r w:rsidRPr="00000849">
        <w:t>). Their ages ranged from 50 to 110 years. Their mean ages, reported from ten data points(nine studies) ranged from 62.7 ± 9 years in Cameroon [</w:t>
      </w:r>
      <w:r w:rsidRPr="00000849">
        <w:rPr>
          <w:color w:val="0000FF"/>
        </w:rPr>
        <w:t>39</w:t>
      </w:r>
      <w:r w:rsidRPr="00000849">
        <w:t>] to 76.9 ± 8.4 years in Nigeria [</w:t>
      </w:r>
      <w:r w:rsidRPr="00000849">
        <w:rPr>
          <w:color w:val="0000FF"/>
        </w:rPr>
        <w:t>37</w:t>
      </w:r>
      <w:r w:rsidRPr="00000849">
        <w:t xml:space="preserve">]. Across 19 data points (18 studies), the proportion of subjects aged </w:t>
      </w:r>
      <w:r w:rsidRPr="00000849">
        <w:rPr>
          <w:rFonts w:ascii="Calibri" w:eastAsia="Calibri" w:hAnsi="Calibri" w:cs="Calibri"/>
        </w:rPr>
        <w:t>≥</w:t>
      </w:r>
      <w:r w:rsidRPr="00000849">
        <w:t>70 years varied from 19.2% in Dakar, Senegal [</w:t>
      </w:r>
      <w:r w:rsidRPr="00000849">
        <w:rPr>
          <w:color w:val="0000FF"/>
        </w:rPr>
        <w:t>30</w:t>
      </w:r>
      <w:r w:rsidRPr="00000849">
        <w:t>] to 100.0% in the rural Hai district of Tanzania [</w:t>
      </w:r>
      <w:r w:rsidRPr="00000849">
        <w:rPr>
          <w:color w:val="0000FF"/>
        </w:rPr>
        <w:t>25</w:t>
      </w:r>
      <w:r w:rsidRPr="00000849">
        <w:t>].</w:t>
      </w:r>
    </w:p>
    <w:p w14:paraId="49833B75" w14:textId="77777777" w:rsidR="00BC221F" w:rsidRPr="00000849" w:rsidRDefault="00BC221F" w:rsidP="00CF4F1E">
      <w:pPr>
        <w:jc w:val="both"/>
      </w:pPr>
      <w:r w:rsidRPr="00000849">
        <w:t>Overall, 51.9% of the enrolled subjects across the studies were female. In individual studies, the percentage female ranged from 31.4% [</w:t>
      </w:r>
      <w:r w:rsidRPr="00000849">
        <w:rPr>
          <w:color w:val="0000FF"/>
        </w:rPr>
        <w:t>34</w:t>
      </w:r>
      <w:r w:rsidRPr="00000849">
        <w:t>] to 83.0% [</w:t>
      </w:r>
      <w:r w:rsidRPr="00000849">
        <w:rPr>
          <w:color w:val="0000FF"/>
        </w:rPr>
        <w:t>41</w:t>
      </w:r>
      <w:r w:rsidRPr="00000849">
        <w:t xml:space="preserve">] (Table </w:t>
      </w:r>
      <w:r w:rsidRPr="00000849">
        <w:rPr>
          <w:color w:val="0000FF"/>
        </w:rPr>
        <w:t>1</w:t>
      </w:r>
      <w:r w:rsidRPr="00000849">
        <w:t>). Only four studies enrolled predominantly male subjects [</w:t>
      </w:r>
      <w:r w:rsidRPr="00000849">
        <w:rPr>
          <w:color w:val="0000FF"/>
        </w:rPr>
        <w:t>27</w:t>
      </w:r>
      <w:r w:rsidRPr="00000849">
        <w:t xml:space="preserve">, </w:t>
      </w:r>
      <w:r w:rsidRPr="00000849">
        <w:rPr>
          <w:color w:val="0000FF"/>
        </w:rPr>
        <w:t>29</w:t>
      </w:r>
      <w:r w:rsidRPr="00000849">
        <w:t xml:space="preserve">, </w:t>
      </w:r>
      <w:r w:rsidRPr="00000849">
        <w:rPr>
          <w:color w:val="0000FF"/>
        </w:rPr>
        <w:t>30</w:t>
      </w:r>
      <w:r w:rsidRPr="00000849">
        <w:t xml:space="preserve">, </w:t>
      </w:r>
      <w:r w:rsidRPr="00000849">
        <w:rPr>
          <w:color w:val="0000FF"/>
        </w:rPr>
        <w:t>34</w:t>
      </w:r>
      <w:r w:rsidRPr="00000849">
        <w:t>]. The proportion of enrolled subjects who were currently married ranged from 32.4% [</w:t>
      </w:r>
      <w:r w:rsidRPr="00000849">
        <w:rPr>
          <w:color w:val="0000FF"/>
        </w:rPr>
        <w:t>38</w:t>
      </w:r>
      <w:r w:rsidRPr="00000849">
        <w:t>] to 89.4% [</w:t>
      </w:r>
      <w:r w:rsidRPr="00000849">
        <w:rPr>
          <w:color w:val="0000FF"/>
        </w:rPr>
        <w:t>39</w:t>
      </w:r>
      <w:r w:rsidRPr="00000849">
        <w:t xml:space="preserve">] (Table </w:t>
      </w:r>
      <w:r w:rsidRPr="00000849">
        <w:rPr>
          <w:color w:val="0000FF"/>
        </w:rPr>
        <w:t>1</w:t>
      </w:r>
      <w:r w:rsidRPr="00000849">
        <w:t>). In the Central African Republic, 38</w:t>
      </w:r>
      <w:r w:rsidRPr="00000849">
        <w:rPr>
          <w:rFonts w:ascii="Calibri" w:eastAsia="Calibri" w:hAnsi="Calibri" w:cs="Calibri"/>
        </w:rPr>
        <w:t>–</w:t>
      </w:r>
      <w:r w:rsidRPr="00000849">
        <w:t>42% of enrolled subjects with a mean age of about 73</w:t>
      </w:r>
      <w:r w:rsidRPr="00000849">
        <w:rPr>
          <w:rFonts w:ascii="Calibri" w:eastAsia="Calibri" w:hAnsi="Calibri" w:cs="Calibri"/>
        </w:rPr>
        <w:t>–</w:t>
      </w:r>
      <w:r w:rsidRPr="00000849">
        <w:t>47 years were currently married [</w:t>
      </w:r>
      <w:r w:rsidRPr="00000849">
        <w:rPr>
          <w:color w:val="0000FF"/>
        </w:rPr>
        <w:t>17</w:t>
      </w:r>
      <w:r w:rsidRPr="00000849">
        <w:t xml:space="preserve">, </w:t>
      </w:r>
      <w:r w:rsidRPr="00000849">
        <w:rPr>
          <w:color w:val="0000FF"/>
        </w:rPr>
        <w:t>36</w:t>
      </w:r>
      <w:r w:rsidRPr="00000849">
        <w:t>]. In contrast, in Tunisia and Nigeria where the participants were slightly younger with a mean age of 72 years, 60</w:t>
      </w:r>
      <w:r w:rsidRPr="00000849">
        <w:rPr>
          <w:rFonts w:ascii="Calibri" w:eastAsia="Calibri" w:hAnsi="Calibri" w:cs="Calibri"/>
        </w:rPr>
        <w:t>–</w:t>
      </w:r>
      <w:r w:rsidRPr="00000849">
        <w:t>63% of them were currently married [</w:t>
      </w:r>
      <w:r w:rsidRPr="00000849">
        <w:rPr>
          <w:color w:val="0000FF"/>
        </w:rPr>
        <w:t>24</w:t>
      </w:r>
      <w:r w:rsidRPr="00000849">
        <w:t xml:space="preserve">, </w:t>
      </w:r>
      <w:r w:rsidRPr="00000849">
        <w:rPr>
          <w:color w:val="0000FF"/>
        </w:rPr>
        <w:t>26</w:t>
      </w:r>
      <w:r w:rsidRPr="00000849">
        <w:t>]. The proportion of subjects with no formal education ranged from 12.1% among registered pensioners in Ghana [</w:t>
      </w:r>
      <w:r w:rsidRPr="00000849">
        <w:rPr>
          <w:color w:val="0000FF"/>
        </w:rPr>
        <w:t>34</w:t>
      </w:r>
      <w:r w:rsidRPr="00000849">
        <w:t>] to 93.8% among elderly subjects in Nigeria [</w:t>
      </w:r>
      <w:r w:rsidRPr="00000849">
        <w:rPr>
          <w:color w:val="0000FF"/>
        </w:rPr>
        <w:t>24</w:t>
      </w:r>
      <w:r w:rsidRPr="00000849">
        <w:t xml:space="preserve">] in 13 studies (13 data points) in which it was reported (Table </w:t>
      </w:r>
      <w:r w:rsidRPr="00000849">
        <w:rPr>
          <w:color w:val="0000FF"/>
        </w:rPr>
        <w:t>1</w:t>
      </w:r>
      <w:r w:rsidRPr="00000849">
        <w:t>). Except for one cohort study in Nigeria [</w:t>
      </w:r>
      <w:r w:rsidRPr="00000849">
        <w:rPr>
          <w:color w:val="0000FF"/>
        </w:rPr>
        <w:t>37</w:t>
      </w:r>
      <w:r w:rsidRPr="00000849">
        <w:t>], all the studies were cross-sectional in design.</w:t>
      </w:r>
    </w:p>
    <w:p w14:paraId="4A2F9AD4" w14:textId="77777777" w:rsidR="00265067" w:rsidRPr="00000849" w:rsidRDefault="00BC221F" w:rsidP="00265067">
      <w:pPr>
        <w:spacing w:after="232"/>
        <w:jc w:val="both"/>
      </w:pPr>
      <w:r w:rsidRPr="00000849">
        <w:t>The study setting was rural in four studies (four data contributions), urban in six studies (seven data contributions) and mixed in nine studies (ten data contributions). The mixed settings were predominantly rural [</w:t>
      </w:r>
      <w:r w:rsidRPr="00000849">
        <w:rPr>
          <w:color w:val="0000FF"/>
        </w:rPr>
        <w:t>22</w:t>
      </w:r>
      <w:r w:rsidRPr="00000849">
        <w:t xml:space="preserve">, </w:t>
      </w:r>
      <w:r w:rsidRPr="00000849">
        <w:rPr>
          <w:color w:val="0000FF"/>
        </w:rPr>
        <w:t>31</w:t>
      </w:r>
      <w:r w:rsidRPr="00000849">
        <w:t xml:space="preserve">, </w:t>
      </w:r>
      <w:r w:rsidRPr="00000849">
        <w:rPr>
          <w:color w:val="0000FF"/>
        </w:rPr>
        <w:t>36</w:t>
      </w:r>
      <w:r w:rsidRPr="00000849">
        <w:t xml:space="preserve">, </w:t>
      </w:r>
      <w:r w:rsidRPr="00000849">
        <w:rPr>
          <w:color w:val="0000FF"/>
        </w:rPr>
        <w:t>37</w:t>
      </w:r>
      <w:r w:rsidRPr="00000849">
        <w:t>] or urban [</w:t>
      </w:r>
      <w:r w:rsidRPr="00000849">
        <w:rPr>
          <w:color w:val="0000FF"/>
        </w:rPr>
        <w:t>23</w:t>
      </w:r>
      <w:r w:rsidRPr="00000849">
        <w:t xml:space="preserve">, </w:t>
      </w:r>
      <w:r w:rsidRPr="00000849">
        <w:rPr>
          <w:color w:val="0000FF"/>
        </w:rPr>
        <w:t>24</w:t>
      </w:r>
      <w:r w:rsidRPr="00000849">
        <w:t xml:space="preserve">, </w:t>
      </w:r>
      <w:r w:rsidRPr="00000849">
        <w:rPr>
          <w:color w:val="0000FF"/>
        </w:rPr>
        <w:t>36</w:t>
      </w:r>
      <w:r w:rsidRPr="00000849">
        <w:t>]. Enrolled subjects were under demographic surveillance in Ghana [</w:t>
      </w:r>
      <w:r w:rsidRPr="00000849">
        <w:rPr>
          <w:color w:val="0000FF"/>
        </w:rPr>
        <w:t>29</w:t>
      </w:r>
      <w:r w:rsidRPr="00000849">
        <w:t>], Tanzania [</w:t>
      </w:r>
      <w:r w:rsidRPr="00000849">
        <w:rPr>
          <w:color w:val="0000FF"/>
        </w:rPr>
        <w:t>40</w:t>
      </w:r>
      <w:r w:rsidRPr="00000849">
        <w:t>] and Uganda [</w:t>
      </w:r>
      <w:r w:rsidRPr="00000849">
        <w:rPr>
          <w:color w:val="0000FF"/>
        </w:rPr>
        <w:t>33</w:t>
      </w:r>
      <w:r w:rsidRPr="00000849">
        <w:t xml:space="preserve">, </w:t>
      </w:r>
      <w:r w:rsidRPr="00000849">
        <w:rPr>
          <w:color w:val="0000FF"/>
        </w:rPr>
        <w:t>38</w:t>
      </w:r>
      <w:r w:rsidRPr="00000849">
        <w:t>]. The proportion of</w:t>
      </w:r>
      <w:r w:rsidR="00265067" w:rsidRPr="00000849">
        <w:t xml:space="preserve"> participants who were overweight or obese, based on nine studies (11 data points), varied 100-fold from 0.8% of subjects in rural Ghana [</w:t>
      </w:r>
      <w:r w:rsidR="00265067" w:rsidRPr="00000849">
        <w:rPr>
          <w:color w:val="0000FF"/>
        </w:rPr>
        <w:t>29</w:t>
      </w:r>
      <w:r w:rsidR="00265067" w:rsidRPr="00000849">
        <w:t>] to 80.0% of subjects in urban Tunisia [</w:t>
      </w:r>
      <w:r w:rsidR="00265067" w:rsidRPr="00000849">
        <w:rPr>
          <w:color w:val="0000FF"/>
        </w:rPr>
        <w:t>26</w:t>
      </w:r>
      <w:r w:rsidR="00265067" w:rsidRPr="00000849">
        <w:t>]. The included studies were published from 2010 to 2018 with 2013 as the median year of publication.</w:t>
      </w:r>
    </w:p>
    <w:p w14:paraId="6D92952D" w14:textId="77777777" w:rsidR="00265067" w:rsidRPr="00000849" w:rsidRDefault="00265067" w:rsidP="00CF4F1E">
      <w:pPr>
        <w:jc w:val="both"/>
      </w:pPr>
    </w:p>
    <w:p w14:paraId="544544F1" w14:textId="77777777" w:rsidR="00BC221F" w:rsidRPr="00000849" w:rsidRDefault="00BC221F" w:rsidP="00CF4F1E">
      <w:pPr>
        <w:jc w:val="both"/>
      </w:pPr>
    </w:p>
    <w:p w14:paraId="199DD3BE" w14:textId="3DE6A499" w:rsidR="00435C72" w:rsidRPr="00000849" w:rsidRDefault="00435C72" w:rsidP="00CF4F1E">
      <w:pPr>
        <w:jc w:val="both"/>
        <w:sectPr w:rsidR="00435C72" w:rsidRPr="00000849" w:rsidSect="00063693">
          <w:headerReference w:type="even" r:id="rId380"/>
          <w:pgSz w:w="11906" w:h="15817"/>
          <w:pgMar w:top="1767" w:right="1133" w:bottom="1143" w:left="1133" w:header="720" w:footer="720" w:gutter="0"/>
          <w:cols w:space="282"/>
        </w:sectPr>
      </w:pPr>
    </w:p>
    <w:p w14:paraId="6933CBA3" w14:textId="7AD92992" w:rsidR="0094544B" w:rsidRPr="00000849" w:rsidRDefault="0094544B" w:rsidP="00CF4F1E">
      <w:pPr>
        <w:spacing w:after="0" w:line="259" w:lineRule="auto"/>
        <w:ind w:left="-312" w:right="-339"/>
        <w:jc w:val="both"/>
        <w:sectPr w:rsidR="0094544B" w:rsidRPr="00000849" w:rsidSect="00F06F94">
          <w:type w:val="continuous"/>
          <w:pgSz w:w="11906" w:h="15817"/>
          <w:pgMar w:top="1440" w:right="1440" w:bottom="1181" w:left="1440" w:header="720" w:footer="720" w:gutter="0"/>
          <w:cols w:space="720"/>
        </w:sectPr>
      </w:pPr>
    </w:p>
    <w:p w14:paraId="53C00EA2" w14:textId="149A1C7D" w:rsidR="00435C72" w:rsidRPr="00000849" w:rsidRDefault="00435C72" w:rsidP="00275E9B">
      <w:pPr>
        <w:spacing w:after="160" w:line="259" w:lineRule="auto"/>
        <w:rPr>
          <w:rFonts w:ascii="Calibri" w:eastAsia="Times New Roman" w:hAnsi="Calibri" w:cs="Times New Roman"/>
          <w:sz w:val="24"/>
          <w:szCs w:val="24"/>
          <w:lang w:val="en-CA" w:eastAsia="en-CA"/>
        </w:rPr>
      </w:pPr>
      <w:r w:rsidRPr="00000849">
        <w:rPr>
          <w:rFonts w:ascii="Calibri" w:eastAsia="Times New Roman" w:hAnsi="Calibri" w:cs="Times New Roman"/>
          <w:b/>
          <w:bCs/>
          <w:sz w:val="24"/>
          <w:szCs w:val="24"/>
          <w:lang w:val="en-CA" w:eastAsia="en-CA"/>
        </w:rPr>
        <w:lastRenderedPageBreak/>
        <w:t>Table 1</w:t>
      </w:r>
      <w:r w:rsidRPr="00000849">
        <w:rPr>
          <w:rFonts w:ascii="Calibri" w:eastAsia="Times New Roman" w:hAnsi="Calibri" w:cs="Times New Roman"/>
          <w:sz w:val="24"/>
          <w:szCs w:val="24"/>
          <w:lang w:val="en-CA" w:eastAsia="en-CA"/>
        </w:rPr>
        <w:t xml:space="preserve"> Sociodemographic characteristics of study sample and sex-specific prevalence of hypertension in included primary articles</w:t>
      </w:r>
    </w:p>
    <w:tbl>
      <w:tblPr>
        <w:tblStyle w:val="PlainTable2"/>
        <w:tblW w:w="0" w:type="auto"/>
        <w:tblLook w:val="0420" w:firstRow="1" w:lastRow="0" w:firstColumn="0" w:lastColumn="0" w:noHBand="0" w:noVBand="1"/>
      </w:tblPr>
      <w:tblGrid>
        <w:gridCol w:w="839"/>
        <w:gridCol w:w="843"/>
        <w:gridCol w:w="556"/>
        <w:gridCol w:w="931"/>
        <w:gridCol w:w="984"/>
        <w:gridCol w:w="655"/>
        <w:gridCol w:w="572"/>
        <w:gridCol w:w="554"/>
        <w:gridCol w:w="807"/>
        <w:gridCol w:w="762"/>
        <w:gridCol w:w="819"/>
        <w:gridCol w:w="1014"/>
        <w:gridCol w:w="1014"/>
        <w:gridCol w:w="1014"/>
        <w:gridCol w:w="1014"/>
        <w:gridCol w:w="818"/>
      </w:tblGrid>
      <w:tr w:rsidR="00435C72" w:rsidRPr="00000849" w14:paraId="59AB0A82" w14:textId="77777777" w:rsidTr="00435C72">
        <w:trPr>
          <w:cnfStyle w:val="100000000000" w:firstRow="1" w:lastRow="0" w:firstColumn="0" w:lastColumn="0" w:oddVBand="0" w:evenVBand="0" w:oddHBand="0" w:evenHBand="0" w:firstRowFirstColumn="0" w:firstRowLastColumn="0" w:lastRowFirstColumn="0" w:lastRowLastColumn="0"/>
          <w:trHeight w:val="1142"/>
          <w:tblHeader/>
        </w:trPr>
        <w:tc>
          <w:tcPr>
            <w:tcW w:w="0" w:type="auto"/>
            <w:hideMark/>
          </w:tcPr>
          <w:p w14:paraId="22AFAC38"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Primary Reference</w:t>
            </w:r>
          </w:p>
        </w:tc>
        <w:tc>
          <w:tcPr>
            <w:tcW w:w="0" w:type="auto"/>
            <w:hideMark/>
          </w:tcPr>
          <w:p w14:paraId="486EAA26"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Country</w:t>
            </w:r>
          </w:p>
        </w:tc>
        <w:tc>
          <w:tcPr>
            <w:tcW w:w="0" w:type="auto"/>
          </w:tcPr>
          <w:p w14:paraId="58824A6C"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Study year</w:t>
            </w:r>
          </w:p>
        </w:tc>
        <w:tc>
          <w:tcPr>
            <w:tcW w:w="0" w:type="auto"/>
            <w:hideMark/>
          </w:tcPr>
          <w:p w14:paraId="196DEA2D"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Type of participants</w:t>
            </w:r>
          </w:p>
        </w:tc>
        <w:tc>
          <w:tcPr>
            <w:tcW w:w="0" w:type="auto"/>
            <w:hideMark/>
          </w:tcPr>
          <w:p w14:paraId="28BD8B21"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Participation rate of eligible sample</w:t>
            </w:r>
          </w:p>
        </w:tc>
        <w:tc>
          <w:tcPr>
            <w:tcW w:w="0" w:type="auto"/>
            <w:hideMark/>
          </w:tcPr>
          <w:p w14:paraId="0A8F2F1C"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Female</w:t>
            </w:r>
          </w:p>
        </w:tc>
        <w:tc>
          <w:tcPr>
            <w:tcW w:w="0" w:type="auto"/>
            <w:hideMark/>
          </w:tcPr>
          <w:p w14:paraId="320EE88A"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urban</w:t>
            </w:r>
          </w:p>
        </w:tc>
        <w:tc>
          <w:tcPr>
            <w:tcW w:w="0" w:type="auto"/>
            <w:hideMark/>
          </w:tcPr>
          <w:p w14:paraId="00FBC5C9"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aged 70+ years</w:t>
            </w:r>
          </w:p>
        </w:tc>
        <w:tc>
          <w:tcPr>
            <w:tcW w:w="0" w:type="auto"/>
            <w:hideMark/>
          </w:tcPr>
          <w:p w14:paraId="55DF66B7"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Mean age ± sd</w:t>
            </w:r>
          </w:p>
        </w:tc>
        <w:tc>
          <w:tcPr>
            <w:tcW w:w="0" w:type="auto"/>
            <w:hideMark/>
          </w:tcPr>
          <w:p w14:paraId="76746B3F"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currently married</w:t>
            </w:r>
          </w:p>
        </w:tc>
        <w:tc>
          <w:tcPr>
            <w:tcW w:w="0" w:type="auto"/>
            <w:hideMark/>
          </w:tcPr>
          <w:p w14:paraId="6B434359"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no education</w:t>
            </w:r>
          </w:p>
        </w:tc>
        <w:tc>
          <w:tcPr>
            <w:tcW w:w="0" w:type="auto"/>
            <w:hideMark/>
          </w:tcPr>
          <w:p w14:paraId="0E7BAA17"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xml:space="preserve">Number whose hypertension status assessed </w:t>
            </w:r>
          </w:p>
        </w:tc>
        <w:tc>
          <w:tcPr>
            <w:tcW w:w="0" w:type="auto"/>
            <w:hideMark/>
          </w:tcPr>
          <w:p w14:paraId="3938F877"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xml:space="preserve">% males with hypertension  </w:t>
            </w:r>
          </w:p>
        </w:tc>
        <w:tc>
          <w:tcPr>
            <w:tcW w:w="0" w:type="auto"/>
            <w:hideMark/>
          </w:tcPr>
          <w:p w14:paraId="59A0CB57"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xml:space="preserve"> % females with hypertension  </w:t>
            </w:r>
          </w:p>
        </w:tc>
        <w:tc>
          <w:tcPr>
            <w:tcW w:w="0" w:type="auto"/>
            <w:hideMark/>
          </w:tcPr>
          <w:p w14:paraId="08A5A7D8" w14:textId="77777777" w:rsidR="00435C72" w:rsidRPr="00000849" w:rsidRDefault="00435C72" w:rsidP="00A52C4F">
            <w:pP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 xml:space="preserve">  % total subjects with hypertension  </w:t>
            </w:r>
          </w:p>
        </w:tc>
        <w:tc>
          <w:tcPr>
            <w:tcW w:w="0" w:type="auto"/>
          </w:tcPr>
          <w:p w14:paraId="5624B7C6" w14:textId="77777777" w:rsidR="00435C72" w:rsidRPr="00000849" w:rsidRDefault="00435C72" w:rsidP="00A52C4F">
            <w:pPr>
              <w:jc w:val="center"/>
              <w:rPr>
                <w:rFonts w:ascii="Calibri" w:eastAsia="Times New Roman" w:hAnsi="Calibri" w:cs="Calibri"/>
                <w:b w:val="0"/>
                <w:bCs w:val="0"/>
                <w:color w:val="000000"/>
                <w:sz w:val="15"/>
                <w:szCs w:val="15"/>
              </w:rPr>
            </w:pPr>
            <w:r w:rsidRPr="00000849">
              <w:rPr>
                <w:rFonts w:ascii="Calibri" w:eastAsia="Times New Roman" w:hAnsi="Calibri" w:cs="Calibri"/>
                <w:b w:val="0"/>
                <w:bCs w:val="0"/>
                <w:color w:val="000000"/>
                <w:sz w:val="15"/>
                <w:szCs w:val="15"/>
              </w:rPr>
              <w:t>Overall risk of study bias</w:t>
            </w:r>
          </w:p>
        </w:tc>
      </w:tr>
      <w:tr w:rsidR="00435C72" w:rsidRPr="00000849" w14:paraId="6BD58470" w14:textId="77777777" w:rsidTr="00435C72">
        <w:trPr>
          <w:cnfStyle w:val="000000100000" w:firstRow="0" w:lastRow="0" w:firstColumn="0" w:lastColumn="0" w:oddVBand="0" w:evenVBand="0" w:oddHBand="1" w:evenHBand="0" w:firstRowFirstColumn="0" w:firstRowLastColumn="0" w:lastRowFirstColumn="0" w:lastRowLastColumn="0"/>
          <w:trHeight w:val="1404"/>
        </w:trPr>
        <w:tc>
          <w:tcPr>
            <w:tcW w:w="0" w:type="auto"/>
            <w:hideMark/>
          </w:tcPr>
          <w:p w14:paraId="11BF066E"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Abegunde 2013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24</w:t>
            </w:r>
            <w:r w:rsidRPr="00000849">
              <w:rPr>
                <w:rFonts w:ascii="Calibri" w:eastAsia="Calibri" w:hAnsi="Calibri" w:cs="Calibri"/>
                <w:color w:val="000000"/>
                <w:sz w:val="15"/>
                <w:szCs w:val="15"/>
              </w:rPr>
              <w:t>]</w:t>
            </w:r>
          </w:p>
        </w:tc>
        <w:tc>
          <w:tcPr>
            <w:tcW w:w="0" w:type="auto"/>
            <w:hideMark/>
          </w:tcPr>
          <w:p w14:paraId="68665E5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Nigeria</w:t>
            </w:r>
          </w:p>
        </w:tc>
        <w:tc>
          <w:tcPr>
            <w:tcW w:w="0" w:type="auto"/>
          </w:tcPr>
          <w:p w14:paraId="3A3DE1C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730C907F"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adults aged ≥60 years</w:t>
            </w:r>
          </w:p>
        </w:tc>
        <w:tc>
          <w:tcPr>
            <w:tcW w:w="0" w:type="auto"/>
            <w:hideMark/>
          </w:tcPr>
          <w:p w14:paraId="4410513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98.4</w:t>
            </w:r>
          </w:p>
        </w:tc>
        <w:tc>
          <w:tcPr>
            <w:tcW w:w="0" w:type="auto"/>
            <w:hideMark/>
          </w:tcPr>
          <w:p w14:paraId="4108BF9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61.1</w:t>
            </w:r>
          </w:p>
        </w:tc>
        <w:tc>
          <w:tcPr>
            <w:tcW w:w="0" w:type="auto"/>
            <w:hideMark/>
          </w:tcPr>
          <w:p w14:paraId="07A9D893"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50.2</w:t>
            </w:r>
          </w:p>
        </w:tc>
        <w:tc>
          <w:tcPr>
            <w:tcW w:w="0" w:type="auto"/>
            <w:hideMark/>
          </w:tcPr>
          <w:p w14:paraId="19E62A0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57.9</w:t>
            </w:r>
          </w:p>
        </w:tc>
        <w:tc>
          <w:tcPr>
            <w:tcW w:w="0" w:type="auto"/>
            <w:hideMark/>
          </w:tcPr>
          <w:p w14:paraId="2DE782A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72.2 ± 9.5 (urban), 70.8 ± 8.1 (rural)</w:t>
            </w:r>
          </w:p>
        </w:tc>
        <w:tc>
          <w:tcPr>
            <w:tcW w:w="0" w:type="auto"/>
            <w:hideMark/>
          </w:tcPr>
          <w:p w14:paraId="258CCD7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63.0</w:t>
            </w:r>
          </w:p>
        </w:tc>
        <w:tc>
          <w:tcPr>
            <w:tcW w:w="0" w:type="auto"/>
            <w:hideMark/>
          </w:tcPr>
          <w:p w14:paraId="25B20A1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93.8</w:t>
            </w:r>
          </w:p>
        </w:tc>
        <w:tc>
          <w:tcPr>
            <w:tcW w:w="0" w:type="auto"/>
            <w:noWrap/>
            <w:hideMark/>
          </w:tcPr>
          <w:p w14:paraId="3A3919D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600</w:t>
            </w:r>
          </w:p>
        </w:tc>
        <w:tc>
          <w:tcPr>
            <w:tcW w:w="0" w:type="auto"/>
            <w:hideMark/>
          </w:tcPr>
          <w:p w14:paraId="3BA1745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3BF93DF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63CC13E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36.5</w:t>
            </w:r>
          </w:p>
        </w:tc>
        <w:tc>
          <w:tcPr>
            <w:tcW w:w="0" w:type="auto"/>
          </w:tcPr>
          <w:p w14:paraId="2725AFC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bCs/>
                <w:color w:val="000000"/>
                <w:sz w:val="15"/>
                <w:szCs w:val="15"/>
              </w:rPr>
              <w:t>Low</w:t>
            </w:r>
          </w:p>
        </w:tc>
      </w:tr>
      <w:tr w:rsidR="00435C72" w:rsidRPr="00000849" w14:paraId="72A191BD" w14:textId="77777777" w:rsidTr="00435C72">
        <w:trPr>
          <w:trHeight w:val="1170"/>
        </w:trPr>
        <w:tc>
          <w:tcPr>
            <w:tcW w:w="0" w:type="auto"/>
            <w:hideMark/>
          </w:tcPr>
          <w:p w14:paraId="7946B565"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Dewhurst 2013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25</w:t>
            </w:r>
            <w:r w:rsidRPr="00000849">
              <w:rPr>
                <w:rFonts w:ascii="Calibri" w:eastAsia="Calibri" w:hAnsi="Calibri" w:cs="Calibri"/>
                <w:color w:val="000000"/>
                <w:sz w:val="15"/>
                <w:szCs w:val="15"/>
              </w:rPr>
              <w:t>]</w:t>
            </w:r>
          </w:p>
        </w:tc>
        <w:tc>
          <w:tcPr>
            <w:tcW w:w="0" w:type="auto"/>
            <w:hideMark/>
          </w:tcPr>
          <w:p w14:paraId="28A9D58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Tanzania</w:t>
            </w:r>
          </w:p>
        </w:tc>
        <w:tc>
          <w:tcPr>
            <w:tcW w:w="0" w:type="auto"/>
          </w:tcPr>
          <w:p w14:paraId="1670B2C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2010</w:t>
            </w:r>
          </w:p>
        </w:tc>
        <w:tc>
          <w:tcPr>
            <w:tcW w:w="0" w:type="auto"/>
            <w:hideMark/>
          </w:tcPr>
          <w:p w14:paraId="7C870189"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Rural cohort aged ≥70 years (DSS)</w:t>
            </w:r>
          </w:p>
        </w:tc>
        <w:tc>
          <w:tcPr>
            <w:tcW w:w="0" w:type="auto"/>
            <w:hideMark/>
          </w:tcPr>
          <w:p w14:paraId="6252DA0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93.5</w:t>
            </w:r>
          </w:p>
        </w:tc>
        <w:tc>
          <w:tcPr>
            <w:tcW w:w="0" w:type="auto"/>
            <w:hideMark/>
          </w:tcPr>
          <w:p w14:paraId="1F83491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56.3</w:t>
            </w:r>
          </w:p>
        </w:tc>
        <w:tc>
          <w:tcPr>
            <w:tcW w:w="0" w:type="auto"/>
            <w:hideMark/>
          </w:tcPr>
          <w:p w14:paraId="0A97A53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0.0</w:t>
            </w:r>
          </w:p>
        </w:tc>
        <w:tc>
          <w:tcPr>
            <w:tcW w:w="0" w:type="auto"/>
            <w:hideMark/>
          </w:tcPr>
          <w:p w14:paraId="76A9E8B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100.0</w:t>
            </w:r>
          </w:p>
        </w:tc>
        <w:tc>
          <w:tcPr>
            <w:tcW w:w="0" w:type="auto"/>
            <w:noWrap/>
            <w:hideMark/>
          </w:tcPr>
          <w:p w14:paraId="6F52E94F" w14:textId="77777777" w:rsidR="00435C72" w:rsidRPr="00000849" w:rsidRDefault="00435C72" w:rsidP="00A52C4F">
            <w:pPr>
              <w:jc w:val="center"/>
              <w:rPr>
                <w:rFonts w:ascii="Calibri" w:eastAsia="Times New Roman" w:hAnsi="Calibri" w:cs="Calibri"/>
                <w:color w:val="000000"/>
                <w:sz w:val="15"/>
                <w:szCs w:val="15"/>
              </w:rPr>
            </w:pPr>
          </w:p>
        </w:tc>
        <w:tc>
          <w:tcPr>
            <w:tcW w:w="0" w:type="auto"/>
            <w:noWrap/>
            <w:hideMark/>
          </w:tcPr>
          <w:p w14:paraId="5ACD7AB4" w14:textId="77777777" w:rsidR="00435C72" w:rsidRPr="00000849" w:rsidRDefault="00435C72" w:rsidP="00A52C4F">
            <w:pPr>
              <w:rPr>
                <w:rFonts w:ascii="Times New Roman" w:eastAsia="Times New Roman" w:hAnsi="Times New Roman" w:cs="Times New Roman"/>
                <w:sz w:val="15"/>
                <w:szCs w:val="15"/>
              </w:rPr>
            </w:pPr>
          </w:p>
        </w:tc>
        <w:tc>
          <w:tcPr>
            <w:tcW w:w="0" w:type="auto"/>
            <w:hideMark/>
          </w:tcPr>
          <w:p w14:paraId="17E920BD" w14:textId="77777777" w:rsidR="00435C72" w:rsidRPr="00000849" w:rsidRDefault="00435C72" w:rsidP="00A52C4F">
            <w:pPr>
              <w:rPr>
                <w:rFonts w:ascii="Times New Roman" w:eastAsia="Times New Roman" w:hAnsi="Times New Roman" w:cs="Times New Roman"/>
                <w:sz w:val="15"/>
                <w:szCs w:val="15"/>
              </w:rPr>
            </w:pPr>
          </w:p>
        </w:tc>
        <w:tc>
          <w:tcPr>
            <w:tcW w:w="0" w:type="auto"/>
            <w:noWrap/>
            <w:hideMark/>
          </w:tcPr>
          <w:p w14:paraId="6599A1D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2223</w:t>
            </w:r>
          </w:p>
        </w:tc>
        <w:tc>
          <w:tcPr>
            <w:tcW w:w="0" w:type="auto"/>
            <w:hideMark/>
          </w:tcPr>
          <w:p w14:paraId="51E385C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62.2</w:t>
            </w:r>
          </w:p>
        </w:tc>
        <w:tc>
          <w:tcPr>
            <w:tcW w:w="0" w:type="auto"/>
            <w:hideMark/>
          </w:tcPr>
          <w:p w14:paraId="208F419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75.8</w:t>
            </w:r>
          </w:p>
        </w:tc>
        <w:tc>
          <w:tcPr>
            <w:tcW w:w="0" w:type="auto"/>
            <w:hideMark/>
          </w:tcPr>
          <w:p w14:paraId="32D3F6B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69.9</w:t>
            </w:r>
          </w:p>
        </w:tc>
        <w:tc>
          <w:tcPr>
            <w:tcW w:w="0" w:type="auto"/>
          </w:tcPr>
          <w:p w14:paraId="08AD123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bCs/>
                <w:color w:val="000000"/>
                <w:sz w:val="15"/>
                <w:szCs w:val="15"/>
              </w:rPr>
              <w:t>Low</w:t>
            </w:r>
          </w:p>
        </w:tc>
      </w:tr>
      <w:tr w:rsidR="00435C72" w:rsidRPr="00000849" w14:paraId="0126DD5F" w14:textId="77777777" w:rsidTr="00435C72">
        <w:trPr>
          <w:cnfStyle w:val="000000100000" w:firstRow="0" w:lastRow="0" w:firstColumn="0" w:lastColumn="0" w:oddVBand="0" w:evenVBand="0" w:oddHBand="1" w:evenHBand="0" w:firstRowFirstColumn="0" w:firstRowLastColumn="0" w:lastRowFirstColumn="0" w:lastRowLastColumn="0"/>
          <w:trHeight w:val="1638"/>
        </w:trPr>
        <w:tc>
          <w:tcPr>
            <w:tcW w:w="0" w:type="auto"/>
            <w:hideMark/>
          </w:tcPr>
          <w:p w14:paraId="3B60E8DC" w14:textId="77777777" w:rsidR="00435C72" w:rsidRPr="00000849" w:rsidRDefault="00435C72" w:rsidP="00A52C4F">
            <w:pPr>
              <w:rPr>
                <w:rFonts w:ascii="Calibri" w:eastAsia="Times New Roman" w:hAnsi="Calibri" w:cs="Calibri"/>
                <w:color w:val="000000"/>
                <w:sz w:val="15"/>
                <w:szCs w:val="15"/>
                <w:lang w:val="fr-FR"/>
              </w:rPr>
            </w:pPr>
            <w:r w:rsidRPr="00000849">
              <w:rPr>
                <w:rFonts w:ascii="Calibri" w:eastAsia="Times New Roman" w:hAnsi="Calibri" w:cs="Calibri"/>
                <w:color w:val="000000"/>
                <w:sz w:val="15"/>
                <w:szCs w:val="15"/>
                <w:lang w:val="fr-FR"/>
              </w:rPr>
              <w:t xml:space="preserve">Guerchet 2012A </w:t>
            </w:r>
            <w:r w:rsidRPr="00000849">
              <w:rPr>
                <w:rFonts w:ascii="Calibri" w:eastAsia="Times New Roman" w:hAnsi="Calibri" w:cs="Calibri"/>
                <w:color w:val="000000"/>
                <w:sz w:val="15"/>
                <w:szCs w:val="15"/>
              </w:rPr>
              <w:t xml:space="preserve">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17</w:t>
            </w:r>
            <w:r w:rsidRPr="00000849">
              <w:rPr>
                <w:rFonts w:ascii="Calibri" w:eastAsia="Calibri" w:hAnsi="Calibri" w:cs="Calibri"/>
                <w:color w:val="000000"/>
                <w:sz w:val="15"/>
                <w:szCs w:val="15"/>
              </w:rPr>
              <w:t>]</w:t>
            </w:r>
          </w:p>
        </w:tc>
        <w:tc>
          <w:tcPr>
            <w:tcW w:w="0" w:type="auto"/>
            <w:hideMark/>
          </w:tcPr>
          <w:p w14:paraId="0FD21AA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CAR</w:t>
            </w:r>
          </w:p>
        </w:tc>
        <w:tc>
          <w:tcPr>
            <w:tcW w:w="0" w:type="auto"/>
          </w:tcPr>
          <w:p w14:paraId="0A559DF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2009</w:t>
            </w:r>
          </w:p>
        </w:tc>
        <w:tc>
          <w:tcPr>
            <w:tcW w:w="0" w:type="auto"/>
            <w:hideMark/>
          </w:tcPr>
          <w:p w14:paraId="1199B4AC"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adults aged ≥65 years</w:t>
            </w:r>
          </w:p>
        </w:tc>
        <w:tc>
          <w:tcPr>
            <w:tcW w:w="0" w:type="auto"/>
            <w:hideMark/>
          </w:tcPr>
          <w:p w14:paraId="50B4D6D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96.3</w:t>
            </w:r>
          </w:p>
        </w:tc>
        <w:tc>
          <w:tcPr>
            <w:tcW w:w="0" w:type="auto"/>
            <w:hideMark/>
          </w:tcPr>
          <w:p w14:paraId="44A2E453"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58.1</w:t>
            </w:r>
          </w:p>
        </w:tc>
        <w:tc>
          <w:tcPr>
            <w:tcW w:w="0" w:type="auto"/>
            <w:hideMark/>
          </w:tcPr>
          <w:p w14:paraId="381E256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100.0</w:t>
            </w:r>
          </w:p>
        </w:tc>
        <w:tc>
          <w:tcPr>
            <w:tcW w:w="0" w:type="auto"/>
            <w:hideMark/>
          </w:tcPr>
          <w:p w14:paraId="778DFE2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59.9</w:t>
            </w:r>
          </w:p>
        </w:tc>
        <w:tc>
          <w:tcPr>
            <w:tcW w:w="0" w:type="auto"/>
            <w:hideMark/>
          </w:tcPr>
          <w:p w14:paraId="1D5B927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72.6 ± 6.1</w:t>
            </w:r>
          </w:p>
        </w:tc>
        <w:tc>
          <w:tcPr>
            <w:tcW w:w="0" w:type="auto"/>
            <w:hideMark/>
          </w:tcPr>
          <w:p w14:paraId="5D0F45A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41.6</w:t>
            </w:r>
          </w:p>
        </w:tc>
        <w:tc>
          <w:tcPr>
            <w:tcW w:w="0" w:type="auto"/>
            <w:noWrap/>
            <w:hideMark/>
          </w:tcPr>
          <w:p w14:paraId="2DEF4699" w14:textId="77777777" w:rsidR="00435C72" w:rsidRPr="00000849" w:rsidRDefault="00435C72" w:rsidP="00A52C4F">
            <w:pPr>
              <w:jc w:val="center"/>
              <w:rPr>
                <w:rFonts w:ascii="Calibri" w:eastAsia="Times New Roman" w:hAnsi="Calibri" w:cs="Calibri"/>
                <w:color w:val="000000"/>
                <w:sz w:val="15"/>
                <w:szCs w:val="15"/>
              </w:rPr>
            </w:pPr>
          </w:p>
        </w:tc>
        <w:tc>
          <w:tcPr>
            <w:tcW w:w="0" w:type="auto"/>
            <w:noWrap/>
            <w:hideMark/>
          </w:tcPr>
          <w:p w14:paraId="4F7420E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461</w:t>
            </w:r>
          </w:p>
        </w:tc>
        <w:tc>
          <w:tcPr>
            <w:tcW w:w="0" w:type="auto"/>
            <w:hideMark/>
          </w:tcPr>
          <w:p w14:paraId="351EA55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47.2</w:t>
            </w:r>
          </w:p>
        </w:tc>
        <w:tc>
          <w:tcPr>
            <w:tcW w:w="0" w:type="auto"/>
            <w:hideMark/>
          </w:tcPr>
          <w:p w14:paraId="73B9E4A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62.7</w:t>
            </w:r>
          </w:p>
        </w:tc>
        <w:tc>
          <w:tcPr>
            <w:tcW w:w="0" w:type="auto"/>
            <w:hideMark/>
          </w:tcPr>
          <w:p w14:paraId="3D84CF2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56.2</w:t>
            </w:r>
          </w:p>
        </w:tc>
        <w:tc>
          <w:tcPr>
            <w:tcW w:w="0" w:type="auto"/>
          </w:tcPr>
          <w:p w14:paraId="2B0BDCE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bCs/>
                <w:color w:val="000000"/>
                <w:sz w:val="15"/>
                <w:szCs w:val="15"/>
              </w:rPr>
              <w:t>Low</w:t>
            </w:r>
          </w:p>
        </w:tc>
      </w:tr>
      <w:tr w:rsidR="00435C72" w:rsidRPr="00000849" w14:paraId="68B60DBE" w14:textId="77777777" w:rsidTr="00435C72">
        <w:trPr>
          <w:trHeight w:val="1241"/>
        </w:trPr>
        <w:tc>
          <w:tcPr>
            <w:tcW w:w="0" w:type="auto"/>
            <w:hideMark/>
          </w:tcPr>
          <w:p w14:paraId="4B072941" w14:textId="77777777" w:rsidR="00435C72" w:rsidRPr="00000849" w:rsidRDefault="00435C72" w:rsidP="00A52C4F">
            <w:pPr>
              <w:rPr>
                <w:rFonts w:ascii="Calibri" w:eastAsia="Times New Roman" w:hAnsi="Calibri" w:cs="Calibri"/>
                <w:color w:val="000000"/>
                <w:sz w:val="15"/>
                <w:szCs w:val="15"/>
                <w:lang w:val="fr-FR"/>
              </w:rPr>
            </w:pPr>
            <w:r w:rsidRPr="00000849">
              <w:rPr>
                <w:rFonts w:ascii="Calibri" w:eastAsia="Times New Roman" w:hAnsi="Calibri" w:cs="Calibri"/>
                <w:color w:val="000000"/>
                <w:sz w:val="15"/>
                <w:szCs w:val="15"/>
                <w:lang w:val="fr-FR"/>
              </w:rPr>
              <w:t xml:space="preserve">Guerchet 2012B </w:t>
            </w:r>
            <w:r w:rsidRPr="00000849">
              <w:rPr>
                <w:rFonts w:ascii="Calibri" w:eastAsia="Times New Roman" w:hAnsi="Calibri" w:cs="Calibri"/>
                <w:color w:val="000000"/>
                <w:sz w:val="15"/>
                <w:szCs w:val="15"/>
              </w:rPr>
              <w:t xml:space="preserve">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17</w:t>
            </w:r>
            <w:r w:rsidRPr="00000849">
              <w:rPr>
                <w:rFonts w:ascii="Calibri" w:eastAsia="Calibri" w:hAnsi="Calibri" w:cs="Calibri"/>
                <w:color w:val="000000"/>
                <w:sz w:val="15"/>
                <w:szCs w:val="15"/>
              </w:rPr>
              <w:t>]</w:t>
            </w:r>
          </w:p>
        </w:tc>
        <w:tc>
          <w:tcPr>
            <w:tcW w:w="0" w:type="auto"/>
            <w:hideMark/>
          </w:tcPr>
          <w:p w14:paraId="6CC66EB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Congo</w:t>
            </w:r>
          </w:p>
        </w:tc>
        <w:tc>
          <w:tcPr>
            <w:tcW w:w="0" w:type="auto"/>
          </w:tcPr>
          <w:p w14:paraId="139342F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2009</w:t>
            </w:r>
          </w:p>
        </w:tc>
        <w:tc>
          <w:tcPr>
            <w:tcW w:w="0" w:type="auto"/>
            <w:hideMark/>
          </w:tcPr>
          <w:p w14:paraId="137C022D"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adults aged ≥65 years</w:t>
            </w:r>
          </w:p>
        </w:tc>
        <w:tc>
          <w:tcPr>
            <w:tcW w:w="0" w:type="auto"/>
            <w:hideMark/>
          </w:tcPr>
          <w:p w14:paraId="176C3E0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96.3</w:t>
            </w:r>
          </w:p>
        </w:tc>
        <w:tc>
          <w:tcPr>
            <w:tcW w:w="0" w:type="auto"/>
            <w:hideMark/>
          </w:tcPr>
          <w:p w14:paraId="2E948FE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61.9</w:t>
            </w:r>
          </w:p>
        </w:tc>
        <w:tc>
          <w:tcPr>
            <w:tcW w:w="0" w:type="auto"/>
            <w:hideMark/>
          </w:tcPr>
          <w:p w14:paraId="14613FF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100.0</w:t>
            </w:r>
          </w:p>
        </w:tc>
        <w:tc>
          <w:tcPr>
            <w:tcW w:w="0" w:type="auto"/>
            <w:hideMark/>
          </w:tcPr>
          <w:p w14:paraId="71E00FF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72.0</w:t>
            </w:r>
          </w:p>
        </w:tc>
        <w:tc>
          <w:tcPr>
            <w:tcW w:w="0" w:type="auto"/>
            <w:noWrap/>
            <w:hideMark/>
          </w:tcPr>
          <w:p w14:paraId="3BD269A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74.4 ± 6.7</w:t>
            </w:r>
          </w:p>
        </w:tc>
        <w:tc>
          <w:tcPr>
            <w:tcW w:w="0" w:type="auto"/>
            <w:hideMark/>
          </w:tcPr>
          <w:p w14:paraId="122AFDC3"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38.1</w:t>
            </w:r>
          </w:p>
        </w:tc>
        <w:tc>
          <w:tcPr>
            <w:tcW w:w="0" w:type="auto"/>
            <w:noWrap/>
            <w:hideMark/>
          </w:tcPr>
          <w:p w14:paraId="1655E521" w14:textId="77777777" w:rsidR="00435C72" w:rsidRPr="00000849" w:rsidRDefault="00435C72" w:rsidP="00A52C4F">
            <w:pPr>
              <w:jc w:val="center"/>
              <w:rPr>
                <w:rFonts w:ascii="Calibri" w:eastAsia="Times New Roman" w:hAnsi="Calibri" w:cs="Calibri"/>
                <w:color w:val="000000"/>
                <w:sz w:val="15"/>
                <w:szCs w:val="15"/>
              </w:rPr>
            </w:pPr>
          </w:p>
        </w:tc>
        <w:tc>
          <w:tcPr>
            <w:tcW w:w="0" w:type="auto"/>
            <w:noWrap/>
            <w:hideMark/>
          </w:tcPr>
          <w:p w14:paraId="7843DAC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515</w:t>
            </w:r>
          </w:p>
        </w:tc>
        <w:tc>
          <w:tcPr>
            <w:tcW w:w="0" w:type="auto"/>
            <w:hideMark/>
          </w:tcPr>
          <w:p w14:paraId="5E2E1D6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66.3</w:t>
            </w:r>
          </w:p>
        </w:tc>
        <w:tc>
          <w:tcPr>
            <w:tcW w:w="0" w:type="auto"/>
            <w:hideMark/>
          </w:tcPr>
          <w:p w14:paraId="2A2AC8F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76.2</w:t>
            </w:r>
          </w:p>
        </w:tc>
        <w:tc>
          <w:tcPr>
            <w:tcW w:w="0" w:type="auto"/>
            <w:hideMark/>
          </w:tcPr>
          <w:p w14:paraId="466C8FA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72.4</w:t>
            </w:r>
          </w:p>
        </w:tc>
        <w:tc>
          <w:tcPr>
            <w:tcW w:w="0" w:type="auto"/>
          </w:tcPr>
          <w:p w14:paraId="4DD1124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bCs/>
                <w:color w:val="000000"/>
                <w:sz w:val="15"/>
                <w:szCs w:val="15"/>
              </w:rPr>
              <w:t>Low</w:t>
            </w:r>
          </w:p>
        </w:tc>
      </w:tr>
      <w:tr w:rsidR="00435C72" w:rsidRPr="00000849" w14:paraId="73FBB301" w14:textId="77777777" w:rsidTr="00435C72">
        <w:trPr>
          <w:cnfStyle w:val="000000100000" w:firstRow="0" w:lastRow="0" w:firstColumn="0" w:lastColumn="0" w:oddVBand="0" w:evenVBand="0" w:oddHBand="1" w:evenHBand="0" w:firstRowFirstColumn="0" w:firstRowLastColumn="0" w:lastRowFirstColumn="0" w:lastRowLastColumn="0"/>
          <w:trHeight w:val="936"/>
        </w:trPr>
        <w:tc>
          <w:tcPr>
            <w:tcW w:w="0" w:type="auto"/>
            <w:hideMark/>
          </w:tcPr>
          <w:p w14:paraId="2B3A32D4"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Hammami 2011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26</w:t>
            </w:r>
            <w:r w:rsidRPr="00000849">
              <w:rPr>
                <w:rFonts w:ascii="Calibri" w:eastAsia="Calibri" w:hAnsi="Calibri" w:cs="Calibri"/>
                <w:color w:val="000000"/>
                <w:sz w:val="15"/>
                <w:szCs w:val="15"/>
              </w:rPr>
              <w:t>]</w:t>
            </w:r>
          </w:p>
        </w:tc>
        <w:tc>
          <w:tcPr>
            <w:tcW w:w="0" w:type="auto"/>
            <w:hideMark/>
          </w:tcPr>
          <w:p w14:paraId="72BCABB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Tunisia</w:t>
            </w:r>
          </w:p>
        </w:tc>
        <w:tc>
          <w:tcPr>
            <w:tcW w:w="0" w:type="auto"/>
          </w:tcPr>
          <w:p w14:paraId="4B141D8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2009</w:t>
            </w:r>
          </w:p>
        </w:tc>
        <w:tc>
          <w:tcPr>
            <w:tcW w:w="0" w:type="auto"/>
            <w:hideMark/>
          </w:tcPr>
          <w:p w14:paraId="5DBE086E"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Elderly aged ≥65 years</w:t>
            </w:r>
          </w:p>
        </w:tc>
        <w:tc>
          <w:tcPr>
            <w:tcW w:w="0" w:type="auto"/>
            <w:hideMark/>
          </w:tcPr>
          <w:p w14:paraId="5E5640D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100</w:t>
            </w:r>
          </w:p>
        </w:tc>
        <w:tc>
          <w:tcPr>
            <w:tcW w:w="0" w:type="auto"/>
            <w:hideMark/>
          </w:tcPr>
          <w:p w14:paraId="2E038DD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66.2</w:t>
            </w:r>
          </w:p>
        </w:tc>
        <w:tc>
          <w:tcPr>
            <w:tcW w:w="0" w:type="auto"/>
            <w:hideMark/>
          </w:tcPr>
          <w:p w14:paraId="5965615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86.3</w:t>
            </w:r>
          </w:p>
        </w:tc>
        <w:tc>
          <w:tcPr>
            <w:tcW w:w="0" w:type="auto"/>
            <w:hideMark/>
          </w:tcPr>
          <w:p w14:paraId="215470E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62.0</w:t>
            </w:r>
          </w:p>
        </w:tc>
        <w:tc>
          <w:tcPr>
            <w:tcW w:w="0" w:type="auto"/>
            <w:hideMark/>
          </w:tcPr>
          <w:p w14:paraId="3F7CBC3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72.3 ± 7.4</w:t>
            </w:r>
          </w:p>
        </w:tc>
        <w:tc>
          <w:tcPr>
            <w:tcW w:w="0" w:type="auto"/>
            <w:hideMark/>
          </w:tcPr>
          <w:p w14:paraId="2F4C6EF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60.0</w:t>
            </w:r>
          </w:p>
        </w:tc>
        <w:tc>
          <w:tcPr>
            <w:tcW w:w="0" w:type="auto"/>
            <w:hideMark/>
          </w:tcPr>
          <w:p w14:paraId="2249679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76.9</w:t>
            </w:r>
          </w:p>
        </w:tc>
        <w:tc>
          <w:tcPr>
            <w:tcW w:w="0" w:type="auto"/>
            <w:noWrap/>
            <w:hideMark/>
          </w:tcPr>
          <w:p w14:paraId="7518341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598</w:t>
            </w:r>
          </w:p>
        </w:tc>
        <w:tc>
          <w:tcPr>
            <w:tcW w:w="0" w:type="auto"/>
            <w:hideMark/>
          </w:tcPr>
          <w:p w14:paraId="3C92681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45.0</w:t>
            </w:r>
          </w:p>
        </w:tc>
        <w:tc>
          <w:tcPr>
            <w:tcW w:w="0" w:type="auto"/>
            <w:hideMark/>
          </w:tcPr>
          <w:p w14:paraId="57AEF94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55.6</w:t>
            </w:r>
          </w:p>
        </w:tc>
        <w:tc>
          <w:tcPr>
            <w:tcW w:w="0" w:type="auto"/>
            <w:hideMark/>
          </w:tcPr>
          <w:p w14:paraId="6E9D7C2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52.0</w:t>
            </w:r>
          </w:p>
        </w:tc>
        <w:tc>
          <w:tcPr>
            <w:tcW w:w="0" w:type="auto"/>
          </w:tcPr>
          <w:p w14:paraId="2AB16EFD"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Low</w:t>
            </w:r>
          </w:p>
        </w:tc>
      </w:tr>
      <w:tr w:rsidR="00435C72" w:rsidRPr="00000849" w14:paraId="5B541A06" w14:textId="77777777" w:rsidTr="00435C72">
        <w:trPr>
          <w:trHeight w:val="1170"/>
        </w:trPr>
        <w:tc>
          <w:tcPr>
            <w:tcW w:w="0" w:type="auto"/>
            <w:hideMark/>
          </w:tcPr>
          <w:p w14:paraId="1A0F1810"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lastRenderedPageBreak/>
              <w:t xml:space="preserve">Hien 2014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27</w:t>
            </w:r>
            <w:r w:rsidRPr="00000849">
              <w:rPr>
                <w:rFonts w:ascii="Calibri" w:eastAsia="Calibri" w:hAnsi="Calibri" w:cs="Calibri"/>
                <w:color w:val="000000"/>
                <w:sz w:val="15"/>
                <w:szCs w:val="15"/>
              </w:rPr>
              <w:t>]</w:t>
            </w:r>
          </w:p>
        </w:tc>
        <w:tc>
          <w:tcPr>
            <w:tcW w:w="0" w:type="auto"/>
            <w:hideMark/>
          </w:tcPr>
          <w:p w14:paraId="501AEA7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Burkina Faso</w:t>
            </w:r>
          </w:p>
        </w:tc>
        <w:tc>
          <w:tcPr>
            <w:tcW w:w="0" w:type="auto"/>
          </w:tcPr>
          <w:p w14:paraId="33A1AA1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2012</w:t>
            </w:r>
          </w:p>
        </w:tc>
        <w:tc>
          <w:tcPr>
            <w:tcW w:w="0" w:type="auto"/>
            <w:hideMark/>
          </w:tcPr>
          <w:p w14:paraId="5C077D3D"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Elderly aged ≥60 years</w:t>
            </w:r>
          </w:p>
        </w:tc>
        <w:tc>
          <w:tcPr>
            <w:tcW w:w="0" w:type="auto"/>
            <w:hideMark/>
          </w:tcPr>
          <w:p w14:paraId="265C662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100</w:t>
            </w:r>
          </w:p>
        </w:tc>
        <w:tc>
          <w:tcPr>
            <w:tcW w:w="0" w:type="auto"/>
            <w:hideMark/>
          </w:tcPr>
          <w:p w14:paraId="41C89E1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44.7</w:t>
            </w:r>
          </w:p>
        </w:tc>
        <w:tc>
          <w:tcPr>
            <w:tcW w:w="0" w:type="auto"/>
            <w:hideMark/>
          </w:tcPr>
          <w:p w14:paraId="4865DF1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100.0</w:t>
            </w:r>
          </w:p>
        </w:tc>
        <w:tc>
          <w:tcPr>
            <w:tcW w:w="0" w:type="auto"/>
            <w:hideMark/>
          </w:tcPr>
          <w:p w14:paraId="072BCC6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39.3</w:t>
            </w:r>
          </w:p>
        </w:tc>
        <w:tc>
          <w:tcPr>
            <w:tcW w:w="0" w:type="auto"/>
            <w:hideMark/>
          </w:tcPr>
          <w:p w14:paraId="364C24A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69 ± 7</w:t>
            </w:r>
          </w:p>
        </w:tc>
        <w:tc>
          <w:tcPr>
            <w:tcW w:w="0" w:type="auto"/>
            <w:hideMark/>
          </w:tcPr>
          <w:p w14:paraId="2226700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58.7</w:t>
            </w:r>
          </w:p>
        </w:tc>
        <w:tc>
          <w:tcPr>
            <w:tcW w:w="0" w:type="auto"/>
            <w:hideMark/>
          </w:tcPr>
          <w:p w14:paraId="37A4D58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54.1</w:t>
            </w:r>
          </w:p>
        </w:tc>
        <w:tc>
          <w:tcPr>
            <w:tcW w:w="0" w:type="auto"/>
            <w:noWrap/>
            <w:hideMark/>
          </w:tcPr>
          <w:p w14:paraId="49A1324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389</w:t>
            </w:r>
          </w:p>
        </w:tc>
        <w:tc>
          <w:tcPr>
            <w:tcW w:w="0" w:type="auto"/>
            <w:hideMark/>
          </w:tcPr>
          <w:p w14:paraId="4811ABA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79.1</w:t>
            </w:r>
          </w:p>
        </w:tc>
        <w:tc>
          <w:tcPr>
            <w:tcW w:w="0" w:type="auto"/>
            <w:hideMark/>
          </w:tcPr>
          <w:p w14:paraId="68F2D67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86.2</w:t>
            </w:r>
          </w:p>
        </w:tc>
        <w:tc>
          <w:tcPr>
            <w:tcW w:w="0" w:type="auto"/>
            <w:hideMark/>
          </w:tcPr>
          <w:p w14:paraId="4719B6C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82.3</w:t>
            </w:r>
          </w:p>
        </w:tc>
        <w:tc>
          <w:tcPr>
            <w:tcW w:w="0" w:type="auto"/>
          </w:tcPr>
          <w:p w14:paraId="408577DC"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Low</w:t>
            </w:r>
          </w:p>
        </w:tc>
      </w:tr>
      <w:tr w:rsidR="00435C72" w:rsidRPr="00000849" w14:paraId="67E0F594" w14:textId="77777777" w:rsidTr="00435C72">
        <w:trPr>
          <w:cnfStyle w:val="000000100000" w:firstRow="0" w:lastRow="0" w:firstColumn="0" w:lastColumn="0" w:oddVBand="0" w:evenVBand="0" w:oddHBand="1" w:evenHBand="0" w:firstRowFirstColumn="0" w:firstRowLastColumn="0" w:lastRowFirstColumn="0" w:lastRowLastColumn="0"/>
          <w:trHeight w:val="1170"/>
        </w:trPr>
        <w:tc>
          <w:tcPr>
            <w:tcW w:w="0" w:type="auto"/>
            <w:hideMark/>
          </w:tcPr>
          <w:p w14:paraId="44772F9F"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Iribhogbe 2013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28</w:t>
            </w:r>
            <w:r w:rsidRPr="00000849">
              <w:rPr>
                <w:rFonts w:ascii="Calibri" w:eastAsia="Calibri" w:hAnsi="Calibri" w:cs="Calibri"/>
                <w:color w:val="000000"/>
                <w:sz w:val="15"/>
                <w:szCs w:val="15"/>
              </w:rPr>
              <w:t>]</w:t>
            </w:r>
          </w:p>
        </w:tc>
        <w:tc>
          <w:tcPr>
            <w:tcW w:w="0" w:type="auto"/>
            <w:hideMark/>
          </w:tcPr>
          <w:p w14:paraId="2B6ABFA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Nigeria</w:t>
            </w:r>
          </w:p>
        </w:tc>
        <w:tc>
          <w:tcPr>
            <w:tcW w:w="0" w:type="auto"/>
          </w:tcPr>
          <w:p w14:paraId="3946474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2012</w:t>
            </w:r>
          </w:p>
        </w:tc>
        <w:tc>
          <w:tcPr>
            <w:tcW w:w="0" w:type="auto"/>
            <w:hideMark/>
          </w:tcPr>
          <w:p w14:paraId="582A1735"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church attendants aged ≥50 years</w:t>
            </w:r>
          </w:p>
        </w:tc>
        <w:tc>
          <w:tcPr>
            <w:tcW w:w="0" w:type="auto"/>
            <w:hideMark/>
          </w:tcPr>
          <w:p w14:paraId="61C93BF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100.0</w:t>
            </w:r>
          </w:p>
        </w:tc>
        <w:tc>
          <w:tcPr>
            <w:tcW w:w="0" w:type="auto"/>
            <w:hideMark/>
          </w:tcPr>
          <w:p w14:paraId="000E92A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50.0</w:t>
            </w:r>
          </w:p>
        </w:tc>
        <w:tc>
          <w:tcPr>
            <w:tcW w:w="0" w:type="auto"/>
            <w:hideMark/>
          </w:tcPr>
          <w:p w14:paraId="4A1BF5CA" w14:textId="77777777" w:rsidR="00435C72" w:rsidRPr="00000849" w:rsidRDefault="00435C72" w:rsidP="00A52C4F">
            <w:pPr>
              <w:jc w:val="center"/>
              <w:rPr>
                <w:rFonts w:ascii="Calibri" w:eastAsia="Times New Roman" w:hAnsi="Calibri" w:cs="Calibri"/>
                <w:color w:val="000000"/>
                <w:sz w:val="15"/>
                <w:szCs w:val="15"/>
              </w:rPr>
            </w:pPr>
          </w:p>
        </w:tc>
        <w:tc>
          <w:tcPr>
            <w:tcW w:w="0" w:type="auto"/>
            <w:hideMark/>
          </w:tcPr>
          <w:p w14:paraId="2DB1354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23.5</w:t>
            </w:r>
          </w:p>
        </w:tc>
        <w:tc>
          <w:tcPr>
            <w:tcW w:w="0" w:type="auto"/>
            <w:hideMark/>
          </w:tcPr>
          <w:p w14:paraId="0255C5A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67.55 ± 16.61</w:t>
            </w:r>
          </w:p>
        </w:tc>
        <w:tc>
          <w:tcPr>
            <w:tcW w:w="0" w:type="auto"/>
            <w:hideMark/>
          </w:tcPr>
          <w:p w14:paraId="2F8D525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5B9DB5C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4C540ED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w:t>
            </w:r>
          </w:p>
        </w:tc>
        <w:tc>
          <w:tcPr>
            <w:tcW w:w="0" w:type="auto"/>
            <w:hideMark/>
          </w:tcPr>
          <w:p w14:paraId="4FC9ABF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58.0</w:t>
            </w:r>
          </w:p>
        </w:tc>
        <w:tc>
          <w:tcPr>
            <w:tcW w:w="0" w:type="auto"/>
            <w:hideMark/>
          </w:tcPr>
          <w:p w14:paraId="06D5F6A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35.0</w:t>
            </w:r>
          </w:p>
        </w:tc>
        <w:tc>
          <w:tcPr>
            <w:tcW w:w="0" w:type="auto"/>
            <w:hideMark/>
          </w:tcPr>
          <w:p w14:paraId="596302D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46.5</w:t>
            </w:r>
          </w:p>
        </w:tc>
        <w:tc>
          <w:tcPr>
            <w:tcW w:w="0" w:type="auto"/>
          </w:tcPr>
          <w:p w14:paraId="467093C0"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High</w:t>
            </w:r>
          </w:p>
        </w:tc>
      </w:tr>
      <w:tr w:rsidR="00435C72" w:rsidRPr="00000849" w14:paraId="197BAC95" w14:textId="77777777" w:rsidTr="00435C72">
        <w:trPr>
          <w:trHeight w:val="1872"/>
        </w:trPr>
        <w:tc>
          <w:tcPr>
            <w:tcW w:w="0" w:type="auto"/>
            <w:hideMark/>
          </w:tcPr>
          <w:p w14:paraId="3C3A1DE3" w14:textId="77777777" w:rsidR="00435C72" w:rsidRPr="00000849" w:rsidRDefault="00435C72" w:rsidP="00A52C4F">
            <w:pPr>
              <w:rPr>
                <w:rFonts w:ascii="Calibri" w:eastAsia="Times New Roman" w:hAnsi="Calibri" w:cs="Calibri"/>
                <w:color w:val="000000"/>
                <w:sz w:val="15"/>
                <w:szCs w:val="15"/>
                <w:lang w:val="fr-FR"/>
              </w:rPr>
            </w:pPr>
            <w:r w:rsidRPr="00000849">
              <w:rPr>
                <w:rFonts w:ascii="Calibri" w:eastAsia="Times New Roman" w:hAnsi="Calibri" w:cs="Calibri"/>
                <w:color w:val="000000"/>
                <w:sz w:val="15"/>
                <w:szCs w:val="15"/>
                <w:lang w:val="fr-FR"/>
              </w:rPr>
              <w:t xml:space="preserve">Koopman 2012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29</w:t>
            </w:r>
            <w:r w:rsidRPr="00000849">
              <w:rPr>
                <w:rFonts w:ascii="Calibri" w:eastAsia="Calibri" w:hAnsi="Calibri" w:cs="Calibri"/>
                <w:color w:val="000000"/>
                <w:sz w:val="15"/>
                <w:szCs w:val="15"/>
              </w:rPr>
              <w:t>]</w:t>
            </w:r>
          </w:p>
        </w:tc>
        <w:tc>
          <w:tcPr>
            <w:tcW w:w="0" w:type="auto"/>
            <w:hideMark/>
          </w:tcPr>
          <w:p w14:paraId="1C994F4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Ghana</w:t>
            </w:r>
          </w:p>
        </w:tc>
        <w:tc>
          <w:tcPr>
            <w:tcW w:w="0" w:type="auto"/>
          </w:tcPr>
          <w:p w14:paraId="40823686" w14:textId="77777777" w:rsidR="00435C72" w:rsidRPr="00000849" w:rsidRDefault="00435C72" w:rsidP="00A52C4F">
            <w:pPr>
              <w:jc w:val="right"/>
              <w:rPr>
                <w:rFonts w:ascii="Calibri" w:eastAsia="Times New Roman" w:hAnsi="Calibri" w:cs="Calibri"/>
                <w:color w:val="000000"/>
                <w:sz w:val="15"/>
                <w:szCs w:val="15"/>
              </w:rPr>
            </w:pPr>
            <w:r w:rsidRPr="00000849">
              <w:rPr>
                <w:rFonts w:ascii="Calibri" w:eastAsia="Times New Roman" w:hAnsi="Calibri" w:cs="Calibri"/>
                <w:color w:val="000000"/>
                <w:sz w:val="15"/>
                <w:szCs w:val="15"/>
              </w:rPr>
              <w:t>2010</w:t>
            </w:r>
          </w:p>
        </w:tc>
        <w:tc>
          <w:tcPr>
            <w:tcW w:w="0" w:type="auto"/>
            <w:hideMark/>
          </w:tcPr>
          <w:p w14:paraId="5E727836"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registered inhabitants ≥50 years</w:t>
            </w:r>
          </w:p>
        </w:tc>
        <w:tc>
          <w:tcPr>
            <w:tcW w:w="0" w:type="auto"/>
            <w:hideMark/>
          </w:tcPr>
          <w:p w14:paraId="687A9F0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85.4</w:t>
            </w:r>
          </w:p>
        </w:tc>
        <w:tc>
          <w:tcPr>
            <w:tcW w:w="0" w:type="auto"/>
            <w:hideMark/>
          </w:tcPr>
          <w:p w14:paraId="4333F9E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48.1</w:t>
            </w:r>
          </w:p>
        </w:tc>
        <w:tc>
          <w:tcPr>
            <w:tcW w:w="0" w:type="auto"/>
            <w:noWrap/>
            <w:hideMark/>
          </w:tcPr>
          <w:p w14:paraId="3C07FB40" w14:textId="77777777" w:rsidR="00435C72" w:rsidRPr="00000849" w:rsidRDefault="00435C72" w:rsidP="00A52C4F">
            <w:pPr>
              <w:jc w:val="center"/>
              <w:rPr>
                <w:rFonts w:ascii="Calibri" w:eastAsia="Times New Roman" w:hAnsi="Calibri" w:cs="Calibri"/>
                <w:color w:val="000000"/>
                <w:sz w:val="15"/>
                <w:szCs w:val="15"/>
              </w:rPr>
            </w:pPr>
          </w:p>
        </w:tc>
        <w:tc>
          <w:tcPr>
            <w:tcW w:w="0" w:type="auto"/>
            <w:hideMark/>
          </w:tcPr>
          <w:p w14:paraId="193E8D4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35.3</w:t>
            </w:r>
          </w:p>
        </w:tc>
        <w:tc>
          <w:tcPr>
            <w:tcW w:w="0" w:type="auto"/>
            <w:noWrap/>
            <w:hideMark/>
          </w:tcPr>
          <w:p w14:paraId="0FBEE47E" w14:textId="77777777" w:rsidR="00435C72" w:rsidRPr="00000849" w:rsidRDefault="00435C72" w:rsidP="00A52C4F">
            <w:pPr>
              <w:jc w:val="center"/>
              <w:rPr>
                <w:rFonts w:ascii="Calibri" w:eastAsia="Times New Roman" w:hAnsi="Calibri" w:cs="Calibri"/>
                <w:color w:val="000000"/>
                <w:sz w:val="15"/>
                <w:szCs w:val="15"/>
              </w:rPr>
            </w:pPr>
          </w:p>
        </w:tc>
        <w:tc>
          <w:tcPr>
            <w:tcW w:w="0" w:type="auto"/>
            <w:hideMark/>
          </w:tcPr>
          <w:p w14:paraId="2950676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0C9AB129"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258B18D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924</w:t>
            </w:r>
          </w:p>
        </w:tc>
        <w:tc>
          <w:tcPr>
            <w:tcW w:w="0" w:type="auto"/>
            <w:hideMark/>
          </w:tcPr>
          <w:p w14:paraId="644574C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25.6</w:t>
            </w:r>
          </w:p>
        </w:tc>
        <w:tc>
          <w:tcPr>
            <w:tcW w:w="0" w:type="auto"/>
            <w:hideMark/>
          </w:tcPr>
          <w:p w14:paraId="579DF3B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22.5</w:t>
            </w:r>
          </w:p>
        </w:tc>
        <w:tc>
          <w:tcPr>
            <w:tcW w:w="0" w:type="auto"/>
            <w:hideMark/>
          </w:tcPr>
          <w:p w14:paraId="619BDC9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24.1</w:t>
            </w:r>
          </w:p>
        </w:tc>
        <w:tc>
          <w:tcPr>
            <w:tcW w:w="0" w:type="auto"/>
          </w:tcPr>
          <w:p w14:paraId="336A8BA3"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Low</w:t>
            </w:r>
          </w:p>
        </w:tc>
      </w:tr>
      <w:tr w:rsidR="00435C72" w:rsidRPr="00000849" w14:paraId="69E62B5E" w14:textId="77777777" w:rsidTr="00435C72">
        <w:trPr>
          <w:cnfStyle w:val="000000100000" w:firstRow="0" w:lastRow="0" w:firstColumn="0" w:lastColumn="0" w:oddVBand="0" w:evenVBand="0" w:oddHBand="1" w:evenHBand="0" w:firstRowFirstColumn="0" w:firstRowLastColumn="0" w:lastRowFirstColumn="0" w:lastRowLastColumn="0"/>
          <w:trHeight w:val="1404"/>
        </w:trPr>
        <w:tc>
          <w:tcPr>
            <w:tcW w:w="0" w:type="auto"/>
            <w:hideMark/>
          </w:tcPr>
          <w:p w14:paraId="389884BB"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Macia 2012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30</w:t>
            </w:r>
            <w:r w:rsidRPr="00000849">
              <w:rPr>
                <w:rFonts w:ascii="Calibri" w:eastAsia="Calibri" w:hAnsi="Calibri" w:cs="Calibri"/>
                <w:color w:val="000000"/>
                <w:sz w:val="15"/>
                <w:szCs w:val="15"/>
              </w:rPr>
              <w:t>]</w:t>
            </w:r>
          </w:p>
        </w:tc>
        <w:tc>
          <w:tcPr>
            <w:tcW w:w="0" w:type="auto"/>
            <w:hideMark/>
          </w:tcPr>
          <w:p w14:paraId="4E28C10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Senegal</w:t>
            </w:r>
          </w:p>
        </w:tc>
        <w:tc>
          <w:tcPr>
            <w:tcW w:w="0" w:type="auto"/>
          </w:tcPr>
          <w:p w14:paraId="0C8284F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2009</w:t>
            </w:r>
          </w:p>
        </w:tc>
        <w:tc>
          <w:tcPr>
            <w:tcW w:w="0" w:type="auto"/>
            <w:hideMark/>
          </w:tcPr>
          <w:p w14:paraId="063298AC"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adults aged ≥50 years </w:t>
            </w:r>
          </w:p>
        </w:tc>
        <w:tc>
          <w:tcPr>
            <w:tcW w:w="0" w:type="auto"/>
            <w:hideMark/>
          </w:tcPr>
          <w:p w14:paraId="5E17BBC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NR</w:t>
            </w:r>
          </w:p>
        </w:tc>
        <w:tc>
          <w:tcPr>
            <w:tcW w:w="0" w:type="auto"/>
            <w:hideMark/>
          </w:tcPr>
          <w:p w14:paraId="4F8B8B1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47.4</w:t>
            </w:r>
          </w:p>
        </w:tc>
        <w:tc>
          <w:tcPr>
            <w:tcW w:w="0" w:type="auto"/>
            <w:hideMark/>
          </w:tcPr>
          <w:p w14:paraId="376414B3"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100.0</w:t>
            </w:r>
          </w:p>
        </w:tc>
        <w:tc>
          <w:tcPr>
            <w:tcW w:w="0" w:type="auto"/>
            <w:hideMark/>
          </w:tcPr>
          <w:p w14:paraId="157AEFF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19.2</w:t>
            </w:r>
          </w:p>
        </w:tc>
        <w:tc>
          <w:tcPr>
            <w:tcW w:w="0" w:type="auto"/>
            <w:noWrap/>
            <w:hideMark/>
          </w:tcPr>
          <w:p w14:paraId="2854C7E0" w14:textId="77777777" w:rsidR="00435C72" w:rsidRPr="00000849" w:rsidRDefault="00435C72" w:rsidP="00A52C4F">
            <w:pPr>
              <w:jc w:val="center"/>
              <w:rPr>
                <w:rFonts w:ascii="Calibri" w:eastAsia="Times New Roman" w:hAnsi="Calibri" w:cs="Calibri"/>
                <w:color w:val="000000"/>
                <w:sz w:val="15"/>
                <w:szCs w:val="15"/>
              </w:rPr>
            </w:pPr>
          </w:p>
        </w:tc>
        <w:tc>
          <w:tcPr>
            <w:tcW w:w="0" w:type="auto"/>
            <w:hideMark/>
          </w:tcPr>
          <w:p w14:paraId="57849A7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74.4</w:t>
            </w:r>
          </w:p>
        </w:tc>
        <w:tc>
          <w:tcPr>
            <w:tcW w:w="0" w:type="auto"/>
            <w:hideMark/>
          </w:tcPr>
          <w:p w14:paraId="15279D8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45.6</w:t>
            </w:r>
          </w:p>
        </w:tc>
        <w:tc>
          <w:tcPr>
            <w:tcW w:w="0" w:type="auto"/>
            <w:noWrap/>
            <w:hideMark/>
          </w:tcPr>
          <w:p w14:paraId="2BD22D83"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500</w:t>
            </w:r>
          </w:p>
        </w:tc>
        <w:tc>
          <w:tcPr>
            <w:tcW w:w="0" w:type="auto"/>
            <w:hideMark/>
          </w:tcPr>
          <w:p w14:paraId="3928D7A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63.9</w:t>
            </w:r>
          </w:p>
        </w:tc>
        <w:tc>
          <w:tcPr>
            <w:tcW w:w="0" w:type="auto"/>
            <w:hideMark/>
          </w:tcPr>
          <w:p w14:paraId="6EE5EC1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67.1</w:t>
            </w:r>
          </w:p>
        </w:tc>
        <w:tc>
          <w:tcPr>
            <w:tcW w:w="0" w:type="auto"/>
            <w:hideMark/>
          </w:tcPr>
          <w:p w14:paraId="059E568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65.4</w:t>
            </w:r>
          </w:p>
        </w:tc>
        <w:tc>
          <w:tcPr>
            <w:tcW w:w="0" w:type="auto"/>
          </w:tcPr>
          <w:p w14:paraId="266ACA78"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Moderate</w:t>
            </w:r>
          </w:p>
        </w:tc>
      </w:tr>
      <w:tr w:rsidR="00435C72" w:rsidRPr="00000849" w14:paraId="331EE605" w14:textId="77777777" w:rsidTr="00435C72">
        <w:trPr>
          <w:trHeight w:val="936"/>
        </w:trPr>
        <w:tc>
          <w:tcPr>
            <w:tcW w:w="0" w:type="auto"/>
            <w:hideMark/>
          </w:tcPr>
          <w:p w14:paraId="3E1AA3D1"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Mathenge 2010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31</w:t>
            </w:r>
            <w:r w:rsidRPr="00000849">
              <w:rPr>
                <w:rFonts w:ascii="Calibri" w:eastAsia="Calibri" w:hAnsi="Calibri" w:cs="Calibri"/>
                <w:color w:val="000000"/>
                <w:sz w:val="15"/>
                <w:szCs w:val="15"/>
              </w:rPr>
              <w:t>]</w:t>
            </w:r>
          </w:p>
        </w:tc>
        <w:tc>
          <w:tcPr>
            <w:tcW w:w="0" w:type="auto"/>
            <w:hideMark/>
          </w:tcPr>
          <w:p w14:paraId="1F0B6DA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Kenya</w:t>
            </w:r>
          </w:p>
        </w:tc>
        <w:tc>
          <w:tcPr>
            <w:tcW w:w="0" w:type="auto"/>
          </w:tcPr>
          <w:p w14:paraId="1479982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2008</w:t>
            </w:r>
          </w:p>
        </w:tc>
        <w:tc>
          <w:tcPr>
            <w:tcW w:w="0" w:type="auto"/>
            <w:hideMark/>
          </w:tcPr>
          <w:p w14:paraId="17CDC6EA"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adults aged ≥50 years</w:t>
            </w:r>
          </w:p>
        </w:tc>
        <w:tc>
          <w:tcPr>
            <w:tcW w:w="0" w:type="auto"/>
            <w:hideMark/>
          </w:tcPr>
          <w:p w14:paraId="4C54B6D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87.7</w:t>
            </w:r>
          </w:p>
        </w:tc>
        <w:tc>
          <w:tcPr>
            <w:tcW w:w="0" w:type="auto"/>
            <w:hideMark/>
          </w:tcPr>
          <w:p w14:paraId="68F6C93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52.3</w:t>
            </w:r>
          </w:p>
        </w:tc>
        <w:tc>
          <w:tcPr>
            <w:tcW w:w="0" w:type="auto"/>
            <w:hideMark/>
          </w:tcPr>
          <w:p w14:paraId="5E9239E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32.7</w:t>
            </w:r>
          </w:p>
        </w:tc>
        <w:tc>
          <w:tcPr>
            <w:tcW w:w="0" w:type="auto"/>
            <w:hideMark/>
          </w:tcPr>
          <w:p w14:paraId="2AC3C3C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26.4</w:t>
            </w:r>
          </w:p>
        </w:tc>
        <w:tc>
          <w:tcPr>
            <w:tcW w:w="0" w:type="auto"/>
            <w:noWrap/>
            <w:hideMark/>
          </w:tcPr>
          <w:p w14:paraId="333AB556"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6E4B6A5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5E3CBF5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33.1</w:t>
            </w:r>
          </w:p>
        </w:tc>
        <w:tc>
          <w:tcPr>
            <w:tcW w:w="0" w:type="auto"/>
            <w:noWrap/>
            <w:hideMark/>
          </w:tcPr>
          <w:p w14:paraId="5B84433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4396</w:t>
            </w:r>
          </w:p>
        </w:tc>
        <w:tc>
          <w:tcPr>
            <w:tcW w:w="0" w:type="auto"/>
            <w:noWrap/>
            <w:hideMark/>
          </w:tcPr>
          <w:p w14:paraId="7C12948D" w14:textId="77777777" w:rsidR="00435C72" w:rsidRPr="00000849" w:rsidRDefault="00435C72" w:rsidP="00A52C4F">
            <w:pPr>
              <w:jc w:val="center"/>
              <w:rPr>
                <w:rFonts w:ascii="Calibri" w:eastAsia="Times New Roman" w:hAnsi="Calibri" w:cs="Calibri"/>
                <w:color w:val="000000"/>
                <w:sz w:val="15"/>
                <w:szCs w:val="15"/>
              </w:rPr>
            </w:pPr>
          </w:p>
        </w:tc>
        <w:tc>
          <w:tcPr>
            <w:tcW w:w="0" w:type="auto"/>
            <w:noWrap/>
            <w:hideMark/>
          </w:tcPr>
          <w:p w14:paraId="6FD9D8AF" w14:textId="77777777" w:rsidR="00435C72" w:rsidRPr="00000849" w:rsidRDefault="00435C72" w:rsidP="00A52C4F">
            <w:pPr>
              <w:rPr>
                <w:rFonts w:ascii="Times New Roman" w:eastAsia="Times New Roman" w:hAnsi="Times New Roman" w:cs="Times New Roman"/>
                <w:sz w:val="15"/>
                <w:szCs w:val="15"/>
              </w:rPr>
            </w:pPr>
          </w:p>
        </w:tc>
        <w:tc>
          <w:tcPr>
            <w:tcW w:w="0" w:type="auto"/>
            <w:hideMark/>
          </w:tcPr>
          <w:p w14:paraId="135AAE5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50.1</w:t>
            </w:r>
          </w:p>
        </w:tc>
        <w:tc>
          <w:tcPr>
            <w:tcW w:w="0" w:type="auto"/>
          </w:tcPr>
          <w:p w14:paraId="18DEB6FE"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Low</w:t>
            </w:r>
          </w:p>
        </w:tc>
      </w:tr>
      <w:tr w:rsidR="00435C72" w:rsidRPr="00000849" w14:paraId="782843E7" w14:textId="77777777" w:rsidTr="00435C72">
        <w:trPr>
          <w:cnfStyle w:val="000000100000" w:firstRow="0" w:lastRow="0" w:firstColumn="0" w:lastColumn="0" w:oddVBand="0" w:evenVBand="0" w:oddHBand="1" w:evenHBand="0" w:firstRowFirstColumn="0" w:firstRowLastColumn="0" w:lastRowFirstColumn="0" w:lastRowLastColumn="0"/>
          <w:trHeight w:val="936"/>
        </w:trPr>
        <w:tc>
          <w:tcPr>
            <w:tcW w:w="0" w:type="auto"/>
            <w:hideMark/>
          </w:tcPr>
          <w:p w14:paraId="436B2D0D"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Minicuci 2014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22</w:t>
            </w:r>
            <w:r w:rsidRPr="00000849">
              <w:rPr>
                <w:rFonts w:ascii="Calibri" w:eastAsia="Calibri" w:hAnsi="Calibri" w:cs="Calibri"/>
                <w:color w:val="000000"/>
                <w:sz w:val="15"/>
                <w:szCs w:val="15"/>
              </w:rPr>
              <w:t>]</w:t>
            </w:r>
          </w:p>
        </w:tc>
        <w:tc>
          <w:tcPr>
            <w:tcW w:w="0" w:type="auto"/>
            <w:hideMark/>
          </w:tcPr>
          <w:p w14:paraId="01AC206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Ghana</w:t>
            </w:r>
          </w:p>
        </w:tc>
        <w:tc>
          <w:tcPr>
            <w:tcW w:w="0" w:type="auto"/>
          </w:tcPr>
          <w:p w14:paraId="43637FE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2008</w:t>
            </w:r>
          </w:p>
        </w:tc>
        <w:tc>
          <w:tcPr>
            <w:tcW w:w="0" w:type="auto"/>
            <w:hideMark/>
          </w:tcPr>
          <w:p w14:paraId="5B2ED07B"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adults aged ≥50 years</w:t>
            </w:r>
          </w:p>
        </w:tc>
        <w:tc>
          <w:tcPr>
            <w:tcW w:w="0" w:type="auto"/>
            <w:hideMark/>
          </w:tcPr>
          <w:p w14:paraId="2E00F06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95.9</w:t>
            </w:r>
          </w:p>
        </w:tc>
        <w:tc>
          <w:tcPr>
            <w:tcW w:w="0" w:type="auto"/>
            <w:hideMark/>
          </w:tcPr>
          <w:p w14:paraId="7514551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50.3</w:t>
            </w:r>
          </w:p>
        </w:tc>
        <w:tc>
          <w:tcPr>
            <w:tcW w:w="0" w:type="auto"/>
            <w:hideMark/>
          </w:tcPr>
          <w:p w14:paraId="28116F3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40.6</w:t>
            </w:r>
          </w:p>
        </w:tc>
        <w:tc>
          <w:tcPr>
            <w:tcW w:w="0" w:type="auto"/>
            <w:hideMark/>
          </w:tcPr>
          <w:p w14:paraId="3FE416E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32.5</w:t>
            </w:r>
          </w:p>
        </w:tc>
        <w:tc>
          <w:tcPr>
            <w:tcW w:w="0" w:type="auto"/>
            <w:noWrap/>
            <w:hideMark/>
          </w:tcPr>
          <w:p w14:paraId="2C4F5CCF"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7BA8303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59.8</w:t>
            </w:r>
          </w:p>
        </w:tc>
        <w:tc>
          <w:tcPr>
            <w:tcW w:w="0" w:type="auto"/>
            <w:hideMark/>
          </w:tcPr>
          <w:p w14:paraId="7E4E7E9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54.0</w:t>
            </w:r>
          </w:p>
        </w:tc>
        <w:tc>
          <w:tcPr>
            <w:tcW w:w="0" w:type="auto"/>
            <w:hideMark/>
          </w:tcPr>
          <w:p w14:paraId="245BC4D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4724</w:t>
            </w:r>
          </w:p>
        </w:tc>
        <w:tc>
          <w:tcPr>
            <w:tcW w:w="0" w:type="auto"/>
            <w:hideMark/>
          </w:tcPr>
          <w:p w14:paraId="6F9C5A4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51.5</w:t>
            </w:r>
          </w:p>
        </w:tc>
        <w:tc>
          <w:tcPr>
            <w:tcW w:w="0" w:type="auto"/>
            <w:hideMark/>
          </w:tcPr>
          <w:p w14:paraId="5C4049A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50.7</w:t>
            </w:r>
          </w:p>
        </w:tc>
        <w:tc>
          <w:tcPr>
            <w:tcW w:w="0" w:type="auto"/>
            <w:hideMark/>
          </w:tcPr>
          <w:p w14:paraId="29559EC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51.1</w:t>
            </w:r>
          </w:p>
        </w:tc>
        <w:tc>
          <w:tcPr>
            <w:tcW w:w="0" w:type="auto"/>
          </w:tcPr>
          <w:p w14:paraId="54B9D4DF"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Low</w:t>
            </w:r>
          </w:p>
        </w:tc>
      </w:tr>
      <w:tr w:rsidR="00435C72" w:rsidRPr="00000849" w14:paraId="251A133F" w14:textId="77777777" w:rsidTr="00435C72">
        <w:trPr>
          <w:trHeight w:val="1638"/>
        </w:trPr>
        <w:tc>
          <w:tcPr>
            <w:tcW w:w="0" w:type="auto"/>
            <w:hideMark/>
          </w:tcPr>
          <w:p w14:paraId="3BC1ED67"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lastRenderedPageBreak/>
              <w:t xml:space="preserve">Mkhize 2011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32</w:t>
            </w:r>
            <w:r w:rsidRPr="00000849">
              <w:rPr>
                <w:rFonts w:ascii="Calibri" w:eastAsia="Calibri" w:hAnsi="Calibri" w:cs="Calibri"/>
                <w:color w:val="000000"/>
                <w:sz w:val="15"/>
                <w:szCs w:val="15"/>
              </w:rPr>
              <w:t>]</w:t>
            </w:r>
          </w:p>
        </w:tc>
        <w:tc>
          <w:tcPr>
            <w:tcW w:w="0" w:type="auto"/>
            <w:hideMark/>
          </w:tcPr>
          <w:p w14:paraId="19BD654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South Africa</w:t>
            </w:r>
          </w:p>
        </w:tc>
        <w:tc>
          <w:tcPr>
            <w:tcW w:w="0" w:type="auto"/>
          </w:tcPr>
          <w:p w14:paraId="11E24A7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2008</w:t>
            </w:r>
          </w:p>
        </w:tc>
        <w:tc>
          <w:tcPr>
            <w:tcW w:w="0" w:type="auto"/>
            <w:hideMark/>
          </w:tcPr>
          <w:p w14:paraId="314FF852"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elderly persons aged ≥60 years  </w:t>
            </w:r>
          </w:p>
        </w:tc>
        <w:tc>
          <w:tcPr>
            <w:tcW w:w="0" w:type="auto"/>
            <w:hideMark/>
          </w:tcPr>
          <w:p w14:paraId="63F63EF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78DBBB5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83.0</w:t>
            </w:r>
          </w:p>
        </w:tc>
        <w:tc>
          <w:tcPr>
            <w:tcW w:w="0" w:type="auto"/>
            <w:noWrap/>
            <w:hideMark/>
          </w:tcPr>
          <w:p w14:paraId="20AED85E" w14:textId="77777777" w:rsidR="00435C72" w:rsidRPr="00000849" w:rsidRDefault="00435C72" w:rsidP="00A52C4F">
            <w:pPr>
              <w:jc w:val="center"/>
              <w:rPr>
                <w:rFonts w:ascii="Calibri" w:eastAsia="Times New Roman" w:hAnsi="Calibri" w:cs="Calibri"/>
                <w:color w:val="000000"/>
                <w:sz w:val="15"/>
                <w:szCs w:val="15"/>
              </w:rPr>
            </w:pPr>
          </w:p>
        </w:tc>
        <w:tc>
          <w:tcPr>
            <w:tcW w:w="0" w:type="auto"/>
            <w:hideMark/>
          </w:tcPr>
          <w:p w14:paraId="6EAF4704" w14:textId="77777777" w:rsidR="00435C72" w:rsidRPr="00000849" w:rsidRDefault="00435C72" w:rsidP="00A52C4F">
            <w:pPr>
              <w:rPr>
                <w:rFonts w:ascii="Times New Roman" w:eastAsia="Times New Roman" w:hAnsi="Times New Roman" w:cs="Times New Roman"/>
                <w:sz w:val="15"/>
                <w:szCs w:val="15"/>
              </w:rPr>
            </w:pPr>
          </w:p>
        </w:tc>
        <w:tc>
          <w:tcPr>
            <w:tcW w:w="0" w:type="auto"/>
            <w:noWrap/>
            <w:hideMark/>
          </w:tcPr>
          <w:p w14:paraId="55445F7C"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3B0FFBC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6F3AD210"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3E99A8A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270</w:t>
            </w:r>
          </w:p>
        </w:tc>
        <w:tc>
          <w:tcPr>
            <w:tcW w:w="0" w:type="auto"/>
            <w:hideMark/>
          </w:tcPr>
          <w:p w14:paraId="27E8A7E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82.6</w:t>
            </w:r>
          </w:p>
        </w:tc>
        <w:tc>
          <w:tcPr>
            <w:tcW w:w="0" w:type="auto"/>
            <w:hideMark/>
          </w:tcPr>
          <w:p w14:paraId="237D0A9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91.5</w:t>
            </w:r>
          </w:p>
        </w:tc>
        <w:tc>
          <w:tcPr>
            <w:tcW w:w="0" w:type="auto"/>
            <w:hideMark/>
          </w:tcPr>
          <w:p w14:paraId="0F0C81B3"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90.0</w:t>
            </w:r>
          </w:p>
        </w:tc>
        <w:tc>
          <w:tcPr>
            <w:tcW w:w="0" w:type="auto"/>
          </w:tcPr>
          <w:p w14:paraId="6DD87C01"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Low</w:t>
            </w:r>
          </w:p>
        </w:tc>
      </w:tr>
      <w:tr w:rsidR="00435C72" w:rsidRPr="00000849" w14:paraId="17660E30" w14:textId="77777777" w:rsidTr="00435C72">
        <w:trPr>
          <w:cnfStyle w:val="000000100000" w:firstRow="0" w:lastRow="0" w:firstColumn="0" w:lastColumn="0" w:oddVBand="0" w:evenVBand="0" w:oddHBand="1" w:evenHBand="0" w:firstRowFirstColumn="0" w:firstRowLastColumn="0" w:lastRowFirstColumn="0" w:lastRowLastColumn="0"/>
          <w:trHeight w:val="1872"/>
        </w:trPr>
        <w:tc>
          <w:tcPr>
            <w:tcW w:w="0" w:type="auto"/>
            <w:hideMark/>
          </w:tcPr>
          <w:p w14:paraId="74612C7A"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Mugisha 2013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33</w:t>
            </w:r>
            <w:r w:rsidRPr="00000849">
              <w:rPr>
                <w:rFonts w:ascii="Calibri" w:eastAsia="Calibri" w:hAnsi="Calibri" w:cs="Calibri"/>
                <w:color w:val="000000"/>
                <w:sz w:val="15"/>
                <w:szCs w:val="15"/>
              </w:rPr>
              <w:t>]</w:t>
            </w:r>
          </w:p>
        </w:tc>
        <w:tc>
          <w:tcPr>
            <w:tcW w:w="0" w:type="auto"/>
            <w:hideMark/>
          </w:tcPr>
          <w:p w14:paraId="4EF4474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Uganda</w:t>
            </w:r>
          </w:p>
        </w:tc>
        <w:tc>
          <w:tcPr>
            <w:tcW w:w="0" w:type="auto"/>
          </w:tcPr>
          <w:p w14:paraId="0C5FF59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2013</w:t>
            </w:r>
          </w:p>
        </w:tc>
        <w:tc>
          <w:tcPr>
            <w:tcW w:w="0" w:type="auto"/>
            <w:hideMark/>
          </w:tcPr>
          <w:p w14:paraId="585C960A"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rural adults aged ≥50 years</w:t>
            </w:r>
          </w:p>
        </w:tc>
        <w:tc>
          <w:tcPr>
            <w:tcW w:w="0" w:type="auto"/>
            <w:hideMark/>
          </w:tcPr>
          <w:p w14:paraId="72F4D9B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72.3</w:t>
            </w:r>
          </w:p>
        </w:tc>
        <w:tc>
          <w:tcPr>
            <w:tcW w:w="0" w:type="auto"/>
            <w:hideMark/>
          </w:tcPr>
          <w:p w14:paraId="36514AC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58.2</w:t>
            </w:r>
          </w:p>
        </w:tc>
        <w:tc>
          <w:tcPr>
            <w:tcW w:w="0" w:type="auto"/>
            <w:hideMark/>
          </w:tcPr>
          <w:p w14:paraId="67AD789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0.0</w:t>
            </w:r>
          </w:p>
        </w:tc>
        <w:tc>
          <w:tcPr>
            <w:tcW w:w="0" w:type="auto"/>
            <w:hideMark/>
          </w:tcPr>
          <w:p w14:paraId="04F85F0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27.7</w:t>
            </w:r>
          </w:p>
        </w:tc>
        <w:tc>
          <w:tcPr>
            <w:tcW w:w="0" w:type="auto"/>
            <w:hideMark/>
          </w:tcPr>
          <w:p w14:paraId="4763248D"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median 62</w:t>
            </w:r>
          </w:p>
        </w:tc>
        <w:tc>
          <w:tcPr>
            <w:tcW w:w="0" w:type="auto"/>
            <w:noWrap/>
            <w:hideMark/>
          </w:tcPr>
          <w:p w14:paraId="417E233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48.5</w:t>
            </w:r>
          </w:p>
        </w:tc>
        <w:tc>
          <w:tcPr>
            <w:tcW w:w="0" w:type="auto"/>
            <w:noWrap/>
            <w:hideMark/>
          </w:tcPr>
          <w:p w14:paraId="1F19E7B3"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28.0</w:t>
            </w:r>
          </w:p>
        </w:tc>
        <w:tc>
          <w:tcPr>
            <w:tcW w:w="0" w:type="auto"/>
            <w:hideMark/>
          </w:tcPr>
          <w:p w14:paraId="3FDA750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1449</w:t>
            </w:r>
          </w:p>
        </w:tc>
        <w:tc>
          <w:tcPr>
            <w:tcW w:w="0" w:type="auto"/>
            <w:hideMark/>
          </w:tcPr>
          <w:p w14:paraId="3AC84D7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36.5</w:t>
            </w:r>
          </w:p>
        </w:tc>
        <w:tc>
          <w:tcPr>
            <w:tcW w:w="0" w:type="auto"/>
            <w:hideMark/>
          </w:tcPr>
          <w:p w14:paraId="3150590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38.3</w:t>
            </w:r>
          </w:p>
        </w:tc>
        <w:tc>
          <w:tcPr>
            <w:tcW w:w="0" w:type="auto"/>
            <w:hideMark/>
          </w:tcPr>
          <w:p w14:paraId="7273F4A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37.5</w:t>
            </w:r>
          </w:p>
        </w:tc>
        <w:tc>
          <w:tcPr>
            <w:tcW w:w="0" w:type="auto"/>
          </w:tcPr>
          <w:p w14:paraId="657D6A5B"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Moderate</w:t>
            </w:r>
          </w:p>
        </w:tc>
      </w:tr>
      <w:tr w:rsidR="00435C72" w:rsidRPr="00000849" w14:paraId="53B399E6" w14:textId="77777777" w:rsidTr="00435C72">
        <w:trPr>
          <w:trHeight w:val="2076"/>
        </w:trPr>
        <w:tc>
          <w:tcPr>
            <w:tcW w:w="0" w:type="auto"/>
            <w:hideMark/>
          </w:tcPr>
          <w:p w14:paraId="413AF4D8"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Nuertey 2017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34</w:t>
            </w:r>
            <w:r w:rsidRPr="00000849">
              <w:rPr>
                <w:rFonts w:ascii="Calibri" w:eastAsia="Calibri" w:hAnsi="Calibri" w:cs="Calibri"/>
                <w:color w:val="000000"/>
                <w:sz w:val="15"/>
                <w:szCs w:val="15"/>
              </w:rPr>
              <w:t>]</w:t>
            </w:r>
          </w:p>
        </w:tc>
        <w:tc>
          <w:tcPr>
            <w:tcW w:w="0" w:type="auto"/>
            <w:hideMark/>
          </w:tcPr>
          <w:p w14:paraId="0DCFDF2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Ghana</w:t>
            </w:r>
          </w:p>
        </w:tc>
        <w:tc>
          <w:tcPr>
            <w:tcW w:w="0" w:type="auto"/>
          </w:tcPr>
          <w:p w14:paraId="7AB0CF74" w14:textId="77777777" w:rsidR="00435C72" w:rsidRPr="00000849" w:rsidRDefault="00435C72" w:rsidP="00A52C4F">
            <w:pPr>
              <w:jc w:val="right"/>
              <w:rPr>
                <w:rFonts w:ascii="Calibri" w:eastAsia="Times New Roman" w:hAnsi="Calibri" w:cs="Calibri"/>
                <w:color w:val="000000"/>
                <w:sz w:val="15"/>
                <w:szCs w:val="15"/>
              </w:rPr>
            </w:pPr>
            <w:r w:rsidRPr="00000849">
              <w:rPr>
                <w:rFonts w:ascii="Calibri" w:eastAsia="Times New Roman" w:hAnsi="Calibri" w:cs="Calibri"/>
                <w:color w:val="000000"/>
                <w:sz w:val="15"/>
                <w:szCs w:val="15"/>
              </w:rPr>
              <w:t>2014</w:t>
            </w:r>
          </w:p>
        </w:tc>
        <w:tc>
          <w:tcPr>
            <w:tcW w:w="0" w:type="auto"/>
            <w:hideMark/>
          </w:tcPr>
          <w:p w14:paraId="6C1391BE"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registered members of the national pensioners association</w:t>
            </w:r>
          </w:p>
        </w:tc>
        <w:tc>
          <w:tcPr>
            <w:tcW w:w="0" w:type="auto"/>
            <w:hideMark/>
          </w:tcPr>
          <w:p w14:paraId="45CB28E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93.0</w:t>
            </w:r>
          </w:p>
        </w:tc>
        <w:tc>
          <w:tcPr>
            <w:tcW w:w="0" w:type="auto"/>
            <w:hideMark/>
          </w:tcPr>
          <w:p w14:paraId="1DEDCC2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31.4</w:t>
            </w:r>
          </w:p>
        </w:tc>
        <w:tc>
          <w:tcPr>
            <w:tcW w:w="0" w:type="auto"/>
            <w:noWrap/>
            <w:hideMark/>
          </w:tcPr>
          <w:p w14:paraId="46BE2659" w14:textId="77777777" w:rsidR="00435C72" w:rsidRPr="00000849" w:rsidRDefault="00435C72" w:rsidP="00A52C4F">
            <w:pPr>
              <w:jc w:val="center"/>
              <w:rPr>
                <w:rFonts w:ascii="Calibri" w:eastAsia="Times New Roman" w:hAnsi="Calibri" w:cs="Calibri"/>
                <w:color w:val="000000"/>
                <w:sz w:val="15"/>
                <w:szCs w:val="15"/>
              </w:rPr>
            </w:pPr>
          </w:p>
        </w:tc>
        <w:tc>
          <w:tcPr>
            <w:tcW w:w="0" w:type="auto"/>
            <w:hideMark/>
          </w:tcPr>
          <w:p w14:paraId="07D1FBE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28.5</w:t>
            </w:r>
          </w:p>
        </w:tc>
        <w:tc>
          <w:tcPr>
            <w:tcW w:w="0" w:type="auto"/>
            <w:noWrap/>
            <w:hideMark/>
          </w:tcPr>
          <w:p w14:paraId="1DBA738A"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14EF30B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73.0</w:t>
            </w:r>
          </w:p>
        </w:tc>
        <w:tc>
          <w:tcPr>
            <w:tcW w:w="0" w:type="auto"/>
            <w:hideMark/>
          </w:tcPr>
          <w:p w14:paraId="372C2C6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12.1</w:t>
            </w:r>
          </w:p>
        </w:tc>
        <w:tc>
          <w:tcPr>
            <w:tcW w:w="0" w:type="auto"/>
            <w:noWrap/>
            <w:hideMark/>
          </w:tcPr>
          <w:p w14:paraId="34AF478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4439</w:t>
            </w:r>
          </w:p>
        </w:tc>
        <w:tc>
          <w:tcPr>
            <w:tcW w:w="0" w:type="auto"/>
            <w:hideMark/>
          </w:tcPr>
          <w:p w14:paraId="4358BC8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3E4615E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21C35753"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47.8</w:t>
            </w:r>
          </w:p>
        </w:tc>
        <w:tc>
          <w:tcPr>
            <w:tcW w:w="0" w:type="auto"/>
          </w:tcPr>
          <w:p w14:paraId="5DF9D029"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High</w:t>
            </w:r>
          </w:p>
        </w:tc>
      </w:tr>
      <w:tr w:rsidR="00435C72" w:rsidRPr="00000849" w14:paraId="62592F53" w14:textId="77777777" w:rsidTr="00435C72">
        <w:trPr>
          <w:cnfStyle w:val="000000100000" w:firstRow="0" w:lastRow="0" w:firstColumn="0" w:lastColumn="0" w:oddVBand="0" w:evenVBand="0" w:oddHBand="1" w:evenHBand="0" w:firstRowFirstColumn="0" w:firstRowLastColumn="0" w:lastRowFirstColumn="0" w:lastRowLastColumn="0"/>
          <w:trHeight w:val="1170"/>
        </w:trPr>
        <w:tc>
          <w:tcPr>
            <w:tcW w:w="0" w:type="auto"/>
            <w:hideMark/>
          </w:tcPr>
          <w:p w14:paraId="2C23E0B3"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Osman 2017 </w:t>
            </w:r>
            <w:r w:rsidRPr="00000849">
              <w:rPr>
                <w:rFonts w:ascii="Calibri" w:eastAsia="Calibri" w:hAnsi="Calibri" w:cs="Calibri"/>
                <w:color w:val="000000"/>
                <w:sz w:val="15"/>
                <w:szCs w:val="15"/>
              </w:rPr>
              <w:t>[3</w:t>
            </w:r>
            <w:r w:rsidRPr="00000849">
              <w:rPr>
                <w:rFonts w:ascii="Calibri" w:eastAsia="Calibri" w:hAnsi="Calibri" w:cs="Calibri"/>
                <w:color w:val="0000FF"/>
                <w:sz w:val="15"/>
                <w:szCs w:val="15"/>
              </w:rPr>
              <w:t>5</w:t>
            </w:r>
            <w:r w:rsidRPr="00000849">
              <w:rPr>
                <w:rFonts w:ascii="Calibri" w:eastAsia="Calibri" w:hAnsi="Calibri" w:cs="Calibri"/>
                <w:color w:val="000000"/>
                <w:sz w:val="15"/>
                <w:szCs w:val="15"/>
              </w:rPr>
              <w:t>]</w:t>
            </w:r>
            <w:r w:rsidRPr="00000849">
              <w:rPr>
                <w:rFonts w:ascii="Calibri" w:eastAsia="Times New Roman" w:hAnsi="Calibri" w:cs="Calibri"/>
                <w:color w:val="000000"/>
                <w:sz w:val="15"/>
                <w:szCs w:val="15"/>
              </w:rPr>
              <w:t xml:space="preserve"> </w:t>
            </w:r>
          </w:p>
        </w:tc>
        <w:tc>
          <w:tcPr>
            <w:tcW w:w="0" w:type="auto"/>
            <w:hideMark/>
          </w:tcPr>
          <w:p w14:paraId="77700C3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Ghana</w:t>
            </w:r>
          </w:p>
        </w:tc>
        <w:tc>
          <w:tcPr>
            <w:tcW w:w="0" w:type="auto"/>
          </w:tcPr>
          <w:p w14:paraId="2090937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2016</w:t>
            </w:r>
          </w:p>
        </w:tc>
        <w:tc>
          <w:tcPr>
            <w:tcW w:w="0" w:type="auto"/>
            <w:hideMark/>
          </w:tcPr>
          <w:p w14:paraId="6576D43C"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free-living adults aged ≥65 years </w:t>
            </w:r>
          </w:p>
        </w:tc>
        <w:tc>
          <w:tcPr>
            <w:tcW w:w="0" w:type="auto"/>
            <w:hideMark/>
          </w:tcPr>
          <w:p w14:paraId="1AB8F9F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100.0</w:t>
            </w:r>
          </w:p>
        </w:tc>
        <w:tc>
          <w:tcPr>
            <w:tcW w:w="0" w:type="auto"/>
            <w:hideMark/>
          </w:tcPr>
          <w:p w14:paraId="455AF98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66.3</w:t>
            </w:r>
          </w:p>
        </w:tc>
        <w:tc>
          <w:tcPr>
            <w:tcW w:w="0" w:type="auto"/>
            <w:hideMark/>
          </w:tcPr>
          <w:p w14:paraId="4E22DC93" w14:textId="77777777" w:rsidR="00435C72" w:rsidRPr="00000849" w:rsidRDefault="00435C72" w:rsidP="00A52C4F">
            <w:pPr>
              <w:jc w:val="center"/>
              <w:rPr>
                <w:rFonts w:ascii="Calibri" w:eastAsia="Times New Roman" w:hAnsi="Calibri" w:cs="Calibri"/>
                <w:color w:val="000000"/>
                <w:sz w:val="15"/>
                <w:szCs w:val="15"/>
              </w:rPr>
            </w:pPr>
          </w:p>
        </w:tc>
        <w:tc>
          <w:tcPr>
            <w:tcW w:w="0" w:type="auto"/>
            <w:hideMark/>
          </w:tcPr>
          <w:p w14:paraId="2A74BFE8" w14:textId="77777777" w:rsidR="00435C72" w:rsidRPr="00000849" w:rsidRDefault="00435C72" w:rsidP="00A52C4F">
            <w:pPr>
              <w:jc w:val="center"/>
              <w:rPr>
                <w:rFonts w:ascii="Times New Roman" w:eastAsia="Times New Roman" w:hAnsi="Times New Roman" w:cs="Times New Roman"/>
                <w:sz w:val="15"/>
                <w:szCs w:val="15"/>
              </w:rPr>
            </w:pPr>
          </w:p>
        </w:tc>
        <w:tc>
          <w:tcPr>
            <w:tcW w:w="0" w:type="auto"/>
            <w:noWrap/>
            <w:hideMark/>
          </w:tcPr>
          <w:p w14:paraId="5BF2EC37"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115CD80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46.0</w:t>
            </w:r>
          </w:p>
        </w:tc>
        <w:tc>
          <w:tcPr>
            <w:tcW w:w="0" w:type="auto"/>
            <w:noWrap/>
            <w:hideMark/>
          </w:tcPr>
          <w:p w14:paraId="31D7E9B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51.0</w:t>
            </w:r>
          </w:p>
        </w:tc>
        <w:tc>
          <w:tcPr>
            <w:tcW w:w="0" w:type="auto"/>
            <w:noWrap/>
            <w:hideMark/>
          </w:tcPr>
          <w:p w14:paraId="432E10A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400</w:t>
            </w:r>
          </w:p>
        </w:tc>
        <w:tc>
          <w:tcPr>
            <w:tcW w:w="0" w:type="auto"/>
            <w:hideMark/>
          </w:tcPr>
          <w:p w14:paraId="5940FA0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57.8</w:t>
            </w:r>
          </w:p>
        </w:tc>
        <w:tc>
          <w:tcPr>
            <w:tcW w:w="0" w:type="auto"/>
            <w:hideMark/>
          </w:tcPr>
          <w:p w14:paraId="2CC5D7C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52.5</w:t>
            </w:r>
          </w:p>
        </w:tc>
        <w:tc>
          <w:tcPr>
            <w:tcW w:w="0" w:type="auto"/>
            <w:hideMark/>
          </w:tcPr>
          <w:p w14:paraId="3CF4E92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54.3</w:t>
            </w:r>
          </w:p>
        </w:tc>
        <w:tc>
          <w:tcPr>
            <w:tcW w:w="0" w:type="auto"/>
          </w:tcPr>
          <w:p w14:paraId="1AA26068"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High</w:t>
            </w:r>
          </w:p>
        </w:tc>
      </w:tr>
      <w:tr w:rsidR="00435C72" w:rsidRPr="00000849" w14:paraId="410FF58B" w14:textId="77777777" w:rsidTr="00435C72">
        <w:trPr>
          <w:trHeight w:val="1638"/>
        </w:trPr>
        <w:tc>
          <w:tcPr>
            <w:tcW w:w="0" w:type="auto"/>
            <w:hideMark/>
          </w:tcPr>
          <w:p w14:paraId="1279702D" w14:textId="77777777" w:rsidR="00435C72" w:rsidRPr="00000849" w:rsidRDefault="00435C72" w:rsidP="00A52C4F">
            <w:pPr>
              <w:rPr>
                <w:rFonts w:ascii="Calibri" w:eastAsia="Times New Roman" w:hAnsi="Calibri" w:cs="Calibri"/>
                <w:color w:val="000000"/>
                <w:sz w:val="15"/>
                <w:szCs w:val="15"/>
                <w:lang w:val="pt-PT"/>
              </w:rPr>
            </w:pPr>
            <w:r w:rsidRPr="00000849">
              <w:rPr>
                <w:rFonts w:ascii="Calibri" w:eastAsia="Times New Roman" w:hAnsi="Calibri" w:cs="Calibri"/>
                <w:color w:val="000000"/>
                <w:sz w:val="15"/>
                <w:szCs w:val="15"/>
                <w:lang w:val="pt-PT"/>
              </w:rPr>
              <w:lastRenderedPageBreak/>
              <w:t xml:space="preserve">Peltzer 2013 </w:t>
            </w:r>
            <w:r w:rsidRPr="00000849">
              <w:rPr>
                <w:rFonts w:ascii="Calibri" w:eastAsia="Times New Roman" w:hAnsi="Calibri" w:cs="Calibri"/>
                <w:color w:val="000000"/>
                <w:sz w:val="15"/>
                <w:szCs w:val="15"/>
              </w:rPr>
              <w:t xml:space="preserve">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23</w:t>
            </w:r>
            <w:r w:rsidRPr="00000849">
              <w:rPr>
                <w:rFonts w:ascii="Calibri" w:eastAsia="Calibri" w:hAnsi="Calibri" w:cs="Calibri"/>
                <w:color w:val="000000"/>
                <w:sz w:val="15"/>
                <w:szCs w:val="15"/>
              </w:rPr>
              <w:t>]</w:t>
            </w:r>
          </w:p>
        </w:tc>
        <w:tc>
          <w:tcPr>
            <w:tcW w:w="0" w:type="auto"/>
            <w:hideMark/>
          </w:tcPr>
          <w:p w14:paraId="57D12CD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South Africa</w:t>
            </w:r>
          </w:p>
        </w:tc>
        <w:tc>
          <w:tcPr>
            <w:tcW w:w="0" w:type="auto"/>
          </w:tcPr>
          <w:p w14:paraId="0EB1FA5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2008</w:t>
            </w:r>
          </w:p>
        </w:tc>
        <w:tc>
          <w:tcPr>
            <w:tcW w:w="0" w:type="auto"/>
            <w:hideMark/>
          </w:tcPr>
          <w:p w14:paraId="5CDCB078"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adults aged ≥50 years</w:t>
            </w:r>
          </w:p>
        </w:tc>
        <w:tc>
          <w:tcPr>
            <w:tcW w:w="0" w:type="auto"/>
            <w:hideMark/>
          </w:tcPr>
          <w:p w14:paraId="196ACA8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60</w:t>
            </w:r>
          </w:p>
        </w:tc>
        <w:tc>
          <w:tcPr>
            <w:tcW w:w="0" w:type="auto"/>
            <w:hideMark/>
          </w:tcPr>
          <w:p w14:paraId="30E87C3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57.3</w:t>
            </w:r>
          </w:p>
        </w:tc>
        <w:tc>
          <w:tcPr>
            <w:tcW w:w="0" w:type="auto"/>
            <w:hideMark/>
          </w:tcPr>
          <w:p w14:paraId="61F1A49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66.7</w:t>
            </w:r>
          </w:p>
        </w:tc>
        <w:tc>
          <w:tcPr>
            <w:tcW w:w="0" w:type="auto"/>
            <w:hideMark/>
          </w:tcPr>
          <w:p w14:paraId="0E441C8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23.8</w:t>
            </w:r>
          </w:p>
        </w:tc>
        <w:tc>
          <w:tcPr>
            <w:tcW w:w="0" w:type="auto"/>
            <w:noWrap/>
            <w:hideMark/>
          </w:tcPr>
          <w:p w14:paraId="66085C69"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69CE066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53.3</w:t>
            </w:r>
          </w:p>
        </w:tc>
        <w:tc>
          <w:tcPr>
            <w:tcW w:w="0" w:type="auto"/>
            <w:hideMark/>
          </w:tcPr>
          <w:p w14:paraId="1FD88A9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25.4</w:t>
            </w:r>
          </w:p>
        </w:tc>
        <w:tc>
          <w:tcPr>
            <w:tcW w:w="0" w:type="auto"/>
            <w:noWrap/>
            <w:hideMark/>
          </w:tcPr>
          <w:p w14:paraId="51498F4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3672</w:t>
            </w:r>
          </w:p>
        </w:tc>
        <w:tc>
          <w:tcPr>
            <w:tcW w:w="0" w:type="auto"/>
            <w:hideMark/>
          </w:tcPr>
          <w:p w14:paraId="0E0AA17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74.4</w:t>
            </w:r>
          </w:p>
        </w:tc>
        <w:tc>
          <w:tcPr>
            <w:tcW w:w="0" w:type="auto"/>
            <w:hideMark/>
          </w:tcPr>
          <w:p w14:paraId="48E1F43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79.6</w:t>
            </w:r>
          </w:p>
        </w:tc>
        <w:tc>
          <w:tcPr>
            <w:tcW w:w="0" w:type="auto"/>
            <w:hideMark/>
          </w:tcPr>
          <w:p w14:paraId="1F6246C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77.4</w:t>
            </w:r>
          </w:p>
        </w:tc>
        <w:tc>
          <w:tcPr>
            <w:tcW w:w="0" w:type="auto"/>
          </w:tcPr>
          <w:p w14:paraId="184242F8"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Moderate</w:t>
            </w:r>
          </w:p>
        </w:tc>
      </w:tr>
      <w:tr w:rsidR="00435C72" w:rsidRPr="00000849" w14:paraId="2AA88C34" w14:textId="77777777" w:rsidTr="00435C72">
        <w:trPr>
          <w:cnfStyle w:val="000000100000" w:firstRow="0" w:lastRow="0" w:firstColumn="0" w:lastColumn="0" w:oddVBand="0" w:evenVBand="0" w:oddHBand="1" w:evenHBand="0" w:firstRowFirstColumn="0" w:firstRowLastColumn="0" w:lastRowFirstColumn="0" w:lastRowLastColumn="0"/>
          <w:trHeight w:val="1170"/>
        </w:trPr>
        <w:tc>
          <w:tcPr>
            <w:tcW w:w="0" w:type="auto"/>
            <w:hideMark/>
          </w:tcPr>
          <w:p w14:paraId="1C4B99FC" w14:textId="77777777" w:rsidR="00435C72" w:rsidRPr="00000849" w:rsidRDefault="00435C72" w:rsidP="00A52C4F">
            <w:pPr>
              <w:rPr>
                <w:rFonts w:ascii="Calibri" w:eastAsia="Times New Roman" w:hAnsi="Calibri" w:cs="Calibri"/>
                <w:color w:val="000000"/>
                <w:sz w:val="15"/>
                <w:szCs w:val="15"/>
                <w:lang w:val="fr-FR"/>
              </w:rPr>
            </w:pPr>
            <w:r w:rsidRPr="00000849">
              <w:rPr>
                <w:rFonts w:ascii="Calibri" w:eastAsia="Times New Roman" w:hAnsi="Calibri" w:cs="Calibri"/>
                <w:color w:val="000000"/>
                <w:sz w:val="15"/>
                <w:szCs w:val="15"/>
                <w:lang w:val="fr-FR"/>
              </w:rPr>
              <w:t xml:space="preserve">Pilleron 2017A </w:t>
            </w:r>
            <w:r w:rsidRPr="00000849">
              <w:rPr>
                <w:rFonts w:ascii="Calibri" w:eastAsia="Times New Roman" w:hAnsi="Calibri" w:cs="Calibri"/>
                <w:color w:val="000000"/>
                <w:sz w:val="15"/>
                <w:szCs w:val="15"/>
              </w:rPr>
              <w:t xml:space="preserve">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36</w:t>
            </w:r>
            <w:r w:rsidRPr="00000849">
              <w:rPr>
                <w:rFonts w:ascii="Calibri" w:eastAsia="Calibri" w:hAnsi="Calibri" w:cs="Calibri"/>
                <w:color w:val="000000"/>
                <w:sz w:val="15"/>
                <w:szCs w:val="15"/>
              </w:rPr>
              <w:t>]</w:t>
            </w:r>
          </w:p>
        </w:tc>
        <w:tc>
          <w:tcPr>
            <w:tcW w:w="0" w:type="auto"/>
            <w:hideMark/>
          </w:tcPr>
          <w:p w14:paraId="1B5F0CC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CAR</w:t>
            </w:r>
          </w:p>
        </w:tc>
        <w:tc>
          <w:tcPr>
            <w:tcW w:w="0" w:type="auto"/>
          </w:tcPr>
          <w:p w14:paraId="2879D28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2012</w:t>
            </w:r>
          </w:p>
        </w:tc>
        <w:tc>
          <w:tcPr>
            <w:tcW w:w="0" w:type="auto"/>
            <w:hideMark/>
          </w:tcPr>
          <w:p w14:paraId="648F8E7D"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adults aged ≥65 years</w:t>
            </w:r>
          </w:p>
        </w:tc>
        <w:tc>
          <w:tcPr>
            <w:tcW w:w="0" w:type="auto"/>
            <w:hideMark/>
          </w:tcPr>
          <w:p w14:paraId="725A49B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94.7</w:t>
            </w:r>
          </w:p>
        </w:tc>
        <w:tc>
          <w:tcPr>
            <w:tcW w:w="0" w:type="auto"/>
            <w:hideMark/>
          </w:tcPr>
          <w:p w14:paraId="0CCBF34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62.2</w:t>
            </w:r>
          </w:p>
        </w:tc>
        <w:tc>
          <w:tcPr>
            <w:tcW w:w="0" w:type="auto"/>
            <w:hideMark/>
          </w:tcPr>
          <w:p w14:paraId="07411BB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51.5</w:t>
            </w:r>
          </w:p>
        </w:tc>
        <w:tc>
          <w:tcPr>
            <w:tcW w:w="0" w:type="auto"/>
            <w:hideMark/>
          </w:tcPr>
          <w:p w14:paraId="67D0763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60.4</w:t>
            </w:r>
          </w:p>
        </w:tc>
        <w:tc>
          <w:tcPr>
            <w:tcW w:w="0" w:type="auto"/>
            <w:hideMark/>
          </w:tcPr>
          <w:p w14:paraId="43552F0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72.7 ± 6.4</w:t>
            </w:r>
          </w:p>
        </w:tc>
        <w:tc>
          <w:tcPr>
            <w:tcW w:w="0" w:type="auto"/>
            <w:hideMark/>
          </w:tcPr>
          <w:p w14:paraId="35F9AE6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34.3</w:t>
            </w:r>
          </w:p>
        </w:tc>
        <w:tc>
          <w:tcPr>
            <w:tcW w:w="0" w:type="auto"/>
            <w:noWrap/>
            <w:hideMark/>
          </w:tcPr>
          <w:p w14:paraId="46A397BA"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0D00A84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967</w:t>
            </w:r>
          </w:p>
        </w:tc>
        <w:tc>
          <w:tcPr>
            <w:tcW w:w="0" w:type="auto"/>
            <w:noWrap/>
            <w:hideMark/>
          </w:tcPr>
          <w:p w14:paraId="6D440F8B"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67153557"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33AC2F89"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53.7</w:t>
            </w:r>
          </w:p>
        </w:tc>
        <w:tc>
          <w:tcPr>
            <w:tcW w:w="0" w:type="auto"/>
          </w:tcPr>
          <w:p w14:paraId="6FA867F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bCs/>
                <w:color w:val="000000"/>
                <w:sz w:val="15"/>
                <w:szCs w:val="15"/>
              </w:rPr>
              <w:t>Low</w:t>
            </w:r>
          </w:p>
        </w:tc>
      </w:tr>
      <w:tr w:rsidR="00435C72" w:rsidRPr="00000849" w14:paraId="7CD12505" w14:textId="77777777" w:rsidTr="00435C72">
        <w:trPr>
          <w:trHeight w:val="1638"/>
        </w:trPr>
        <w:tc>
          <w:tcPr>
            <w:tcW w:w="0" w:type="auto"/>
            <w:hideMark/>
          </w:tcPr>
          <w:p w14:paraId="1F175FEA" w14:textId="77777777" w:rsidR="00435C72" w:rsidRPr="00000849" w:rsidRDefault="00435C72" w:rsidP="00A52C4F">
            <w:pPr>
              <w:rPr>
                <w:rFonts w:ascii="Calibri" w:eastAsia="Times New Roman" w:hAnsi="Calibri" w:cs="Calibri"/>
                <w:color w:val="000000"/>
                <w:sz w:val="15"/>
                <w:szCs w:val="15"/>
                <w:lang w:val="fr-FR"/>
              </w:rPr>
            </w:pPr>
            <w:r w:rsidRPr="00000849">
              <w:rPr>
                <w:rFonts w:ascii="Calibri" w:eastAsia="Times New Roman" w:hAnsi="Calibri" w:cs="Calibri"/>
                <w:color w:val="000000"/>
                <w:sz w:val="15"/>
                <w:szCs w:val="15"/>
                <w:lang w:val="fr-FR"/>
              </w:rPr>
              <w:t xml:space="preserve">Pilleron 2017B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36</w:t>
            </w:r>
            <w:r w:rsidRPr="00000849">
              <w:rPr>
                <w:rFonts w:ascii="Calibri" w:eastAsia="Calibri" w:hAnsi="Calibri" w:cs="Calibri"/>
                <w:color w:val="000000"/>
                <w:sz w:val="15"/>
                <w:szCs w:val="15"/>
              </w:rPr>
              <w:t>]</w:t>
            </w:r>
          </w:p>
        </w:tc>
        <w:tc>
          <w:tcPr>
            <w:tcW w:w="0" w:type="auto"/>
            <w:hideMark/>
          </w:tcPr>
          <w:p w14:paraId="5EC7504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Congo</w:t>
            </w:r>
          </w:p>
        </w:tc>
        <w:tc>
          <w:tcPr>
            <w:tcW w:w="0" w:type="auto"/>
          </w:tcPr>
          <w:p w14:paraId="1F5E829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2012</w:t>
            </w:r>
          </w:p>
        </w:tc>
        <w:tc>
          <w:tcPr>
            <w:tcW w:w="0" w:type="auto"/>
            <w:hideMark/>
          </w:tcPr>
          <w:p w14:paraId="07C49E72"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adults aged ≥65 years</w:t>
            </w:r>
          </w:p>
        </w:tc>
        <w:tc>
          <w:tcPr>
            <w:tcW w:w="0" w:type="auto"/>
            <w:hideMark/>
          </w:tcPr>
          <w:p w14:paraId="1CFF28C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94.7</w:t>
            </w:r>
          </w:p>
        </w:tc>
        <w:tc>
          <w:tcPr>
            <w:tcW w:w="0" w:type="auto"/>
            <w:hideMark/>
          </w:tcPr>
          <w:p w14:paraId="03CAFD1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60.9</w:t>
            </w:r>
          </w:p>
        </w:tc>
        <w:tc>
          <w:tcPr>
            <w:tcW w:w="0" w:type="auto"/>
            <w:hideMark/>
          </w:tcPr>
          <w:p w14:paraId="1D5CC6D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48.7</w:t>
            </w:r>
          </w:p>
        </w:tc>
        <w:tc>
          <w:tcPr>
            <w:tcW w:w="0" w:type="auto"/>
            <w:hideMark/>
          </w:tcPr>
          <w:p w14:paraId="0B45956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66.8</w:t>
            </w:r>
          </w:p>
        </w:tc>
        <w:tc>
          <w:tcPr>
            <w:tcW w:w="0" w:type="auto"/>
            <w:hideMark/>
          </w:tcPr>
          <w:p w14:paraId="0782569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73.5 ± 6.7</w:t>
            </w:r>
          </w:p>
        </w:tc>
        <w:tc>
          <w:tcPr>
            <w:tcW w:w="0" w:type="auto"/>
            <w:hideMark/>
          </w:tcPr>
          <w:p w14:paraId="2E405FC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38.8</w:t>
            </w:r>
          </w:p>
        </w:tc>
        <w:tc>
          <w:tcPr>
            <w:tcW w:w="0" w:type="auto"/>
            <w:noWrap/>
            <w:hideMark/>
          </w:tcPr>
          <w:p w14:paraId="76A64FD8"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6551FE6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1023</w:t>
            </w:r>
          </w:p>
        </w:tc>
        <w:tc>
          <w:tcPr>
            <w:tcW w:w="0" w:type="auto"/>
            <w:noWrap/>
            <w:hideMark/>
          </w:tcPr>
          <w:p w14:paraId="159A068C"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noWrap/>
            <w:hideMark/>
          </w:tcPr>
          <w:p w14:paraId="50F9DAC3"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w:t>
            </w:r>
          </w:p>
        </w:tc>
        <w:tc>
          <w:tcPr>
            <w:tcW w:w="0" w:type="auto"/>
            <w:hideMark/>
          </w:tcPr>
          <w:p w14:paraId="1C4A43A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68.0</w:t>
            </w:r>
          </w:p>
        </w:tc>
        <w:tc>
          <w:tcPr>
            <w:tcW w:w="0" w:type="auto"/>
          </w:tcPr>
          <w:p w14:paraId="68115AB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bCs/>
                <w:color w:val="000000"/>
                <w:sz w:val="15"/>
                <w:szCs w:val="15"/>
              </w:rPr>
              <w:t>Low</w:t>
            </w:r>
          </w:p>
        </w:tc>
      </w:tr>
      <w:tr w:rsidR="00435C72" w:rsidRPr="00000849" w14:paraId="73E0FB98" w14:textId="77777777" w:rsidTr="00435C72">
        <w:trPr>
          <w:cnfStyle w:val="000000100000" w:firstRow="0" w:lastRow="0" w:firstColumn="0" w:lastColumn="0" w:oddVBand="0" w:evenVBand="0" w:oddHBand="1" w:evenHBand="0" w:firstRowFirstColumn="0" w:firstRowLastColumn="0" w:lastRowFirstColumn="0" w:lastRowLastColumn="0"/>
          <w:trHeight w:val="1638"/>
        </w:trPr>
        <w:tc>
          <w:tcPr>
            <w:tcW w:w="0" w:type="auto"/>
            <w:hideMark/>
          </w:tcPr>
          <w:p w14:paraId="7E862028"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Raji 2017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37</w:t>
            </w:r>
            <w:r w:rsidRPr="00000849">
              <w:rPr>
                <w:rFonts w:ascii="Calibri" w:eastAsia="Calibri" w:hAnsi="Calibri" w:cs="Calibri"/>
                <w:color w:val="000000"/>
                <w:sz w:val="15"/>
                <w:szCs w:val="15"/>
              </w:rPr>
              <w:t>]</w:t>
            </w:r>
          </w:p>
        </w:tc>
        <w:tc>
          <w:tcPr>
            <w:tcW w:w="0" w:type="auto"/>
            <w:hideMark/>
          </w:tcPr>
          <w:p w14:paraId="7A8C9BBC"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Nigeria</w:t>
            </w:r>
          </w:p>
        </w:tc>
        <w:tc>
          <w:tcPr>
            <w:tcW w:w="0" w:type="auto"/>
          </w:tcPr>
          <w:p w14:paraId="7F3F693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2007</w:t>
            </w:r>
          </w:p>
        </w:tc>
        <w:tc>
          <w:tcPr>
            <w:tcW w:w="0" w:type="auto"/>
            <w:hideMark/>
          </w:tcPr>
          <w:p w14:paraId="3EB44ECD"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elderly cohort aged ≥ 65 years</w:t>
            </w:r>
          </w:p>
        </w:tc>
        <w:tc>
          <w:tcPr>
            <w:tcW w:w="0" w:type="auto"/>
            <w:hideMark/>
          </w:tcPr>
          <w:p w14:paraId="263FF700"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76.8</w:t>
            </w:r>
          </w:p>
        </w:tc>
        <w:tc>
          <w:tcPr>
            <w:tcW w:w="0" w:type="auto"/>
            <w:hideMark/>
          </w:tcPr>
          <w:p w14:paraId="7EF37D62"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55.1</w:t>
            </w:r>
          </w:p>
        </w:tc>
        <w:tc>
          <w:tcPr>
            <w:tcW w:w="0" w:type="auto"/>
            <w:hideMark/>
          </w:tcPr>
          <w:p w14:paraId="5E1E164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37.4</w:t>
            </w:r>
          </w:p>
        </w:tc>
        <w:tc>
          <w:tcPr>
            <w:tcW w:w="0" w:type="auto"/>
            <w:hideMark/>
          </w:tcPr>
          <w:p w14:paraId="4348ACF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79.0</w:t>
            </w:r>
          </w:p>
        </w:tc>
        <w:tc>
          <w:tcPr>
            <w:tcW w:w="0" w:type="auto"/>
            <w:hideMark/>
          </w:tcPr>
          <w:p w14:paraId="5620EC3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76.9 ± 8.4</w:t>
            </w:r>
          </w:p>
        </w:tc>
        <w:tc>
          <w:tcPr>
            <w:tcW w:w="0" w:type="auto"/>
            <w:hideMark/>
          </w:tcPr>
          <w:p w14:paraId="48126A9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55.7</w:t>
            </w:r>
          </w:p>
        </w:tc>
        <w:tc>
          <w:tcPr>
            <w:tcW w:w="0" w:type="auto"/>
            <w:hideMark/>
          </w:tcPr>
          <w:p w14:paraId="0591268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44.8</w:t>
            </w:r>
          </w:p>
        </w:tc>
        <w:tc>
          <w:tcPr>
            <w:tcW w:w="0" w:type="auto"/>
            <w:noWrap/>
            <w:hideMark/>
          </w:tcPr>
          <w:p w14:paraId="2C80284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1469</w:t>
            </w:r>
          </w:p>
        </w:tc>
        <w:tc>
          <w:tcPr>
            <w:tcW w:w="0" w:type="auto"/>
            <w:hideMark/>
          </w:tcPr>
          <w:p w14:paraId="4B95920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62.0</w:t>
            </w:r>
          </w:p>
        </w:tc>
        <w:tc>
          <w:tcPr>
            <w:tcW w:w="0" w:type="auto"/>
            <w:hideMark/>
          </w:tcPr>
          <w:p w14:paraId="440F9113"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70.7</w:t>
            </w:r>
          </w:p>
        </w:tc>
        <w:tc>
          <w:tcPr>
            <w:tcW w:w="0" w:type="auto"/>
            <w:hideMark/>
          </w:tcPr>
          <w:p w14:paraId="243D55C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66.8</w:t>
            </w:r>
          </w:p>
        </w:tc>
        <w:tc>
          <w:tcPr>
            <w:tcW w:w="0" w:type="auto"/>
          </w:tcPr>
          <w:p w14:paraId="60107EE5"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Moderate</w:t>
            </w:r>
          </w:p>
        </w:tc>
      </w:tr>
      <w:tr w:rsidR="00435C72" w:rsidRPr="00000849" w14:paraId="179CD4C5" w14:textId="77777777" w:rsidTr="00435C72">
        <w:trPr>
          <w:trHeight w:val="936"/>
        </w:trPr>
        <w:tc>
          <w:tcPr>
            <w:tcW w:w="0" w:type="auto"/>
            <w:hideMark/>
          </w:tcPr>
          <w:p w14:paraId="1920DF59" w14:textId="231FB24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Scholten 2011</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38</w:t>
            </w:r>
            <w:r w:rsidRPr="00000849">
              <w:rPr>
                <w:rFonts w:ascii="Calibri" w:eastAsia="Calibri" w:hAnsi="Calibri" w:cs="Calibri"/>
                <w:color w:val="000000"/>
                <w:sz w:val="15"/>
                <w:szCs w:val="15"/>
              </w:rPr>
              <w:t>]</w:t>
            </w:r>
            <w:r w:rsidRPr="00000849">
              <w:rPr>
                <w:rFonts w:ascii="Calibri" w:eastAsia="Times New Roman" w:hAnsi="Calibri" w:cs="Calibri"/>
                <w:color w:val="000000"/>
                <w:sz w:val="15"/>
                <w:szCs w:val="15"/>
              </w:rPr>
              <w:t xml:space="preserve"> </w:t>
            </w:r>
            <w:r w:rsidRPr="00000849">
              <w:rPr>
                <w:rFonts w:ascii="Calibri" w:eastAsia="Times New Roman" w:hAnsi="Calibri" w:cs="Calibri"/>
                <w:color w:val="000000"/>
                <w:sz w:val="15"/>
                <w:szCs w:val="15"/>
              </w:rPr>
              <w:fldChar w:fldCharType="begin"/>
            </w:r>
            <w:r w:rsidR="00D369E5" w:rsidRPr="00000849">
              <w:rPr>
                <w:rFonts w:ascii="Calibri" w:eastAsia="Times New Roman" w:hAnsi="Calibri" w:cs="Calibri"/>
                <w:color w:val="000000"/>
                <w:sz w:val="15"/>
                <w:szCs w:val="15"/>
              </w:rPr>
              <w:instrText xml:space="preserve"> ADDIN EN.CITE &lt;EndNote&gt;&lt;Cite&gt;&lt;Author&gt;Scholten&lt;/Author&gt;&lt;Year&gt;2011&lt;/Year&gt;&lt;RecNum&gt;58&lt;/RecNum&gt;&lt;DisplayText&gt;(Scholten et al., 2011)&lt;/DisplayText&gt;&lt;record&gt;&lt;rec-number&gt;58&lt;/rec-number&gt;&lt;foreign-keys&gt;&lt;key app="EN" db-id="pzfw02x58peadyevdp8vswt40etp25t5ddp0" timestamp="1533820372"&gt;58&lt;/key&gt;&lt;/foreign-keys&gt;&lt;ref-type name="Journal Article"&gt;17&lt;/ref-type&gt;&lt;contributors&gt;&lt;authors&gt;&lt;author&gt;Scholten, Francien&lt;/author&gt;&lt;author&gt;Mugisha, Joseph&lt;/author&gt;&lt;author&gt;Seeley, Janet&lt;/author&gt;&lt;author&gt;Kinyanda, Eugene&lt;/author&gt;&lt;author&gt;Nakubukwa, Susan&lt;/author&gt;&lt;author&gt;Kowal, Paul&lt;/author&gt;&lt;author&gt;Naidoo, Nirmala&lt;/author&gt;&lt;author&gt;Boerma, Ties&lt;/author&gt;&lt;author&gt;Chatterji, Somnath&lt;/author&gt;&lt;author&gt;Grosskurth, Heiner&lt;/author&gt;&lt;/authors&gt;&lt;/contributors&gt;&lt;titles&gt;&lt;title&gt;Health and functional status among older people with HIV/AIDS in Uganda&lt;/title&gt;&lt;secondary-title&gt;BMC Public Health&lt;/secondary-title&gt;&lt;/titles&gt;&lt;periodical&gt;&lt;full-title&gt;BMC Public Health&lt;/full-title&gt;&lt;abbr-1&gt;BMC Public Health&lt;/abbr-1&gt;&lt;/periodical&gt;&lt;pages&gt;886&lt;/pages&gt;&lt;volume&gt;11&lt;/volume&gt;&lt;dates&gt;&lt;year&gt;2011&lt;/year&gt;&lt;/dates&gt;&lt;isbn&gt;1471-2458&lt;/isbn&gt;&lt;urls&gt;&lt;/urls&gt;&lt;electronic-resource-num&gt;10.1186/1471-2458-11-886&lt;/electronic-resource-num&gt;&lt;/record&gt;&lt;/Cite&gt;&lt;/EndNote&gt;</w:instrText>
            </w:r>
            <w:r w:rsidRPr="00000849">
              <w:rPr>
                <w:rFonts w:ascii="Calibri" w:eastAsia="Times New Roman" w:hAnsi="Calibri" w:cs="Calibri"/>
                <w:color w:val="000000"/>
                <w:sz w:val="15"/>
                <w:szCs w:val="15"/>
              </w:rPr>
              <w:fldChar w:fldCharType="separate"/>
            </w:r>
            <w:r w:rsidR="00D369E5" w:rsidRPr="00000849">
              <w:rPr>
                <w:rFonts w:ascii="Calibri" w:eastAsia="Times New Roman" w:hAnsi="Calibri" w:cs="Calibri"/>
                <w:noProof/>
                <w:color w:val="000000"/>
                <w:sz w:val="15"/>
                <w:szCs w:val="15"/>
              </w:rPr>
              <w:t>(Scholten et al., 2011)</w:t>
            </w:r>
            <w:r w:rsidRPr="00000849">
              <w:rPr>
                <w:rFonts w:ascii="Calibri" w:eastAsia="Times New Roman" w:hAnsi="Calibri" w:cs="Calibri"/>
                <w:color w:val="000000"/>
                <w:sz w:val="15"/>
                <w:szCs w:val="15"/>
              </w:rPr>
              <w:fldChar w:fldCharType="end"/>
            </w:r>
          </w:p>
        </w:tc>
        <w:tc>
          <w:tcPr>
            <w:tcW w:w="0" w:type="auto"/>
            <w:hideMark/>
          </w:tcPr>
          <w:p w14:paraId="1D2506D1"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Uganda</w:t>
            </w:r>
          </w:p>
        </w:tc>
        <w:tc>
          <w:tcPr>
            <w:tcW w:w="0" w:type="auto"/>
          </w:tcPr>
          <w:p w14:paraId="30833D3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2010</w:t>
            </w:r>
          </w:p>
        </w:tc>
        <w:tc>
          <w:tcPr>
            <w:tcW w:w="0" w:type="auto"/>
            <w:hideMark/>
          </w:tcPr>
          <w:p w14:paraId="35D05726"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 xml:space="preserve">adults aged ≥50 years </w:t>
            </w:r>
          </w:p>
        </w:tc>
        <w:tc>
          <w:tcPr>
            <w:tcW w:w="0" w:type="auto"/>
            <w:hideMark/>
          </w:tcPr>
          <w:p w14:paraId="14AC236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&gt;99%</w:t>
            </w:r>
          </w:p>
        </w:tc>
        <w:tc>
          <w:tcPr>
            <w:tcW w:w="0" w:type="auto"/>
            <w:hideMark/>
          </w:tcPr>
          <w:p w14:paraId="2AD7BF2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61.2</w:t>
            </w:r>
          </w:p>
        </w:tc>
        <w:tc>
          <w:tcPr>
            <w:tcW w:w="0" w:type="auto"/>
            <w:hideMark/>
          </w:tcPr>
          <w:p w14:paraId="31CDEC21" w14:textId="77777777" w:rsidR="00435C72" w:rsidRPr="00000849" w:rsidRDefault="00435C72" w:rsidP="00A52C4F">
            <w:pPr>
              <w:jc w:val="center"/>
              <w:rPr>
                <w:rFonts w:ascii="Calibri" w:eastAsia="Times New Roman" w:hAnsi="Calibri" w:cs="Calibri"/>
                <w:color w:val="000000"/>
                <w:sz w:val="15"/>
                <w:szCs w:val="15"/>
              </w:rPr>
            </w:pPr>
          </w:p>
        </w:tc>
        <w:tc>
          <w:tcPr>
            <w:tcW w:w="0" w:type="auto"/>
            <w:hideMark/>
          </w:tcPr>
          <w:p w14:paraId="43E86C1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34.9</w:t>
            </w:r>
          </w:p>
        </w:tc>
        <w:tc>
          <w:tcPr>
            <w:tcW w:w="0" w:type="auto"/>
            <w:noWrap/>
            <w:hideMark/>
          </w:tcPr>
          <w:p w14:paraId="4688118A" w14:textId="77777777" w:rsidR="00435C72" w:rsidRPr="00000849" w:rsidRDefault="00435C72" w:rsidP="00A52C4F">
            <w:pPr>
              <w:jc w:val="center"/>
              <w:rPr>
                <w:rFonts w:ascii="Calibri" w:eastAsia="Times New Roman" w:hAnsi="Calibri" w:cs="Calibri"/>
                <w:color w:val="000000"/>
                <w:sz w:val="15"/>
                <w:szCs w:val="15"/>
              </w:rPr>
            </w:pPr>
          </w:p>
        </w:tc>
        <w:tc>
          <w:tcPr>
            <w:tcW w:w="0" w:type="auto"/>
            <w:hideMark/>
          </w:tcPr>
          <w:p w14:paraId="6D15AAC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32.4</w:t>
            </w:r>
          </w:p>
        </w:tc>
        <w:tc>
          <w:tcPr>
            <w:tcW w:w="0" w:type="auto"/>
            <w:hideMark/>
          </w:tcPr>
          <w:p w14:paraId="734597B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24.0</w:t>
            </w:r>
          </w:p>
        </w:tc>
        <w:tc>
          <w:tcPr>
            <w:tcW w:w="0" w:type="auto"/>
            <w:noWrap/>
            <w:hideMark/>
          </w:tcPr>
          <w:p w14:paraId="4FDA386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510</w:t>
            </w:r>
          </w:p>
        </w:tc>
        <w:tc>
          <w:tcPr>
            <w:tcW w:w="0" w:type="auto"/>
            <w:hideMark/>
          </w:tcPr>
          <w:p w14:paraId="01B270B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30.3</w:t>
            </w:r>
          </w:p>
        </w:tc>
        <w:tc>
          <w:tcPr>
            <w:tcW w:w="0" w:type="auto"/>
            <w:hideMark/>
          </w:tcPr>
          <w:p w14:paraId="359A867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34.6</w:t>
            </w:r>
          </w:p>
        </w:tc>
        <w:tc>
          <w:tcPr>
            <w:tcW w:w="0" w:type="auto"/>
            <w:hideMark/>
          </w:tcPr>
          <w:p w14:paraId="0424DA8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32.9</w:t>
            </w:r>
          </w:p>
        </w:tc>
        <w:tc>
          <w:tcPr>
            <w:tcW w:w="0" w:type="auto"/>
          </w:tcPr>
          <w:p w14:paraId="14E10581"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Low</w:t>
            </w:r>
          </w:p>
        </w:tc>
      </w:tr>
      <w:tr w:rsidR="00435C72" w:rsidRPr="00000849" w14:paraId="160FE537" w14:textId="77777777" w:rsidTr="00435C72">
        <w:trPr>
          <w:cnfStyle w:val="000000100000" w:firstRow="0" w:lastRow="0" w:firstColumn="0" w:lastColumn="0" w:oddVBand="0" w:evenVBand="0" w:oddHBand="1" w:evenHBand="0" w:firstRowFirstColumn="0" w:firstRowLastColumn="0" w:lastRowFirstColumn="0" w:lastRowLastColumn="0"/>
          <w:trHeight w:val="1404"/>
        </w:trPr>
        <w:tc>
          <w:tcPr>
            <w:tcW w:w="0" w:type="auto"/>
            <w:hideMark/>
          </w:tcPr>
          <w:p w14:paraId="769B582A"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lastRenderedPageBreak/>
              <w:t xml:space="preserve">Tianyi 2017  </w:t>
            </w:r>
            <w:r w:rsidRPr="00000849">
              <w:rPr>
                <w:rFonts w:ascii="Calibri" w:eastAsia="Calibri" w:hAnsi="Calibri" w:cs="Calibri"/>
                <w:color w:val="000000"/>
                <w:sz w:val="15"/>
                <w:szCs w:val="15"/>
              </w:rPr>
              <w:t>[</w:t>
            </w:r>
            <w:r w:rsidRPr="00000849">
              <w:rPr>
                <w:rFonts w:ascii="Calibri" w:eastAsia="Calibri" w:hAnsi="Calibri" w:cs="Calibri"/>
                <w:color w:val="0000FF"/>
                <w:sz w:val="15"/>
                <w:szCs w:val="15"/>
              </w:rPr>
              <w:t>39</w:t>
            </w:r>
            <w:r w:rsidRPr="00000849">
              <w:rPr>
                <w:rFonts w:ascii="Calibri" w:eastAsia="Calibri" w:hAnsi="Calibri" w:cs="Calibri"/>
                <w:color w:val="000000"/>
                <w:sz w:val="15"/>
                <w:szCs w:val="15"/>
              </w:rPr>
              <w:t>]</w:t>
            </w:r>
          </w:p>
        </w:tc>
        <w:tc>
          <w:tcPr>
            <w:tcW w:w="0" w:type="auto"/>
            <w:hideMark/>
          </w:tcPr>
          <w:p w14:paraId="409231DA"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Cameroon</w:t>
            </w:r>
          </w:p>
        </w:tc>
        <w:tc>
          <w:tcPr>
            <w:tcW w:w="0" w:type="auto"/>
          </w:tcPr>
          <w:p w14:paraId="438F55E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2013</w:t>
            </w:r>
          </w:p>
        </w:tc>
        <w:tc>
          <w:tcPr>
            <w:tcW w:w="0" w:type="auto"/>
            <w:hideMark/>
          </w:tcPr>
          <w:p w14:paraId="6CE06E37" w14:textId="77777777" w:rsidR="00435C72" w:rsidRPr="00000849" w:rsidRDefault="00435C72" w:rsidP="00A52C4F">
            <w:pPr>
              <w:rPr>
                <w:rFonts w:ascii="Calibri" w:eastAsia="Times New Roman" w:hAnsi="Calibri" w:cs="Calibri"/>
                <w:color w:val="000000"/>
                <w:sz w:val="15"/>
                <w:szCs w:val="15"/>
              </w:rPr>
            </w:pPr>
            <w:r w:rsidRPr="00000849">
              <w:rPr>
                <w:rFonts w:ascii="Calibri" w:eastAsia="Times New Roman" w:hAnsi="Calibri" w:cs="Calibri"/>
                <w:color w:val="000000"/>
                <w:sz w:val="15"/>
                <w:szCs w:val="15"/>
              </w:rPr>
              <w:t>rural adults aged ≥50 years</w:t>
            </w:r>
          </w:p>
        </w:tc>
        <w:tc>
          <w:tcPr>
            <w:tcW w:w="0" w:type="auto"/>
            <w:hideMark/>
          </w:tcPr>
          <w:p w14:paraId="78F11D40" w14:textId="77777777" w:rsidR="00435C72" w:rsidRPr="00000849" w:rsidRDefault="00435C72" w:rsidP="00A52C4F">
            <w:pPr>
              <w:rPr>
                <w:rFonts w:ascii="Calibri" w:eastAsia="Times New Roman" w:hAnsi="Calibri" w:cs="Calibri"/>
                <w:color w:val="000000"/>
                <w:sz w:val="15"/>
                <w:szCs w:val="15"/>
              </w:rPr>
            </w:pPr>
          </w:p>
        </w:tc>
        <w:tc>
          <w:tcPr>
            <w:tcW w:w="0" w:type="auto"/>
            <w:hideMark/>
          </w:tcPr>
          <w:p w14:paraId="54FC2865"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68.9</w:t>
            </w:r>
          </w:p>
        </w:tc>
        <w:tc>
          <w:tcPr>
            <w:tcW w:w="0" w:type="auto"/>
            <w:hideMark/>
          </w:tcPr>
          <w:p w14:paraId="68A6862D"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0.0</w:t>
            </w:r>
          </w:p>
        </w:tc>
        <w:tc>
          <w:tcPr>
            <w:tcW w:w="0" w:type="auto"/>
            <w:hideMark/>
          </w:tcPr>
          <w:p w14:paraId="5776643B"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24.2</w:t>
            </w:r>
          </w:p>
        </w:tc>
        <w:tc>
          <w:tcPr>
            <w:tcW w:w="0" w:type="auto"/>
            <w:hideMark/>
          </w:tcPr>
          <w:p w14:paraId="73F01D3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62.7 ± 9</w:t>
            </w:r>
          </w:p>
        </w:tc>
        <w:tc>
          <w:tcPr>
            <w:tcW w:w="0" w:type="auto"/>
            <w:hideMark/>
          </w:tcPr>
          <w:p w14:paraId="5D9EF6B7"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89.4</w:t>
            </w:r>
          </w:p>
        </w:tc>
        <w:tc>
          <w:tcPr>
            <w:tcW w:w="0" w:type="auto"/>
            <w:hideMark/>
          </w:tcPr>
          <w:p w14:paraId="366BBBFF"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82.0</w:t>
            </w:r>
          </w:p>
        </w:tc>
        <w:tc>
          <w:tcPr>
            <w:tcW w:w="0" w:type="auto"/>
            <w:noWrap/>
            <w:hideMark/>
          </w:tcPr>
          <w:p w14:paraId="5E180698"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501</w:t>
            </w:r>
          </w:p>
        </w:tc>
        <w:tc>
          <w:tcPr>
            <w:tcW w:w="0" w:type="auto"/>
            <w:hideMark/>
          </w:tcPr>
          <w:p w14:paraId="5AC1D0B4"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60.9</w:t>
            </w:r>
          </w:p>
        </w:tc>
        <w:tc>
          <w:tcPr>
            <w:tcW w:w="0" w:type="auto"/>
            <w:hideMark/>
          </w:tcPr>
          <w:p w14:paraId="58708146"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55.7</w:t>
            </w:r>
          </w:p>
        </w:tc>
        <w:tc>
          <w:tcPr>
            <w:tcW w:w="0" w:type="auto"/>
            <w:hideMark/>
          </w:tcPr>
          <w:p w14:paraId="6F1C4C3E" w14:textId="77777777" w:rsidR="00435C72" w:rsidRPr="00000849" w:rsidRDefault="00435C72" w:rsidP="00A52C4F">
            <w:pPr>
              <w:jc w:val="center"/>
              <w:rPr>
                <w:rFonts w:ascii="Calibri" w:eastAsia="Times New Roman" w:hAnsi="Calibri" w:cs="Calibri"/>
                <w:color w:val="000000"/>
                <w:sz w:val="15"/>
                <w:szCs w:val="15"/>
              </w:rPr>
            </w:pPr>
            <w:r w:rsidRPr="00000849">
              <w:rPr>
                <w:rFonts w:ascii="Calibri" w:eastAsia="Times New Roman" w:hAnsi="Calibri" w:cs="Calibri"/>
                <w:color w:val="000000"/>
                <w:sz w:val="15"/>
                <w:szCs w:val="15"/>
              </w:rPr>
              <w:t>57.3</w:t>
            </w:r>
          </w:p>
        </w:tc>
        <w:tc>
          <w:tcPr>
            <w:tcW w:w="0" w:type="auto"/>
          </w:tcPr>
          <w:p w14:paraId="2BA5E35B" w14:textId="77777777" w:rsidR="00435C72" w:rsidRPr="00000849" w:rsidRDefault="00435C72" w:rsidP="00A52C4F">
            <w:pPr>
              <w:jc w:val="center"/>
              <w:rPr>
                <w:rFonts w:ascii="Calibri" w:eastAsia="Times New Roman" w:hAnsi="Calibri" w:cs="Calibri"/>
                <w:bCs/>
                <w:color w:val="000000"/>
                <w:sz w:val="15"/>
                <w:szCs w:val="15"/>
              </w:rPr>
            </w:pPr>
            <w:r w:rsidRPr="00000849">
              <w:rPr>
                <w:rFonts w:ascii="Calibri" w:eastAsia="Times New Roman" w:hAnsi="Calibri" w:cs="Calibri"/>
                <w:bCs/>
                <w:color w:val="000000"/>
                <w:sz w:val="15"/>
                <w:szCs w:val="15"/>
              </w:rPr>
              <w:t>Low</w:t>
            </w:r>
          </w:p>
        </w:tc>
      </w:tr>
    </w:tbl>
    <w:p w14:paraId="4C7E41D0" w14:textId="77777777" w:rsidR="00435C72" w:rsidRPr="00000849" w:rsidRDefault="00435C72" w:rsidP="00275E9B">
      <w:pPr>
        <w:spacing w:after="160" w:line="259" w:lineRule="auto"/>
        <w:rPr>
          <w:rFonts w:ascii="Calibri" w:eastAsia="Times New Roman" w:hAnsi="Calibri" w:cs="Times New Roman"/>
          <w:sz w:val="24"/>
          <w:szCs w:val="24"/>
          <w:lang w:val="en-CA" w:eastAsia="en-CA"/>
        </w:rPr>
      </w:pPr>
    </w:p>
    <w:p w14:paraId="4BD7F979" w14:textId="77777777" w:rsidR="00435C72" w:rsidRPr="00000849" w:rsidRDefault="00435C72" w:rsidP="00275E9B">
      <w:pPr>
        <w:spacing w:after="160" w:line="259" w:lineRule="auto"/>
        <w:rPr>
          <w:rFonts w:ascii="Calibri" w:eastAsia="Times New Roman" w:hAnsi="Calibri" w:cs="Times New Roman"/>
          <w:sz w:val="24"/>
          <w:szCs w:val="24"/>
          <w:lang w:val="en-CA" w:eastAsia="en-CA"/>
        </w:rPr>
      </w:pPr>
    </w:p>
    <w:p w14:paraId="0CCB1CF5" w14:textId="77777777" w:rsidR="00735CD5" w:rsidRPr="00000849" w:rsidRDefault="00735CD5" w:rsidP="00CF4F1E">
      <w:pPr>
        <w:spacing w:after="0" w:line="259" w:lineRule="auto"/>
        <w:ind w:left="-329"/>
        <w:jc w:val="both"/>
        <w:sectPr w:rsidR="00735CD5" w:rsidRPr="00000849" w:rsidSect="00435C72">
          <w:pgSz w:w="15817" w:h="11906" w:orient="landscape"/>
          <w:pgMar w:top="1440" w:right="1440" w:bottom="1440" w:left="1181" w:header="720" w:footer="720" w:gutter="0"/>
          <w:cols w:space="720"/>
          <w:docGrid w:linePitch="299"/>
        </w:sectPr>
      </w:pPr>
    </w:p>
    <w:p w14:paraId="28033C7F" w14:textId="422515AE" w:rsidR="00BC221F" w:rsidRPr="00000849" w:rsidRDefault="00735CD5" w:rsidP="00CF4F1E">
      <w:pPr>
        <w:spacing w:after="0" w:line="259" w:lineRule="auto"/>
        <w:ind w:left="-329"/>
        <w:jc w:val="both"/>
      </w:pPr>
      <w:r w:rsidRPr="00000849">
        <w:rPr>
          <w:b/>
          <w:bCs/>
        </w:rPr>
        <w:lastRenderedPageBreak/>
        <w:t>Table 2</w:t>
      </w:r>
      <w:r w:rsidRPr="00000849">
        <w:t xml:space="preserve"> Age-specific prevelance of hypertension in studies in older adults in Africa</w:t>
      </w:r>
    </w:p>
    <w:tbl>
      <w:tblPr>
        <w:tblStyle w:val="PlainTable3"/>
        <w:tblW w:w="5000" w:type="pct"/>
        <w:tblInd w:w="0" w:type="dxa"/>
        <w:tblLook w:val="0420" w:firstRow="1" w:lastRow="0" w:firstColumn="0" w:lastColumn="0" w:noHBand="0" w:noVBand="1"/>
      </w:tblPr>
      <w:tblGrid>
        <w:gridCol w:w="452"/>
        <w:gridCol w:w="919"/>
        <w:gridCol w:w="890"/>
        <w:gridCol w:w="500"/>
        <w:gridCol w:w="500"/>
        <w:gridCol w:w="500"/>
        <w:gridCol w:w="500"/>
        <w:gridCol w:w="500"/>
        <w:gridCol w:w="497"/>
        <w:gridCol w:w="497"/>
        <w:gridCol w:w="497"/>
        <w:gridCol w:w="496"/>
        <w:gridCol w:w="496"/>
        <w:gridCol w:w="496"/>
        <w:gridCol w:w="496"/>
        <w:gridCol w:w="496"/>
        <w:gridCol w:w="496"/>
        <w:gridCol w:w="496"/>
        <w:gridCol w:w="496"/>
        <w:gridCol w:w="496"/>
        <w:gridCol w:w="496"/>
        <w:gridCol w:w="496"/>
        <w:gridCol w:w="496"/>
        <w:gridCol w:w="496"/>
        <w:gridCol w:w="496"/>
      </w:tblGrid>
      <w:tr w:rsidR="00735CD5" w:rsidRPr="00000849" w14:paraId="3CD4CB78" w14:textId="77777777" w:rsidTr="00D1712A">
        <w:trPr>
          <w:cnfStyle w:val="100000000000" w:firstRow="1" w:lastRow="0" w:firstColumn="0" w:lastColumn="0" w:oddVBand="0" w:evenVBand="0" w:oddHBand="0" w:evenHBand="0" w:firstRowFirstColumn="0" w:firstRowLastColumn="0" w:lastRowFirstColumn="0" w:lastRowLastColumn="0"/>
          <w:trHeight w:val="570"/>
        </w:trPr>
        <w:tc>
          <w:tcPr>
            <w:tcW w:w="171" w:type="pct"/>
            <w:vMerge w:val="restart"/>
            <w:tcBorders>
              <w:top w:val="single" w:sz="4" w:space="0" w:color="auto"/>
              <w:bottom w:val="single" w:sz="4" w:space="0" w:color="auto"/>
            </w:tcBorders>
            <w:hideMark/>
          </w:tcPr>
          <w:p w14:paraId="67229547" w14:textId="69FB9B74"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N</w:t>
            </w:r>
            <w:r w:rsidR="00D1712A" w:rsidRPr="00000849">
              <w:rPr>
                <w:rFonts w:ascii="Calibri" w:eastAsia="Times New Roman" w:hAnsi="Calibri" w:cs="Calibri"/>
                <w:caps w:val="0"/>
                <w:color w:val="000000"/>
                <w:sz w:val="14"/>
                <w:szCs w:val="14"/>
              </w:rPr>
              <w:t>o</w:t>
            </w:r>
            <w:r w:rsidRPr="00000849">
              <w:rPr>
                <w:rFonts w:ascii="Calibri" w:eastAsia="Times New Roman" w:hAnsi="Calibri" w:cs="Calibri"/>
                <w:color w:val="000000"/>
                <w:sz w:val="14"/>
                <w:szCs w:val="14"/>
              </w:rPr>
              <w:t>.</w:t>
            </w:r>
          </w:p>
        </w:tc>
        <w:tc>
          <w:tcPr>
            <w:tcW w:w="348" w:type="pct"/>
            <w:vMerge w:val="restart"/>
            <w:tcBorders>
              <w:top w:val="single" w:sz="4" w:space="0" w:color="auto"/>
              <w:bottom w:val="single" w:sz="4" w:space="0" w:color="auto"/>
            </w:tcBorders>
            <w:hideMark/>
          </w:tcPr>
          <w:p w14:paraId="34C5C06D" w14:textId="6F6DAE65" w:rsidR="00735CD5" w:rsidRPr="00000849" w:rsidRDefault="00D1712A" w:rsidP="00735CD5">
            <w:pPr>
              <w:jc w:val="center"/>
              <w:rPr>
                <w:rFonts w:ascii="Calibri" w:eastAsia="Times New Roman" w:hAnsi="Calibri" w:cs="Calibri"/>
                <w:color w:val="000000"/>
                <w:sz w:val="14"/>
                <w:szCs w:val="14"/>
              </w:rPr>
            </w:pPr>
            <w:r w:rsidRPr="00000849">
              <w:rPr>
                <w:rFonts w:ascii="Calibri" w:eastAsia="Times New Roman" w:hAnsi="Calibri" w:cs="Calibri"/>
                <w:caps w:val="0"/>
                <w:color w:val="000000"/>
                <w:sz w:val="14"/>
                <w:szCs w:val="14"/>
              </w:rPr>
              <w:t>Reference</w:t>
            </w:r>
          </w:p>
        </w:tc>
        <w:tc>
          <w:tcPr>
            <w:tcW w:w="337" w:type="pct"/>
            <w:vMerge w:val="restart"/>
            <w:tcBorders>
              <w:top w:val="single" w:sz="4" w:space="0" w:color="auto"/>
              <w:bottom w:val="single" w:sz="4" w:space="0" w:color="auto"/>
            </w:tcBorders>
            <w:hideMark/>
          </w:tcPr>
          <w:p w14:paraId="2173E433" w14:textId="389CD114" w:rsidR="00735CD5" w:rsidRPr="00000849" w:rsidRDefault="00D1712A" w:rsidP="00735CD5">
            <w:pPr>
              <w:jc w:val="center"/>
              <w:rPr>
                <w:rFonts w:ascii="Calibri" w:eastAsia="Times New Roman" w:hAnsi="Calibri" w:cs="Calibri"/>
                <w:color w:val="000000"/>
                <w:sz w:val="14"/>
                <w:szCs w:val="14"/>
              </w:rPr>
            </w:pPr>
            <w:r w:rsidRPr="00000849">
              <w:rPr>
                <w:rFonts w:ascii="Calibri" w:eastAsia="Times New Roman" w:hAnsi="Calibri" w:cs="Calibri"/>
                <w:caps w:val="0"/>
                <w:color w:val="000000"/>
                <w:sz w:val="14"/>
                <w:szCs w:val="14"/>
              </w:rPr>
              <w:t>Country</w:t>
            </w:r>
          </w:p>
        </w:tc>
        <w:tc>
          <w:tcPr>
            <w:tcW w:w="189" w:type="pct"/>
            <w:tcBorders>
              <w:top w:val="single" w:sz="4" w:space="0" w:color="auto"/>
              <w:bottom w:val="single" w:sz="4" w:space="0" w:color="auto"/>
            </w:tcBorders>
            <w:hideMark/>
          </w:tcPr>
          <w:p w14:paraId="760640C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50-59</w:t>
            </w:r>
          </w:p>
        </w:tc>
        <w:tc>
          <w:tcPr>
            <w:tcW w:w="189" w:type="pct"/>
            <w:tcBorders>
              <w:top w:val="single" w:sz="4" w:space="0" w:color="auto"/>
              <w:bottom w:val="single" w:sz="4" w:space="0" w:color="auto"/>
            </w:tcBorders>
            <w:hideMark/>
          </w:tcPr>
          <w:p w14:paraId="68EF303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60-69</w:t>
            </w:r>
          </w:p>
        </w:tc>
        <w:tc>
          <w:tcPr>
            <w:tcW w:w="189" w:type="pct"/>
            <w:tcBorders>
              <w:top w:val="single" w:sz="4" w:space="0" w:color="auto"/>
              <w:bottom w:val="single" w:sz="4" w:space="0" w:color="auto"/>
            </w:tcBorders>
            <w:hideMark/>
          </w:tcPr>
          <w:p w14:paraId="3B196A7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70-79</w:t>
            </w:r>
          </w:p>
        </w:tc>
        <w:tc>
          <w:tcPr>
            <w:tcW w:w="189" w:type="pct"/>
            <w:tcBorders>
              <w:top w:val="single" w:sz="4" w:space="0" w:color="auto"/>
              <w:bottom w:val="single" w:sz="4" w:space="0" w:color="auto"/>
            </w:tcBorders>
            <w:hideMark/>
          </w:tcPr>
          <w:p w14:paraId="591587A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80 +</w:t>
            </w:r>
          </w:p>
        </w:tc>
        <w:tc>
          <w:tcPr>
            <w:tcW w:w="189" w:type="pct"/>
            <w:tcBorders>
              <w:top w:val="single" w:sz="4" w:space="0" w:color="auto"/>
              <w:bottom w:val="single" w:sz="4" w:space="0" w:color="auto"/>
            </w:tcBorders>
            <w:hideMark/>
          </w:tcPr>
          <w:p w14:paraId="2A02159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50-59</w:t>
            </w:r>
          </w:p>
        </w:tc>
        <w:tc>
          <w:tcPr>
            <w:tcW w:w="188" w:type="pct"/>
            <w:tcBorders>
              <w:top w:val="single" w:sz="4" w:space="0" w:color="auto"/>
              <w:bottom w:val="single" w:sz="4" w:space="0" w:color="auto"/>
            </w:tcBorders>
            <w:hideMark/>
          </w:tcPr>
          <w:p w14:paraId="2D04233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60-69</w:t>
            </w:r>
          </w:p>
        </w:tc>
        <w:tc>
          <w:tcPr>
            <w:tcW w:w="188" w:type="pct"/>
            <w:tcBorders>
              <w:top w:val="single" w:sz="4" w:space="0" w:color="auto"/>
              <w:bottom w:val="single" w:sz="4" w:space="0" w:color="auto"/>
            </w:tcBorders>
            <w:hideMark/>
          </w:tcPr>
          <w:p w14:paraId="12C7E68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70-79</w:t>
            </w:r>
          </w:p>
        </w:tc>
        <w:tc>
          <w:tcPr>
            <w:tcW w:w="188" w:type="pct"/>
            <w:tcBorders>
              <w:top w:val="single" w:sz="4" w:space="0" w:color="auto"/>
              <w:bottom w:val="single" w:sz="4" w:space="0" w:color="auto"/>
            </w:tcBorders>
            <w:hideMark/>
          </w:tcPr>
          <w:p w14:paraId="19E2771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80 +</w:t>
            </w:r>
          </w:p>
        </w:tc>
        <w:tc>
          <w:tcPr>
            <w:tcW w:w="188" w:type="pct"/>
            <w:tcBorders>
              <w:top w:val="single" w:sz="4" w:space="0" w:color="auto"/>
              <w:bottom w:val="single" w:sz="4" w:space="0" w:color="auto"/>
            </w:tcBorders>
            <w:hideMark/>
          </w:tcPr>
          <w:p w14:paraId="1FFFAF3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50-59</w:t>
            </w:r>
          </w:p>
        </w:tc>
        <w:tc>
          <w:tcPr>
            <w:tcW w:w="188" w:type="pct"/>
            <w:tcBorders>
              <w:top w:val="single" w:sz="4" w:space="0" w:color="auto"/>
              <w:bottom w:val="single" w:sz="4" w:space="0" w:color="auto"/>
            </w:tcBorders>
            <w:hideMark/>
          </w:tcPr>
          <w:p w14:paraId="2EF155C7"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60-69</w:t>
            </w:r>
          </w:p>
        </w:tc>
        <w:tc>
          <w:tcPr>
            <w:tcW w:w="188" w:type="pct"/>
            <w:tcBorders>
              <w:top w:val="single" w:sz="4" w:space="0" w:color="auto"/>
              <w:bottom w:val="single" w:sz="4" w:space="0" w:color="auto"/>
            </w:tcBorders>
            <w:hideMark/>
          </w:tcPr>
          <w:p w14:paraId="7B747EB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70-79</w:t>
            </w:r>
          </w:p>
        </w:tc>
        <w:tc>
          <w:tcPr>
            <w:tcW w:w="188" w:type="pct"/>
            <w:tcBorders>
              <w:top w:val="single" w:sz="4" w:space="0" w:color="auto"/>
              <w:bottom w:val="single" w:sz="4" w:space="0" w:color="auto"/>
            </w:tcBorders>
            <w:hideMark/>
          </w:tcPr>
          <w:p w14:paraId="3F2F3BD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80 +</w:t>
            </w:r>
          </w:p>
        </w:tc>
        <w:tc>
          <w:tcPr>
            <w:tcW w:w="188" w:type="pct"/>
            <w:tcBorders>
              <w:top w:val="single" w:sz="4" w:space="0" w:color="auto"/>
              <w:bottom w:val="single" w:sz="4" w:space="0" w:color="auto"/>
            </w:tcBorders>
          </w:tcPr>
          <w:p w14:paraId="12180BB7"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50 - 64</w:t>
            </w:r>
          </w:p>
        </w:tc>
        <w:tc>
          <w:tcPr>
            <w:tcW w:w="188" w:type="pct"/>
            <w:tcBorders>
              <w:top w:val="single" w:sz="4" w:space="0" w:color="auto"/>
              <w:bottom w:val="single" w:sz="4" w:space="0" w:color="auto"/>
            </w:tcBorders>
          </w:tcPr>
          <w:p w14:paraId="3F862613" w14:textId="77777777" w:rsidR="00735CD5" w:rsidRPr="00000849" w:rsidRDefault="00735CD5" w:rsidP="00735CD5">
            <w:pPr>
              <w:jc w:val="center"/>
              <w:rPr>
                <w:rFonts w:ascii="Calibri" w:eastAsia="Times New Roman" w:hAnsi="Calibri" w:cs="Calibri"/>
                <w:bCs w:val="0"/>
                <w:color w:val="000000"/>
                <w:sz w:val="14"/>
                <w:szCs w:val="14"/>
              </w:rPr>
            </w:pPr>
            <w:r w:rsidRPr="00000849">
              <w:rPr>
                <w:rFonts w:ascii="Calibri" w:eastAsia="Times New Roman" w:hAnsi="Calibri" w:cs="Calibri"/>
                <w:bCs w:val="0"/>
                <w:color w:val="000000"/>
                <w:sz w:val="14"/>
                <w:szCs w:val="14"/>
              </w:rPr>
              <w:t>65 - 74</w:t>
            </w:r>
          </w:p>
        </w:tc>
        <w:tc>
          <w:tcPr>
            <w:tcW w:w="188" w:type="pct"/>
            <w:tcBorders>
              <w:top w:val="single" w:sz="4" w:space="0" w:color="auto"/>
              <w:bottom w:val="single" w:sz="4" w:space="0" w:color="auto"/>
            </w:tcBorders>
          </w:tcPr>
          <w:p w14:paraId="186F8264" w14:textId="77777777" w:rsidR="00735CD5" w:rsidRPr="00000849" w:rsidRDefault="00735CD5" w:rsidP="00735CD5">
            <w:pPr>
              <w:jc w:val="center"/>
              <w:rPr>
                <w:rFonts w:ascii="Calibri" w:eastAsia="Times New Roman" w:hAnsi="Calibri" w:cs="Calibri"/>
                <w:bCs w:val="0"/>
                <w:color w:val="000000"/>
                <w:sz w:val="14"/>
                <w:szCs w:val="14"/>
              </w:rPr>
            </w:pPr>
            <w:r w:rsidRPr="00000849">
              <w:rPr>
                <w:rFonts w:ascii="Calibri" w:eastAsia="Times New Roman" w:hAnsi="Calibri" w:cs="Calibri"/>
                <w:bCs w:val="0"/>
                <w:color w:val="000000"/>
                <w:sz w:val="14"/>
                <w:szCs w:val="14"/>
              </w:rPr>
              <w:t>75+</w:t>
            </w:r>
          </w:p>
        </w:tc>
        <w:tc>
          <w:tcPr>
            <w:tcW w:w="188" w:type="pct"/>
            <w:tcBorders>
              <w:top w:val="single" w:sz="4" w:space="0" w:color="auto"/>
              <w:bottom w:val="single" w:sz="4" w:space="0" w:color="auto"/>
            </w:tcBorders>
            <w:hideMark/>
          </w:tcPr>
          <w:p w14:paraId="08EA07D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65 - 69</w:t>
            </w:r>
          </w:p>
        </w:tc>
        <w:tc>
          <w:tcPr>
            <w:tcW w:w="188" w:type="pct"/>
            <w:tcBorders>
              <w:top w:val="single" w:sz="4" w:space="0" w:color="auto"/>
              <w:bottom w:val="single" w:sz="4" w:space="0" w:color="auto"/>
            </w:tcBorders>
            <w:hideMark/>
          </w:tcPr>
          <w:p w14:paraId="153C01A7"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70 - 74</w:t>
            </w:r>
          </w:p>
        </w:tc>
        <w:tc>
          <w:tcPr>
            <w:tcW w:w="188" w:type="pct"/>
            <w:tcBorders>
              <w:top w:val="single" w:sz="4" w:space="0" w:color="auto"/>
              <w:bottom w:val="single" w:sz="4" w:space="0" w:color="auto"/>
            </w:tcBorders>
            <w:hideMark/>
          </w:tcPr>
          <w:p w14:paraId="3A1813C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75 - 79</w:t>
            </w:r>
          </w:p>
        </w:tc>
        <w:tc>
          <w:tcPr>
            <w:tcW w:w="188" w:type="pct"/>
            <w:tcBorders>
              <w:top w:val="single" w:sz="4" w:space="0" w:color="auto"/>
              <w:bottom w:val="single" w:sz="4" w:space="0" w:color="auto"/>
            </w:tcBorders>
            <w:hideMark/>
          </w:tcPr>
          <w:p w14:paraId="48BB5DE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80 +</w:t>
            </w:r>
          </w:p>
        </w:tc>
        <w:tc>
          <w:tcPr>
            <w:tcW w:w="188" w:type="pct"/>
            <w:tcBorders>
              <w:top w:val="single" w:sz="4" w:space="0" w:color="auto"/>
              <w:bottom w:val="single" w:sz="4" w:space="0" w:color="auto"/>
            </w:tcBorders>
            <w:hideMark/>
          </w:tcPr>
          <w:p w14:paraId="570F6CD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65 - 74</w:t>
            </w:r>
          </w:p>
        </w:tc>
        <w:tc>
          <w:tcPr>
            <w:tcW w:w="188" w:type="pct"/>
            <w:tcBorders>
              <w:top w:val="single" w:sz="4" w:space="0" w:color="auto"/>
              <w:bottom w:val="single" w:sz="4" w:space="0" w:color="auto"/>
            </w:tcBorders>
            <w:hideMark/>
          </w:tcPr>
          <w:p w14:paraId="05CF7E3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75 - 84</w:t>
            </w:r>
          </w:p>
        </w:tc>
        <w:tc>
          <w:tcPr>
            <w:tcW w:w="188" w:type="pct"/>
            <w:tcBorders>
              <w:top w:val="single" w:sz="4" w:space="0" w:color="auto"/>
              <w:bottom w:val="single" w:sz="4" w:space="0" w:color="auto"/>
            </w:tcBorders>
            <w:hideMark/>
          </w:tcPr>
          <w:p w14:paraId="04293B4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85+</w:t>
            </w:r>
          </w:p>
        </w:tc>
      </w:tr>
      <w:tr w:rsidR="00735CD5" w:rsidRPr="00000849" w14:paraId="3EBE8ECD" w14:textId="77777777" w:rsidTr="00D1712A">
        <w:trPr>
          <w:cnfStyle w:val="000000100000" w:firstRow="0" w:lastRow="0" w:firstColumn="0" w:lastColumn="0" w:oddVBand="0" w:evenVBand="0" w:oddHBand="1" w:evenHBand="0" w:firstRowFirstColumn="0" w:firstRowLastColumn="0" w:lastRowFirstColumn="0" w:lastRowLastColumn="0"/>
          <w:trHeight w:val="494"/>
        </w:trPr>
        <w:tc>
          <w:tcPr>
            <w:tcW w:w="171" w:type="pct"/>
            <w:vMerge/>
            <w:tcBorders>
              <w:top w:val="single" w:sz="4" w:space="0" w:color="auto"/>
            </w:tcBorders>
            <w:hideMark/>
          </w:tcPr>
          <w:p w14:paraId="4A8E93E8" w14:textId="77777777" w:rsidR="00735CD5" w:rsidRPr="00000849" w:rsidRDefault="00735CD5" w:rsidP="00735CD5">
            <w:pPr>
              <w:rPr>
                <w:rFonts w:ascii="Calibri" w:eastAsia="Times New Roman" w:hAnsi="Calibri" w:cs="Calibri"/>
                <w:b/>
                <w:bCs/>
                <w:color w:val="000000"/>
                <w:sz w:val="14"/>
                <w:szCs w:val="14"/>
              </w:rPr>
            </w:pPr>
          </w:p>
        </w:tc>
        <w:tc>
          <w:tcPr>
            <w:tcW w:w="348" w:type="pct"/>
            <w:vMerge/>
            <w:tcBorders>
              <w:top w:val="single" w:sz="4" w:space="0" w:color="auto"/>
            </w:tcBorders>
            <w:hideMark/>
          </w:tcPr>
          <w:p w14:paraId="5ACD18E6" w14:textId="77777777" w:rsidR="00735CD5" w:rsidRPr="00000849" w:rsidRDefault="00735CD5" w:rsidP="00735CD5">
            <w:pPr>
              <w:rPr>
                <w:rFonts w:ascii="Calibri" w:eastAsia="Times New Roman" w:hAnsi="Calibri" w:cs="Calibri"/>
                <w:b/>
                <w:bCs/>
                <w:color w:val="000000"/>
                <w:sz w:val="14"/>
                <w:szCs w:val="14"/>
              </w:rPr>
            </w:pPr>
          </w:p>
        </w:tc>
        <w:tc>
          <w:tcPr>
            <w:tcW w:w="337" w:type="pct"/>
            <w:vMerge/>
            <w:tcBorders>
              <w:top w:val="single" w:sz="4" w:space="0" w:color="auto"/>
            </w:tcBorders>
            <w:hideMark/>
          </w:tcPr>
          <w:p w14:paraId="094125CC" w14:textId="77777777" w:rsidR="00735CD5" w:rsidRPr="00000849" w:rsidRDefault="00735CD5" w:rsidP="00735CD5">
            <w:pPr>
              <w:rPr>
                <w:rFonts w:ascii="Calibri" w:eastAsia="Times New Roman" w:hAnsi="Calibri" w:cs="Calibri"/>
                <w:b/>
                <w:bCs/>
                <w:color w:val="000000"/>
                <w:sz w:val="14"/>
                <w:szCs w:val="14"/>
              </w:rPr>
            </w:pPr>
          </w:p>
        </w:tc>
        <w:tc>
          <w:tcPr>
            <w:tcW w:w="189" w:type="pct"/>
            <w:tcBorders>
              <w:top w:val="single" w:sz="4" w:space="0" w:color="auto"/>
            </w:tcBorders>
            <w:hideMark/>
          </w:tcPr>
          <w:p w14:paraId="2353A85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M</w:t>
            </w:r>
          </w:p>
        </w:tc>
        <w:tc>
          <w:tcPr>
            <w:tcW w:w="189" w:type="pct"/>
            <w:tcBorders>
              <w:top w:val="single" w:sz="4" w:space="0" w:color="auto"/>
            </w:tcBorders>
            <w:hideMark/>
          </w:tcPr>
          <w:p w14:paraId="5B6E42BC"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M</w:t>
            </w:r>
          </w:p>
        </w:tc>
        <w:tc>
          <w:tcPr>
            <w:tcW w:w="189" w:type="pct"/>
            <w:tcBorders>
              <w:top w:val="single" w:sz="4" w:space="0" w:color="auto"/>
            </w:tcBorders>
            <w:hideMark/>
          </w:tcPr>
          <w:p w14:paraId="30030F6C"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M</w:t>
            </w:r>
          </w:p>
        </w:tc>
        <w:tc>
          <w:tcPr>
            <w:tcW w:w="189" w:type="pct"/>
            <w:tcBorders>
              <w:top w:val="single" w:sz="4" w:space="0" w:color="auto"/>
            </w:tcBorders>
            <w:hideMark/>
          </w:tcPr>
          <w:p w14:paraId="0073760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M</w:t>
            </w:r>
          </w:p>
        </w:tc>
        <w:tc>
          <w:tcPr>
            <w:tcW w:w="189" w:type="pct"/>
            <w:tcBorders>
              <w:top w:val="single" w:sz="4" w:space="0" w:color="auto"/>
            </w:tcBorders>
            <w:hideMark/>
          </w:tcPr>
          <w:p w14:paraId="6882E10C"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F</w:t>
            </w:r>
          </w:p>
        </w:tc>
        <w:tc>
          <w:tcPr>
            <w:tcW w:w="188" w:type="pct"/>
            <w:tcBorders>
              <w:top w:val="single" w:sz="4" w:space="0" w:color="auto"/>
            </w:tcBorders>
            <w:hideMark/>
          </w:tcPr>
          <w:p w14:paraId="00007DA7"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F</w:t>
            </w:r>
          </w:p>
        </w:tc>
        <w:tc>
          <w:tcPr>
            <w:tcW w:w="188" w:type="pct"/>
            <w:tcBorders>
              <w:top w:val="single" w:sz="4" w:space="0" w:color="auto"/>
            </w:tcBorders>
            <w:hideMark/>
          </w:tcPr>
          <w:p w14:paraId="2DE12B0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F</w:t>
            </w:r>
          </w:p>
        </w:tc>
        <w:tc>
          <w:tcPr>
            <w:tcW w:w="188" w:type="pct"/>
            <w:tcBorders>
              <w:top w:val="single" w:sz="4" w:space="0" w:color="auto"/>
            </w:tcBorders>
            <w:hideMark/>
          </w:tcPr>
          <w:p w14:paraId="323BE68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F</w:t>
            </w:r>
          </w:p>
        </w:tc>
        <w:tc>
          <w:tcPr>
            <w:tcW w:w="188" w:type="pct"/>
            <w:tcBorders>
              <w:top w:val="single" w:sz="4" w:space="0" w:color="auto"/>
            </w:tcBorders>
            <w:hideMark/>
          </w:tcPr>
          <w:p w14:paraId="3F07F23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2EE4A0D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13FA548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0589C0B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tcPr>
          <w:p w14:paraId="10B422F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tcPr>
          <w:p w14:paraId="69AE7E2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tcPr>
          <w:p w14:paraId="662A73E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05AC9D8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4A23807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4F03E87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63FAD10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2832270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270F17F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c>
          <w:tcPr>
            <w:tcW w:w="188" w:type="pct"/>
            <w:tcBorders>
              <w:top w:val="single" w:sz="4" w:space="0" w:color="auto"/>
            </w:tcBorders>
            <w:hideMark/>
          </w:tcPr>
          <w:p w14:paraId="09167CC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T</w:t>
            </w:r>
          </w:p>
        </w:tc>
      </w:tr>
      <w:tr w:rsidR="00735CD5" w:rsidRPr="00000849" w14:paraId="0C1760C9" w14:textId="77777777" w:rsidTr="00735CD5">
        <w:trPr>
          <w:trHeight w:val="600"/>
        </w:trPr>
        <w:tc>
          <w:tcPr>
            <w:tcW w:w="171" w:type="pct"/>
            <w:hideMark/>
          </w:tcPr>
          <w:p w14:paraId="2F792F8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1</w:t>
            </w:r>
          </w:p>
        </w:tc>
        <w:tc>
          <w:tcPr>
            <w:tcW w:w="348" w:type="pct"/>
            <w:hideMark/>
          </w:tcPr>
          <w:p w14:paraId="57204A51" w14:textId="7D1F3921"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Dewhurst 2013 </w:t>
            </w:r>
            <w:r w:rsidR="00DE4C21" w:rsidRPr="00000849">
              <w:rPr>
                <w:rFonts w:ascii="Calibri" w:eastAsia="Calibri" w:hAnsi="Calibri" w:cs="Calibri"/>
                <w:color w:val="000000"/>
                <w:sz w:val="16"/>
              </w:rPr>
              <w:t>[</w:t>
            </w:r>
            <w:r w:rsidR="00DE4C21" w:rsidRPr="00000849">
              <w:rPr>
                <w:rFonts w:ascii="Calibri" w:eastAsia="Calibri" w:hAnsi="Calibri" w:cs="Calibri"/>
                <w:color w:val="0000FF"/>
                <w:sz w:val="16"/>
              </w:rPr>
              <w:t>25</w:t>
            </w:r>
            <w:r w:rsidR="00DE4C21" w:rsidRPr="00000849">
              <w:rPr>
                <w:rFonts w:ascii="Calibri" w:eastAsia="Calibri" w:hAnsi="Calibri" w:cs="Calibri"/>
                <w:color w:val="000000"/>
                <w:sz w:val="16"/>
              </w:rPr>
              <w:t>]</w:t>
            </w:r>
          </w:p>
        </w:tc>
        <w:tc>
          <w:tcPr>
            <w:tcW w:w="337" w:type="pct"/>
            <w:hideMark/>
          </w:tcPr>
          <w:p w14:paraId="0CCFF932" w14:textId="77777777"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Tanzania</w:t>
            </w:r>
          </w:p>
        </w:tc>
        <w:tc>
          <w:tcPr>
            <w:tcW w:w="189" w:type="pct"/>
            <w:hideMark/>
          </w:tcPr>
          <w:p w14:paraId="219798A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4FC72B6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26DA1E1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60.6</w:t>
            </w:r>
          </w:p>
        </w:tc>
        <w:tc>
          <w:tcPr>
            <w:tcW w:w="189" w:type="pct"/>
            <w:hideMark/>
          </w:tcPr>
          <w:p w14:paraId="18C106E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65.9</w:t>
            </w:r>
          </w:p>
        </w:tc>
        <w:tc>
          <w:tcPr>
            <w:tcW w:w="189" w:type="pct"/>
            <w:hideMark/>
          </w:tcPr>
          <w:p w14:paraId="4032049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9E6CB5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613316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75.0</w:t>
            </w:r>
          </w:p>
        </w:tc>
        <w:tc>
          <w:tcPr>
            <w:tcW w:w="188" w:type="pct"/>
            <w:hideMark/>
          </w:tcPr>
          <w:p w14:paraId="295A243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77.3</w:t>
            </w:r>
          </w:p>
        </w:tc>
        <w:tc>
          <w:tcPr>
            <w:tcW w:w="188" w:type="pct"/>
            <w:hideMark/>
          </w:tcPr>
          <w:p w14:paraId="022D156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1699B5D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21E24BF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68.6</w:t>
            </w:r>
          </w:p>
        </w:tc>
        <w:tc>
          <w:tcPr>
            <w:tcW w:w="188" w:type="pct"/>
            <w:hideMark/>
          </w:tcPr>
          <w:p w14:paraId="0188C5B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72.5</w:t>
            </w:r>
          </w:p>
        </w:tc>
        <w:tc>
          <w:tcPr>
            <w:tcW w:w="188" w:type="pct"/>
          </w:tcPr>
          <w:p w14:paraId="7716549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2EB85E3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7203CAF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168EFF5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6E56AE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2A437E7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7A57141C" w14:textId="77777777" w:rsidR="00735CD5" w:rsidRPr="00000849" w:rsidRDefault="00735CD5" w:rsidP="00735CD5">
            <w:pPr>
              <w:jc w:val="center"/>
              <w:rPr>
                <w:rFonts w:ascii="Calibri" w:eastAsia="Times New Roman" w:hAnsi="Calibri" w:cs="Calibri"/>
                <w:color w:val="000000"/>
                <w:sz w:val="14"/>
                <w:szCs w:val="14"/>
              </w:rPr>
            </w:pPr>
          </w:p>
        </w:tc>
        <w:tc>
          <w:tcPr>
            <w:tcW w:w="188" w:type="pct"/>
            <w:hideMark/>
          </w:tcPr>
          <w:p w14:paraId="79AB6C8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4070837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7712EA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r>
      <w:tr w:rsidR="00735CD5" w:rsidRPr="00000849" w14:paraId="17BA9AFA" w14:textId="77777777" w:rsidTr="00735CD5">
        <w:trPr>
          <w:cnfStyle w:val="000000100000" w:firstRow="0" w:lastRow="0" w:firstColumn="0" w:lastColumn="0" w:oddVBand="0" w:evenVBand="0" w:oddHBand="1" w:evenHBand="0" w:firstRowFirstColumn="0" w:firstRowLastColumn="0" w:lastRowFirstColumn="0" w:lastRowLastColumn="0"/>
          <w:trHeight w:val="468"/>
        </w:trPr>
        <w:tc>
          <w:tcPr>
            <w:tcW w:w="171" w:type="pct"/>
            <w:hideMark/>
          </w:tcPr>
          <w:p w14:paraId="77E8C79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2</w:t>
            </w:r>
          </w:p>
        </w:tc>
        <w:tc>
          <w:tcPr>
            <w:tcW w:w="348" w:type="pct"/>
            <w:hideMark/>
          </w:tcPr>
          <w:p w14:paraId="383F1F57" w14:textId="288F2210"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Hammami 2011 </w:t>
            </w:r>
            <w:r w:rsidR="00DE4C21" w:rsidRPr="00000849">
              <w:rPr>
                <w:rFonts w:ascii="Calibri" w:eastAsia="Calibri" w:hAnsi="Calibri" w:cs="Calibri"/>
                <w:color w:val="000000"/>
                <w:sz w:val="16"/>
              </w:rPr>
              <w:t>[</w:t>
            </w:r>
            <w:r w:rsidR="00DE4C21" w:rsidRPr="00000849">
              <w:rPr>
                <w:rFonts w:ascii="Calibri" w:eastAsia="Calibri" w:hAnsi="Calibri" w:cs="Calibri"/>
                <w:color w:val="0000FF"/>
                <w:sz w:val="16"/>
              </w:rPr>
              <w:t>26</w:t>
            </w:r>
            <w:r w:rsidR="00DE4C21" w:rsidRPr="00000849">
              <w:rPr>
                <w:rFonts w:ascii="Calibri" w:eastAsia="Calibri" w:hAnsi="Calibri" w:cs="Calibri"/>
                <w:color w:val="000000"/>
                <w:sz w:val="16"/>
              </w:rPr>
              <w:t>]</w:t>
            </w:r>
          </w:p>
        </w:tc>
        <w:tc>
          <w:tcPr>
            <w:tcW w:w="337" w:type="pct"/>
            <w:hideMark/>
          </w:tcPr>
          <w:p w14:paraId="68A21AC1" w14:textId="77777777"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Tunisia</w:t>
            </w:r>
          </w:p>
        </w:tc>
        <w:tc>
          <w:tcPr>
            <w:tcW w:w="189" w:type="pct"/>
            <w:hideMark/>
          </w:tcPr>
          <w:p w14:paraId="2DE9494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69AC5F7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14D62C3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776A523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44E07F2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737A516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692E27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C07ED97"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1732905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9D78B2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51.5</w:t>
            </w:r>
          </w:p>
        </w:tc>
        <w:tc>
          <w:tcPr>
            <w:tcW w:w="188" w:type="pct"/>
            <w:hideMark/>
          </w:tcPr>
          <w:p w14:paraId="2D02508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54.9</w:t>
            </w:r>
          </w:p>
        </w:tc>
        <w:tc>
          <w:tcPr>
            <w:tcW w:w="188" w:type="pct"/>
            <w:hideMark/>
          </w:tcPr>
          <w:p w14:paraId="4CD914F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45.8</w:t>
            </w:r>
          </w:p>
        </w:tc>
        <w:tc>
          <w:tcPr>
            <w:tcW w:w="188" w:type="pct"/>
          </w:tcPr>
          <w:p w14:paraId="3F05A56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56A7A60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78984DA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5E8D37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005728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7C08111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C839975" w14:textId="77777777" w:rsidR="00735CD5" w:rsidRPr="00000849" w:rsidRDefault="00735CD5" w:rsidP="00735CD5">
            <w:pPr>
              <w:jc w:val="center"/>
              <w:rPr>
                <w:rFonts w:ascii="Calibri" w:eastAsia="Times New Roman" w:hAnsi="Calibri" w:cs="Calibri"/>
                <w:color w:val="000000"/>
                <w:sz w:val="14"/>
                <w:szCs w:val="14"/>
              </w:rPr>
            </w:pPr>
          </w:p>
        </w:tc>
        <w:tc>
          <w:tcPr>
            <w:tcW w:w="188" w:type="pct"/>
            <w:hideMark/>
          </w:tcPr>
          <w:p w14:paraId="3FA3071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6C53617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5CF960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r>
      <w:tr w:rsidR="00735CD5" w:rsidRPr="00000849" w14:paraId="6C338D92" w14:textId="77777777" w:rsidTr="00735CD5">
        <w:trPr>
          <w:trHeight w:val="468"/>
        </w:trPr>
        <w:tc>
          <w:tcPr>
            <w:tcW w:w="171" w:type="pct"/>
          </w:tcPr>
          <w:p w14:paraId="6CD830E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3</w:t>
            </w:r>
          </w:p>
        </w:tc>
        <w:tc>
          <w:tcPr>
            <w:tcW w:w="348" w:type="pct"/>
          </w:tcPr>
          <w:p w14:paraId="3CD8DDB8" w14:textId="14EA3454"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Minicuci 2014 </w:t>
            </w:r>
            <w:r w:rsidR="00DE4C21" w:rsidRPr="00000849">
              <w:rPr>
                <w:rFonts w:ascii="Calibri" w:eastAsia="Calibri" w:hAnsi="Calibri" w:cs="Calibri"/>
                <w:color w:val="000000"/>
                <w:sz w:val="16"/>
              </w:rPr>
              <w:t>[</w:t>
            </w:r>
            <w:r w:rsidR="00DE4C21" w:rsidRPr="00000849">
              <w:rPr>
                <w:rFonts w:ascii="Calibri" w:eastAsia="Calibri" w:hAnsi="Calibri" w:cs="Calibri"/>
                <w:color w:val="0000FF"/>
                <w:sz w:val="16"/>
              </w:rPr>
              <w:t>22</w:t>
            </w:r>
            <w:r w:rsidR="00DE4C21" w:rsidRPr="00000849">
              <w:rPr>
                <w:rFonts w:ascii="Calibri" w:eastAsia="Calibri" w:hAnsi="Calibri" w:cs="Calibri"/>
                <w:color w:val="000000"/>
                <w:sz w:val="16"/>
              </w:rPr>
              <w:t>]</w:t>
            </w:r>
          </w:p>
        </w:tc>
        <w:tc>
          <w:tcPr>
            <w:tcW w:w="337" w:type="pct"/>
          </w:tcPr>
          <w:p w14:paraId="66BEA08D" w14:textId="77777777" w:rsidR="00735CD5" w:rsidRPr="00000849" w:rsidRDefault="00735CD5" w:rsidP="00735CD5">
            <w:pPr>
              <w:rPr>
                <w:rFonts w:ascii="Calibri" w:eastAsia="Times New Roman" w:hAnsi="Calibri" w:cs="Calibri"/>
                <w:color w:val="000000"/>
                <w:sz w:val="14"/>
                <w:szCs w:val="14"/>
              </w:rPr>
            </w:pPr>
          </w:p>
        </w:tc>
        <w:tc>
          <w:tcPr>
            <w:tcW w:w="189" w:type="pct"/>
          </w:tcPr>
          <w:p w14:paraId="3A2230B7" w14:textId="77777777" w:rsidR="00735CD5" w:rsidRPr="00000849" w:rsidRDefault="00735CD5" w:rsidP="00735CD5">
            <w:pPr>
              <w:jc w:val="center"/>
              <w:rPr>
                <w:rFonts w:ascii="Calibri" w:eastAsia="Times New Roman" w:hAnsi="Calibri" w:cs="Calibri"/>
                <w:color w:val="000000"/>
                <w:sz w:val="14"/>
                <w:szCs w:val="14"/>
              </w:rPr>
            </w:pPr>
          </w:p>
        </w:tc>
        <w:tc>
          <w:tcPr>
            <w:tcW w:w="189" w:type="pct"/>
          </w:tcPr>
          <w:p w14:paraId="4CB3C11C" w14:textId="77777777" w:rsidR="00735CD5" w:rsidRPr="00000849" w:rsidRDefault="00735CD5" w:rsidP="00735CD5">
            <w:pPr>
              <w:jc w:val="center"/>
              <w:rPr>
                <w:rFonts w:ascii="Calibri" w:eastAsia="Times New Roman" w:hAnsi="Calibri" w:cs="Calibri"/>
                <w:color w:val="000000"/>
                <w:sz w:val="14"/>
                <w:szCs w:val="14"/>
              </w:rPr>
            </w:pPr>
          </w:p>
        </w:tc>
        <w:tc>
          <w:tcPr>
            <w:tcW w:w="189" w:type="pct"/>
          </w:tcPr>
          <w:p w14:paraId="270426D7" w14:textId="77777777" w:rsidR="00735CD5" w:rsidRPr="00000849" w:rsidRDefault="00735CD5" w:rsidP="00735CD5">
            <w:pPr>
              <w:jc w:val="center"/>
              <w:rPr>
                <w:rFonts w:ascii="Calibri" w:eastAsia="Times New Roman" w:hAnsi="Calibri" w:cs="Calibri"/>
                <w:color w:val="000000"/>
                <w:sz w:val="14"/>
                <w:szCs w:val="14"/>
              </w:rPr>
            </w:pPr>
          </w:p>
        </w:tc>
        <w:tc>
          <w:tcPr>
            <w:tcW w:w="189" w:type="pct"/>
          </w:tcPr>
          <w:p w14:paraId="6552CD83" w14:textId="77777777" w:rsidR="00735CD5" w:rsidRPr="00000849" w:rsidRDefault="00735CD5" w:rsidP="00735CD5">
            <w:pPr>
              <w:jc w:val="center"/>
              <w:rPr>
                <w:rFonts w:ascii="Calibri" w:eastAsia="Times New Roman" w:hAnsi="Calibri" w:cs="Calibri"/>
                <w:color w:val="000000"/>
                <w:sz w:val="14"/>
                <w:szCs w:val="14"/>
              </w:rPr>
            </w:pPr>
          </w:p>
        </w:tc>
        <w:tc>
          <w:tcPr>
            <w:tcW w:w="189" w:type="pct"/>
          </w:tcPr>
          <w:p w14:paraId="34A2F867"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6B204AC7"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50E19972"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79C88CA4"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1DC874CE"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2E35B4D1"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5D666F52"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3DC97BE0"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75A2071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50.0</w:t>
            </w:r>
          </w:p>
        </w:tc>
        <w:tc>
          <w:tcPr>
            <w:tcW w:w="188" w:type="pct"/>
          </w:tcPr>
          <w:p w14:paraId="63F782A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54.2</w:t>
            </w:r>
          </w:p>
        </w:tc>
        <w:tc>
          <w:tcPr>
            <w:tcW w:w="188" w:type="pct"/>
          </w:tcPr>
          <w:p w14:paraId="295B430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49.9</w:t>
            </w:r>
          </w:p>
        </w:tc>
        <w:tc>
          <w:tcPr>
            <w:tcW w:w="188" w:type="pct"/>
          </w:tcPr>
          <w:p w14:paraId="2D26B2D7"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40A7B966"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7D8048FB"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3D7CB799"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749C5081"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2BC96298"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67D83343" w14:textId="77777777" w:rsidR="00735CD5" w:rsidRPr="00000849" w:rsidRDefault="00735CD5" w:rsidP="00735CD5">
            <w:pPr>
              <w:jc w:val="center"/>
              <w:rPr>
                <w:rFonts w:ascii="Calibri" w:eastAsia="Times New Roman" w:hAnsi="Calibri" w:cs="Calibri"/>
                <w:color w:val="000000"/>
                <w:sz w:val="14"/>
                <w:szCs w:val="14"/>
              </w:rPr>
            </w:pPr>
          </w:p>
        </w:tc>
      </w:tr>
      <w:tr w:rsidR="00735CD5" w:rsidRPr="00000849" w14:paraId="54A98E3E" w14:textId="77777777" w:rsidTr="00735CD5">
        <w:trPr>
          <w:cnfStyle w:val="000000100000" w:firstRow="0" w:lastRow="0" w:firstColumn="0" w:lastColumn="0" w:oddVBand="0" w:evenVBand="0" w:oddHBand="1" w:evenHBand="0" w:firstRowFirstColumn="0" w:firstRowLastColumn="0" w:lastRowFirstColumn="0" w:lastRowLastColumn="0"/>
          <w:trHeight w:val="500"/>
        </w:trPr>
        <w:tc>
          <w:tcPr>
            <w:tcW w:w="171" w:type="pct"/>
            <w:hideMark/>
          </w:tcPr>
          <w:p w14:paraId="10CAFA07"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4</w:t>
            </w:r>
          </w:p>
        </w:tc>
        <w:tc>
          <w:tcPr>
            <w:tcW w:w="348" w:type="pct"/>
            <w:hideMark/>
          </w:tcPr>
          <w:p w14:paraId="55E685E1" w14:textId="2A508343"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Osman 2017 </w:t>
            </w:r>
            <w:r w:rsidR="00DE4C21" w:rsidRPr="00000849">
              <w:rPr>
                <w:rFonts w:ascii="Calibri" w:eastAsia="Calibri" w:hAnsi="Calibri" w:cs="Calibri"/>
                <w:color w:val="000000"/>
                <w:sz w:val="16"/>
              </w:rPr>
              <w:t>[</w:t>
            </w:r>
            <w:r w:rsidR="00DE4C21" w:rsidRPr="00000849">
              <w:rPr>
                <w:rFonts w:ascii="Calibri" w:eastAsia="Calibri" w:hAnsi="Calibri" w:cs="Calibri"/>
                <w:color w:val="0000FF"/>
                <w:sz w:val="16"/>
              </w:rPr>
              <w:t>35</w:t>
            </w:r>
            <w:r w:rsidR="00DE4C21" w:rsidRPr="00000849">
              <w:rPr>
                <w:rFonts w:ascii="Calibri" w:eastAsia="Calibri" w:hAnsi="Calibri" w:cs="Calibri"/>
                <w:color w:val="000000"/>
                <w:sz w:val="16"/>
              </w:rPr>
              <w:t>]</w:t>
            </w:r>
          </w:p>
        </w:tc>
        <w:tc>
          <w:tcPr>
            <w:tcW w:w="337" w:type="pct"/>
            <w:hideMark/>
          </w:tcPr>
          <w:p w14:paraId="07AAF071" w14:textId="77777777"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Ghana</w:t>
            </w:r>
          </w:p>
        </w:tc>
        <w:tc>
          <w:tcPr>
            <w:tcW w:w="189" w:type="pct"/>
            <w:hideMark/>
          </w:tcPr>
          <w:p w14:paraId="43D6E18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25963CD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0FA93E0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6ABC78C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5B72C1B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C7E454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7334665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C46341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6C499AE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EC807A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ADB529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AFC1D1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04F396C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52.0</w:t>
            </w:r>
          </w:p>
        </w:tc>
        <w:tc>
          <w:tcPr>
            <w:tcW w:w="188" w:type="pct"/>
          </w:tcPr>
          <w:p w14:paraId="0FEB167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54.5</w:t>
            </w:r>
          </w:p>
        </w:tc>
        <w:tc>
          <w:tcPr>
            <w:tcW w:w="188" w:type="pct"/>
          </w:tcPr>
          <w:p w14:paraId="48C9E7D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63.5</w:t>
            </w:r>
          </w:p>
        </w:tc>
        <w:tc>
          <w:tcPr>
            <w:tcW w:w="188" w:type="pct"/>
            <w:hideMark/>
          </w:tcPr>
          <w:p w14:paraId="04CEF7D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1306044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68DF4BE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97069A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48934D5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52.0</w:t>
            </w:r>
          </w:p>
        </w:tc>
        <w:tc>
          <w:tcPr>
            <w:tcW w:w="188" w:type="pct"/>
            <w:hideMark/>
          </w:tcPr>
          <w:p w14:paraId="560A081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54.5</w:t>
            </w:r>
          </w:p>
        </w:tc>
        <w:tc>
          <w:tcPr>
            <w:tcW w:w="188" w:type="pct"/>
            <w:hideMark/>
          </w:tcPr>
          <w:p w14:paraId="59E5819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63.5</w:t>
            </w:r>
          </w:p>
        </w:tc>
      </w:tr>
      <w:tr w:rsidR="00735CD5" w:rsidRPr="00000849" w14:paraId="7C34E31F" w14:textId="77777777" w:rsidTr="00735CD5">
        <w:trPr>
          <w:trHeight w:val="555"/>
        </w:trPr>
        <w:tc>
          <w:tcPr>
            <w:tcW w:w="171" w:type="pct"/>
            <w:hideMark/>
          </w:tcPr>
          <w:p w14:paraId="07C2BB3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w:t>
            </w:r>
          </w:p>
        </w:tc>
        <w:tc>
          <w:tcPr>
            <w:tcW w:w="348" w:type="pct"/>
            <w:hideMark/>
          </w:tcPr>
          <w:p w14:paraId="5493F209" w14:textId="081BAAB3"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Phaswana-Mafuya 2013 </w:t>
            </w:r>
            <w:r w:rsidR="007E6CC7" w:rsidRPr="00000849">
              <w:rPr>
                <w:rFonts w:ascii="Calibri" w:eastAsia="Calibri" w:hAnsi="Calibri" w:cs="Calibri"/>
                <w:color w:val="000000"/>
                <w:sz w:val="16"/>
              </w:rPr>
              <w:t>[</w:t>
            </w:r>
            <w:r w:rsidR="007E6CC7" w:rsidRPr="00000849">
              <w:rPr>
                <w:rFonts w:ascii="Calibri" w:eastAsia="Calibri" w:hAnsi="Calibri" w:cs="Calibri"/>
                <w:color w:val="0000FF"/>
                <w:sz w:val="16"/>
              </w:rPr>
              <w:t>42</w:t>
            </w:r>
            <w:r w:rsidR="007E6CC7" w:rsidRPr="00000849">
              <w:rPr>
                <w:rFonts w:ascii="Calibri" w:eastAsia="Calibri" w:hAnsi="Calibri" w:cs="Calibri"/>
                <w:color w:val="000000"/>
                <w:sz w:val="16"/>
              </w:rPr>
              <w:t>]</w:t>
            </w:r>
          </w:p>
        </w:tc>
        <w:tc>
          <w:tcPr>
            <w:tcW w:w="337" w:type="pct"/>
            <w:hideMark/>
          </w:tcPr>
          <w:p w14:paraId="4AB915B1" w14:textId="77777777"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South Africa</w:t>
            </w:r>
          </w:p>
        </w:tc>
        <w:tc>
          <w:tcPr>
            <w:tcW w:w="189" w:type="pct"/>
            <w:hideMark/>
          </w:tcPr>
          <w:p w14:paraId="3981F9A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4A5320A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7219A91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5D780D0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6198983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61350B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1E0B555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3D4D50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6FE184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74.9</w:t>
            </w:r>
          </w:p>
        </w:tc>
        <w:tc>
          <w:tcPr>
            <w:tcW w:w="188" w:type="pct"/>
            <w:hideMark/>
          </w:tcPr>
          <w:p w14:paraId="5CF663B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80.6</w:t>
            </w:r>
          </w:p>
        </w:tc>
        <w:tc>
          <w:tcPr>
            <w:tcW w:w="188" w:type="pct"/>
            <w:hideMark/>
          </w:tcPr>
          <w:p w14:paraId="735C29FC"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78.4</w:t>
            </w:r>
          </w:p>
        </w:tc>
        <w:tc>
          <w:tcPr>
            <w:tcW w:w="188" w:type="pct"/>
            <w:hideMark/>
          </w:tcPr>
          <w:p w14:paraId="31C3A5D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39BD8477"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368FA9E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40754F7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6F75840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A57FD6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6CA13D0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0AFCD0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73594D1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43EFA3D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B6CE90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r>
      <w:tr w:rsidR="00735CD5" w:rsidRPr="00000849" w14:paraId="525B73E0" w14:textId="77777777" w:rsidTr="00735CD5">
        <w:trPr>
          <w:cnfStyle w:val="000000100000" w:firstRow="0" w:lastRow="0" w:firstColumn="0" w:lastColumn="0" w:oddVBand="0" w:evenVBand="0" w:oddHBand="1" w:evenHBand="0" w:firstRowFirstColumn="0" w:firstRowLastColumn="0" w:lastRowFirstColumn="0" w:lastRowLastColumn="0"/>
          <w:trHeight w:val="1140"/>
        </w:trPr>
        <w:tc>
          <w:tcPr>
            <w:tcW w:w="171" w:type="pct"/>
            <w:hideMark/>
          </w:tcPr>
          <w:p w14:paraId="13FA08D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w:t>
            </w:r>
          </w:p>
        </w:tc>
        <w:tc>
          <w:tcPr>
            <w:tcW w:w="348" w:type="pct"/>
            <w:hideMark/>
          </w:tcPr>
          <w:p w14:paraId="7A31B4DB" w14:textId="2AFB4F3A"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Pilleron 2017a </w:t>
            </w:r>
            <w:r w:rsidR="00DE4C21" w:rsidRPr="00000849">
              <w:rPr>
                <w:rFonts w:ascii="Calibri" w:eastAsia="Calibri" w:hAnsi="Calibri" w:cs="Calibri"/>
                <w:color w:val="000000"/>
                <w:sz w:val="16"/>
              </w:rPr>
              <w:t>[</w:t>
            </w:r>
            <w:r w:rsidR="007E6CC7" w:rsidRPr="00000849">
              <w:rPr>
                <w:rFonts w:ascii="Calibri" w:eastAsia="Calibri" w:hAnsi="Calibri" w:cs="Calibri"/>
                <w:color w:val="0000FF"/>
                <w:sz w:val="16"/>
              </w:rPr>
              <w:t>36</w:t>
            </w:r>
            <w:r w:rsidR="00DE4C21" w:rsidRPr="00000849">
              <w:rPr>
                <w:rFonts w:ascii="Calibri" w:eastAsia="Calibri" w:hAnsi="Calibri" w:cs="Calibri"/>
                <w:color w:val="000000"/>
                <w:sz w:val="16"/>
              </w:rPr>
              <w:t>]</w:t>
            </w:r>
          </w:p>
        </w:tc>
        <w:tc>
          <w:tcPr>
            <w:tcW w:w="337" w:type="pct"/>
            <w:hideMark/>
          </w:tcPr>
          <w:p w14:paraId="5FF441D3" w14:textId="77777777"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CAR</w:t>
            </w:r>
          </w:p>
        </w:tc>
        <w:tc>
          <w:tcPr>
            <w:tcW w:w="189" w:type="pct"/>
            <w:hideMark/>
          </w:tcPr>
          <w:p w14:paraId="388E16B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3E09526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06AA110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455D1A4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1FC7027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0B6912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66EB840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7434A18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2224F56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7EE86AE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559257C"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37FFE7AE"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6F67CBA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7BFDF1B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582F883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288CA5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50.1</w:t>
            </w:r>
          </w:p>
        </w:tc>
        <w:tc>
          <w:tcPr>
            <w:tcW w:w="188" w:type="pct"/>
            <w:hideMark/>
          </w:tcPr>
          <w:p w14:paraId="44C7663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53.2</w:t>
            </w:r>
          </w:p>
        </w:tc>
        <w:tc>
          <w:tcPr>
            <w:tcW w:w="188" w:type="pct"/>
            <w:hideMark/>
          </w:tcPr>
          <w:p w14:paraId="30A81F9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52.7</w:t>
            </w:r>
          </w:p>
        </w:tc>
        <w:tc>
          <w:tcPr>
            <w:tcW w:w="188" w:type="pct"/>
            <w:hideMark/>
          </w:tcPr>
          <w:p w14:paraId="3CCFFF9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63.6</w:t>
            </w:r>
          </w:p>
        </w:tc>
        <w:tc>
          <w:tcPr>
            <w:tcW w:w="188" w:type="pct"/>
            <w:hideMark/>
          </w:tcPr>
          <w:p w14:paraId="128D8F7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BC4830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1CE32DA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r>
      <w:tr w:rsidR="00735CD5" w:rsidRPr="00000849" w14:paraId="6381FA89" w14:textId="77777777" w:rsidTr="00735CD5">
        <w:trPr>
          <w:trHeight w:val="570"/>
        </w:trPr>
        <w:tc>
          <w:tcPr>
            <w:tcW w:w="171" w:type="pct"/>
            <w:hideMark/>
          </w:tcPr>
          <w:p w14:paraId="19793D2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w:t>
            </w:r>
          </w:p>
        </w:tc>
        <w:tc>
          <w:tcPr>
            <w:tcW w:w="348" w:type="pct"/>
            <w:hideMark/>
          </w:tcPr>
          <w:p w14:paraId="5B2BE6C5" w14:textId="274F5EB8"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Pilleron 2017b </w:t>
            </w:r>
            <w:r w:rsidR="00DE4C21" w:rsidRPr="00000849">
              <w:rPr>
                <w:rFonts w:ascii="Calibri" w:eastAsia="Calibri" w:hAnsi="Calibri" w:cs="Calibri"/>
                <w:color w:val="000000"/>
                <w:sz w:val="16"/>
              </w:rPr>
              <w:t>[</w:t>
            </w:r>
            <w:r w:rsidR="007E6CC7" w:rsidRPr="00000849">
              <w:rPr>
                <w:rFonts w:ascii="Calibri" w:eastAsia="Calibri" w:hAnsi="Calibri" w:cs="Calibri"/>
                <w:color w:val="0000FF"/>
                <w:sz w:val="16"/>
              </w:rPr>
              <w:t>36</w:t>
            </w:r>
            <w:r w:rsidR="00DE4C21" w:rsidRPr="00000849">
              <w:rPr>
                <w:rFonts w:ascii="Calibri" w:eastAsia="Calibri" w:hAnsi="Calibri" w:cs="Calibri"/>
                <w:color w:val="000000"/>
                <w:sz w:val="16"/>
              </w:rPr>
              <w:t>]</w:t>
            </w:r>
          </w:p>
        </w:tc>
        <w:tc>
          <w:tcPr>
            <w:tcW w:w="337" w:type="pct"/>
            <w:hideMark/>
          </w:tcPr>
          <w:p w14:paraId="3E40F918" w14:textId="77777777"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Congo</w:t>
            </w:r>
          </w:p>
        </w:tc>
        <w:tc>
          <w:tcPr>
            <w:tcW w:w="189" w:type="pct"/>
            <w:hideMark/>
          </w:tcPr>
          <w:p w14:paraId="5DA0EC47"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0195427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5623FE4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3DDE362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9" w:type="pct"/>
            <w:hideMark/>
          </w:tcPr>
          <w:p w14:paraId="10D0EF2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3A739BB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029683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4F8FCA5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A51521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7CC6AA8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6C88A7A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51957F53"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6F42672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617BE80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698162D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23B95CB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62.9</w:t>
            </w:r>
          </w:p>
        </w:tc>
        <w:tc>
          <w:tcPr>
            <w:tcW w:w="188" w:type="pct"/>
            <w:hideMark/>
          </w:tcPr>
          <w:p w14:paraId="1927DD49"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72.7</w:t>
            </w:r>
          </w:p>
        </w:tc>
        <w:tc>
          <w:tcPr>
            <w:tcW w:w="188" w:type="pct"/>
            <w:hideMark/>
          </w:tcPr>
          <w:p w14:paraId="29610174"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67.8</w:t>
            </w:r>
          </w:p>
        </w:tc>
        <w:tc>
          <w:tcPr>
            <w:tcW w:w="188" w:type="pct"/>
            <w:hideMark/>
          </w:tcPr>
          <w:p w14:paraId="0981810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70.6</w:t>
            </w:r>
          </w:p>
        </w:tc>
        <w:tc>
          <w:tcPr>
            <w:tcW w:w="188" w:type="pct"/>
            <w:hideMark/>
          </w:tcPr>
          <w:p w14:paraId="483ED03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2CC79BF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00B60F9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r>
      <w:tr w:rsidR="00735CD5" w:rsidRPr="00000849" w14:paraId="1281B75B" w14:textId="77777777" w:rsidTr="00735CD5">
        <w:trPr>
          <w:cnfStyle w:val="000000100000" w:firstRow="0" w:lastRow="0" w:firstColumn="0" w:lastColumn="0" w:oddVBand="0" w:evenVBand="0" w:oddHBand="1" w:evenHBand="0" w:firstRowFirstColumn="0" w:firstRowLastColumn="0" w:lastRowFirstColumn="0" w:lastRowLastColumn="0"/>
          <w:trHeight w:val="570"/>
        </w:trPr>
        <w:tc>
          <w:tcPr>
            <w:tcW w:w="171" w:type="pct"/>
          </w:tcPr>
          <w:p w14:paraId="0C754752"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8</w:t>
            </w:r>
          </w:p>
        </w:tc>
        <w:tc>
          <w:tcPr>
            <w:tcW w:w="348" w:type="pct"/>
          </w:tcPr>
          <w:p w14:paraId="0A3DC2CC" w14:textId="64468AC0"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Raji 2017 </w:t>
            </w:r>
            <w:r w:rsidR="00DE4C21" w:rsidRPr="00000849">
              <w:rPr>
                <w:rFonts w:ascii="Calibri" w:eastAsia="Calibri" w:hAnsi="Calibri" w:cs="Calibri"/>
                <w:color w:val="000000"/>
                <w:sz w:val="16"/>
              </w:rPr>
              <w:t>[</w:t>
            </w:r>
            <w:r w:rsidR="007E6CC7" w:rsidRPr="00000849">
              <w:rPr>
                <w:rFonts w:ascii="Calibri" w:eastAsia="Calibri" w:hAnsi="Calibri" w:cs="Calibri"/>
                <w:color w:val="0000FF"/>
                <w:sz w:val="16"/>
              </w:rPr>
              <w:t>37</w:t>
            </w:r>
            <w:r w:rsidR="00DE4C21" w:rsidRPr="00000849">
              <w:rPr>
                <w:rFonts w:ascii="Calibri" w:eastAsia="Calibri" w:hAnsi="Calibri" w:cs="Calibri"/>
                <w:color w:val="000000"/>
                <w:sz w:val="16"/>
              </w:rPr>
              <w:t>]</w:t>
            </w:r>
          </w:p>
        </w:tc>
        <w:tc>
          <w:tcPr>
            <w:tcW w:w="337" w:type="pct"/>
          </w:tcPr>
          <w:p w14:paraId="7E66D3D0" w14:textId="77777777"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Nigeria</w:t>
            </w:r>
          </w:p>
        </w:tc>
        <w:tc>
          <w:tcPr>
            <w:tcW w:w="189" w:type="pct"/>
          </w:tcPr>
          <w:p w14:paraId="49D8CC3F" w14:textId="77777777" w:rsidR="00735CD5" w:rsidRPr="00000849" w:rsidRDefault="00735CD5" w:rsidP="00735CD5">
            <w:pPr>
              <w:jc w:val="center"/>
              <w:rPr>
                <w:rFonts w:ascii="Calibri" w:eastAsia="Times New Roman" w:hAnsi="Calibri" w:cs="Calibri"/>
                <w:color w:val="000000"/>
                <w:sz w:val="14"/>
                <w:szCs w:val="14"/>
              </w:rPr>
            </w:pPr>
          </w:p>
        </w:tc>
        <w:tc>
          <w:tcPr>
            <w:tcW w:w="189" w:type="pct"/>
          </w:tcPr>
          <w:p w14:paraId="1D206621" w14:textId="77777777" w:rsidR="00735CD5" w:rsidRPr="00000849" w:rsidRDefault="00735CD5" w:rsidP="00735CD5">
            <w:pPr>
              <w:jc w:val="center"/>
              <w:rPr>
                <w:rFonts w:ascii="Calibri" w:eastAsia="Times New Roman" w:hAnsi="Calibri" w:cs="Calibri"/>
                <w:color w:val="000000"/>
                <w:sz w:val="14"/>
                <w:szCs w:val="14"/>
              </w:rPr>
            </w:pPr>
          </w:p>
        </w:tc>
        <w:tc>
          <w:tcPr>
            <w:tcW w:w="189" w:type="pct"/>
          </w:tcPr>
          <w:p w14:paraId="7EFAC046" w14:textId="77777777" w:rsidR="00735CD5" w:rsidRPr="00000849" w:rsidRDefault="00735CD5" w:rsidP="00735CD5">
            <w:pPr>
              <w:jc w:val="center"/>
              <w:rPr>
                <w:rFonts w:ascii="Calibri" w:eastAsia="Times New Roman" w:hAnsi="Calibri" w:cs="Calibri"/>
                <w:color w:val="000000"/>
                <w:sz w:val="14"/>
                <w:szCs w:val="14"/>
              </w:rPr>
            </w:pPr>
          </w:p>
        </w:tc>
        <w:tc>
          <w:tcPr>
            <w:tcW w:w="189" w:type="pct"/>
          </w:tcPr>
          <w:p w14:paraId="74AF37C9" w14:textId="77777777" w:rsidR="00735CD5" w:rsidRPr="00000849" w:rsidRDefault="00735CD5" w:rsidP="00735CD5">
            <w:pPr>
              <w:jc w:val="center"/>
              <w:rPr>
                <w:rFonts w:ascii="Calibri" w:eastAsia="Times New Roman" w:hAnsi="Calibri" w:cs="Calibri"/>
                <w:color w:val="000000"/>
                <w:sz w:val="14"/>
                <w:szCs w:val="14"/>
              </w:rPr>
            </w:pPr>
          </w:p>
        </w:tc>
        <w:tc>
          <w:tcPr>
            <w:tcW w:w="189" w:type="pct"/>
          </w:tcPr>
          <w:p w14:paraId="00FC0BB1"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6059278B"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574ED9B6"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0702F4BC"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17738D11"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46F78491"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20A57BC7"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078A579D"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614FDF1A"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502EC3B5"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2D16D9BC"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60ABD91C"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66.2</w:t>
            </w:r>
          </w:p>
        </w:tc>
        <w:tc>
          <w:tcPr>
            <w:tcW w:w="188" w:type="pct"/>
          </w:tcPr>
          <w:p w14:paraId="3BB502E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68.9</w:t>
            </w:r>
          </w:p>
        </w:tc>
        <w:tc>
          <w:tcPr>
            <w:tcW w:w="188" w:type="pct"/>
          </w:tcPr>
          <w:p w14:paraId="2A3C474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60.1</w:t>
            </w:r>
          </w:p>
        </w:tc>
        <w:tc>
          <w:tcPr>
            <w:tcW w:w="188" w:type="pct"/>
          </w:tcPr>
          <w:p w14:paraId="658865C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68.1</w:t>
            </w:r>
          </w:p>
        </w:tc>
        <w:tc>
          <w:tcPr>
            <w:tcW w:w="188" w:type="pct"/>
          </w:tcPr>
          <w:p w14:paraId="3CB6944F"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436479EF" w14:textId="77777777" w:rsidR="00735CD5" w:rsidRPr="00000849" w:rsidRDefault="00735CD5" w:rsidP="00735CD5">
            <w:pPr>
              <w:jc w:val="center"/>
              <w:rPr>
                <w:rFonts w:ascii="Calibri" w:eastAsia="Times New Roman" w:hAnsi="Calibri" w:cs="Calibri"/>
                <w:color w:val="000000"/>
                <w:sz w:val="14"/>
                <w:szCs w:val="14"/>
              </w:rPr>
            </w:pPr>
          </w:p>
        </w:tc>
        <w:tc>
          <w:tcPr>
            <w:tcW w:w="188" w:type="pct"/>
          </w:tcPr>
          <w:p w14:paraId="00A69A7F" w14:textId="77777777" w:rsidR="00735CD5" w:rsidRPr="00000849" w:rsidRDefault="00735CD5" w:rsidP="00735CD5">
            <w:pPr>
              <w:jc w:val="center"/>
              <w:rPr>
                <w:rFonts w:ascii="Calibri" w:eastAsia="Times New Roman" w:hAnsi="Calibri" w:cs="Calibri"/>
                <w:color w:val="000000"/>
                <w:sz w:val="14"/>
                <w:szCs w:val="14"/>
              </w:rPr>
            </w:pPr>
          </w:p>
        </w:tc>
      </w:tr>
      <w:tr w:rsidR="00735CD5" w:rsidRPr="00000849" w14:paraId="770BE09D" w14:textId="77777777" w:rsidTr="00735CD5">
        <w:trPr>
          <w:trHeight w:val="890"/>
        </w:trPr>
        <w:tc>
          <w:tcPr>
            <w:tcW w:w="171" w:type="pct"/>
            <w:hideMark/>
          </w:tcPr>
          <w:p w14:paraId="1563E0E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9</w:t>
            </w:r>
          </w:p>
        </w:tc>
        <w:tc>
          <w:tcPr>
            <w:tcW w:w="348" w:type="pct"/>
            <w:hideMark/>
          </w:tcPr>
          <w:p w14:paraId="33B7976F" w14:textId="7AFE5FA1"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 xml:space="preserve">Tianyi 2017 </w:t>
            </w:r>
            <w:r w:rsidR="00DE4C21" w:rsidRPr="00000849">
              <w:rPr>
                <w:rFonts w:ascii="Calibri" w:eastAsia="Calibri" w:hAnsi="Calibri" w:cs="Calibri"/>
                <w:color w:val="000000"/>
                <w:sz w:val="16"/>
              </w:rPr>
              <w:t>[</w:t>
            </w:r>
            <w:r w:rsidR="007E6CC7" w:rsidRPr="00000849">
              <w:rPr>
                <w:rFonts w:ascii="Calibri" w:eastAsia="Calibri" w:hAnsi="Calibri" w:cs="Calibri"/>
                <w:color w:val="0000FF"/>
                <w:sz w:val="16"/>
              </w:rPr>
              <w:t>39</w:t>
            </w:r>
            <w:r w:rsidR="00DE4C21" w:rsidRPr="00000849">
              <w:rPr>
                <w:rFonts w:ascii="Calibri" w:eastAsia="Calibri" w:hAnsi="Calibri" w:cs="Calibri"/>
                <w:color w:val="000000"/>
                <w:sz w:val="16"/>
              </w:rPr>
              <w:t>]</w:t>
            </w:r>
          </w:p>
        </w:tc>
        <w:tc>
          <w:tcPr>
            <w:tcW w:w="337" w:type="pct"/>
            <w:hideMark/>
          </w:tcPr>
          <w:p w14:paraId="25393E2D" w14:textId="77777777" w:rsidR="00735CD5" w:rsidRPr="00000849" w:rsidRDefault="00735CD5" w:rsidP="00735CD5">
            <w:pPr>
              <w:rPr>
                <w:rFonts w:ascii="Calibri" w:eastAsia="Times New Roman" w:hAnsi="Calibri" w:cs="Calibri"/>
                <w:color w:val="000000"/>
                <w:sz w:val="14"/>
                <w:szCs w:val="14"/>
              </w:rPr>
            </w:pPr>
            <w:r w:rsidRPr="00000849">
              <w:rPr>
                <w:rFonts w:ascii="Calibri" w:eastAsia="Times New Roman" w:hAnsi="Calibri" w:cs="Calibri"/>
                <w:color w:val="000000"/>
                <w:sz w:val="14"/>
                <w:szCs w:val="14"/>
              </w:rPr>
              <w:t>Cameroon</w:t>
            </w:r>
          </w:p>
        </w:tc>
        <w:tc>
          <w:tcPr>
            <w:tcW w:w="189" w:type="pct"/>
            <w:hideMark/>
          </w:tcPr>
          <w:p w14:paraId="20131310"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59.5</w:t>
            </w:r>
          </w:p>
        </w:tc>
        <w:tc>
          <w:tcPr>
            <w:tcW w:w="189" w:type="pct"/>
            <w:hideMark/>
          </w:tcPr>
          <w:p w14:paraId="16CF0C5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68.6</w:t>
            </w:r>
          </w:p>
        </w:tc>
        <w:tc>
          <w:tcPr>
            <w:tcW w:w="189" w:type="pct"/>
            <w:hideMark/>
          </w:tcPr>
          <w:p w14:paraId="201843C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52.3</w:t>
            </w:r>
          </w:p>
        </w:tc>
        <w:tc>
          <w:tcPr>
            <w:tcW w:w="189" w:type="pct"/>
            <w:hideMark/>
          </w:tcPr>
          <w:p w14:paraId="5DEDCC6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54.5</w:t>
            </w:r>
          </w:p>
        </w:tc>
        <w:tc>
          <w:tcPr>
            <w:tcW w:w="189" w:type="pct"/>
            <w:hideMark/>
          </w:tcPr>
          <w:p w14:paraId="06C8559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53.8</w:t>
            </w:r>
          </w:p>
        </w:tc>
        <w:tc>
          <w:tcPr>
            <w:tcW w:w="188" w:type="pct"/>
            <w:hideMark/>
          </w:tcPr>
          <w:p w14:paraId="4E8857DF"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62.0</w:t>
            </w:r>
          </w:p>
        </w:tc>
        <w:tc>
          <w:tcPr>
            <w:tcW w:w="188" w:type="pct"/>
            <w:hideMark/>
          </w:tcPr>
          <w:p w14:paraId="5F9FF3E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48.9</w:t>
            </w:r>
          </w:p>
        </w:tc>
        <w:tc>
          <w:tcPr>
            <w:tcW w:w="188" w:type="pct"/>
            <w:hideMark/>
          </w:tcPr>
          <w:p w14:paraId="165DDD36"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30.0</w:t>
            </w:r>
          </w:p>
        </w:tc>
        <w:tc>
          <w:tcPr>
            <w:tcW w:w="188" w:type="pct"/>
            <w:hideMark/>
          </w:tcPr>
          <w:p w14:paraId="29FC1BB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54.9</w:t>
            </w:r>
          </w:p>
        </w:tc>
        <w:tc>
          <w:tcPr>
            <w:tcW w:w="188" w:type="pct"/>
            <w:hideMark/>
          </w:tcPr>
          <w:p w14:paraId="47C0E133"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62.2</w:t>
            </w:r>
          </w:p>
        </w:tc>
        <w:tc>
          <w:tcPr>
            <w:tcW w:w="188" w:type="pct"/>
            <w:hideMark/>
          </w:tcPr>
          <w:p w14:paraId="4D8C3C9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50.5</w:t>
            </w:r>
          </w:p>
        </w:tc>
        <w:tc>
          <w:tcPr>
            <w:tcW w:w="188" w:type="pct"/>
            <w:hideMark/>
          </w:tcPr>
          <w:p w14:paraId="17FC54C1"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50.0</w:t>
            </w:r>
          </w:p>
        </w:tc>
        <w:tc>
          <w:tcPr>
            <w:tcW w:w="188" w:type="pct"/>
          </w:tcPr>
          <w:p w14:paraId="464C2DE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738AD7AD"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30810E58"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6210219B"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1FE616C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90446C7"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tcPr>
          <w:p w14:paraId="141C1783" w14:textId="77777777" w:rsidR="00735CD5" w:rsidRPr="00000849" w:rsidRDefault="00735CD5" w:rsidP="00735CD5">
            <w:pPr>
              <w:jc w:val="center"/>
              <w:rPr>
                <w:rFonts w:ascii="Calibri" w:eastAsia="Times New Roman" w:hAnsi="Calibri" w:cs="Calibri"/>
                <w:color w:val="000000"/>
                <w:sz w:val="14"/>
                <w:szCs w:val="14"/>
              </w:rPr>
            </w:pPr>
          </w:p>
        </w:tc>
        <w:tc>
          <w:tcPr>
            <w:tcW w:w="188" w:type="pct"/>
            <w:hideMark/>
          </w:tcPr>
          <w:p w14:paraId="14BEC08E"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74EDB165"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c>
          <w:tcPr>
            <w:tcW w:w="188" w:type="pct"/>
            <w:hideMark/>
          </w:tcPr>
          <w:p w14:paraId="5DBB572A" w14:textId="77777777" w:rsidR="00735CD5" w:rsidRPr="00000849" w:rsidRDefault="00735CD5" w:rsidP="00735CD5">
            <w:pPr>
              <w:jc w:val="center"/>
              <w:rPr>
                <w:rFonts w:ascii="Calibri" w:eastAsia="Times New Roman" w:hAnsi="Calibri" w:cs="Calibri"/>
                <w:color w:val="000000"/>
                <w:sz w:val="14"/>
                <w:szCs w:val="14"/>
              </w:rPr>
            </w:pPr>
            <w:r w:rsidRPr="00000849">
              <w:rPr>
                <w:rFonts w:ascii="Calibri" w:eastAsia="Times New Roman" w:hAnsi="Calibri" w:cs="Calibri"/>
                <w:color w:val="000000"/>
                <w:sz w:val="14"/>
                <w:szCs w:val="14"/>
              </w:rPr>
              <w:t> </w:t>
            </w:r>
          </w:p>
        </w:tc>
      </w:tr>
    </w:tbl>
    <w:p w14:paraId="2698A3BE" w14:textId="48CE752F" w:rsidR="00735CD5" w:rsidRPr="00000849" w:rsidRDefault="00735CD5" w:rsidP="00CF4F1E">
      <w:pPr>
        <w:spacing w:after="0" w:line="259" w:lineRule="auto"/>
        <w:ind w:left="-329"/>
        <w:jc w:val="both"/>
      </w:pPr>
    </w:p>
    <w:p w14:paraId="337258A7" w14:textId="77777777" w:rsidR="00735CD5" w:rsidRPr="00000849" w:rsidRDefault="00735CD5" w:rsidP="00CF4F1E">
      <w:pPr>
        <w:spacing w:after="0" w:line="259" w:lineRule="auto"/>
        <w:ind w:left="-329"/>
        <w:jc w:val="both"/>
      </w:pPr>
    </w:p>
    <w:p w14:paraId="36DE0C95" w14:textId="77777777" w:rsidR="00735CD5" w:rsidRPr="00000849" w:rsidRDefault="00735CD5" w:rsidP="00CF4F1E">
      <w:pPr>
        <w:jc w:val="both"/>
        <w:sectPr w:rsidR="00735CD5" w:rsidRPr="00000849" w:rsidSect="00735CD5">
          <w:pgSz w:w="15817" w:h="11906" w:orient="landscape"/>
          <w:pgMar w:top="1440" w:right="1440" w:bottom="1440" w:left="1181" w:header="720" w:footer="720" w:gutter="0"/>
          <w:cols w:space="720"/>
          <w:docGrid w:linePitch="299"/>
        </w:sectPr>
      </w:pPr>
    </w:p>
    <w:p w14:paraId="413F19F7" w14:textId="65C8FDA2" w:rsidR="00BC221F" w:rsidRPr="00000849" w:rsidRDefault="00BC221F" w:rsidP="00275E9B">
      <w:pPr>
        <w:jc w:val="both"/>
        <w:rPr>
          <w:b/>
          <w:bCs/>
          <w:color w:val="0070C0"/>
          <w:sz w:val="24"/>
          <w:szCs w:val="24"/>
        </w:rPr>
      </w:pPr>
      <w:r w:rsidRPr="00000849">
        <w:rPr>
          <w:b/>
          <w:bCs/>
          <w:color w:val="0070C0"/>
          <w:sz w:val="24"/>
          <w:szCs w:val="24"/>
        </w:rPr>
        <w:lastRenderedPageBreak/>
        <w:t>Risk factors for hypertension</w:t>
      </w:r>
    </w:p>
    <w:p w14:paraId="2CD401A2" w14:textId="77777777" w:rsidR="00BC221F" w:rsidRPr="00000849" w:rsidRDefault="00BC221F" w:rsidP="00275E9B">
      <w:pPr>
        <w:spacing w:after="254"/>
        <w:jc w:val="both"/>
      </w:pPr>
      <w:r w:rsidRPr="00000849">
        <w:t>Except for one study which used a multilevel multinomial logit model [</w:t>
      </w:r>
      <w:r w:rsidRPr="00000849">
        <w:rPr>
          <w:color w:val="0000FF"/>
        </w:rPr>
        <w:t>21</w:t>
      </w:r>
      <w:r w:rsidRPr="00000849">
        <w:t>], all the 16 studies providing 20 data points which investigated the determinants of hypertension did so using standard logistic regressions. The studies were conducted between 2007 and 2016 and published between 2010 and 2017. The number of covariates evaluated for their association with the binomial outcome of hypertension in the models ranged from five [</w:t>
      </w:r>
      <w:r w:rsidRPr="00000849">
        <w:rPr>
          <w:color w:val="0000FF"/>
        </w:rPr>
        <w:t>19</w:t>
      </w:r>
      <w:r w:rsidRPr="00000849">
        <w:t xml:space="preserve">, </w:t>
      </w:r>
      <w:r w:rsidRPr="00000849">
        <w:rPr>
          <w:color w:val="0000FF"/>
        </w:rPr>
        <w:t>30</w:t>
      </w:r>
      <w:r w:rsidRPr="00000849">
        <w:t>] to thirteen [</w:t>
      </w:r>
      <w:r w:rsidRPr="00000849">
        <w:rPr>
          <w:color w:val="0000FF"/>
        </w:rPr>
        <w:t>20</w:t>
      </w:r>
      <w:r w:rsidRPr="00000849">
        <w:t>]. One study provided separate estimates for the prevalence of hypertension in two countries, Central African Republic (CAR) and the Congo [</w:t>
      </w:r>
      <w:r w:rsidRPr="00000849">
        <w:rPr>
          <w:color w:val="0000FF"/>
        </w:rPr>
        <w:t>36</w:t>
      </w:r>
      <w:r w:rsidRPr="00000849">
        <w:t>]. However, in the evaluation of factors associated with hypertension, the two countries were included in the same models.</w:t>
      </w:r>
    </w:p>
    <w:p w14:paraId="5CDB29DE" w14:textId="77777777" w:rsidR="00265067" w:rsidRPr="00000849" w:rsidRDefault="00BC221F" w:rsidP="00275E9B">
      <w:pPr>
        <w:jc w:val="both"/>
        <w:rPr>
          <w:b/>
          <w:bCs/>
          <w:color w:val="0070C0"/>
        </w:rPr>
      </w:pPr>
      <w:r w:rsidRPr="00000849">
        <w:rPr>
          <w:b/>
          <w:bCs/>
          <w:color w:val="0070C0"/>
        </w:rPr>
        <w:t xml:space="preserve">Demographic factors </w:t>
      </w:r>
    </w:p>
    <w:p w14:paraId="5C4F62B7" w14:textId="1C9D6292" w:rsidR="00BC221F" w:rsidRPr="00000849" w:rsidRDefault="00BC221F" w:rsidP="00275E9B">
      <w:pPr>
        <w:jc w:val="both"/>
      </w:pPr>
      <w:r w:rsidRPr="00000849">
        <w:rPr>
          <w:b/>
          <w:bCs/>
          <w:i/>
          <w:iCs/>
          <w:color w:val="0070C0"/>
        </w:rPr>
        <w:t>Age and sex</w:t>
      </w:r>
      <w:r w:rsidRPr="00000849">
        <w:rPr>
          <w:rFonts w:ascii="Calibri" w:eastAsia="Calibri" w:hAnsi="Calibri" w:cs="Calibri"/>
        </w:rPr>
        <w:t xml:space="preserve">. </w:t>
      </w:r>
      <w:r w:rsidRPr="00000849">
        <w:t xml:space="preserve">The age-specific prevalence of hypertension was available, to varying degrees, in only eight studies (nine data contributions) in tables and in a graph (Table </w:t>
      </w:r>
      <w:r w:rsidRPr="00000849">
        <w:rPr>
          <w:color w:val="0000FF"/>
        </w:rPr>
        <w:t>2</w:t>
      </w:r>
      <w:r w:rsidRPr="00000849">
        <w:t>). From the limited data, we observed that the prevalence in the oldest age group was generally higher than that of the youngest age group in CAR, Congo, Ghana, Nigeria, South Africa and Tanzania [</w:t>
      </w:r>
      <w:r w:rsidRPr="00000849">
        <w:rPr>
          <w:color w:val="0000FF"/>
        </w:rPr>
        <w:t>25</w:t>
      </w:r>
      <w:r w:rsidRPr="00000849">
        <w:t xml:space="preserve">, </w:t>
      </w:r>
      <w:r w:rsidRPr="00000849">
        <w:rPr>
          <w:color w:val="0000FF"/>
        </w:rPr>
        <w:t>35</w:t>
      </w:r>
      <w:r w:rsidRPr="00000849">
        <w:rPr>
          <w:rFonts w:ascii="Calibri" w:eastAsia="Calibri" w:hAnsi="Calibri" w:cs="Calibri"/>
        </w:rPr>
        <w:t>–</w:t>
      </w:r>
      <w:r w:rsidRPr="00000849">
        <w:rPr>
          <w:color w:val="0000FF"/>
        </w:rPr>
        <w:t>37</w:t>
      </w:r>
      <w:r w:rsidRPr="00000849">
        <w:t xml:space="preserve">, </w:t>
      </w:r>
      <w:r w:rsidRPr="00000849">
        <w:rPr>
          <w:color w:val="0000FF"/>
        </w:rPr>
        <w:t>42</w:t>
      </w:r>
      <w:r w:rsidRPr="00000849">
        <w:t>], the exceptions being the studies in Cameroon [</w:t>
      </w:r>
      <w:r w:rsidRPr="00000849">
        <w:rPr>
          <w:color w:val="0000FF"/>
        </w:rPr>
        <w:t>39</w:t>
      </w:r>
      <w:r w:rsidRPr="00000849">
        <w:t>], Ghana [</w:t>
      </w:r>
      <w:r w:rsidRPr="00000849">
        <w:rPr>
          <w:color w:val="0000FF"/>
        </w:rPr>
        <w:t>22</w:t>
      </w:r>
      <w:r w:rsidRPr="00000849">
        <w:t>] and Tunisia [</w:t>
      </w:r>
      <w:r w:rsidRPr="00000849">
        <w:rPr>
          <w:color w:val="0000FF"/>
        </w:rPr>
        <w:t>26</w:t>
      </w:r>
      <w:r w:rsidRPr="00000849">
        <w:t>]. The widest differences of more than ten percentage points between these extreme age groups were observed in Ghana [</w:t>
      </w:r>
      <w:r w:rsidRPr="00000849">
        <w:rPr>
          <w:color w:val="0000FF"/>
        </w:rPr>
        <w:t>35</w:t>
      </w:r>
      <w:r w:rsidRPr="00000849">
        <w:t>], Kenya [</w:t>
      </w:r>
      <w:r w:rsidRPr="00000849">
        <w:rPr>
          <w:color w:val="0000FF"/>
        </w:rPr>
        <w:t>31</w:t>
      </w:r>
      <w:r w:rsidRPr="00000849">
        <w:t>] and CAR [</w:t>
      </w:r>
      <w:r w:rsidRPr="00000849">
        <w:rPr>
          <w:color w:val="0000FF"/>
        </w:rPr>
        <w:t>36</w:t>
      </w:r>
      <w:r w:rsidRPr="00000849">
        <w:t>]. In the studies in which the prevalence of hypertension was reported in three or more age groups, there was rarely a monotonic increase in prevalence with increasing age. The prevalence often peaked in the middle age group(s). However, there was a steady increase in the prevalence with age in Ghana [</w:t>
      </w:r>
      <w:r w:rsidRPr="00000849">
        <w:rPr>
          <w:color w:val="0000FF"/>
        </w:rPr>
        <w:t>35</w:t>
      </w:r>
      <w:r w:rsidRPr="00000849">
        <w:t>] and among urban and rural men and women in Kenya [</w:t>
      </w:r>
      <w:r w:rsidRPr="00000849">
        <w:rPr>
          <w:color w:val="0000FF"/>
        </w:rPr>
        <w:t>31</w:t>
      </w:r>
      <w:r w:rsidRPr="00000849">
        <w:t>].</w:t>
      </w:r>
    </w:p>
    <w:p w14:paraId="6C8AEF87" w14:textId="77777777" w:rsidR="00BC221F" w:rsidRPr="00000849" w:rsidRDefault="00BC221F" w:rsidP="00275E9B">
      <w:pPr>
        <w:jc w:val="both"/>
      </w:pPr>
      <w:r w:rsidRPr="00000849">
        <w:t>The sex difference in the prevalence of hypertension within the age groups, available from two studies, was variable, being consistently higher in females in each age group in Tanzania [</w:t>
      </w:r>
      <w:r w:rsidRPr="00000849">
        <w:rPr>
          <w:color w:val="0000FF"/>
        </w:rPr>
        <w:t>25</w:t>
      </w:r>
      <w:r w:rsidRPr="00000849">
        <w:t>] or lower in Cameroon [</w:t>
      </w:r>
      <w:r w:rsidRPr="00000849">
        <w:rPr>
          <w:color w:val="0000FF"/>
        </w:rPr>
        <w:t>39</w:t>
      </w:r>
      <w:r w:rsidRPr="00000849">
        <w:t>]</w:t>
      </w:r>
    </w:p>
    <w:p w14:paraId="29140136" w14:textId="77777777" w:rsidR="00BC221F" w:rsidRPr="00000849" w:rsidRDefault="00BC221F" w:rsidP="00275E9B">
      <w:pPr>
        <w:jc w:val="both"/>
      </w:pPr>
      <w:r w:rsidRPr="00000849">
        <w:t xml:space="preserve">(Table </w:t>
      </w:r>
      <w:r w:rsidRPr="00000849">
        <w:rPr>
          <w:color w:val="0000FF"/>
        </w:rPr>
        <w:t>2</w:t>
      </w:r>
      <w:r w:rsidRPr="00000849">
        <w:t>). In individual studies, the prevalence of hypertension ranged from 25.6 to 82.6% in the men and from 22.5 to 91.5% in the women. Overall, the crude prevalence of hypertension in 10,478 females (61.6%) was higher than that of 8,327 males (56.9%) in the 15 studies (16 data contributions) in which the sex-specific prevalence was provided. In nine of these studies with ten data contributions, the prevalence was higher in females [</w:t>
      </w:r>
      <w:r w:rsidRPr="00000849">
        <w:rPr>
          <w:color w:val="0000FF"/>
        </w:rPr>
        <w:t>17</w:t>
      </w:r>
      <w:r w:rsidRPr="00000849">
        <w:t xml:space="preserve">, </w:t>
      </w:r>
      <w:r w:rsidRPr="00000849">
        <w:rPr>
          <w:color w:val="0000FF"/>
        </w:rPr>
        <w:t>23</w:t>
      </w:r>
      <w:r w:rsidRPr="00000849">
        <w:t xml:space="preserve">, </w:t>
      </w:r>
      <w:r w:rsidRPr="00000849">
        <w:rPr>
          <w:color w:val="0000FF"/>
        </w:rPr>
        <w:t>25</w:t>
      </w:r>
      <w:r w:rsidRPr="00000849">
        <w:rPr>
          <w:rFonts w:ascii="Calibri" w:eastAsia="Calibri" w:hAnsi="Calibri" w:cs="Calibri"/>
        </w:rPr>
        <w:t>–</w:t>
      </w:r>
      <w:r w:rsidRPr="00000849">
        <w:rPr>
          <w:color w:val="0000FF"/>
        </w:rPr>
        <w:t>27</w:t>
      </w:r>
      <w:r w:rsidRPr="00000849">
        <w:t xml:space="preserve">, </w:t>
      </w:r>
      <w:r w:rsidRPr="00000849">
        <w:rPr>
          <w:color w:val="0000FF"/>
        </w:rPr>
        <w:t>30</w:t>
      </w:r>
      <w:r w:rsidRPr="00000849">
        <w:t xml:space="preserve">, </w:t>
      </w:r>
      <w:r w:rsidRPr="00000849">
        <w:rPr>
          <w:color w:val="0000FF"/>
        </w:rPr>
        <w:t>32</w:t>
      </w:r>
      <w:r w:rsidRPr="00000849">
        <w:t xml:space="preserve">, </w:t>
      </w:r>
      <w:r w:rsidRPr="00000849">
        <w:rPr>
          <w:color w:val="0000FF"/>
        </w:rPr>
        <w:t>33</w:t>
      </w:r>
      <w:r w:rsidRPr="00000849">
        <w:t xml:space="preserve">, </w:t>
      </w:r>
      <w:r w:rsidRPr="00000849">
        <w:rPr>
          <w:color w:val="0000FF"/>
        </w:rPr>
        <w:t>37</w:t>
      </w:r>
      <w:r w:rsidRPr="00000849">
        <w:t xml:space="preserve">, </w:t>
      </w:r>
      <w:r w:rsidRPr="00000849">
        <w:rPr>
          <w:color w:val="0000FF"/>
        </w:rPr>
        <w:t>38</w:t>
      </w:r>
      <w:r w:rsidRPr="00000849">
        <w:t>] and in the remaining six, it was higher in males [</w:t>
      </w:r>
      <w:r w:rsidRPr="00000849">
        <w:rPr>
          <w:color w:val="0000FF"/>
        </w:rPr>
        <w:t>22</w:t>
      </w:r>
      <w:r w:rsidRPr="00000849">
        <w:t xml:space="preserve">, </w:t>
      </w:r>
      <w:r w:rsidRPr="00000849">
        <w:rPr>
          <w:color w:val="0000FF"/>
        </w:rPr>
        <w:t>28</w:t>
      </w:r>
      <w:r w:rsidRPr="00000849">
        <w:t xml:space="preserve">, </w:t>
      </w:r>
      <w:r w:rsidRPr="00000849">
        <w:rPr>
          <w:color w:val="0000FF"/>
        </w:rPr>
        <w:t>29</w:t>
      </w:r>
      <w:r w:rsidRPr="00000849">
        <w:t xml:space="preserve">, </w:t>
      </w:r>
      <w:r w:rsidRPr="00000849">
        <w:rPr>
          <w:color w:val="0000FF"/>
        </w:rPr>
        <w:t>35</w:t>
      </w:r>
      <w:r w:rsidRPr="00000849">
        <w:t xml:space="preserve">, </w:t>
      </w:r>
      <w:r w:rsidRPr="00000849">
        <w:rPr>
          <w:color w:val="0000FF"/>
        </w:rPr>
        <w:t>39</w:t>
      </w:r>
      <w:r w:rsidRPr="00000849">
        <w:t xml:space="preserve">] (Table </w:t>
      </w:r>
      <w:r w:rsidRPr="00000849">
        <w:rPr>
          <w:color w:val="0000FF"/>
        </w:rPr>
        <w:t>1</w:t>
      </w:r>
      <w:r w:rsidRPr="00000849">
        <w:t>). The relationship between older age group or female sex and hypertension was statistically significant in Tunisia [</w:t>
      </w:r>
      <w:r w:rsidRPr="00000849">
        <w:rPr>
          <w:color w:val="0000FF"/>
        </w:rPr>
        <w:t>26</w:t>
      </w:r>
      <w:r w:rsidRPr="00000849">
        <w:t>], South Africa [</w:t>
      </w:r>
      <w:r w:rsidRPr="00000849">
        <w:rPr>
          <w:color w:val="0000FF"/>
        </w:rPr>
        <w:t>23</w:t>
      </w:r>
      <w:r w:rsidRPr="00000849">
        <w:t>], CAR and Congo [</w:t>
      </w:r>
      <w:r w:rsidRPr="00000849">
        <w:rPr>
          <w:color w:val="0000FF"/>
        </w:rPr>
        <w:t>36</w:t>
      </w:r>
      <w:r w:rsidRPr="00000849">
        <w:t xml:space="preserve">] (Tables </w:t>
      </w:r>
      <w:r w:rsidRPr="00000849">
        <w:rPr>
          <w:color w:val="0000FF"/>
        </w:rPr>
        <w:t xml:space="preserve">3 </w:t>
      </w:r>
      <w:r w:rsidRPr="00000849">
        <w:t xml:space="preserve">and </w:t>
      </w:r>
      <w:r w:rsidRPr="00000849">
        <w:rPr>
          <w:color w:val="0000FF"/>
        </w:rPr>
        <w:t>4</w:t>
      </w:r>
      <w:r w:rsidRPr="00000849">
        <w:t>). That of older age group, but not sex, was statistically significant in Senegal [</w:t>
      </w:r>
      <w:r w:rsidRPr="00000849">
        <w:rPr>
          <w:color w:val="0000FF"/>
        </w:rPr>
        <w:t>30</w:t>
      </w:r>
      <w:r w:rsidRPr="00000849">
        <w:t>] and in Ghana [</w:t>
      </w:r>
      <w:r w:rsidRPr="00000849">
        <w:rPr>
          <w:color w:val="0000FF"/>
        </w:rPr>
        <w:t>22</w:t>
      </w:r>
      <w:r w:rsidRPr="00000849">
        <w:t>] while that of sex but not older age group was statistically significant in Nigeria [</w:t>
      </w:r>
      <w:r w:rsidRPr="00000849">
        <w:rPr>
          <w:color w:val="0000FF"/>
        </w:rPr>
        <w:t>37</w:t>
      </w:r>
      <w:r w:rsidRPr="00000849">
        <w:t>].</w:t>
      </w:r>
    </w:p>
    <w:p w14:paraId="7F7F2F22" w14:textId="77777777" w:rsidR="00BC221F" w:rsidRPr="00000849" w:rsidRDefault="00BC221F" w:rsidP="00275E9B">
      <w:pPr>
        <w:jc w:val="both"/>
      </w:pPr>
      <w:r w:rsidRPr="00000849">
        <w:t>In multivariate analyses, older age group and female sex were often independently associated with hypertension. Of the 16 studies providing 20 data contributions with multivariate analysis, age was either not included in the logit models in two studies (three data points) [</w:t>
      </w:r>
      <w:r w:rsidRPr="00000849">
        <w:rPr>
          <w:color w:val="0000FF"/>
        </w:rPr>
        <w:t>21</w:t>
      </w:r>
      <w:r w:rsidRPr="00000849">
        <w:t xml:space="preserve">, </w:t>
      </w:r>
      <w:r w:rsidRPr="00000849">
        <w:rPr>
          <w:color w:val="0000FF"/>
        </w:rPr>
        <w:t>24</w:t>
      </w:r>
      <w:r w:rsidRPr="00000849">
        <w:t>] or was adjusted for without being assigned an effect size in three studies (four data points) [</w:t>
      </w:r>
      <w:r w:rsidRPr="00000849">
        <w:rPr>
          <w:color w:val="0000FF"/>
        </w:rPr>
        <w:t>20</w:t>
      </w:r>
      <w:r w:rsidRPr="00000849">
        <w:t xml:space="preserve">, </w:t>
      </w:r>
      <w:r w:rsidRPr="00000849">
        <w:rPr>
          <w:color w:val="0000FF"/>
        </w:rPr>
        <w:t>31</w:t>
      </w:r>
      <w:r w:rsidRPr="00000849">
        <w:t xml:space="preserve">, </w:t>
      </w:r>
      <w:r w:rsidRPr="00000849">
        <w:rPr>
          <w:color w:val="0000FF"/>
        </w:rPr>
        <w:t>34</w:t>
      </w:r>
      <w:r w:rsidRPr="00000849">
        <w:t xml:space="preserve">] (Table </w:t>
      </w:r>
      <w:r w:rsidRPr="00000849">
        <w:rPr>
          <w:color w:val="0000FF"/>
        </w:rPr>
        <w:t>4</w:t>
      </w:r>
      <w:r w:rsidRPr="00000849">
        <w:t>). In the remaining 11 studies (13 data contributions), older age group predicted hypertension in a total of nine models from seven studies [</w:t>
      </w:r>
      <w:r w:rsidRPr="00000849">
        <w:rPr>
          <w:color w:val="0000FF"/>
        </w:rPr>
        <w:t>18</w:t>
      </w:r>
      <w:r w:rsidRPr="00000849">
        <w:t xml:space="preserve">, </w:t>
      </w:r>
      <w:r w:rsidRPr="00000849">
        <w:rPr>
          <w:color w:val="0000FF"/>
        </w:rPr>
        <w:t>19</w:t>
      </w:r>
      <w:r w:rsidRPr="00000849">
        <w:t xml:space="preserve">, </w:t>
      </w:r>
      <w:r w:rsidRPr="00000849">
        <w:rPr>
          <w:color w:val="0000FF"/>
        </w:rPr>
        <w:t>22</w:t>
      </w:r>
      <w:r w:rsidRPr="00000849">
        <w:t xml:space="preserve">, </w:t>
      </w:r>
      <w:r w:rsidRPr="00000849">
        <w:rPr>
          <w:color w:val="0000FF"/>
        </w:rPr>
        <w:t>25</w:t>
      </w:r>
      <w:r w:rsidRPr="00000849">
        <w:t xml:space="preserve">, </w:t>
      </w:r>
      <w:r w:rsidRPr="00000849">
        <w:rPr>
          <w:color w:val="0000FF"/>
        </w:rPr>
        <w:t>30</w:t>
      </w:r>
      <w:r w:rsidRPr="00000849">
        <w:t xml:space="preserve">, </w:t>
      </w:r>
      <w:r w:rsidRPr="00000849">
        <w:rPr>
          <w:color w:val="0000FF"/>
        </w:rPr>
        <w:t>36</w:t>
      </w:r>
      <w:r w:rsidRPr="00000849">
        <w:t xml:space="preserve">, </w:t>
      </w:r>
      <w:r w:rsidRPr="00000849">
        <w:rPr>
          <w:color w:val="0000FF"/>
        </w:rPr>
        <w:t>38</w:t>
      </w:r>
      <w:r w:rsidRPr="00000849">
        <w:t xml:space="preserve">] but was not statistically significant in four studies </w:t>
      </w:r>
      <w:r w:rsidRPr="00000849">
        <w:lastRenderedPageBreak/>
        <w:t>(four data contributions) [</w:t>
      </w:r>
      <w:r w:rsidRPr="00000849">
        <w:rPr>
          <w:color w:val="0000FF"/>
        </w:rPr>
        <w:t>23</w:t>
      </w:r>
      <w:r w:rsidRPr="00000849">
        <w:t xml:space="preserve">, </w:t>
      </w:r>
      <w:r w:rsidRPr="00000849">
        <w:rPr>
          <w:color w:val="0000FF"/>
        </w:rPr>
        <w:t>26</w:t>
      </w:r>
      <w:r w:rsidRPr="00000849">
        <w:t xml:space="preserve">, </w:t>
      </w:r>
      <w:r w:rsidRPr="00000849">
        <w:rPr>
          <w:color w:val="0000FF"/>
        </w:rPr>
        <w:t>37</w:t>
      </w:r>
      <w:r w:rsidRPr="00000849">
        <w:t xml:space="preserve">, </w:t>
      </w:r>
      <w:r w:rsidRPr="00000849">
        <w:rPr>
          <w:color w:val="0000FF"/>
        </w:rPr>
        <w:t>39</w:t>
      </w:r>
      <w:r w:rsidRPr="00000849">
        <w:t xml:space="preserve">] (Tables </w:t>
      </w:r>
      <w:r w:rsidRPr="00000849">
        <w:rPr>
          <w:color w:val="0000FF"/>
        </w:rPr>
        <w:t xml:space="preserve">3 </w:t>
      </w:r>
      <w:r w:rsidRPr="00000849">
        <w:t xml:space="preserve">and </w:t>
      </w:r>
      <w:r w:rsidRPr="00000849">
        <w:rPr>
          <w:color w:val="0000FF"/>
        </w:rPr>
        <w:t>4</w:t>
      </w:r>
      <w:r w:rsidRPr="00000849">
        <w:t>). The highest odds ratio was observed in a study in Senegal in which the odds of being hypertensive among subjects aged 60</w:t>
      </w:r>
      <w:r w:rsidRPr="00000849">
        <w:rPr>
          <w:rFonts w:ascii="Calibri" w:eastAsia="Calibri" w:hAnsi="Calibri" w:cs="Calibri"/>
        </w:rPr>
        <w:t>–</w:t>
      </w:r>
      <w:r w:rsidRPr="00000849">
        <w:t xml:space="preserve">69 years and those aged </w:t>
      </w:r>
      <w:r w:rsidRPr="00000849">
        <w:rPr>
          <w:rFonts w:ascii="Calibri" w:eastAsia="Calibri" w:hAnsi="Calibri" w:cs="Calibri"/>
        </w:rPr>
        <w:t>≥</w:t>
      </w:r>
      <w:r w:rsidRPr="00000849">
        <w:t>70 years was respectively 1.9 and 2.5 times that in those aged 50</w:t>
      </w:r>
      <w:r w:rsidRPr="00000849">
        <w:rPr>
          <w:rFonts w:ascii="Calibri" w:eastAsia="Calibri" w:hAnsi="Calibri" w:cs="Calibri"/>
        </w:rPr>
        <w:t>–</w:t>
      </w:r>
      <w:r w:rsidRPr="00000849">
        <w:t>59 years [</w:t>
      </w:r>
      <w:r w:rsidRPr="00000849">
        <w:rPr>
          <w:color w:val="0000FF"/>
        </w:rPr>
        <w:t>30</w:t>
      </w:r>
      <w:r w:rsidRPr="00000849">
        <w:t xml:space="preserve">] (Table </w:t>
      </w:r>
      <w:r w:rsidRPr="00000849">
        <w:rPr>
          <w:color w:val="0000FF"/>
        </w:rPr>
        <w:t>4</w:t>
      </w:r>
      <w:r w:rsidRPr="00000849">
        <w:t>). In other studies, however, the relationship between older and the younger age groups was erratic and non-monotonic. For example, in Ghana, the odds ratio associated with hypertension in those aged 65</w:t>
      </w:r>
      <w:r w:rsidRPr="00000849">
        <w:rPr>
          <w:rFonts w:ascii="Calibri" w:eastAsia="Calibri" w:hAnsi="Calibri" w:cs="Calibri"/>
        </w:rPr>
        <w:t>–</w:t>
      </w:r>
      <w:r w:rsidRPr="00000849">
        <w:t>69 years (compared with those aged 50</w:t>
      </w:r>
      <w:r w:rsidRPr="00000849">
        <w:rPr>
          <w:rFonts w:ascii="Calibri" w:eastAsia="Calibri" w:hAnsi="Calibri" w:cs="Calibri"/>
        </w:rPr>
        <w:t>–</w:t>
      </w:r>
      <w:r w:rsidRPr="00000849">
        <w:t>54 years) was higher than that of the 70</w:t>
      </w:r>
      <w:r w:rsidRPr="00000849">
        <w:rPr>
          <w:rFonts w:ascii="Calibri" w:eastAsia="Calibri" w:hAnsi="Calibri" w:cs="Calibri"/>
        </w:rPr>
        <w:t>–</w:t>
      </w:r>
      <w:r w:rsidRPr="00000849">
        <w:t xml:space="preserve">74 or </w:t>
      </w:r>
      <w:r w:rsidRPr="00000849">
        <w:rPr>
          <w:rFonts w:ascii="Calibri" w:eastAsia="Calibri" w:hAnsi="Calibri" w:cs="Calibri"/>
        </w:rPr>
        <w:t xml:space="preserve">≥ </w:t>
      </w:r>
      <w:r w:rsidRPr="00000849">
        <w:t>75-year age groups [</w:t>
      </w:r>
      <w:r w:rsidRPr="00000849">
        <w:rPr>
          <w:color w:val="0000FF"/>
        </w:rPr>
        <w:t>18</w:t>
      </w:r>
      <w:r w:rsidRPr="00000849">
        <w:t>].</w:t>
      </w:r>
    </w:p>
    <w:p w14:paraId="4D40263C" w14:textId="77777777" w:rsidR="00BC221F" w:rsidRPr="00000849" w:rsidRDefault="00BC221F" w:rsidP="00275E9B">
      <w:pPr>
        <w:jc w:val="both"/>
      </w:pPr>
      <w:r w:rsidRPr="00000849">
        <w:t>Female sex was a frequent predictor of hypertension in multivariate analyses. The adjusted odds of hypertension were up to 80% higher in females than in males [</w:t>
      </w:r>
      <w:r w:rsidRPr="00000849">
        <w:rPr>
          <w:color w:val="0000FF"/>
        </w:rPr>
        <w:t>18</w:t>
      </w:r>
      <w:r w:rsidRPr="00000849">
        <w:t xml:space="preserve">, </w:t>
      </w:r>
      <w:r w:rsidRPr="00000849">
        <w:rPr>
          <w:color w:val="0000FF"/>
        </w:rPr>
        <w:t>19</w:t>
      </w:r>
      <w:r w:rsidRPr="00000849">
        <w:t xml:space="preserve">, </w:t>
      </w:r>
      <w:r w:rsidRPr="00000849">
        <w:rPr>
          <w:color w:val="0000FF"/>
        </w:rPr>
        <w:t>21</w:t>
      </w:r>
      <w:r w:rsidRPr="00000849">
        <w:t xml:space="preserve">, </w:t>
      </w:r>
      <w:r w:rsidRPr="00000849">
        <w:rPr>
          <w:color w:val="0000FF"/>
        </w:rPr>
        <w:t>24</w:t>
      </w:r>
      <w:r w:rsidRPr="00000849">
        <w:t xml:space="preserve">, </w:t>
      </w:r>
      <w:r w:rsidRPr="00000849">
        <w:rPr>
          <w:color w:val="0000FF"/>
        </w:rPr>
        <w:t>25</w:t>
      </w:r>
      <w:r w:rsidRPr="00000849">
        <w:t xml:space="preserve">] (Table </w:t>
      </w:r>
      <w:r w:rsidRPr="00000849">
        <w:rPr>
          <w:color w:val="0000FF"/>
        </w:rPr>
        <w:t>3</w:t>
      </w:r>
      <w:r w:rsidRPr="00000849">
        <w:t>). However, female sex was associated with lower adjusted odds of hypertension in one study in Nigeria [</w:t>
      </w:r>
      <w:r w:rsidRPr="00000849">
        <w:rPr>
          <w:color w:val="0000FF"/>
        </w:rPr>
        <w:t>37</w:t>
      </w:r>
      <w:r w:rsidRPr="00000849">
        <w:t>]. It was not independently associated with hypertension in the multivariate analyses [</w:t>
      </w:r>
      <w:r w:rsidRPr="00000849">
        <w:rPr>
          <w:color w:val="0000FF"/>
        </w:rPr>
        <w:t>22</w:t>
      </w:r>
      <w:r w:rsidRPr="00000849">
        <w:t xml:space="preserve">, </w:t>
      </w:r>
      <w:r w:rsidRPr="00000849">
        <w:rPr>
          <w:color w:val="0000FF"/>
        </w:rPr>
        <w:t>38</w:t>
      </w:r>
      <w:r w:rsidRPr="00000849">
        <w:t>], having lost its statistically significant relationship observed in the bivariate analysis in three studies [</w:t>
      </w:r>
      <w:r w:rsidRPr="00000849">
        <w:rPr>
          <w:color w:val="0000FF"/>
        </w:rPr>
        <w:t>23</w:t>
      </w:r>
      <w:r w:rsidRPr="00000849">
        <w:t xml:space="preserve">, </w:t>
      </w:r>
      <w:r w:rsidRPr="00000849">
        <w:rPr>
          <w:color w:val="0000FF"/>
        </w:rPr>
        <w:t>26</w:t>
      </w:r>
      <w:r w:rsidRPr="00000849">
        <w:t xml:space="preserve">, </w:t>
      </w:r>
      <w:r w:rsidRPr="00000849">
        <w:rPr>
          <w:color w:val="0000FF"/>
        </w:rPr>
        <w:t>36</w:t>
      </w:r>
      <w:r w:rsidRPr="00000849">
        <w:t xml:space="preserve">] (Table </w:t>
      </w:r>
      <w:r w:rsidRPr="00000849">
        <w:rPr>
          <w:color w:val="0000FF"/>
        </w:rPr>
        <w:t>2</w:t>
      </w:r>
      <w:r w:rsidRPr="00000849">
        <w:t>). Similarly, the statistically significant relationship between older age and hypertension disappeared in the multivariate analyses in two of these studies [</w:t>
      </w:r>
      <w:r w:rsidRPr="00000849">
        <w:rPr>
          <w:color w:val="0000FF"/>
        </w:rPr>
        <w:t>23</w:t>
      </w:r>
      <w:r w:rsidRPr="00000849">
        <w:t xml:space="preserve">, </w:t>
      </w:r>
      <w:r w:rsidRPr="00000849">
        <w:rPr>
          <w:color w:val="0000FF"/>
        </w:rPr>
        <w:t>26</w:t>
      </w:r>
      <w:r w:rsidRPr="00000849">
        <w:t>].</w:t>
      </w:r>
    </w:p>
    <w:p w14:paraId="3107A171" w14:textId="6EC95200" w:rsidR="00BC221F" w:rsidRPr="00000849" w:rsidRDefault="00BC221F" w:rsidP="00275E9B">
      <w:pPr>
        <w:jc w:val="both"/>
      </w:pPr>
      <w:r w:rsidRPr="00000849">
        <w:rPr>
          <w:b/>
          <w:bCs/>
          <w:i/>
          <w:iCs/>
          <w:color w:val="0070C0"/>
        </w:rPr>
        <w:t>Residence</w:t>
      </w:r>
      <w:r w:rsidRPr="00000849">
        <w:rPr>
          <w:rFonts w:ascii="Calibri" w:eastAsia="Calibri" w:hAnsi="Calibri" w:cs="Calibri"/>
        </w:rPr>
        <w:t xml:space="preserve"> </w:t>
      </w:r>
      <w:r w:rsidRPr="00000849">
        <w:t>In studies in which the residential distribution of the prevalence of hypertension was reported, it was higher in urban than in rural areas by up to 15 percentage points [</w:t>
      </w:r>
      <w:r w:rsidRPr="00000849">
        <w:rPr>
          <w:color w:val="0000FF"/>
        </w:rPr>
        <w:t>22</w:t>
      </w:r>
      <w:r w:rsidRPr="00000849">
        <w:t xml:space="preserve">, </w:t>
      </w:r>
      <w:r w:rsidRPr="00000849">
        <w:rPr>
          <w:color w:val="0000FF"/>
        </w:rPr>
        <w:t>24</w:t>
      </w:r>
      <w:r w:rsidRPr="00000849">
        <w:t xml:space="preserve">, </w:t>
      </w:r>
      <w:r w:rsidRPr="00000849">
        <w:rPr>
          <w:color w:val="0000FF"/>
        </w:rPr>
        <w:t>31</w:t>
      </w:r>
      <w:r w:rsidRPr="00000849">
        <w:t xml:space="preserve">, </w:t>
      </w:r>
      <w:r w:rsidRPr="00000849">
        <w:rPr>
          <w:color w:val="0000FF"/>
        </w:rPr>
        <w:t>36</w:t>
      </w:r>
      <w:r w:rsidRPr="00000849">
        <w:t xml:space="preserve">, </w:t>
      </w:r>
      <w:r w:rsidRPr="00000849">
        <w:rPr>
          <w:color w:val="0000FF"/>
        </w:rPr>
        <w:t>43</w:t>
      </w:r>
      <w:r w:rsidRPr="00000849">
        <w:t>]. In one study in Nigeria, the prevalence increased along a gradient from rural, semi-urban to urban areas [</w:t>
      </w:r>
      <w:r w:rsidRPr="00000849">
        <w:rPr>
          <w:color w:val="0000FF"/>
        </w:rPr>
        <w:t>37</w:t>
      </w:r>
      <w:r w:rsidRPr="00000849">
        <w:t>]. However, in South Africa, the prevalence was slightly higher in rural (77.5%) than in urban populations (77.2%) [</w:t>
      </w:r>
      <w:r w:rsidRPr="00000849">
        <w:rPr>
          <w:color w:val="0000FF"/>
        </w:rPr>
        <w:t>23</w:t>
      </w:r>
      <w:r w:rsidRPr="00000849">
        <w:t>]. The urban-rural difference was statistically significant in</w:t>
      </w:r>
    </w:p>
    <w:p w14:paraId="7814693A" w14:textId="77777777" w:rsidR="00275E9B" w:rsidRPr="00000849" w:rsidRDefault="00275E9B" w:rsidP="00275E9B">
      <w:pPr>
        <w:jc w:val="both"/>
      </w:pPr>
      <w:r w:rsidRPr="00000849">
        <w:t>studies in Ghana [</w:t>
      </w:r>
      <w:r w:rsidRPr="00000849">
        <w:rPr>
          <w:color w:val="0000FF"/>
        </w:rPr>
        <w:t>22</w:t>
      </w:r>
      <w:r w:rsidRPr="00000849">
        <w:t>], Kenya [</w:t>
      </w:r>
      <w:r w:rsidRPr="00000849">
        <w:rPr>
          <w:color w:val="0000FF"/>
        </w:rPr>
        <w:t>31</w:t>
      </w:r>
      <w:r w:rsidRPr="00000849">
        <w:t>] and Uganda [</w:t>
      </w:r>
      <w:r w:rsidRPr="00000849">
        <w:rPr>
          <w:color w:val="0000FF"/>
        </w:rPr>
        <w:t>38</w:t>
      </w:r>
      <w:r w:rsidRPr="00000849">
        <w:t>] but not in studies in Tunisia [</w:t>
      </w:r>
      <w:r w:rsidRPr="00000849">
        <w:rPr>
          <w:color w:val="0000FF"/>
        </w:rPr>
        <w:t>26</w:t>
      </w:r>
      <w:r w:rsidRPr="00000849">
        <w:t>] or South Africa [</w:t>
      </w:r>
      <w:r w:rsidRPr="00000849">
        <w:rPr>
          <w:color w:val="0000FF"/>
        </w:rPr>
        <w:t>23</w:t>
      </w:r>
      <w:r w:rsidRPr="00000849">
        <w:t xml:space="preserve">] (Tables </w:t>
      </w:r>
      <w:r w:rsidRPr="00000849">
        <w:rPr>
          <w:color w:val="0000FF"/>
        </w:rPr>
        <w:t xml:space="preserve">3 </w:t>
      </w:r>
      <w:r w:rsidRPr="00000849">
        <w:t xml:space="preserve">and </w:t>
      </w:r>
      <w:r w:rsidRPr="00000849">
        <w:rPr>
          <w:color w:val="0000FF"/>
        </w:rPr>
        <w:t>4</w:t>
      </w:r>
      <w:r w:rsidRPr="00000849">
        <w:t>). In multivariate analyses, urban residence was often significantly associated with hypertension, as in Ghana, Nigeria and Kenya with adjusted odds ratios about 30</w:t>
      </w:r>
      <w:r w:rsidRPr="00000849">
        <w:rPr>
          <w:rFonts w:ascii="Calibri" w:eastAsia="Calibri" w:hAnsi="Calibri" w:cs="Calibri"/>
        </w:rPr>
        <w:t>–</w:t>
      </w:r>
      <w:r w:rsidRPr="00000849">
        <w:t>40% higher than in the rural areas [</w:t>
      </w:r>
      <w:r w:rsidRPr="00000849">
        <w:rPr>
          <w:color w:val="0000FF"/>
        </w:rPr>
        <w:t>22</w:t>
      </w:r>
      <w:r w:rsidRPr="00000849">
        <w:t xml:space="preserve">, </w:t>
      </w:r>
      <w:r w:rsidRPr="00000849">
        <w:rPr>
          <w:color w:val="0000FF"/>
        </w:rPr>
        <w:t>31</w:t>
      </w:r>
      <w:r w:rsidRPr="00000849">
        <w:t xml:space="preserve">, </w:t>
      </w:r>
      <w:r w:rsidRPr="00000849">
        <w:rPr>
          <w:color w:val="0000FF"/>
        </w:rPr>
        <w:t>37</w:t>
      </w:r>
      <w:r w:rsidRPr="00000849">
        <w:t xml:space="preserve">, </w:t>
      </w:r>
      <w:r w:rsidRPr="00000849">
        <w:rPr>
          <w:color w:val="0000FF"/>
        </w:rPr>
        <w:t>38</w:t>
      </w:r>
      <w:r w:rsidRPr="00000849">
        <w:t>]. It was not significantly associated with hypertension in other studies in Ghana and CAR/Congo [</w:t>
      </w:r>
      <w:r w:rsidRPr="00000849">
        <w:rPr>
          <w:color w:val="0000FF"/>
        </w:rPr>
        <w:t>21</w:t>
      </w:r>
      <w:r w:rsidRPr="00000849">
        <w:t xml:space="preserve">, </w:t>
      </w:r>
      <w:r w:rsidRPr="00000849">
        <w:rPr>
          <w:color w:val="0000FF"/>
        </w:rPr>
        <w:t>36</w:t>
      </w:r>
      <w:r w:rsidRPr="00000849">
        <w:t>]. In the multi-country SAGE study in older adults, urban residence predicted hypertension in Ghana in two different models but not in South Africa [</w:t>
      </w:r>
      <w:r w:rsidRPr="00000849">
        <w:rPr>
          <w:color w:val="0000FF"/>
        </w:rPr>
        <w:t>18</w:t>
      </w:r>
      <w:r w:rsidRPr="00000849">
        <w:t xml:space="preserve">, </w:t>
      </w:r>
      <w:r w:rsidRPr="00000849">
        <w:rPr>
          <w:color w:val="0000FF"/>
        </w:rPr>
        <w:t>19</w:t>
      </w:r>
      <w:r w:rsidRPr="00000849">
        <w:t xml:space="preserve">] (Table </w:t>
      </w:r>
      <w:r w:rsidRPr="00000849">
        <w:rPr>
          <w:color w:val="0000FF"/>
        </w:rPr>
        <w:t>4</w:t>
      </w:r>
      <w:r w:rsidRPr="00000849">
        <w:t>).</w:t>
      </w:r>
    </w:p>
    <w:p w14:paraId="4215D107" w14:textId="77777777" w:rsidR="00275E9B" w:rsidRPr="00000849" w:rsidRDefault="00275E9B" w:rsidP="00275E9B">
      <w:pPr>
        <w:jc w:val="both"/>
      </w:pPr>
      <w:r w:rsidRPr="00000849">
        <w:t>The adjusted odds ratio associated with hypertension among elderly subjects living in Congo was 68% higher than that of those living in the CAR [</w:t>
      </w:r>
      <w:r w:rsidRPr="00000849">
        <w:rPr>
          <w:color w:val="0000FF"/>
        </w:rPr>
        <w:t>36</w:t>
      </w:r>
      <w:r w:rsidRPr="00000849">
        <w:t xml:space="preserve">]. In Tanzania, hypertension in elderly aged </w:t>
      </w:r>
      <w:r w:rsidRPr="00000849">
        <w:rPr>
          <w:rFonts w:ascii="Calibri" w:eastAsia="Calibri" w:hAnsi="Calibri" w:cs="Calibri"/>
        </w:rPr>
        <w:t>≥</w:t>
      </w:r>
      <w:r w:rsidRPr="00000849">
        <w:t>70 years was more frequently associated with residence in upland than in lowland villages [</w:t>
      </w:r>
      <w:r w:rsidRPr="00000849">
        <w:rPr>
          <w:color w:val="0000FF"/>
        </w:rPr>
        <w:t>25</w:t>
      </w:r>
      <w:r w:rsidRPr="00000849">
        <w:t>]. Compared with those residing in the Greater Accra Region, older adults in two of the poorest regions in Ghana, the Upper East and Upper West regions had 63</w:t>
      </w:r>
      <w:r w:rsidRPr="00000849">
        <w:rPr>
          <w:rFonts w:ascii="Calibri" w:eastAsia="Calibri" w:hAnsi="Calibri" w:cs="Calibri"/>
        </w:rPr>
        <w:t>–</w:t>
      </w:r>
      <w:r w:rsidRPr="00000849">
        <w:t>76% lower odds of having hypertension after controlling for other factors [</w:t>
      </w:r>
      <w:r w:rsidRPr="00000849">
        <w:rPr>
          <w:color w:val="0000FF"/>
        </w:rPr>
        <w:t>22</w:t>
      </w:r>
      <w:r w:rsidRPr="00000849">
        <w:t>]. Otherwise, residence in the other administrative regions of Ghana was not independently associated with hypertension.</w:t>
      </w:r>
    </w:p>
    <w:p w14:paraId="691BF7DE" w14:textId="43E7C6B8" w:rsidR="00265067" w:rsidRPr="00000849" w:rsidRDefault="00275E9B" w:rsidP="00A443DB">
      <w:pPr>
        <w:jc w:val="both"/>
      </w:pPr>
      <w:r w:rsidRPr="00000849">
        <w:rPr>
          <w:b/>
          <w:bCs/>
          <w:i/>
          <w:iCs/>
          <w:color w:val="0070C0"/>
        </w:rPr>
        <w:t>Other demographic factors</w:t>
      </w:r>
      <w:r w:rsidRPr="00000849">
        <w:rPr>
          <w:rFonts w:ascii="Calibri" w:eastAsia="Calibri" w:hAnsi="Calibri" w:cs="Calibri"/>
        </w:rPr>
        <w:t xml:space="preserve"> </w:t>
      </w:r>
      <w:r w:rsidRPr="00000849">
        <w:t>Marital status did not make a statistically significant difference to the prevalence of hypertension in bivariate analyses [</w:t>
      </w:r>
      <w:r w:rsidRPr="00000849">
        <w:rPr>
          <w:color w:val="0000FF"/>
        </w:rPr>
        <w:t>26</w:t>
      </w:r>
      <w:r w:rsidRPr="00000849">
        <w:t xml:space="preserve">, </w:t>
      </w:r>
      <w:r w:rsidRPr="00000849">
        <w:rPr>
          <w:color w:val="0000FF"/>
        </w:rPr>
        <w:t>30</w:t>
      </w:r>
      <w:r w:rsidRPr="00000849">
        <w:t xml:space="preserve">, </w:t>
      </w:r>
      <w:r w:rsidRPr="00000849">
        <w:rPr>
          <w:color w:val="0000FF"/>
        </w:rPr>
        <w:t>36</w:t>
      </w:r>
      <w:r w:rsidRPr="00000849">
        <w:t xml:space="preserve">, </w:t>
      </w:r>
      <w:r w:rsidRPr="00000849">
        <w:rPr>
          <w:color w:val="0000FF"/>
        </w:rPr>
        <w:t>39</w:t>
      </w:r>
      <w:r w:rsidRPr="00000849">
        <w:t>]. For example, in Senegal, 66.1% of married subjects compared with 63.3% of unmarried subjects had hypertension [</w:t>
      </w:r>
      <w:r w:rsidRPr="00000849">
        <w:rPr>
          <w:color w:val="0000FF"/>
        </w:rPr>
        <w:t>30</w:t>
      </w:r>
      <w:r w:rsidRPr="00000849">
        <w:t>]. In multivariate analyses, marital status was not independently associated with hypertension in the studies in which this relationship was assessed [</w:t>
      </w:r>
      <w:r w:rsidRPr="00000849">
        <w:rPr>
          <w:color w:val="0000FF"/>
        </w:rPr>
        <w:t>23</w:t>
      </w:r>
      <w:r w:rsidRPr="00000849">
        <w:t xml:space="preserve">, </w:t>
      </w:r>
      <w:r w:rsidRPr="00000849">
        <w:rPr>
          <w:color w:val="0000FF"/>
        </w:rPr>
        <w:t>26</w:t>
      </w:r>
      <w:r w:rsidRPr="00000849">
        <w:t xml:space="preserve">, </w:t>
      </w:r>
      <w:r w:rsidRPr="00000849">
        <w:rPr>
          <w:color w:val="0000FF"/>
        </w:rPr>
        <w:t>30</w:t>
      </w:r>
      <w:r w:rsidRPr="00000849">
        <w:t xml:space="preserve">, </w:t>
      </w:r>
      <w:r w:rsidRPr="00000849">
        <w:rPr>
          <w:color w:val="0000FF"/>
        </w:rPr>
        <w:t>38</w:t>
      </w:r>
      <w:r w:rsidRPr="00000849">
        <w:t xml:space="preserve">, </w:t>
      </w:r>
      <w:r w:rsidRPr="00000849">
        <w:rPr>
          <w:color w:val="0000FF"/>
        </w:rPr>
        <w:t>39</w:t>
      </w:r>
      <w:r w:rsidRPr="00000849">
        <w:t>] except in Nigeria where being unmarried had a protective effect [</w:t>
      </w:r>
      <w:r w:rsidRPr="00000849">
        <w:rPr>
          <w:color w:val="0000FF"/>
        </w:rPr>
        <w:t>37</w:t>
      </w:r>
      <w:r w:rsidRPr="00000849">
        <w:t xml:space="preserve">] (Table </w:t>
      </w:r>
      <w:r w:rsidRPr="00000849">
        <w:rPr>
          <w:color w:val="0000FF"/>
        </w:rPr>
        <w:t>4</w:t>
      </w:r>
      <w:r w:rsidRPr="00000849">
        <w:t>).</w:t>
      </w:r>
    </w:p>
    <w:p w14:paraId="3562446E" w14:textId="1DF8B3F1" w:rsidR="00265067" w:rsidRPr="00000849" w:rsidRDefault="00265067" w:rsidP="00BC221F">
      <w:pPr>
        <w:sectPr w:rsidR="00265067" w:rsidRPr="00000849" w:rsidSect="00063693">
          <w:type w:val="continuous"/>
          <w:pgSz w:w="11906" w:h="15817"/>
          <w:pgMar w:top="1440" w:right="1440" w:bottom="1191" w:left="1440" w:header="720" w:footer="720" w:gutter="0"/>
          <w:cols w:space="720"/>
        </w:sectPr>
      </w:pPr>
    </w:p>
    <w:p w14:paraId="45386F84" w14:textId="293D31E2" w:rsidR="00275E9B" w:rsidRPr="00000849" w:rsidRDefault="00275E9B" w:rsidP="0015701B">
      <w:pPr>
        <w:spacing w:after="0" w:line="259" w:lineRule="auto"/>
        <w:rPr>
          <w:sz w:val="28"/>
          <w:szCs w:val="28"/>
        </w:rPr>
      </w:pPr>
      <w:r w:rsidRPr="00000849">
        <w:rPr>
          <w:rFonts w:ascii="Calibri" w:eastAsia="Calibri" w:hAnsi="Calibri" w:cs="Calibri"/>
          <w:b/>
          <w:bCs/>
          <w:szCs w:val="28"/>
        </w:rPr>
        <w:lastRenderedPageBreak/>
        <w:t>Table 3</w:t>
      </w:r>
      <w:r w:rsidRPr="00000849">
        <w:rPr>
          <w:rFonts w:ascii="Calibri" w:eastAsia="Calibri" w:hAnsi="Calibri" w:cs="Calibri"/>
          <w:szCs w:val="28"/>
        </w:rPr>
        <w:t xml:space="preserve"> Overview of risk factors associated with hypertension among older adults in Africa</w:t>
      </w:r>
    </w:p>
    <w:p w14:paraId="20A13344" w14:textId="77777777" w:rsidR="00275E9B" w:rsidRPr="00000849" w:rsidRDefault="00275E9B" w:rsidP="00AC6D4B">
      <w:pPr>
        <w:tabs>
          <w:tab w:val="left" w:pos="332"/>
          <w:tab w:val="left" w:pos="1120"/>
          <w:tab w:val="left" w:pos="1914"/>
          <w:tab w:val="left" w:pos="3453"/>
          <w:tab w:val="left" w:pos="4431"/>
          <w:tab w:val="left" w:pos="5880"/>
          <w:tab w:val="left" w:pos="7305"/>
          <w:tab w:val="left" w:pos="8319"/>
        </w:tabs>
        <w:spacing w:after="0" w:line="259" w:lineRule="auto"/>
        <w:rPr>
          <w:rFonts w:ascii="Calibri" w:eastAsia="Calibri" w:hAnsi="Calibri" w:cs="Calibri"/>
          <w:color w:val="000000"/>
          <w:sz w:val="16"/>
        </w:rPr>
      </w:pPr>
    </w:p>
    <w:tbl>
      <w:tblPr>
        <w:tblStyle w:val="PlainTable1"/>
        <w:tblW w:w="5000" w:type="pct"/>
        <w:tblInd w:w="-5" w:type="dxa"/>
        <w:tblLayout w:type="fixed"/>
        <w:tblLook w:val="0420" w:firstRow="1" w:lastRow="0" w:firstColumn="0" w:lastColumn="0" w:noHBand="0" w:noVBand="1"/>
      </w:tblPr>
      <w:tblGrid>
        <w:gridCol w:w="442"/>
        <w:gridCol w:w="11"/>
        <w:gridCol w:w="904"/>
        <w:gridCol w:w="1112"/>
        <w:gridCol w:w="2123"/>
        <w:gridCol w:w="21"/>
        <w:gridCol w:w="1509"/>
        <w:gridCol w:w="1441"/>
        <w:gridCol w:w="2068"/>
        <w:gridCol w:w="1172"/>
        <w:gridCol w:w="2368"/>
      </w:tblGrid>
      <w:tr w:rsidR="000E6949" w:rsidRPr="00000849" w14:paraId="76589E1D" w14:textId="77777777" w:rsidTr="003A3CF1">
        <w:trPr>
          <w:cnfStyle w:val="100000000000" w:firstRow="1" w:lastRow="0" w:firstColumn="0" w:lastColumn="0" w:oddVBand="0" w:evenVBand="0" w:oddHBand="0" w:evenHBand="0" w:firstRowFirstColumn="0" w:firstRowLastColumn="0" w:lastRowFirstColumn="0" w:lastRowLastColumn="0"/>
          <w:trHeight w:val="953"/>
          <w:tblHeader/>
        </w:trPr>
        <w:tc>
          <w:tcPr>
            <w:tcW w:w="172" w:type="pct"/>
            <w:gridSpan w:val="2"/>
          </w:tcPr>
          <w:p w14:paraId="007F5E27" w14:textId="77777777" w:rsidR="00BC221F" w:rsidRPr="00000849" w:rsidRDefault="00BC221F" w:rsidP="00AC6D4B">
            <w:pPr>
              <w:spacing w:after="0" w:line="259" w:lineRule="auto"/>
            </w:pPr>
            <w:r w:rsidRPr="00000849">
              <w:rPr>
                <w:rFonts w:ascii="Calibri" w:eastAsia="Calibri" w:hAnsi="Calibri" w:cs="Calibri"/>
                <w:color w:val="000000"/>
                <w:sz w:val="16"/>
              </w:rPr>
              <w:t>No.</w:t>
            </w:r>
          </w:p>
        </w:tc>
        <w:tc>
          <w:tcPr>
            <w:tcW w:w="343" w:type="pct"/>
          </w:tcPr>
          <w:p w14:paraId="314B9C84" w14:textId="77777777" w:rsidR="00BC221F" w:rsidRPr="00000849" w:rsidRDefault="00BC221F" w:rsidP="00AC6D4B">
            <w:pPr>
              <w:spacing w:after="0" w:line="259" w:lineRule="auto"/>
            </w:pPr>
            <w:r w:rsidRPr="00000849">
              <w:rPr>
                <w:rFonts w:ascii="Calibri" w:eastAsia="Calibri" w:hAnsi="Calibri" w:cs="Calibri"/>
                <w:color w:val="000000"/>
                <w:sz w:val="16"/>
              </w:rPr>
              <w:t>Country</w:t>
            </w:r>
          </w:p>
        </w:tc>
        <w:tc>
          <w:tcPr>
            <w:tcW w:w="422" w:type="pct"/>
          </w:tcPr>
          <w:p w14:paraId="3CC03D16" w14:textId="77777777" w:rsidR="00BC221F" w:rsidRPr="00000849" w:rsidRDefault="00BC221F" w:rsidP="00AC6D4B">
            <w:pPr>
              <w:spacing w:after="0" w:line="259" w:lineRule="auto"/>
            </w:pPr>
            <w:r w:rsidRPr="00000849">
              <w:rPr>
                <w:rFonts w:ascii="Calibri" w:eastAsia="Calibri" w:hAnsi="Calibri" w:cs="Calibri"/>
                <w:color w:val="000000"/>
                <w:sz w:val="16"/>
              </w:rPr>
              <w:t>Reference</w:t>
            </w:r>
          </w:p>
        </w:tc>
        <w:tc>
          <w:tcPr>
            <w:tcW w:w="814" w:type="pct"/>
            <w:gridSpan w:val="2"/>
          </w:tcPr>
          <w:p w14:paraId="35F43EC3" w14:textId="77777777" w:rsidR="00BC221F" w:rsidRPr="00000849" w:rsidRDefault="00BC221F" w:rsidP="00AC6D4B">
            <w:pPr>
              <w:spacing w:after="0" w:line="259" w:lineRule="auto"/>
              <w:ind w:right="173"/>
            </w:pPr>
            <w:r w:rsidRPr="00000849">
              <w:rPr>
                <w:rFonts w:ascii="Calibri" w:eastAsia="Calibri" w:hAnsi="Calibri" w:cs="Calibri"/>
                <w:color w:val="000000"/>
                <w:sz w:val="16"/>
              </w:rPr>
              <w:t>Significant harmful (higher HTN) variables in crude analysis</w:t>
            </w:r>
          </w:p>
        </w:tc>
        <w:tc>
          <w:tcPr>
            <w:tcW w:w="573" w:type="pct"/>
          </w:tcPr>
          <w:p w14:paraId="76187ED3" w14:textId="77777777" w:rsidR="00BC221F" w:rsidRPr="00000849" w:rsidRDefault="00BC221F" w:rsidP="00AC6D4B">
            <w:pPr>
              <w:spacing w:after="0" w:line="259" w:lineRule="auto"/>
              <w:ind w:right="134"/>
            </w:pPr>
            <w:r w:rsidRPr="00000849">
              <w:rPr>
                <w:rFonts w:ascii="Calibri" w:eastAsia="Calibri" w:hAnsi="Calibri" w:cs="Calibri"/>
                <w:color w:val="000000"/>
                <w:sz w:val="16"/>
              </w:rPr>
              <w:t>Significant protective (lower HTN) variables in crude analysis</w:t>
            </w:r>
          </w:p>
        </w:tc>
        <w:tc>
          <w:tcPr>
            <w:tcW w:w="547" w:type="pct"/>
          </w:tcPr>
          <w:p w14:paraId="24C66981" w14:textId="77777777" w:rsidR="00BC221F" w:rsidRPr="00000849" w:rsidRDefault="00BC221F" w:rsidP="00AC6D4B">
            <w:pPr>
              <w:spacing w:after="0" w:line="259" w:lineRule="auto"/>
              <w:ind w:right="149"/>
            </w:pPr>
            <w:r w:rsidRPr="00000849">
              <w:rPr>
                <w:rFonts w:ascii="Calibri" w:eastAsia="Calibri" w:hAnsi="Calibri" w:cs="Calibri"/>
                <w:color w:val="000000"/>
                <w:sz w:val="16"/>
              </w:rPr>
              <w:t>NS variables in crude analysis</w:t>
            </w:r>
          </w:p>
        </w:tc>
        <w:tc>
          <w:tcPr>
            <w:tcW w:w="785" w:type="pct"/>
          </w:tcPr>
          <w:p w14:paraId="2C1B2257" w14:textId="32BCDDD7" w:rsidR="00BC221F" w:rsidRPr="00000849" w:rsidRDefault="00BC221F" w:rsidP="0015701B">
            <w:pPr>
              <w:spacing w:after="0" w:line="259" w:lineRule="auto"/>
            </w:pPr>
            <w:r w:rsidRPr="00000849">
              <w:rPr>
                <w:rFonts w:ascii="Calibri" w:eastAsia="Calibri" w:hAnsi="Calibri" w:cs="Calibri"/>
                <w:color w:val="000000"/>
                <w:sz w:val="16"/>
              </w:rPr>
              <w:t>Harmful</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Determinants of</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(higher) HTN</w:t>
            </w:r>
          </w:p>
        </w:tc>
        <w:tc>
          <w:tcPr>
            <w:tcW w:w="445" w:type="pct"/>
          </w:tcPr>
          <w:p w14:paraId="28013B93" w14:textId="77777777" w:rsidR="00BC221F" w:rsidRPr="00000849" w:rsidRDefault="00BC221F" w:rsidP="00AC6D4B">
            <w:pPr>
              <w:spacing w:after="0" w:line="259" w:lineRule="auto"/>
              <w:ind w:right="26"/>
            </w:pPr>
            <w:r w:rsidRPr="00000849">
              <w:rPr>
                <w:rFonts w:ascii="Calibri" w:eastAsia="Calibri" w:hAnsi="Calibri" w:cs="Calibri"/>
                <w:color w:val="000000"/>
                <w:sz w:val="16"/>
              </w:rPr>
              <w:t>Determinants of lower HTN</w:t>
            </w:r>
          </w:p>
        </w:tc>
        <w:tc>
          <w:tcPr>
            <w:tcW w:w="899" w:type="pct"/>
          </w:tcPr>
          <w:p w14:paraId="52573351" w14:textId="77777777" w:rsidR="00BC221F" w:rsidRPr="00000849" w:rsidRDefault="00BC221F" w:rsidP="00AC6D4B">
            <w:pPr>
              <w:spacing w:after="0" w:line="259" w:lineRule="auto"/>
            </w:pPr>
            <w:r w:rsidRPr="00000849">
              <w:rPr>
                <w:rFonts w:ascii="Calibri" w:eastAsia="Calibri" w:hAnsi="Calibri" w:cs="Calibri"/>
                <w:color w:val="000000"/>
                <w:sz w:val="16"/>
              </w:rPr>
              <w:t>NS variables in multivariate model</w:t>
            </w:r>
          </w:p>
        </w:tc>
      </w:tr>
      <w:tr w:rsidR="000E6949" w:rsidRPr="00000849" w14:paraId="341A9C71" w14:textId="77777777" w:rsidTr="003A3CF1">
        <w:trPr>
          <w:cnfStyle w:val="000000100000" w:firstRow="0" w:lastRow="0" w:firstColumn="0" w:lastColumn="0" w:oddVBand="0" w:evenVBand="0" w:oddHBand="1" w:evenHBand="0" w:firstRowFirstColumn="0" w:firstRowLastColumn="0" w:lastRowFirstColumn="0" w:lastRowLastColumn="0"/>
          <w:trHeight w:val="754"/>
        </w:trPr>
        <w:tc>
          <w:tcPr>
            <w:tcW w:w="168" w:type="pct"/>
          </w:tcPr>
          <w:p w14:paraId="3A9B4E9E" w14:textId="77777777" w:rsidR="000E6949" w:rsidRPr="00000849" w:rsidRDefault="000E6949" w:rsidP="00AC6D4B">
            <w:pPr>
              <w:spacing w:after="0" w:line="259" w:lineRule="auto"/>
            </w:pPr>
            <w:r w:rsidRPr="00000849">
              <w:rPr>
                <w:rFonts w:ascii="Calibri" w:eastAsia="Calibri" w:hAnsi="Calibri" w:cs="Calibri"/>
                <w:color w:val="000000"/>
                <w:sz w:val="16"/>
              </w:rPr>
              <w:t>1</w:t>
            </w:r>
          </w:p>
        </w:tc>
        <w:tc>
          <w:tcPr>
            <w:tcW w:w="347" w:type="pct"/>
            <w:gridSpan w:val="2"/>
          </w:tcPr>
          <w:p w14:paraId="7323E6C0" w14:textId="77777777" w:rsidR="000E6949" w:rsidRPr="00000849" w:rsidRDefault="000E6949" w:rsidP="00AC6D4B">
            <w:pPr>
              <w:spacing w:after="0" w:line="259" w:lineRule="auto"/>
            </w:pPr>
            <w:r w:rsidRPr="00000849">
              <w:rPr>
                <w:rFonts w:ascii="Calibri" w:eastAsia="Calibri" w:hAnsi="Calibri" w:cs="Calibri"/>
                <w:color w:val="000000"/>
                <w:sz w:val="16"/>
              </w:rPr>
              <w:t>Nigeria</w:t>
            </w:r>
          </w:p>
        </w:tc>
        <w:tc>
          <w:tcPr>
            <w:tcW w:w="422" w:type="pct"/>
          </w:tcPr>
          <w:p w14:paraId="43584E68" w14:textId="77777777" w:rsidR="000E6949" w:rsidRPr="00000849" w:rsidRDefault="000E6949" w:rsidP="00AC6D4B">
            <w:pPr>
              <w:spacing w:after="0" w:line="259" w:lineRule="auto"/>
            </w:pPr>
            <w:r w:rsidRPr="00000849">
              <w:rPr>
                <w:rFonts w:ascii="Calibri" w:eastAsia="Calibri" w:hAnsi="Calibri" w:cs="Calibri"/>
                <w:color w:val="000000"/>
                <w:sz w:val="16"/>
              </w:rPr>
              <w:t>Abegunde 2013 [</w:t>
            </w:r>
            <w:r w:rsidRPr="00000849">
              <w:rPr>
                <w:rFonts w:ascii="Calibri" w:eastAsia="Calibri" w:hAnsi="Calibri" w:cs="Calibri"/>
                <w:color w:val="0000FF"/>
                <w:sz w:val="16"/>
              </w:rPr>
              <w:t>24</w:t>
            </w:r>
            <w:r w:rsidRPr="00000849">
              <w:rPr>
                <w:rFonts w:ascii="Calibri" w:eastAsia="Calibri" w:hAnsi="Calibri" w:cs="Calibri"/>
                <w:color w:val="000000"/>
                <w:sz w:val="16"/>
              </w:rPr>
              <w:t>]</w:t>
            </w:r>
          </w:p>
        </w:tc>
        <w:tc>
          <w:tcPr>
            <w:tcW w:w="814" w:type="pct"/>
            <w:gridSpan w:val="2"/>
          </w:tcPr>
          <w:p w14:paraId="72EA51DA" w14:textId="77777777" w:rsidR="000E6949" w:rsidRPr="00000849" w:rsidRDefault="000E6949" w:rsidP="00AC6D4B">
            <w:pPr>
              <w:spacing w:after="160" w:line="259" w:lineRule="auto"/>
            </w:pPr>
          </w:p>
        </w:tc>
        <w:tc>
          <w:tcPr>
            <w:tcW w:w="573" w:type="pct"/>
          </w:tcPr>
          <w:p w14:paraId="2DC4D2F5" w14:textId="3225E5B6" w:rsidR="000E6949" w:rsidRPr="00000849" w:rsidRDefault="000E6949" w:rsidP="00AC6D4B">
            <w:pPr>
              <w:spacing w:after="160" w:line="259" w:lineRule="auto"/>
            </w:pPr>
          </w:p>
        </w:tc>
        <w:tc>
          <w:tcPr>
            <w:tcW w:w="547" w:type="pct"/>
          </w:tcPr>
          <w:p w14:paraId="72DDDF69" w14:textId="77777777" w:rsidR="000E6949" w:rsidRPr="00000849" w:rsidRDefault="000E6949" w:rsidP="00AC6D4B">
            <w:pPr>
              <w:spacing w:after="160" w:line="259" w:lineRule="auto"/>
            </w:pPr>
          </w:p>
        </w:tc>
        <w:tc>
          <w:tcPr>
            <w:tcW w:w="785" w:type="pct"/>
          </w:tcPr>
          <w:p w14:paraId="44D0BA40" w14:textId="77777777" w:rsidR="000E6949" w:rsidRPr="00000849" w:rsidRDefault="000E6949" w:rsidP="00AC6D4B">
            <w:pPr>
              <w:spacing w:after="0" w:line="259" w:lineRule="auto"/>
              <w:ind w:right="198"/>
            </w:pPr>
            <w:r w:rsidRPr="00000849">
              <w:rPr>
                <w:rFonts w:ascii="Calibri" w:eastAsia="Calibri" w:hAnsi="Calibri" w:cs="Calibri"/>
                <w:color w:val="000000"/>
                <w:sz w:val="16"/>
              </w:rPr>
              <w:t>Female gender, decreasing monthly income, increasing BMI</w:t>
            </w:r>
          </w:p>
        </w:tc>
        <w:tc>
          <w:tcPr>
            <w:tcW w:w="445" w:type="pct"/>
          </w:tcPr>
          <w:p w14:paraId="168613E0" w14:textId="77777777" w:rsidR="000E6949" w:rsidRPr="00000849" w:rsidRDefault="000E6949" w:rsidP="00AC6D4B">
            <w:pPr>
              <w:spacing w:after="160" w:line="259" w:lineRule="auto"/>
            </w:pPr>
          </w:p>
        </w:tc>
        <w:tc>
          <w:tcPr>
            <w:tcW w:w="899" w:type="pct"/>
          </w:tcPr>
          <w:p w14:paraId="30B53E0F" w14:textId="77777777" w:rsidR="000E6949" w:rsidRPr="00000849" w:rsidRDefault="000E6949" w:rsidP="00AC6D4B">
            <w:pPr>
              <w:spacing w:after="0" w:line="259" w:lineRule="auto"/>
            </w:pPr>
            <w:r w:rsidRPr="00000849">
              <w:rPr>
                <w:rFonts w:ascii="Calibri" w:eastAsia="Calibri" w:hAnsi="Calibri" w:cs="Calibri"/>
                <w:color w:val="000000"/>
                <w:sz w:val="16"/>
              </w:rPr>
              <w:t>alcohol intake</w:t>
            </w:r>
          </w:p>
        </w:tc>
      </w:tr>
      <w:tr w:rsidR="000E6949" w:rsidRPr="00000849" w14:paraId="5A488B3F" w14:textId="77777777" w:rsidTr="003A3CF1">
        <w:trPr>
          <w:trHeight w:val="1115"/>
        </w:trPr>
        <w:tc>
          <w:tcPr>
            <w:tcW w:w="168" w:type="pct"/>
          </w:tcPr>
          <w:p w14:paraId="7BF07077" w14:textId="77777777" w:rsidR="000E6949" w:rsidRPr="00000849" w:rsidRDefault="000E6949" w:rsidP="00AC6D4B">
            <w:pPr>
              <w:spacing w:after="0" w:line="259" w:lineRule="auto"/>
            </w:pPr>
            <w:r w:rsidRPr="00000849">
              <w:rPr>
                <w:rFonts w:ascii="Calibri" w:eastAsia="Calibri" w:hAnsi="Calibri" w:cs="Calibri"/>
                <w:color w:val="000000"/>
                <w:sz w:val="16"/>
              </w:rPr>
              <w:t>2</w:t>
            </w:r>
          </w:p>
        </w:tc>
        <w:tc>
          <w:tcPr>
            <w:tcW w:w="347" w:type="pct"/>
            <w:gridSpan w:val="2"/>
          </w:tcPr>
          <w:p w14:paraId="52178821" w14:textId="77777777" w:rsidR="000E6949" w:rsidRPr="00000849" w:rsidRDefault="000E6949" w:rsidP="00AC6D4B">
            <w:pPr>
              <w:spacing w:after="0" w:line="259" w:lineRule="auto"/>
            </w:pPr>
            <w:r w:rsidRPr="00000849">
              <w:rPr>
                <w:rFonts w:ascii="Calibri" w:eastAsia="Calibri" w:hAnsi="Calibri" w:cs="Calibri"/>
                <w:color w:val="000000"/>
                <w:sz w:val="16"/>
              </w:rPr>
              <w:t>Ghana</w:t>
            </w:r>
          </w:p>
        </w:tc>
        <w:tc>
          <w:tcPr>
            <w:tcW w:w="422" w:type="pct"/>
          </w:tcPr>
          <w:p w14:paraId="628A07F5" w14:textId="2D02CF34" w:rsidR="000E6949" w:rsidRPr="00000849" w:rsidRDefault="000E6949" w:rsidP="0015701B">
            <w:pPr>
              <w:spacing w:after="0" w:line="259" w:lineRule="auto"/>
            </w:pPr>
            <w:r w:rsidRPr="00000849">
              <w:rPr>
                <w:rFonts w:ascii="Calibri" w:eastAsia="Calibri" w:hAnsi="Calibri" w:cs="Calibri"/>
                <w:color w:val="000000"/>
                <w:sz w:val="16"/>
              </w:rPr>
              <w:t>Boateng 2017 [</w:t>
            </w:r>
            <w:r w:rsidRPr="00000849">
              <w:rPr>
                <w:rFonts w:ascii="Calibri" w:eastAsia="Calibri" w:hAnsi="Calibri" w:cs="Calibri"/>
                <w:color w:val="0000FF"/>
                <w:sz w:val="16"/>
              </w:rPr>
              <w:t>21</w:t>
            </w:r>
            <w:r w:rsidRPr="00000849">
              <w:rPr>
                <w:rFonts w:ascii="Calibri" w:eastAsia="Calibri" w:hAnsi="Calibri" w:cs="Calibri"/>
                <w:color w:val="000000"/>
                <w:sz w:val="16"/>
              </w:rPr>
              <w:t>]</w:t>
            </w:r>
          </w:p>
        </w:tc>
        <w:tc>
          <w:tcPr>
            <w:tcW w:w="814" w:type="pct"/>
            <w:gridSpan w:val="2"/>
          </w:tcPr>
          <w:p w14:paraId="7BE598DA" w14:textId="77777777" w:rsidR="000E6949" w:rsidRPr="00000849" w:rsidRDefault="000E6949" w:rsidP="00AC6D4B">
            <w:pPr>
              <w:spacing w:after="160" w:line="259" w:lineRule="auto"/>
            </w:pPr>
          </w:p>
        </w:tc>
        <w:tc>
          <w:tcPr>
            <w:tcW w:w="573" w:type="pct"/>
          </w:tcPr>
          <w:p w14:paraId="6460401B" w14:textId="0A7D16F0" w:rsidR="000E6949" w:rsidRPr="00000849" w:rsidRDefault="000E6949" w:rsidP="00AC6D4B">
            <w:pPr>
              <w:spacing w:after="160" w:line="259" w:lineRule="auto"/>
            </w:pPr>
          </w:p>
        </w:tc>
        <w:tc>
          <w:tcPr>
            <w:tcW w:w="547" w:type="pct"/>
          </w:tcPr>
          <w:p w14:paraId="5B88408C" w14:textId="77777777" w:rsidR="000E6949" w:rsidRPr="00000849" w:rsidRDefault="000E6949" w:rsidP="00AC6D4B">
            <w:pPr>
              <w:spacing w:after="160" w:line="259" w:lineRule="auto"/>
            </w:pPr>
          </w:p>
        </w:tc>
        <w:tc>
          <w:tcPr>
            <w:tcW w:w="785" w:type="pct"/>
          </w:tcPr>
          <w:p w14:paraId="311E28F6" w14:textId="7CF22FF4" w:rsidR="000E6949" w:rsidRPr="00000849" w:rsidRDefault="000E6949" w:rsidP="003A3CF1">
            <w:pPr>
              <w:spacing w:after="0" w:line="222" w:lineRule="auto"/>
              <w:ind w:right="73"/>
            </w:pPr>
            <w:r w:rsidRPr="00000849">
              <w:rPr>
                <w:rFonts w:ascii="Calibri" w:eastAsia="Calibri" w:hAnsi="Calibri" w:cs="Calibri"/>
                <w:color w:val="000000"/>
                <w:sz w:val="16"/>
              </w:rPr>
              <w:t>For systolic stage 1 or 2 HTN:</w:t>
            </w:r>
            <w:r w:rsidR="003A3CF1" w:rsidRPr="00000849">
              <w:rPr>
                <w:rFonts w:ascii="Calibri" w:eastAsia="Calibri" w:hAnsi="Calibri" w:cs="Calibri"/>
                <w:color w:val="000000"/>
                <w:sz w:val="16"/>
              </w:rPr>
              <w:t xml:space="preserve"> </w:t>
            </w:r>
            <w:r w:rsidRPr="00000849">
              <w:rPr>
                <w:rFonts w:ascii="Calibri" w:eastAsia="Calibri" w:hAnsi="Calibri" w:cs="Calibri"/>
                <w:color w:val="000000"/>
                <w:sz w:val="16"/>
              </w:rPr>
              <w:t>increasing BMI category, alcohol intake, higher wealth index, female sex</w:t>
            </w:r>
          </w:p>
        </w:tc>
        <w:tc>
          <w:tcPr>
            <w:tcW w:w="445" w:type="pct"/>
          </w:tcPr>
          <w:p w14:paraId="6D1620A2" w14:textId="77777777" w:rsidR="000E6949" w:rsidRPr="00000849" w:rsidRDefault="000E6949" w:rsidP="00AC6D4B">
            <w:pPr>
              <w:spacing w:after="0" w:line="259" w:lineRule="auto"/>
            </w:pPr>
            <w:r w:rsidRPr="00000849">
              <w:rPr>
                <w:rFonts w:ascii="Calibri" w:eastAsia="Calibri" w:hAnsi="Calibri" w:cs="Calibri"/>
                <w:color w:val="000000"/>
                <w:sz w:val="16"/>
              </w:rPr>
              <w:t>traditional religion,</w:t>
            </w:r>
          </w:p>
        </w:tc>
        <w:tc>
          <w:tcPr>
            <w:tcW w:w="899" w:type="pct"/>
          </w:tcPr>
          <w:p w14:paraId="04EEDAB2" w14:textId="77777777" w:rsidR="000E6949" w:rsidRPr="00000849" w:rsidRDefault="000E6949" w:rsidP="00AC6D4B">
            <w:pPr>
              <w:spacing w:after="0" w:line="259" w:lineRule="auto"/>
            </w:pPr>
            <w:r w:rsidRPr="00000849">
              <w:rPr>
                <w:rFonts w:ascii="Calibri" w:eastAsia="Calibri" w:hAnsi="Calibri" w:cs="Calibri"/>
                <w:color w:val="000000"/>
                <w:sz w:val="16"/>
              </w:rPr>
              <w:t>Place of residence, depression or ethnicity for stage 1 or 2 SHTN; religion not significantly associated with stage 1 SHTN.</w:t>
            </w:r>
          </w:p>
        </w:tc>
      </w:tr>
      <w:tr w:rsidR="000E6949" w:rsidRPr="00000849" w14:paraId="091BBED6" w14:textId="77777777" w:rsidTr="003A3CF1">
        <w:trPr>
          <w:cnfStyle w:val="000000100000" w:firstRow="0" w:lastRow="0" w:firstColumn="0" w:lastColumn="0" w:oddVBand="0" w:evenVBand="0" w:oddHBand="1" w:evenHBand="0" w:firstRowFirstColumn="0" w:firstRowLastColumn="0" w:lastRowFirstColumn="0" w:lastRowLastColumn="0"/>
          <w:trHeight w:val="1079"/>
        </w:trPr>
        <w:tc>
          <w:tcPr>
            <w:tcW w:w="168" w:type="pct"/>
          </w:tcPr>
          <w:p w14:paraId="2C12CCA6" w14:textId="77777777" w:rsidR="000E6949" w:rsidRPr="00000849" w:rsidRDefault="000E6949" w:rsidP="00AC6D4B">
            <w:pPr>
              <w:spacing w:after="0" w:line="259" w:lineRule="auto"/>
            </w:pPr>
            <w:r w:rsidRPr="00000849">
              <w:rPr>
                <w:rFonts w:ascii="Calibri" w:eastAsia="Calibri" w:hAnsi="Calibri" w:cs="Calibri"/>
                <w:color w:val="000000"/>
                <w:sz w:val="16"/>
              </w:rPr>
              <w:t>3</w:t>
            </w:r>
          </w:p>
        </w:tc>
        <w:tc>
          <w:tcPr>
            <w:tcW w:w="347" w:type="pct"/>
            <w:gridSpan w:val="2"/>
          </w:tcPr>
          <w:p w14:paraId="6841D132" w14:textId="77777777" w:rsidR="000E6949" w:rsidRPr="00000849" w:rsidRDefault="000E6949" w:rsidP="00AC6D4B">
            <w:pPr>
              <w:spacing w:after="0" w:line="259" w:lineRule="auto"/>
            </w:pPr>
            <w:r w:rsidRPr="00000849">
              <w:rPr>
                <w:rFonts w:ascii="Calibri" w:eastAsia="Calibri" w:hAnsi="Calibri" w:cs="Calibri"/>
                <w:color w:val="000000"/>
                <w:sz w:val="16"/>
              </w:rPr>
              <w:t>Ghana</w:t>
            </w:r>
          </w:p>
        </w:tc>
        <w:tc>
          <w:tcPr>
            <w:tcW w:w="422" w:type="pct"/>
          </w:tcPr>
          <w:p w14:paraId="5D12B424" w14:textId="17E0B107" w:rsidR="000E6949" w:rsidRPr="00000849" w:rsidRDefault="000E6949" w:rsidP="0015701B">
            <w:pPr>
              <w:spacing w:after="0" w:line="259" w:lineRule="auto"/>
            </w:pPr>
            <w:r w:rsidRPr="00000849">
              <w:rPr>
                <w:rFonts w:ascii="Calibri" w:eastAsia="Calibri" w:hAnsi="Calibri" w:cs="Calibri"/>
                <w:color w:val="000000"/>
                <w:sz w:val="16"/>
              </w:rPr>
              <w:t>Boateng 2017 [</w:t>
            </w:r>
            <w:r w:rsidRPr="00000849">
              <w:rPr>
                <w:rFonts w:ascii="Calibri" w:eastAsia="Calibri" w:hAnsi="Calibri" w:cs="Calibri"/>
                <w:color w:val="0000FF"/>
                <w:sz w:val="16"/>
              </w:rPr>
              <w:t>21</w:t>
            </w:r>
            <w:r w:rsidRPr="00000849">
              <w:rPr>
                <w:rFonts w:ascii="Calibri" w:eastAsia="Calibri" w:hAnsi="Calibri" w:cs="Calibri"/>
                <w:color w:val="000000"/>
                <w:sz w:val="16"/>
              </w:rPr>
              <w:t>]</w:t>
            </w:r>
          </w:p>
        </w:tc>
        <w:tc>
          <w:tcPr>
            <w:tcW w:w="814" w:type="pct"/>
            <w:gridSpan w:val="2"/>
          </w:tcPr>
          <w:p w14:paraId="028A30C1" w14:textId="77777777" w:rsidR="000E6949" w:rsidRPr="00000849" w:rsidRDefault="000E6949" w:rsidP="00AC6D4B">
            <w:pPr>
              <w:spacing w:after="160" w:line="259" w:lineRule="auto"/>
            </w:pPr>
          </w:p>
        </w:tc>
        <w:tc>
          <w:tcPr>
            <w:tcW w:w="573" w:type="pct"/>
          </w:tcPr>
          <w:p w14:paraId="3195A4F1" w14:textId="7884324A" w:rsidR="000E6949" w:rsidRPr="00000849" w:rsidRDefault="000E6949" w:rsidP="00AC6D4B">
            <w:pPr>
              <w:spacing w:after="160" w:line="259" w:lineRule="auto"/>
            </w:pPr>
          </w:p>
        </w:tc>
        <w:tc>
          <w:tcPr>
            <w:tcW w:w="547" w:type="pct"/>
          </w:tcPr>
          <w:p w14:paraId="54E57F8D" w14:textId="77777777" w:rsidR="000E6949" w:rsidRPr="00000849" w:rsidRDefault="000E6949" w:rsidP="00AC6D4B">
            <w:pPr>
              <w:spacing w:after="160" w:line="259" w:lineRule="auto"/>
            </w:pPr>
          </w:p>
        </w:tc>
        <w:tc>
          <w:tcPr>
            <w:tcW w:w="785" w:type="pct"/>
          </w:tcPr>
          <w:p w14:paraId="5DE19484" w14:textId="17C7CE36" w:rsidR="000E6949" w:rsidRPr="00000849" w:rsidRDefault="000E6949" w:rsidP="003A3CF1">
            <w:pPr>
              <w:spacing w:after="0" w:line="259" w:lineRule="auto"/>
            </w:pPr>
            <w:r w:rsidRPr="00000849">
              <w:rPr>
                <w:rFonts w:ascii="Calibri" w:eastAsia="Calibri" w:hAnsi="Calibri" w:cs="Calibri"/>
                <w:color w:val="000000"/>
                <w:sz w:val="16"/>
              </w:rPr>
              <w:t>For diastolic stage</w:t>
            </w:r>
            <w:r w:rsidR="003A3CF1" w:rsidRPr="00000849">
              <w:rPr>
                <w:rFonts w:ascii="Calibri" w:eastAsia="Calibri" w:hAnsi="Calibri" w:cs="Calibri"/>
                <w:color w:val="000000"/>
                <w:sz w:val="16"/>
              </w:rPr>
              <w:t xml:space="preserve"> </w:t>
            </w:r>
            <w:r w:rsidRPr="00000849">
              <w:rPr>
                <w:rFonts w:ascii="Calibri" w:eastAsia="Calibri" w:hAnsi="Calibri" w:cs="Calibri"/>
                <w:color w:val="000000"/>
                <w:sz w:val="16"/>
              </w:rPr>
              <w:t>1 or 2 HTN:increasing BMI category, higher wealth index</w:t>
            </w:r>
          </w:p>
        </w:tc>
        <w:tc>
          <w:tcPr>
            <w:tcW w:w="445" w:type="pct"/>
          </w:tcPr>
          <w:p w14:paraId="320B6B0A" w14:textId="77777777" w:rsidR="000E6949" w:rsidRPr="00000849" w:rsidRDefault="000E6949" w:rsidP="00AC6D4B">
            <w:pPr>
              <w:spacing w:after="0" w:line="259" w:lineRule="auto"/>
            </w:pPr>
            <w:r w:rsidRPr="00000849">
              <w:rPr>
                <w:rFonts w:ascii="Calibri" w:eastAsia="Calibri" w:hAnsi="Calibri" w:cs="Calibri"/>
                <w:color w:val="000000"/>
                <w:sz w:val="16"/>
              </w:rPr>
              <w:t>traditional religion, other religion</w:t>
            </w:r>
          </w:p>
        </w:tc>
        <w:tc>
          <w:tcPr>
            <w:tcW w:w="899" w:type="pct"/>
          </w:tcPr>
          <w:p w14:paraId="1BA44C9C" w14:textId="166439A4" w:rsidR="000E6949" w:rsidRPr="00000849" w:rsidRDefault="000E6949" w:rsidP="00AF0A80">
            <w:pPr>
              <w:spacing w:after="0" w:line="221" w:lineRule="auto"/>
            </w:pPr>
            <w:r w:rsidRPr="00000849">
              <w:rPr>
                <w:rFonts w:ascii="Calibri" w:eastAsia="Calibri" w:hAnsi="Calibri" w:cs="Calibri"/>
                <w:color w:val="000000"/>
                <w:sz w:val="16"/>
              </w:rPr>
              <w:t>Place of residence, depression or ethnicity for stage 1 or 2 DHTN; religion except traditional or other religion not significantly associated with stage of DHTN.</w:t>
            </w:r>
          </w:p>
        </w:tc>
      </w:tr>
      <w:tr w:rsidR="000E6949" w:rsidRPr="00000849" w14:paraId="35A0C091" w14:textId="77777777" w:rsidTr="003A3CF1">
        <w:trPr>
          <w:trHeight w:val="1361"/>
        </w:trPr>
        <w:tc>
          <w:tcPr>
            <w:tcW w:w="168" w:type="pct"/>
          </w:tcPr>
          <w:p w14:paraId="0874DA22" w14:textId="77777777" w:rsidR="000E6949" w:rsidRPr="00000849" w:rsidRDefault="000E6949" w:rsidP="00AC6D4B">
            <w:pPr>
              <w:spacing w:after="0" w:line="259" w:lineRule="auto"/>
            </w:pPr>
            <w:r w:rsidRPr="00000849">
              <w:rPr>
                <w:rFonts w:ascii="Calibri" w:eastAsia="Calibri" w:hAnsi="Calibri" w:cs="Calibri"/>
                <w:color w:val="000000"/>
                <w:sz w:val="16"/>
              </w:rPr>
              <w:t>4</w:t>
            </w:r>
          </w:p>
        </w:tc>
        <w:tc>
          <w:tcPr>
            <w:tcW w:w="347" w:type="pct"/>
            <w:gridSpan w:val="2"/>
          </w:tcPr>
          <w:p w14:paraId="05E0FB49" w14:textId="77777777" w:rsidR="000E6949" w:rsidRPr="00000849" w:rsidRDefault="000E6949" w:rsidP="00AC6D4B">
            <w:pPr>
              <w:spacing w:after="0" w:line="259" w:lineRule="auto"/>
            </w:pPr>
            <w:r w:rsidRPr="00000849">
              <w:rPr>
                <w:rFonts w:ascii="Calibri" w:eastAsia="Calibri" w:hAnsi="Calibri" w:cs="Calibri"/>
                <w:color w:val="000000"/>
                <w:sz w:val="16"/>
              </w:rPr>
              <w:t>Tanzania</w:t>
            </w:r>
          </w:p>
        </w:tc>
        <w:tc>
          <w:tcPr>
            <w:tcW w:w="422" w:type="pct"/>
          </w:tcPr>
          <w:p w14:paraId="2314C416" w14:textId="77777777" w:rsidR="000E6949" w:rsidRPr="00000849" w:rsidRDefault="000E6949" w:rsidP="00AC6D4B">
            <w:pPr>
              <w:spacing w:after="0" w:line="259" w:lineRule="auto"/>
            </w:pPr>
            <w:r w:rsidRPr="00000849">
              <w:rPr>
                <w:rFonts w:ascii="Calibri" w:eastAsia="Calibri" w:hAnsi="Calibri" w:cs="Calibri"/>
                <w:color w:val="000000"/>
                <w:sz w:val="16"/>
              </w:rPr>
              <w:t>Dewhurst 2013 [</w:t>
            </w:r>
            <w:r w:rsidRPr="00000849">
              <w:rPr>
                <w:rFonts w:ascii="Calibri" w:eastAsia="Calibri" w:hAnsi="Calibri" w:cs="Calibri"/>
                <w:color w:val="0000FF"/>
                <w:sz w:val="16"/>
              </w:rPr>
              <w:t>25</w:t>
            </w:r>
            <w:r w:rsidRPr="00000849">
              <w:rPr>
                <w:rFonts w:ascii="Calibri" w:eastAsia="Calibri" w:hAnsi="Calibri" w:cs="Calibri"/>
                <w:color w:val="000000"/>
                <w:sz w:val="16"/>
              </w:rPr>
              <w:t>]</w:t>
            </w:r>
          </w:p>
        </w:tc>
        <w:tc>
          <w:tcPr>
            <w:tcW w:w="814" w:type="pct"/>
            <w:gridSpan w:val="2"/>
          </w:tcPr>
          <w:p w14:paraId="4FE61306" w14:textId="77777777" w:rsidR="000E6949" w:rsidRPr="00000849" w:rsidRDefault="000E6949" w:rsidP="003A3CF1">
            <w:pPr>
              <w:spacing w:after="0" w:line="259" w:lineRule="auto"/>
              <w:ind w:right="3"/>
            </w:pPr>
            <w:r w:rsidRPr="00000849">
              <w:rPr>
                <w:rFonts w:ascii="Calibri" w:eastAsia="Calibri" w:hAnsi="Calibri" w:cs="Calibri"/>
                <w:color w:val="000000"/>
                <w:sz w:val="16"/>
              </w:rPr>
              <w:t>Females, Older age group, dependency, self-reported diabetes, overweight, abdominal obesity</w:t>
            </w:r>
          </w:p>
        </w:tc>
        <w:tc>
          <w:tcPr>
            <w:tcW w:w="573" w:type="pct"/>
          </w:tcPr>
          <w:p w14:paraId="6EB34C0B" w14:textId="7E9FB4C0" w:rsidR="000E6949" w:rsidRPr="00000849" w:rsidRDefault="000E6949" w:rsidP="00AC6D4B">
            <w:pPr>
              <w:spacing w:after="0" w:line="259" w:lineRule="auto"/>
              <w:ind w:right="1088"/>
            </w:pPr>
          </w:p>
        </w:tc>
        <w:tc>
          <w:tcPr>
            <w:tcW w:w="547" w:type="pct"/>
          </w:tcPr>
          <w:p w14:paraId="6F7929D8" w14:textId="77777777" w:rsidR="000E6949" w:rsidRPr="00000849" w:rsidRDefault="000E6949" w:rsidP="00AC6D4B">
            <w:pPr>
              <w:spacing w:after="160" w:line="259" w:lineRule="auto"/>
            </w:pPr>
          </w:p>
        </w:tc>
        <w:tc>
          <w:tcPr>
            <w:tcW w:w="785" w:type="pct"/>
          </w:tcPr>
          <w:p w14:paraId="16473A62" w14:textId="77777777" w:rsidR="000E6949" w:rsidRPr="00000849" w:rsidRDefault="000E6949" w:rsidP="00AC6D4B">
            <w:pPr>
              <w:spacing w:after="0" w:line="259" w:lineRule="auto"/>
              <w:ind w:right="172"/>
            </w:pPr>
            <w:r w:rsidRPr="00000849">
              <w:rPr>
                <w:rFonts w:ascii="Calibri" w:eastAsia="Calibri" w:hAnsi="Calibri" w:cs="Calibri"/>
                <w:color w:val="000000"/>
                <w:sz w:val="16"/>
              </w:rPr>
              <w:t>BMI (continuous variable), female sex, older age group ≥85 years, Chagga tribal origin, upland village dwelling</w:t>
            </w:r>
          </w:p>
        </w:tc>
        <w:tc>
          <w:tcPr>
            <w:tcW w:w="445" w:type="pct"/>
          </w:tcPr>
          <w:p w14:paraId="45977F44" w14:textId="77777777" w:rsidR="000E6949" w:rsidRPr="00000849" w:rsidRDefault="000E6949" w:rsidP="00AC6D4B">
            <w:pPr>
              <w:spacing w:after="160" w:line="259" w:lineRule="auto"/>
            </w:pPr>
          </w:p>
        </w:tc>
        <w:tc>
          <w:tcPr>
            <w:tcW w:w="899" w:type="pct"/>
          </w:tcPr>
          <w:p w14:paraId="1E837EB6" w14:textId="1AB2ADB5" w:rsidR="000E6949" w:rsidRPr="00000849" w:rsidRDefault="000E6949" w:rsidP="00AF0A80">
            <w:pPr>
              <w:spacing w:after="0" w:line="259" w:lineRule="auto"/>
            </w:pPr>
            <w:r w:rsidRPr="00000849">
              <w:rPr>
                <w:rFonts w:ascii="Calibri" w:eastAsia="Calibri" w:hAnsi="Calibri" w:cs="Calibri"/>
                <w:color w:val="000000"/>
                <w:sz w:val="16"/>
              </w:rPr>
              <w:t>Presence of (moderate or severe) disability (by Barthel Index Score); age groups 75–79 and 80–84 years</w:t>
            </w:r>
          </w:p>
        </w:tc>
      </w:tr>
      <w:tr w:rsidR="000E6949" w:rsidRPr="00000849" w14:paraId="380F2DEC" w14:textId="77777777" w:rsidTr="003A3CF1">
        <w:trPr>
          <w:cnfStyle w:val="000000100000" w:firstRow="0" w:lastRow="0" w:firstColumn="0" w:lastColumn="0" w:oddVBand="0" w:evenVBand="0" w:oddHBand="1" w:evenHBand="0" w:firstRowFirstColumn="0" w:firstRowLastColumn="0" w:lastRowFirstColumn="0" w:lastRowLastColumn="0"/>
          <w:trHeight w:val="1000"/>
        </w:trPr>
        <w:tc>
          <w:tcPr>
            <w:tcW w:w="168" w:type="pct"/>
          </w:tcPr>
          <w:p w14:paraId="73085A35" w14:textId="77777777" w:rsidR="000E6949" w:rsidRPr="00000849" w:rsidRDefault="000E6949" w:rsidP="00AC6D4B">
            <w:pPr>
              <w:spacing w:after="0" w:line="259" w:lineRule="auto"/>
            </w:pPr>
            <w:r w:rsidRPr="00000849">
              <w:rPr>
                <w:rFonts w:ascii="Calibri" w:eastAsia="Calibri" w:hAnsi="Calibri" w:cs="Calibri"/>
                <w:color w:val="000000"/>
                <w:sz w:val="16"/>
              </w:rPr>
              <w:t>5</w:t>
            </w:r>
          </w:p>
        </w:tc>
        <w:tc>
          <w:tcPr>
            <w:tcW w:w="347" w:type="pct"/>
            <w:gridSpan w:val="2"/>
          </w:tcPr>
          <w:p w14:paraId="227993CC" w14:textId="77777777" w:rsidR="000E6949" w:rsidRPr="00000849" w:rsidRDefault="000E6949" w:rsidP="00AC6D4B">
            <w:pPr>
              <w:spacing w:after="0" w:line="259" w:lineRule="auto"/>
            </w:pPr>
            <w:r w:rsidRPr="00000849">
              <w:rPr>
                <w:rFonts w:ascii="Calibri" w:eastAsia="Calibri" w:hAnsi="Calibri" w:cs="Calibri"/>
                <w:color w:val="000000"/>
                <w:sz w:val="16"/>
              </w:rPr>
              <w:t>Tunisia</w:t>
            </w:r>
          </w:p>
        </w:tc>
        <w:tc>
          <w:tcPr>
            <w:tcW w:w="422" w:type="pct"/>
          </w:tcPr>
          <w:p w14:paraId="6AD79154" w14:textId="7D405CFF" w:rsidR="000E6949" w:rsidRPr="00000849" w:rsidRDefault="000E6949" w:rsidP="0015701B">
            <w:pPr>
              <w:spacing w:after="0" w:line="259" w:lineRule="auto"/>
            </w:pPr>
            <w:r w:rsidRPr="00000849">
              <w:rPr>
                <w:rFonts w:ascii="Calibri" w:eastAsia="Calibri" w:hAnsi="Calibri" w:cs="Calibri"/>
                <w:color w:val="000000"/>
                <w:sz w:val="16"/>
              </w:rPr>
              <w:t>Hammami 2011 [</w:t>
            </w:r>
            <w:r w:rsidRPr="00000849">
              <w:rPr>
                <w:rFonts w:ascii="Calibri" w:eastAsia="Calibri" w:hAnsi="Calibri" w:cs="Calibri"/>
                <w:color w:val="0000FF"/>
                <w:sz w:val="16"/>
              </w:rPr>
              <w:t>26</w:t>
            </w:r>
            <w:r w:rsidRPr="00000849">
              <w:rPr>
                <w:rFonts w:ascii="Calibri" w:eastAsia="Calibri" w:hAnsi="Calibri" w:cs="Calibri"/>
                <w:color w:val="000000"/>
                <w:sz w:val="16"/>
              </w:rPr>
              <w:t>]</w:t>
            </w:r>
          </w:p>
        </w:tc>
        <w:tc>
          <w:tcPr>
            <w:tcW w:w="814" w:type="pct"/>
            <w:gridSpan w:val="2"/>
          </w:tcPr>
          <w:p w14:paraId="48EB1C0B" w14:textId="77777777" w:rsidR="000E6949" w:rsidRPr="00000849" w:rsidRDefault="000E6949" w:rsidP="00AC6D4B">
            <w:pPr>
              <w:spacing w:after="0" w:line="259" w:lineRule="auto"/>
              <w:ind w:right="1088"/>
            </w:pPr>
          </w:p>
        </w:tc>
        <w:tc>
          <w:tcPr>
            <w:tcW w:w="573" w:type="pct"/>
          </w:tcPr>
          <w:p w14:paraId="6AEF2E49" w14:textId="21EAD49C" w:rsidR="000E6949" w:rsidRPr="00000849" w:rsidRDefault="000E6949" w:rsidP="00AC6D4B">
            <w:pPr>
              <w:spacing w:after="0" w:line="259" w:lineRule="auto"/>
              <w:ind w:right="1088"/>
            </w:pPr>
          </w:p>
        </w:tc>
        <w:tc>
          <w:tcPr>
            <w:tcW w:w="547" w:type="pct"/>
          </w:tcPr>
          <w:p w14:paraId="74CFA093" w14:textId="6CF12A12" w:rsidR="000E6949" w:rsidRPr="00000849" w:rsidRDefault="000E6949" w:rsidP="00AC6D4B">
            <w:pPr>
              <w:spacing w:after="0" w:line="259" w:lineRule="auto"/>
              <w:ind w:right="54"/>
            </w:pPr>
            <w:r w:rsidRPr="00000849">
              <w:rPr>
                <w:rFonts w:ascii="Calibri" w:eastAsia="Calibri" w:hAnsi="Calibri" w:cs="Calibri"/>
                <w:color w:val="000000"/>
                <w:sz w:val="16"/>
              </w:rPr>
              <w:t>Education, urban-rural residence, depression, marital status, physical activity</w:t>
            </w:r>
          </w:p>
        </w:tc>
        <w:tc>
          <w:tcPr>
            <w:tcW w:w="785" w:type="pct"/>
          </w:tcPr>
          <w:p w14:paraId="4ECE9E59" w14:textId="67807722" w:rsidR="000E6949" w:rsidRPr="00000849" w:rsidRDefault="000E6949" w:rsidP="00A443DB">
            <w:pPr>
              <w:spacing w:after="0" w:line="259" w:lineRule="auto"/>
            </w:pPr>
            <w:r w:rsidRPr="00000849">
              <w:rPr>
                <w:rFonts w:ascii="Calibri" w:eastAsia="Calibri" w:hAnsi="Calibri" w:cs="Calibri"/>
                <w:color w:val="000000"/>
                <w:sz w:val="16"/>
              </w:rPr>
              <w:t>Diabetes, BMI, Dependency (disability)</w:t>
            </w:r>
          </w:p>
        </w:tc>
        <w:tc>
          <w:tcPr>
            <w:tcW w:w="445" w:type="pct"/>
          </w:tcPr>
          <w:p w14:paraId="679D9891" w14:textId="77777777" w:rsidR="000E6949" w:rsidRPr="00000849" w:rsidRDefault="000E6949" w:rsidP="00AC6D4B">
            <w:pPr>
              <w:spacing w:after="160" w:line="259" w:lineRule="auto"/>
            </w:pPr>
          </w:p>
        </w:tc>
        <w:tc>
          <w:tcPr>
            <w:tcW w:w="899" w:type="pct"/>
          </w:tcPr>
          <w:p w14:paraId="23F2E385" w14:textId="77777777" w:rsidR="000E6949" w:rsidRPr="00000849" w:rsidRDefault="000E6949" w:rsidP="00AC6D4B">
            <w:pPr>
              <w:spacing w:after="0" w:line="259" w:lineRule="auto"/>
            </w:pPr>
            <w:r w:rsidRPr="00000849">
              <w:rPr>
                <w:rFonts w:ascii="Calibri" w:eastAsia="Calibri" w:hAnsi="Calibri" w:cs="Calibri"/>
                <w:color w:val="000000"/>
                <w:sz w:val="16"/>
              </w:rPr>
              <w:t>age, sex, marital status, region, educational level, physical activity, depression</w:t>
            </w:r>
          </w:p>
        </w:tc>
      </w:tr>
      <w:tr w:rsidR="000E6949" w:rsidRPr="00000849" w14:paraId="2F12EA83" w14:textId="77777777" w:rsidTr="003A3CF1">
        <w:trPr>
          <w:trHeight w:val="1000"/>
        </w:trPr>
        <w:tc>
          <w:tcPr>
            <w:tcW w:w="168" w:type="pct"/>
          </w:tcPr>
          <w:p w14:paraId="396190F3" w14:textId="77777777" w:rsidR="000E6949" w:rsidRPr="00000849" w:rsidRDefault="000E6949" w:rsidP="00AC6D4B">
            <w:pPr>
              <w:spacing w:after="0" w:line="259" w:lineRule="auto"/>
            </w:pPr>
            <w:r w:rsidRPr="00000849">
              <w:rPr>
                <w:rFonts w:ascii="Calibri" w:eastAsia="Calibri" w:hAnsi="Calibri" w:cs="Calibri"/>
                <w:color w:val="000000"/>
                <w:sz w:val="16"/>
              </w:rPr>
              <w:t>6</w:t>
            </w:r>
          </w:p>
        </w:tc>
        <w:tc>
          <w:tcPr>
            <w:tcW w:w="347" w:type="pct"/>
            <w:gridSpan w:val="2"/>
          </w:tcPr>
          <w:p w14:paraId="6F02886D" w14:textId="77777777" w:rsidR="000E6949" w:rsidRPr="00000849" w:rsidRDefault="000E6949" w:rsidP="00AC6D4B">
            <w:pPr>
              <w:spacing w:after="0" w:line="259" w:lineRule="auto"/>
            </w:pPr>
            <w:r w:rsidRPr="00000849">
              <w:rPr>
                <w:rFonts w:ascii="Calibri" w:eastAsia="Calibri" w:hAnsi="Calibri" w:cs="Calibri"/>
                <w:color w:val="000000"/>
                <w:sz w:val="16"/>
              </w:rPr>
              <w:t>Ghana</w:t>
            </w:r>
          </w:p>
        </w:tc>
        <w:tc>
          <w:tcPr>
            <w:tcW w:w="422" w:type="pct"/>
          </w:tcPr>
          <w:p w14:paraId="4BAE77A2" w14:textId="1DBCA5AF" w:rsidR="000E6949" w:rsidRPr="00000849" w:rsidRDefault="000E6949" w:rsidP="0015701B">
            <w:pPr>
              <w:spacing w:after="0" w:line="222" w:lineRule="auto"/>
            </w:pPr>
            <w:r w:rsidRPr="00000849">
              <w:rPr>
                <w:rFonts w:ascii="Calibri" w:eastAsia="Calibri" w:hAnsi="Calibri" w:cs="Calibri"/>
                <w:color w:val="000000"/>
                <w:sz w:val="16"/>
              </w:rPr>
              <w:t>Lloyd-Sherlock 2014 [</w:t>
            </w:r>
            <w:r w:rsidRPr="00000849">
              <w:rPr>
                <w:rFonts w:ascii="Calibri" w:eastAsia="Calibri" w:hAnsi="Calibri" w:cs="Calibri"/>
                <w:color w:val="0000FF"/>
                <w:sz w:val="16"/>
              </w:rPr>
              <w:t>18</w:t>
            </w:r>
            <w:r w:rsidRPr="00000849">
              <w:rPr>
                <w:rFonts w:ascii="Calibri" w:eastAsia="Calibri" w:hAnsi="Calibri" w:cs="Calibri"/>
                <w:color w:val="000000"/>
                <w:sz w:val="16"/>
              </w:rPr>
              <w:t>]</w:t>
            </w:r>
          </w:p>
        </w:tc>
        <w:tc>
          <w:tcPr>
            <w:tcW w:w="814" w:type="pct"/>
            <w:gridSpan w:val="2"/>
          </w:tcPr>
          <w:p w14:paraId="4390B7E0" w14:textId="77777777" w:rsidR="000E6949" w:rsidRPr="00000849" w:rsidRDefault="000E6949" w:rsidP="00AC6D4B">
            <w:pPr>
              <w:spacing w:after="160" w:line="259" w:lineRule="auto"/>
            </w:pPr>
          </w:p>
        </w:tc>
        <w:tc>
          <w:tcPr>
            <w:tcW w:w="573" w:type="pct"/>
          </w:tcPr>
          <w:p w14:paraId="7F30704B" w14:textId="5B14AF2A" w:rsidR="000E6949" w:rsidRPr="00000849" w:rsidRDefault="000E6949" w:rsidP="00AC6D4B">
            <w:pPr>
              <w:spacing w:after="160" w:line="259" w:lineRule="auto"/>
            </w:pPr>
          </w:p>
        </w:tc>
        <w:tc>
          <w:tcPr>
            <w:tcW w:w="547" w:type="pct"/>
          </w:tcPr>
          <w:p w14:paraId="0050E36A" w14:textId="77777777" w:rsidR="000E6949" w:rsidRPr="00000849" w:rsidRDefault="000E6949" w:rsidP="00AC6D4B">
            <w:pPr>
              <w:spacing w:after="160" w:line="259" w:lineRule="auto"/>
            </w:pPr>
          </w:p>
        </w:tc>
        <w:tc>
          <w:tcPr>
            <w:tcW w:w="785" w:type="pct"/>
          </w:tcPr>
          <w:p w14:paraId="3A30F7DB" w14:textId="77777777" w:rsidR="000E6949" w:rsidRPr="00000849" w:rsidRDefault="000E6949" w:rsidP="00AC6D4B">
            <w:pPr>
              <w:spacing w:after="0" w:line="259" w:lineRule="auto"/>
              <w:ind w:right="73"/>
            </w:pPr>
            <w:r w:rsidRPr="00000849">
              <w:rPr>
                <w:rFonts w:ascii="Calibri" w:eastAsia="Calibri" w:hAnsi="Calibri" w:cs="Calibri"/>
                <w:color w:val="000000"/>
                <w:sz w:val="16"/>
              </w:rPr>
              <w:t>older age group, female sex, increasing BMI, smoker</w:t>
            </w:r>
          </w:p>
        </w:tc>
        <w:tc>
          <w:tcPr>
            <w:tcW w:w="445" w:type="pct"/>
          </w:tcPr>
          <w:p w14:paraId="03A155B2" w14:textId="77777777" w:rsidR="000E6949" w:rsidRPr="00000849" w:rsidRDefault="000E6949" w:rsidP="00AC6D4B">
            <w:pPr>
              <w:spacing w:after="0" w:line="259" w:lineRule="auto"/>
              <w:ind w:right="123"/>
            </w:pPr>
            <w:r w:rsidRPr="00000849">
              <w:rPr>
                <w:rFonts w:ascii="Calibri" w:eastAsia="Calibri" w:hAnsi="Calibri" w:cs="Calibri"/>
                <w:color w:val="000000"/>
                <w:sz w:val="16"/>
              </w:rPr>
              <w:t>no education, alcohol consumption, rural residence</w:t>
            </w:r>
          </w:p>
        </w:tc>
        <w:tc>
          <w:tcPr>
            <w:tcW w:w="899" w:type="pct"/>
          </w:tcPr>
          <w:p w14:paraId="5F6133F3" w14:textId="77777777" w:rsidR="000E6949" w:rsidRPr="00000849" w:rsidRDefault="000E6949" w:rsidP="00AC6D4B">
            <w:pPr>
              <w:spacing w:after="0" w:line="259" w:lineRule="auto"/>
            </w:pPr>
            <w:r w:rsidRPr="00000849">
              <w:rPr>
                <w:rFonts w:ascii="Calibri" w:eastAsia="Calibri" w:hAnsi="Calibri" w:cs="Calibri"/>
                <w:color w:val="000000"/>
                <w:sz w:val="16"/>
              </w:rPr>
              <w:t>physical activity, wealth quintile, health insurance</w:t>
            </w:r>
          </w:p>
        </w:tc>
      </w:tr>
      <w:tr w:rsidR="000E6949" w:rsidRPr="00000849" w14:paraId="3660B0D3" w14:textId="77777777" w:rsidTr="003A3CF1">
        <w:trPr>
          <w:cnfStyle w:val="000000100000" w:firstRow="0" w:lastRow="0" w:firstColumn="0" w:lastColumn="0" w:oddVBand="0" w:evenVBand="0" w:oddHBand="1" w:evenHBand="0" w:firstRowFirstColumn="0" w:firstRowLastColumn="0" w:lastRowFirstColumn="0" w:lastRowLastColumn="0"/>
          <w:trHeight w:val="819"/>
        </w:trPr>
        <w:tc>
          <w:tcPr>
            <w:tcW w:w="168" w:type="pct"/>
          </w:tcPr>
          <w:p w14:paraId="03BB7963" w14:textId="77777777" w:rsidR="000E6949" w:rsidRPr="00000849" w:rsidRDefault="000E6949" w:rsidP="00AC6D4B">
            <w:pPr>
              <w:spacing w:after="0" w:line="259" w:lineRule="auto"/>
            </w:pPr>
            <w:r w:rsidRPr="00000849">
              <w:rPr>
                <w:rFonts w:ascii="Calibri" w:eastAsia="Calibri" w:hAnsi="Calibri" w:cs="Calibri"/>
                <w:color w:val="000000"/>
                <w:sz w:val="16"/>
              </w:rPr>
              <w:t>7</w:t>
            </w:r>
          </w:p>
        </w:tc>
        <w:tc>
          <w:tcPr>
            <w:tcW w:w="347" w:type="pct"/>
            <w:gridSpan w:val="2"/>
          </w:tcPr>
          <w:p w14:paraId="27DBE826" w14:textId="28203A34" w:rsidR="000E6949" w:rsidRPr="00000849" w:rsidRDefault="000E6949" w:rsidP="0015701B">
            <w:pPr>
              <w:spacing w:after="0" w:line="259" w:lineRule="auto"/>
            </w:pPr>
            <w:r w:rsidRPr="00000849">
              <w:rPr>
                <w:rFonts w:ascii="Calibri" w:eastAsia="Calibri" w:hAnsi="Calibri" w:cs="Calibri"/>
                <w:color w:val="000000"/>
                <w:sz w:val="16"/>
              </w:rPr>
              <w:t>South Africa</w:t>
            </w:r>
          </w:p>
        </w:tc>
        <w:tc>
          <w:tcPr>
            <w:tcW w:w="422" w:type="pct"/>
          </w:tcPr>
          <w:p w14:paraId="6AAF8993" w14:textId="5E827EB1" w:rsidR="000E6949" w:rsidRPr="00000849" w:rsidRDefault="000E6949" w:rsidP="0015701B">
            <w:pPr>
              <w:spacing w:after="1" w:line="220" w:lineRule="auto"/>
            </w:pPr>
            <w:r w:rsidRPr="00000849">
              <w:rPr>
                <w:rFonts w:ascii="Calibri" w:eastAsia="Calibri" w:hAnsi="Calibri" w:cs="Calibri"/>
                <w:color w:val="000000"/>
                <w:sz w:val="16"/>
              </w:rPr>
              <w:t>Lloyd-Sherlock 2014 [</w:t>
            </w:r>
            <w:r w:rsidRPr="00000849">
              <w:rPr>
                <w:rFonts w:ascii="Calibri" w:eastAsia="Calibri" w:hAnsi="Calibri" w:cs="Calibri"/>
                <w:color w:val="0000FF"/>
                <w:sz w:val="16"/>
              </w:rPr>
              <w:t>18</w:t>
            </w:r>
            <w:r w:rsidRPr="00000849">
              <w:rPr>
                <w:rFonts w:ascii="Calibri" w:eastAsia="Calibri" w:hAnsi="Calibri" w:cs="Calibri"/>
                <w:color w:val="000000"/>
                <w:sz w:val="16"/>
              </w:rPr>
              <w:t>]</w:t>
            </w:r>
          </w:p>
        </w:tc>
        <w:tc>
          <w:tcPr>
            <w:tcW w:w="806" w:type="pct"/>
          </w:tcPr>
          <w:p w14:paraId="6B92F4C2" w14:textId="77777777" w:rsidR="000E6949" w:rsidRPr="00000849" w:rsidRDefault="000E6949" w:rsidP="00AC6D4B">
            <w:pPr>
              <w:spacing w:after="160" w:line="259" w:lineRule="auto"/>
            </w:pPr>
          </w:p>
        </w:tc>
        <w:tc>
          <w:tcPr>
            <w:tcW w:w="581" w:type="pct"/>
            <w:gridSpan w:val="2"/>
          </w:tcPr>
          <w:p w14:paraId="6B3DBEE4" w14:textId="0D0A9F6E" w:rsidR="000E6949" w:rsidRPr="00000849" w:rsidRDefault="000E6949" w:rsidP="00AC6D4B">
            <w:pPr>
              <w:spacing w:after="160" w:line="259" w:lineRule="auto"/>
            </w:pPr>
          </w:p>
        </w:tc>
        <w:tc>
          <w:tcPr>
            <w:tcW w:w="547" w:type="pct"/>
          </w:tcPr>
          <w:p w14:paraId="3AD11FA6" w14:textId="77777777" w:rsidR="000E6949" w:rsidRPr="00000849" w:rsidRDefault="000E6949" w:rsidP="00AC6D4B">
            <w:pPr>
              <w:spacing w:after="160" w:line="259" w:lineRule="auto"/>
            </w:pPr>
          </w:p>
        </w:tc>
        <w:tc>
          <w:tcPr>
            <w:tcW w:w="785" w:type="pct"/>
          </w:tcPr>
          <w:p w14:paraId="03B7EFA9" w14:textId="77777777" w:rsidR="000E6949" w:rsidRPr="00000849" w:rsidRDefault="000E6949" w:rsidP="00AC6D4B">
            <w:pPr>
              <w:spacing w:after="0" w:line="259" w:lineRule="auto"/>
              <w:ind w:right="73"/>
            </w:pPr>
            <w:r w:rsidRPr="00000849">
              <w:rPr>
                <w:rFonts w:ascii="Calibri" w:eastAsia="Calibri" w:hAnsi="Calibri" w:cs="Calibri"/>
                <w:color w:val="000000"/>
                <w:sz w:val="16"/>
              </w:rPr>
              <w:t>older age group, female sex, increasing BMI</w:t>
            </w:r>
          </w:p>
        </w:tc>
        <w:tc>
          <w:tcPr>
            <w:tcW w:w="445" w:type="pct"/>
          </w:tcPr>
          <w:p w14:paraId="4271DD64" w14:textId="77777777" w:rsidR="000E6949" w:rsidRPr="00000849" w:rsidRDefault="000E6949" w:rsidP="00AC6D4B">
            <w:pPr>
              <w:spacing w:after="0" w:line="259" w:lineRule="auto"/>
            </w:pPr>
            <w:r w:rsidRPr="00000849">
              <w:rPr>
                <w:rFonts w:ascii="Calibri" w:eastAsia="Calibri" w:hAnsi="Calibri" w:cs="Calibri"/>
                <w:color w:val="000000"/>
                <w:sz w:val="16"/>
              </w:rPr>
              <w:t>tertiary educational level, alcohol consumption</w:t>
            </w:r>
          </w:p>
        </w:tc>
        <w:tc>
          <w:tcPr>
            <w:tcW w:w="899" w:type="pct"/>
          </w:tcPr>
          <w:p w14:paraId="25472B9B" w14:textId="77777777" w:rsidR="000E6949" w:rsidRPr="00000849" w:rsidRDefault="000E6949" w:rsidP="00AC6D4B">
            <w:pPr>
              <w:spacing w:after="0" w:line="259" w:lineRule="auto"/>
            </w:pPr>
            <w:r w:rsidRPr="00000849">
              <w:rPr>
                <w:rFonts w:ascii="Calibri" w:eastAsia="Calibri" w:hAnsi="Calibri" w:cs="Calibri"/>
                <w:color w:val="000000"/>
                <w:sz w:val="16"/>
              </w:rPr>
              <w:t>smoking, residence, wealth quintile, health insurance</w:t>
            </w:r>
          </w:p>
        </w:tc>
      </w:tr>
      <w:tr w:rsidR="000E6949" w:rsidRPr="00000849" w14:paraId="3C964E4A" w14:textId="77777777" w:rsidTr="003A3CF1">
        <w:trPr>
          <w:trHeight w:val="820"/>
        </w:trPr>
        <w:tc>
          <w:tcPr>
            <w:tcW w:w="168" w:type="pct"/>
          </w:tcPr>
          <w:p w14:paraId="366C6E7D" w14:textId="77777777" w:rsidR="000E6949" w:rsidRPr="00000849" w:rsidRDefault="000E6949" w:rsidP="00AC6D4B">
            <w:pPr>
              <w:spacing w:after="0" w:line="259" w:lineRule="auto"/>
            </w:pPr>
            <w:r w:rsidRPr="00000849">
              <w:rPr>
                <w:rFonts w:ascii="Calibri" w:eastAsia="Calibri" w:hAnsi="Calibri" w:cs="Calibri"/>
                <w:color w:val="000000"/>
                <w:sz w:val="16"/>
              </w:rPr>
              <w:lastRenderedPageBreak/>
              <w:t>8</w:t>
            </w:r>
          </w:p>
        </w:tc>
        <w:tc>
          <w:tcPr>
            <w:tcW w:w="347" w:type="pct"/>
            <w:gridSpan w:val="2"/>
          </w:tcPr>
          <w:p w14:paraId="78D77119" w14:textId="77777777" w:rsidR="000E6949" w:rsidRPr="00000849" w:rsidRDefault="000E6949" w:rsidP="00AC6D4B">
            <w:pPr>
              <w:spacing w:after="0" w:line="259" w:lineRule="auto"/>
            </w:pPr>
            <w:r w:rsidRPr="00000849">
              <w:rPr>
                <w:rFonts w:ascii="Calibri" w:eastAsia="Calibri" w:hAnsi="Calibri" w:cs="Calibri"/>
                <w:color w:val="000000"/>
                <w:sz w:val="16"/>
              </w:rPr>
              <w:t>Ghana</w:t>
            </w:r>
          </w:p>
        </w:tc>
        <w:tc>
          <w:tcPr>
            <w:tcW w:w="422" w:type="pct"/>
          </w:tcPr>
          <w:p w14:paraId="27A0C65C" w14:textId="3338DFA0" w:rsidR="000E6949" w:rsidRPr="00000849" w:rsidRDefault="000E6949" w:rsidP="0015701B">
            <w:pPr>
              <w:spacing w:after="0" w:line="222" w:lineRule="auto"/>
            </w:pPr>
            <w:r w:rsidRPr="00000849">
              <w:rPr>
                <w:rFonts w:ascii="Calibri" w:eastAsia="Calibri" w:hAnsi="Calibri" w:cs="Calibri"/>
                <w:color w:val="000000"/>
                <w:sz w:val="16"/>
              </w:rPr>
              <w:t>Lloyd-Sherlock 2017 [</w:t>
            </w:r>
            <w:r w:rsidRPr="00000849">
              <w:rPr>
                <w:rFonts w:ascii="Calibri" w:eastAsia="Calibri" w:hAnsi="Calibri" w:cs="Calibri"/>
                <w:color w:val="0000FF"/>
                <w:sz w:val="16"/>
              </w:rPr>
              <w:t>19</w:t>
            </w:r>
            <w:r w:rsidRPr="00000849">
              <w:rPr>
                <w:rFonts w:ascii="Calibri" w:eastAsia="Calibri" w:hAnsi="Calibri" w:cs="Calibri"/>
                <w:color w:val="000000"/>
                <w:sz w:val="16"/>
              </w:rPr>
              <w:t>]</w:t>
            </w:r>
          </w:p>
        </w:tc>
        <w:tc>
          <w:tcPr>
            <w:tcW w:w="806" w:type="pct"/>
          </w:tcPr>
          <w:p w14:paraId="0965A69F" w14:textId="77777777" w:rsidR="000E6949" w:rsidRPr="00000849" w:rsidRDefault="000E6949" w:rsidP="00AC6D4B">
            <w:pPr>
              <w:spacing w:after="160" w:line="259" w:lineRule="auto"/>
            </w:pPr>
          </w:p>
        </w:tc>
        <w:tc>
          <w:tcPr>
            <w:tcW w:w="581" w:type="pct"/>
            <w:gridSpan w:val="2"/>
          </w:tcPr>
          <w:p w14:paraId="5DE67D07" w14:textId="5B41E11B" w:rsidR="000E6949" w:rsidRPr="00000849" w:rsidRDefault="000E6949" w:rsidP="00AC6D4B">
            <w:pPr>
              <w:spacing w:after="160" w:line="259" w:lineRule="auto"/>
            </w:pPr>
          </w:p>
        </w:tc>
        <w:tc>
          <w:tcPr>
            <w:tcW w:w="547" w:type="pct"/>
          </w:tcPr>
          <w:p w14:paraId="6E576BED" w14:textId="77777777" w:rsidR="000E6949" w:rsidRPr="00000849" w:rsidRDefault="000E6949" w:rsidP="00AC6D4B">
            <w:pPr>
              <w:spacing w:after="160" w:line="259" w:lineRule="auto"/>
            </w:pPr>
          </w:p>
        </w:tc>
        <w:tc>
          <w:tcPr>
            <w:tcW w:w="785" w:type="pct"/>
          </w:tcPr>
          <w:p w14:paraId="30E6D33D" w14:textId="074C0D66" w:rsidR="000E6949" w:rsidRPr="00000849" w:rsidRDefault="000E6949" w:rsidP="00AF0A80">
            <w:pPr>
              <w:spacing w:after="0" w:line="259" w:lineRule="auto"/>
            </w:pPr>
            <w:r w:rsidRPr="00000849">
              <w:rPr>
                <w:rFonts w:ascii="Calibri" w:eastAsia="Calibri" w:hAnsi="Calibri" w:cs="Calibri"/>
                <w:color w:val="000000"/>
                <w:sz w:val="16"/>
              </w:rPr>
              <w:t>older age group (65–69 years), female sex, richer quintiles</w:t>
            </w:r>
          </w:p>
        </w:tc>
        <w:tc>
          <w:tcPr>
            <w:tcW w:w="445" w:type="pct"/>
          </w:tcPr>
          <w:p w14:paraId="224295A4" w14:textId="77777777" w:rsidR="000E6949" w:rsidRPr="00000849" w:rsidRDefault="000E6949" w:rsidP="00AC6D4B">
            <w:pPr>
              <w:spacing w:after="0" w:line="259" w:lineRule="auto"/>
              <w:ind w:right="123"/>
            </w:pPr>
            <w:r w:rsidRPr="00000849">
              <w:rPr>
                <w:rFonts w:ascii="Calibri" w:eastAsia="Calibri" w:hAnsi="Calibri" w:cs="Calibri"/>
                <w:color w:val="000000"/>
                <w:sz w:val="16"/>
              </w:rPr>
              <w:t>no education, rural residence</w:t>
            </w:r>
          </w:p>
        </w:tc>
        <w:tc>
          <w:tcPr>
            <w:tcW w:w="899" w:type="pct"/>
          </w:tcPr>
          <w:p w14:paraId="6F737D2E" w14:textId="77777777" w:rsidR="000E6949" w:rsidRPr="00000849" w:rsidRDefault="000E6949" w:rsidP="00AC6D4B">
            <w:pPr>
              <w:spacing w:after="0" w:line="259" w:lineRule="auto"/>
            </w:pPr>
            <w:r w:rsidRPr="00000849">
              <w:rPr>
                <w:rFonts w:ascii="Calibri" w:eastAsia="Calibri" w:hAnsi="Calibri" w:cs="Calibri"/>
                <w:color w:val="000000"/>
                <w:sz w:val="16"/>
              </w:rPr>
              <w:t>Nil</w:t>
            </w:r>
          </w:p>
        </w:tc>
      </w:tr>
      <w:tr w:rsidR="000E6949" w:rsidRPr="00000849" w14:paraId="559F0ABC" w14:textId="77777777" w:rsidTr="003A3CF1">
        <w:trPr>
          <w:cnfStyle w:val="000000100000" w:firstRow="0" w:lastRow="0" w:firstColumn="0" w:lastColumn="0" w:oddVBand="0" w:evenVBand="0" w:oddHBand="1" w:evenHBand="0" w:firstRowFirstColumn="0" w:firstRowLastColumn="0" w:lastRowFirstColumn="0" w:lastRowLastColumn="0"/>
          <w:trHeight w:val="820"/>
        </w:trPr>
        <w:tc>
          <w:tcPr>
            <w:tcW w:w="168" w:type="pct"/>
          </w:tcPr>
          <w:p w14:paraId="6D463B08" w14:textId="77777777" w:rsidR="000E6949" w:rsidRPr="00000849" w:rsidRDefault="000E6949" w:rsidP="00AC6D4B">
            <w:pPr>
              <w:spacing w:after="0" w:line="259" w:lineRule="auto"/>
            </w:pPr>
            <w:r w:rsidRPr="00000849">
              <w:rPr>
                <w:rFonts w:ascii="Calibri" w:eastAsia="Calibri" w:hAnsi="Calibri" w:cs="Calibri"/>
                <w:color w:val="000000"/>
                <w:sz w:val="16"/>
              </w:rPr>
              <w:t>9</w:t>
            </w:r>
          </w:p>
        </w:tc>
        <w:tc>
          <w:tcPr>
            <w:tcW w:w="347" w:type="pct"/>
            <w:gridSpan w:val="2"/>
          </w:tcPr>
          <w:p w14:paraId="32572256" w14:textId="13651E04" w:rsidR="000E6949" w:rsidRPr="00000849" w:rsidRDefault="000E6949" w:rsidP="0015701B">
            <w:pPr>
              <w:spacing w:after="0" w:line="259" w:lineRule="auto"/>
            </w:pPr>
            <w:r w:rsidRPr="00000849">
              <w:rPr>
                <w:rFonts w:ascii="Calibri" w:eastAsia="Calibri" w:hAnsi="Calibri" w:cs="Calibri"/>
                <w:color w:val="000000"/>
                <w:sz w:val="16"/>
              </w:rPr>
              <w:t>South Africa</w:t>
            </w:r>
          </w:p>
        </w:tc>
        <w:tc>
          <w:tcPr>
            <w:tcW w:w="422" w:type="pct"/>
          </w:tcPr>
          <w:p w14:paraId="7B5210F3" w14:textId="029C2583" w:rsidR="000E6949" w:rsidRPr="00000849" w:rsidRDefault="000E6949" w:rsidP="0015701B">
            <w:pPr>
              <w:spacing w:after="0" w:line="222" w:lineRule="auto"/>
            </w:pPr>
            <w:r w:rsidRPr="00000849">
              <w:rPr>
                <w:rFonts w:ascii="Calibri" w:eastAsia="Calibri" w:hAnsi="Calibri" w:cs="Calibri"/>
                <w:color w:val="000000"/>
                <w:sz w:val="16"/>
              </w:rPr>
              <w:t>Lloyd-Sherlock 2017 [</w:t>
            </w:r>
            <w:r w:rsidRPr="00000849">
              <w:rPr>
                <w:rFonts w:ascii="Calibri" w:eastAsia="Calibri" w:hAnsi="Calibri" w:cs="Calibri"/>
                <w:color w:val="0000FF"/>
                <w:sz w:val="16"/>
              </w:rPr>
              <w:t>19</w:t>
            </w:r>
            <w:r w:rsidRPr="00000849">
              <w:rPr>
                <w:rFonts w:ascii="Calibri" w:eastAsia="Calibri" w:hAnsi="Calibri" w:cs="Calibri"/>
                <w:color w:val="000000"/>
                <w:sz w:val="16"/>
              </w:rPr>
              <w:t>]</w:t>
            </w:r>
          </w:p>
        </w:tc>
        <w:tc>
          <w:tcPr>
            <w:tcW w:w="806" w:type="pct"/>
          </w:tcPr>
          <w:p w14:paraId="783D785A" w14:textId="77777777" w:rsidR="000E6949" w:rsidRPr="00000849" w:rsidRDefault="000E6949" w:rsidP="00AC6D4B">
            <w:pPr>
              <w:spacing w:after="160" w:line="259" w:lineRule="auto"/>
            </w:pPr>
          </w:p>
        </w:tc>
        <w:tc>
          <w:tcPr>
            <w:tcW w:w="581" w:type="pct"/>
            <w:gridSpan w:val="2"/>
          </w:tcPr>
          <w:p w14:paraId="16612547" w14:textId="6F3FA8D9" w:rsidR="000E6949" w:rsidRPr="00000849" w:rsidRDefault="000E6949" w:rsidP="00AC6D4B">
            <w:pPr>
              <w:spacing w:after="160" w:line="259" w:lineRule="auto"/>
            </w:pPr>
          </w:p>
        </w:tc>
        <w:tc>
          <w:tcPr>
            <w:tcW w:w="547" w:type="pct"/>
          </w:tcPr>
          <w:p w14:paraId="27DFD6F5" w14:textId="77777777" w:rsidR="000E6949" w:rsidRPr="00000849" w:rsidRDefault="000E6949" w:rsidP="00AC6D4B">
            <w:pPr>
              <w:spacing w:after="160" w:line="259" w:lineRule="auto"/>
            </w:pPr>
          </w:p>
        </w:tc>
        <w:tc>
          <w:tcPr>
            <w:tcW w:w="785" w:type="pct"/>
          </w:tcPr>
          <w:p w14:paraId="0DC7CE9F" w14:textId="1781A953" w:rsidR="000E6949" w:rsidRPr="00000849" w:rsidRDefault="000E6949" w:rsidP="00AF0A80">
            <w:pPr>
              <w:spacing w:after="0" w:line="259" w:lineRule="auto"/>
            </w:pPr>
            <w:r w:rsidRPr="00000849">
              <w:rPr>
                <w:rFonts w:ascii="Calibri" w:eastAsia="Calibri" w:hAnsi="Calibri" w:cs="Calibri"/>
                <w:color w:val="000000"/>
                <w:sz w:val="16"/>
              </w:rPr>
              <w:t>older age group (75+ years), female sex, richest quintile</w:t>
            </w:r>
          </w:p>
        </w:tc>
        <w:tc>
          <w:tcPr>
            <w:tcW w:w="445" w:type="pct"/>
          </w:tcPr>
          <w:p w14:paraId="30CC428C" w14:textId="6ECA9634" w:rsidR="000E6949" w:rsidRPr="00000849" w:rsidRDefault="000E6949" w:rsidP="0015701B">
            <w:pPr>
              <w:spacing w:after="0" w:line="259" w:lineRule="auto"/>
            </w:pPr>
            <w:r w:rsidRPr="00000849">
              <w:rPr>
                <w:rFonts w:ascii="Calibri" w:eastAsia="Calibri" w:hAnsi="Calibri" w:cs="Calibri"/>
                <w:color w:val="000000"/>
                <w:sz w:val="16"/>
              </w:rPr>
              <w:t>Higher (tertiary) educational level</w:t>
            </w:r>
          </w:p>
        </w:tc>
        <w:tc>
          <w:tcPr>
            <w:tcW w:w="899" w:type="pct"/>
          </w:tcPr>
          <w:p w14:paraId="2721C569" w14:textId="77777777" w:rsidR="000E6949" w:rsidRPr="00000849" w:rsidRDefault="000E6949" w:rsidP="00AC6D4B">
            <w:pPr>
              <w:spacing w:after="0" w:line="259" w:lineRule="auto"/>
            </w:pPr>
            <w:r w:rsidRPr="00000849">
              <w:rPr>
                <w:rFonts w:ascii="Calibri" w:eastAsia="Calibri" w:hAnsi="Calibri" w:cs="Calibri"/>
                <w:color w:val="000000"/>
                <w:sz w:val="16"/>
              </w:rPr>
              <w:t>urban-rural residence</w:t>
            </w:r>
          </w:p>
        </w:tc>
      </w:tr>
      <w:tr w:rsidR="000E6949" w:rsidRPr="00000849" w14:paraId="7406E978" w14:textId="77777777" w:rsidTr="003A3CF1">
        <w:trPr>
          <w:trHeight w:val="821"/>
        </w:trPr>
        <w:tc>
          <w:tcPr>
            <w:tcW w:w="168" w:type="pct"/>
          </w:tcPr>
          <w:p w14:paraId="516BB3F9" w14:textId="77777777" w:rsidR="000E6949" w:rsidRPr="00000849" w:rsidRDefault="000E6949" w:rsidP="00AC6D4B">
            <w:pPr>
              <w:spacing w:after="0" w:line="259" w:lineRule="auto"/>
            </w:pPr>
            <w:r w:rsidRPr="00000849">
              <w:rPr>
                <w:rFonts w:ascii="Calibri" w:eastAsia="Calibri" w:hAnsi="Calibri" w:cs="Calibri"/>
                <w:color w:val="000000"/>
                <w:sz w:val="16"/>
              </w:rPr>
              <w:t>10</w:t>
            </w:r>
          </w:p>
        </w:tc>
        <w:tc>
          <w:tcPr>
            <w:tcW w:w="347" w:type="pct"/>
            <w:gridSpan w:val="2"/>
          </w:tcPr>
          <w:p w14:paraId="2BE443F4" w14:textId="77777777" w:rsidR="000E6949" w:rsidRPr="00000849" w:rsidRDefault="000E6949" w:rsidP="00AC6D4B">
            <w:pPr>
              <w:spacing w:after="0" w:line="259" w:lineRule="auto"/>
            </w:pPr>
            <w:r w:rsidRPr="00000849">
              <w:rPr>
                <w:rFonts w:ascii="Calibri" w:eastAsia="Calibri" w:hAnsi="Calibri" w:cs="Calibri"/>
                <w:color w:val="000000"/>
                <w:sz w:val="16"/>
              </w:rPr>
              <w:t>Senegal</w:t>
            </w:r>
          </w:p>
        </w:tc>
        <w:tc>
          <w:tcPr>
            <w:tcW w:w="422" w:type="pct"/>
          </w:tcPr>
          <w:p w14:paraId="4A955C52" w14:textId="35780357" w:rsidR="000E6949" w:rsidRPr="00000849" w:rsidRDefault="000E6949" w:rsidP="0015701B">
            <w:pPr>
              <w:spacing w:after="0" w:line="259" w:lineRule="auto"/>
            </w:pPr>
            <w:r w:rsidRPr="00000849">
              <w:rPr>
                <w:rFonts w:ascii="Calibri" w:eastAsia="Calibri" w:hAnsi="Calibri" w:cs="Calibri"/>
                <w:color w:val="000000"/>
                <w:sz w:val="16"/>
              </w:rPr>
              <w:t>Macia 2012 [</w:t>
            </w:r>
            <w:r w:rsidRPr="00000849">
              <w:rPr>
                <w:rFonts w:ascii="Calibri" w:eastAsia="Calibri" w:hAnsi="Calibri" w:cs="Calibri"/>
                <w:color w:val="0000FF"/>
                <w:sz w:val="16"/>
              </w:rPr>
              <w:t>30</w:t>
            </w:r>
            <w:r w:rsidRPr="00000849">
              <w:rPr>
                <w:rFonts w:ascii="Calibri" w:eastAsia="Calibri" w:hAnsi="Calibri" w:cs="Calibri"/>
                <w:color w:val="000000"/>
                <w:sz w:val="16"/>
              </w:rPr>
              <w:t>]</w:t>
            </w:r>
          </w:p>
        </w:tc>
        <w:tc>
          <w:tcPr>
            <w:tcW w:w="806" w:type="pct"/>
          </w:tcPr>
          <w:p w14:paraId="7AC20DC4" w14:textId="77777777" w:rsidR="000E6949" w:rsidRPr="00000849" w:rsidRDefault="000E6949" w:rsidP="00AC6D4B">
            <w:pPr>
              <w:spacing w:after="0" w:line="259" w:lineRule="auto"/>
            </w:pPr>
            <w:r w:rsidRPr="00000849">
              <w:rPr>
                <w:rFonts w:ascii="Calibri" w:eastAsia="Calibri" w:hAnsi="Calibri" w:cs="Calibri"/>
                <w:color w:val="000000"/>
                <w:sz w:val="16"/>
              </w:rPr>
              <w:t>Older age, higher BMI</w:t>
            </w:r>
          </w:p>
        </w:tc>
        <w:tc>
          <w:tcPr>
            <w:tcW w:w="581" w:type="pct"/>
            <w:gridSpan w:val="2"/>
          </w:tcPr>
          <w:p w14:paraId="5F0394B9" w14:textId="02B527BC" w:rsidR="000E6949" w:rsidRPr="00000849" w:rsidRDefault="000E6949" w:rsidP="00AC6D4B">
            <w:pPr>
              <w:spacing w:after="0" w:line="259" w:lineRule="auto"/>
            </w:pPr>
          </w:p>
        </w:tc>
        <w:tc>
          <w:tcPr>
            <w:tcW w:w="547" w:type="pct"/>
          </w:tcPr>
          <w:p w14:paraId="276D5C5E" w14:textId="77777777" w:rsidR="000E6949" w:rsidRPr="00000849" w:rsidRDefault="000E6949" w:rsidP="00AC6D4B">
            <w:pPr>
              <w:spacing w:after="0" w:line="259" w:lineRule="auto"/>
              <w:ind w:right="96"/>
            </w:pPr>
            <w:r w:rsidRPr="00000849">
              <w:rPr>
                <w:rFonts w:ascii="Calibri" w:eastAsia="Calibri" w:hAnsi="Calibri" w:cs="Calibri"/>
                <w:color w:val="000000"/>
                <w:sz w:val="16"/>
              </w:rPr>
              <w:t>Sex, educational level, marital status, doctor visits in the previous years</w:t>
            </w:r>
          </w:p>
        </w:tc>
        <w:tc>
          <w:tcPr>
            <w:tcW w:w="785" w:type="pct"/>
          </w:tcPr>
          <w:p w14:paraId="476D1F88" w14:textId="30E5DE5A" w:rsidR="000E6949" w:rsidRPr="00000849" w:rsidRDefault="000E6949" w:rsidP="00AF0A80">
            <w:pPr>
              <w:spacing w:after="15" w:line="222" w:lineRule="auto"/>
            </w:pPr>
            <w:r w:rsidRPr="00000849">
              <w:rPr>
                <w:rFonts w:ascii="Calibri" w:eastAsia="Calibri" w:hAnsi="Calibri" w:cs="Calibri"/>
                <w:color w:val="000000"/>
                <w:sz w:val="16"/>
              </w:rPr>
              <w:t>Older age group; overweight (BMI ≥25 kg/m</w:t>
            </w:r>
            <w:r w:rsidRPr="00000849">
              <w:rPr>
                <w:rFonts w:ascii="Calibri" w:eastAsia="Calibri" w:hAnsi="Calibri" w:cs="Calibri"/>
                <w:color w:val="000000"/>
                <w:sz w:val="16"/>
                <w:vertAlign w:val="superscript"/>
              </w:rPr>
              <w:t>2</w:t>
            </w:r>
            <w:r w:rsidRPr="00000849">
              <w:rPr>
                <w:rFonts w:ascii="Calibri" w:eastAsia="Calibri" w:hAnsi="Calibri" w:cs="Calibri"/>
                <w:color w:val="000000"/>
                <w:sz w:val="16"/>
              </w:rPr>
              <w:t>)</w:t>
            </w:r>
          </w:p>
        </w:tc>
        <w:tc>
          <w:tcPr>
            <w:tcW w:w="445" w:type="pct"/>
          </w:tcPr>
          <w:p w14:paraId="405F8D3B" w14:textId="77777777" w:rsidR="000E6949" w:rsidRPr="00000849" w:rsidRDefault="000E6949" w:rsidP="00AC6D4B">
            <w:pPr>
              <w:spacing w:after="160" w:line="259" w:lineRule="auto"/>
            </w:pPr>
          </w:p>
        </w:tc>
        <w:tc>
          <w:tcPr>
            <w:tcW w:w="899" w:type="pct"/>
          </w:tcPr>
          <w:p w14:paraId="2CB9EEB2" w14:textId="77777777" w:rsidR="000E6949" w:rsidRPr="00000849" w:rsidRDefault="000E6949" w:rsidP="00AC6D4B">
            <w:pPr>
              <w:spacing w:after="0" w:line="259" w:lineRule="auto"/>
            </w:pPr>
            <w:r w:rsidRPr="00000849">
              <w:rPr>
                <w:rFonts w:ascii="Calibri" w:eastAsia="Calibri" w:hAnsi="Calibri" w:cs="Calibri"/>
                <w:color w:val="000000"/>
                <w:sz w:val="16"/>
              </w:rPr>
              <w:t>Sex, educational level, marital status</w:t>
            </w:r>
          </w:p>
        </w:tc>
      </w:tr>
      <w:tr w:rsidR="000E6949" w:rsidRPr="00000849" w14:paraId="262869BE" w14:textId="77777777" w:rsidTr="003A3CF1">
        <w:trPr>
          <w:cnfStyle w:val="000000100000" w:firstRow="0" w:lastRow="0" w:firstColumn="0" w:lastColumn="0" w:oddVBand="0" w:evenVBand="0" w:oddHBand="1" w:evenHBand="0" w:firstRowFirstColumn="0" w:firstRowLastColumn="0" w:lastRowFirstColumn="0" w:lastRowLastColumn="0"/>
          <w:trHeight w:val="933"/>
        </w:trPr>
        <w:tc>
          <w:tcPr>
            <w:tcW w:w="168" w:type="pct"/>
          </w:tcPr>
          <w:p w14:paraId="48379362" w14:textId="77777777" w:rsidR="000E6949" w:rsidRPr="00000849" w:rsidRDefault="000E6949" w:rsidP="00AC6D4B">
            <w:pPr>
              <w:spacing w:after="0" w:line="259" w:lineRule="auto"/>
            </w:pPr>
            <w:r w:rsidRPr="00000849">
              <w:rPr>
                <w:rFonts w:ascii="Calibri" w:eastAsia="Calibri" w:hAnsi="Calibri" w:cs="Calibri"/>
                <w:color w:val="000000"/>
                <w:sz w:val="16"/>
              </w:rPr>
              <w:t>11</w:t>
            </w:r>
          </w:p>
        </w:tc>
        <w:tc>
          <w:tcPr>
            <w:tcW w:w="347" w:type="pct"/>
            <w:gridSpan w:val="2"/>
          </w:tcPr>
          <w:p w14:paraId="171DFAEF" w14:textId="77777777" w:rsidR="000E6949" w:rsidRPr="00000849" w:rsidRDefault="000E6949" w:rsidP="00AC6D4B">
            <w:pPr>
              <w:spacing w:after="0" w:line="259" w:lineRule="auto"/>
            </w:pPr>
            <w:r w:rsidRPr="00000849">
              <w:rPr>
                <w:rFonts w:ascii="Calibri" w:eastAsia="Calibri" w:hAnsi="Calibri" w:cs="Calibri"/>
                <w:color w:val="000000"/>
                <w:sz w:val="16"/>
              </w:rPr>
              <w:t>Kenya</w:t>
            </w:r>
          </w:p>
        </w:tc>
        <w:tc>
          <w:tcPr>
            <w:tcW w:w="422" w:type="pct"/>
          </w:tcPr>
          <w:p w14:paraId="74305E9D" w14:textId="77777777" w:rsidR="000E6949" w:rsidRPr="00000849" w:rsidRDefault="000E6949" w:rsidP="00AC6D4B">
            <w:pPr>
              <w:spacing w:after="0" w:line="259" w:lineRule="auto"/>
            </w:pPr>
            <w:r w:rsidRPr="00000849">
              <w:rPr>
                <w:rFonts w:ascii="Calibri" w:eastAsia="Calibri" w:hAnsi="Calibri" w:cs="Calibri"/>
                <w:color w:val="000000"/>
                <w:sz w:val="16"/>
              </w:rPr>
              <w:t>Mathenge 2010 [</w:t>
            </w:r>
            <w:r w:rsidRPr="00000849">
              <w:rPr>
                <w:rFonts w:ascii="Calibri" w:eastAsia="Calibri" w:hAnsi="Calibri" w:cs="Calibri"/>
                <w:color w:val="0000FF"/>
                <w:sz w:val="16"/>
              </w:rPr>
              <w:t>31</w:t>
            </w:r>
            <w:r w:rsidRPr="00000849">
              <w:rPr>
                <w:rFonts w:ascii="Calibri" w:eastAsia="Calibri" w:hAnsi="Calibri" w:cs="Calibri"/>
                <w:color w:val="000000"/>
                <w:sz w:val="16"/>
              </w:rPr>
              <w:t>]</w:t>
            </w:r>
          </w:p>
        </w:tc>
        <w:tc>
          <w:tcPr>
            <w:tcW w:w="806" w:type="pct"/>
          </w:tcPr>
          <w:p w14:paraId="065E97AB" w14:textId="77777777" w:rsidR="000E6949" w:rsidRPr="00000849" w:rsidRDefault="000E6949" w:rsidP="003A3CF1">
            <w:pPr>
              <w:spacing w:after="0" w:line="259" w:lineRule="auto"/>
              <w:ind w:right="-19"/>
            </w:pPr>
            <w:r w:rsidRPr="00000849">
              <w:rPr>
                <w:rFonts w:ascii="Calibri" w:eastAsia="Calibri" w:hAnsi="Calibri" w:cs="Calibri"/>
                <w:color w:val="000000"/>
                <w:sz w:val="16"/>
              </w:rPr>
              <w:t>Urban residence, Kikuyu tribe</w:t>
            </w:r>
          </w:p>
        </w:tc>
        <w:tc>
          <w:tcPr>
            <w:tcW w:w="581" w:type="pct"/>
            <w:gridSpan w:val="2"/>
          </w:tcPr>
          <w:p w14:paraId="7EAAAB49" w14:textId="6501852A" w:rsidR="000E6949" w:rsidRPr="00000849" w:rsidRDefault="000E6949" w:rsidP="00AC6D4B">
            <w:pPr>
              <w:spacing w:after="0" w:line="259" w:lineRule="auto"/>
              <w:ind w:right="1030"/>
            </w:pPr>
          </w:p>
        </w:tc>
        <w:tc>
          <w:tcPr>
            <w:tcW w:w="547" w:type="pct"/>
          </w:tcPr>
          <w:p w14:paraId="747A1244" w14:textId="77777777" w:rsidR="000E6949" w:rsidRPr="00000849" w:rsidRDefault="000E6949" w:rsidP="00AC6D4B">
            <w:pPr>
              <w:spacing w:after="160" w:line="259" w:lineRule="auto"/>
            </w:pPr>
          </w:p>
        </w:tc>
        <w:tc>
          <w:tcPr>
            <w:tcW w:w="785" w:type="pct"/>
          </w:tcPr>
          <w:p w14:paraId="0A1BB98F" w14:textId="77777777" w:rsidR="000E6949" w:rsidRPr="00000849" w:rsidRDefault="000E6949" w:rsidP="00AC6D4B">
            <w:pPr>
              <w:spacing w:after="0" w:line="259" w:lineRule="auto"/>
            </w:pPr>
            <w:r w:rsidRPr="00000849">
              <w:rPr>
                <w:rFonts w:ascii="Calibri" w:eastAsia="Calibri" w:hAnsi="Calibri" w:cs="Calibri"/>
                <w:color w:val="000000"/>
                <w:sz w:val="16"/>
              </w:rPr>
              <w:t>Urban residence, Kikuyu tribe</w:t>
            </w:r>
          </w:p>
        </w:tc>
        <w:tc>
          <w:tcPr>
            <w:tcW w:w="445" w:type="pct"/>
          </w:tcPr>
          <w:p w14:paraId="64AA6A5B" w14:textId="77777777" w:rsidR="000E6949" w:rsidRPr="00000849" w:rsidRDefault="000E6949" w:rsidP="00AC6D4B">
            <w:pPr>
              <w:spacing w:after="160" w:line="259" w:lineRule="auto"/>
            </w:pPr>
          </w:p>
        </w:tc>
        <w:tc>
          <w:tcPr>
            <w:tcW w:w="899" w:type="pct"/>
          </w:tcPr>
          <w:p w14:paraId="52DDE85F" w14:textId="79553F80" w:rsidR="000E6949" w:rsidRPr="00000849" w:rsidRDefault="000E6949" w:rsidP="00AF0A80">
            <w:pPr>
              <w:spacing w:after="0" w:line="259" w:lineRule="auto"/>
            </w:pPr>
            <w:r w:rsidRPr="00000849">
              <w:rPr>
                <w:rFonts w:ascii="Calibri" w:eastAsia="Calibri" w:hAnsi="Calibri" w:cs="Calibri"/>
                <w:color w:val="000000"/>
                <w:sz w:val="16"/>
              </w:rPr>
              <w:t xml:space="preserve">Adjusted for age, sex, SES quartile, BMI, WHR, smoking status, alcohol use, diabetes (by measurement), cholesterol </w:t>
            </w:r>
          </w:p>
        </w:tc>
      </w:tr>
      <w:tr w:rsidR="000E6949" w:rsidRPr="00000849" w14:paraId="42FBE092" w14:textId="77777777" w:rsidTr="003A3CF1">
        <w:trPr>
          <w:trHeight w:val="934"/>
        </w:trPr>
        <w:tc>
          <w:tcPr>
            <w:tcW w:w="168" w:type="pct"/>
          </w:tcPr>
          <w:p w14:paraId="32645F4C" w14:textId="59DBAB60" w:rsidR="00BC221F" w:rsidRPr="00000849" w:rsidRDefault="00BC221F" w:rsidP="00AC6D4B">
            <w:pPr>
              <w:spacing w:after="0" w:line="259" w:lineRule="auto"/>
            </w:pPr>
            <w:r w:rsidRPr="00000849">
              <w:rPr>
                <w:rFonts w:ascii="Calibri" w:eastAsia="Calibri" w:hAnsi="Calibri" w:cs="Calibri"/>
                <w:color w:val="000000"/>
                <w:sz w:val="16"/>
              </w:rPr>
              <w:t>12</w:t>
            </w:r>
          </w:p>
        </w:tc>
        <w:tc>
          <w:tcPr>
            <w:tcW w:w="347" w:type="pct"/>
            <w:gridSpan w:val="2"/>
          </w:tcPr>
          <w:p w14:paraId="4FA8B1D6" w14:textId="77777777" w:rsidR="00BC221F" w:rsidRPr="00000849" w:rsidRDefault="00BC221F" w:rsidP="00AC6D4B">
            <w:pPr>
              <w:spacing w:after="0" w:line="259" w:lineRule="auto"/>
            </w:pPr>
            <w:r w:rsidRPr="00000849">
              <w:rPr>
                <w:rFonts w:ascii="Calibri" w:eastAsia="Calibri" w:hAnsi="Calibri" w:cs="Calibri"/>
                <w:color w:val="000000"/>
                <w:sz w:val="16"/>
              </w:rPr>
              <w:t>Ghana</w:t>
            </w:r>
          </w:p>
        </w:tc>
        <w:tc>
          <w:tcPr>
            <w:tcW w:w="422" w:type="pct"/>
          </w:tcPr>
          <w:p w14:paraId="4C92E57D" w14:textId="1A71CB60" w:rsidR="00BC221F" w:rsidRPr="00000849" w:rsidRDefault="00BC221F" w:rsidP="0015701B">
            <w:pPr>
              <w:spacing w:after="0" w:line="259" w:lineRule="auto"/>
            </w:pPr>
            <w:r w:rsidRPr="00000849">
              <w:rPr>
                <w:rFonts w:ascii="Calibri" w:eastAsia="Calibri" w:hAnsi="Calibri" w:cs="Calibri"/>
                <w:color w:val="000000"/>
                <w:sz w:val="16"/>
              </w:rPr>
              <w:t>Minicuci</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2014 [</w:t>
            </w:r>
            <w:r w:rsidRPr="00000849">
              <w:rPr>
                <w:rFonts w:ascii="Calibri" w:eastAsia="Calibri" w:hAnsi="Calibri" w:cs="Calibri"/>
                <w:color w:val="0000FF"/>
                <w:sz w:val="16"/>
              </w:rPr>
              <w:t>22</w:t>
            </w:r>
            <w:r w:rsidRPr="00000849">
              <w:rPr>
                <w:rFonts w:ascii="Calibri" w:eastAsia="Calibri" w:hAnsi="Calibri" w:cs="Calibri"/>
                <w:color w:val="000000"/>
                <w:sz w:val="16"/>
              </w:rPr>
              <w:t>]</w:t>
            </w:r>
          </w:p>
        </w:tc>
        <w:tc>
          <w:tcPr>
            <w:tcW w:w="806" w:type="pct"/>
          </w:tcPr>
          <w:p w14:paraId="3A7ABE4F" w14:textId="77777777" w:rsidR="00BC221F" w:rsidRPr="00000849" w:rsidRDefault="00BC221F" w:rsidP="00AC6D4B">
            <w:pPr>
              <w:spacing w:after="0" w:line="259" w:lineRule="auto"/>
              <w:ind w:right="4"/>
            </w:pPr>
            <w:r w:rsidRPr="00000849">
              <w:rPr>
                <w:rFonts w:ascii="Calibri" w:eastAsia="Calibri" w:hAnsi="Calibri" w:cs="Calibri"/>
                <w:color w:val="000000"/>
                <w:sz w:val="16"/>
              </w:rPr>
              <w:t>Older age, marital status, ethnicity, residence, wealth quintile</w:t>
            </w:r>
          </w:p>
        </w:tc>
        <w:tc>
          <w:tcPr>
            <w:tcW w:w="581" w:type="pct"/>
            <w:gridSpan w:val="2"/>
          </w:tcPr>
          <w:p w14:paraId="11E3A4A2" w14:textId="77777777" w:rsidR="00BC221F" w:rsidRPr="00000849" w:rsidRDefault="00BC221F" w:rsidP="00AC6D4B">
            <w:pPr>
              <w:spacing w:after="160" w:line="259" w:lineRule="auto"/>
            </w:pPr>
          </w:p>
        </w:tc>
        <w:tc>
          <w:tcPr>
            <w:tcW w:w="547" w:type="pct"/>
          </w:tcPr>
          <w:p w14:paraId="652F9CB6" w14:textId="77777777" w:rsidR="00BC221F" w:rsidRPr="00000849" w:rsidRDefault="00BC221F" w:rsidP="00AC6D4B">
            <w:pPr>
              <w:spacing w:after="0" w:line="259" w:lineRule="auto"/>
            </w:pPr>
            <w:r w:rsidRPr="00000849">
              <w:rPr>
                <w:rFonts w:ascii="Calibri" w:eastAsia="Calibri" w:hAnsi="Calibri" w:cs="Calibri"/>
                <w:color w:val="000000"/>
                <w:sz w:val="16"/>
              </w:rPr>
              <w:t>sex</w:t>
            </w:r>
          </w:p>
        </w:tc>
        <w:tc>
          <w:tcPr>
            <w:tcW w:w="785" w:type="pct"/>
          </w:tcPr>
          <w:p w14:paraId="6E9BE55B" w14:textId="77777777" w:rsidR="00BC221F" w:rsidRPr="00000849" w:rsidRDefault="00BC221F" w:rsidP="00AC6D4B">
            <w:pPr>
              <w:spacing w:after="0" w:line="259" w:lineRule="auto"/>
            </w:pPr>
            <w:r w:rsidRPr="00000849">
              <w:rPr>
                <w:rFonts w:ascii="Calibri" w:eastAsia="Calibri" w:hAnsi="Calibri" w:cs="Calibri"/>
                <w:color w:val="000000"/>
                <w:sz w:val="16"/>
              </w:rPr>
              <w:t>older age, urban residence, overweight/obesity</w:t>
            </w:r>
          </w:p>
        </w:tc>
        <w:tc>
          <w:tcPr>
            <w:tcW w:w="445" w:type="pct"/>
          </w:tcPr>
          <w:p w14:paraId="6DBABBD5" w14:textId="77777777" w:rsidR="00BC221F" w:rsidRPr="00000849" w:rsidRDefault="00BC221F" w:rsidP="00AC6D4B">
            <w:pPr>
              <w:spacing w:after="0" w:line="259" w:lineRule="auto"/>
              <w:ind w:right="76"/>
            </w:pPr>
            <w:r w:rsidRPr="00000849">
              <w:rPr>
                <w:rFonts w:ascii="Calibri" w:eastAsia="Calibri" w:hAnsi="Calibri" w:cs="Calibri"/>
                <w:color w:val="000000"/>
                <w:sz w:val="16"/>
              </w:rPr>
              <w:t>underweight BMI &lt; 18.5; Upper East and Upper West regions</w:t>
            </w:r>
          </w:p>
        </w:tc>
        <w:tc>
          <w:tcPr>
            <w:tcW w:w="899" w:type="pct"/>
          </w:tcPr>
          <w:p w14:paraId="2B8FB412" w14:textId="3F48B63A" w:rsidR="00BC221F" w:rsidRPr="00000849" w:rsidRDefault="00BC221F" w:rsidP="0015701B">
            <w:pPr>
              <w:spacing w:after="0" w:line="221" w:lineRule="auto"/>
            </w:pPr>
            <w:r w:rsidRPr="00000849">
              <w:rPr>
                <w:rFonts w:ascii="Calibri" w:eastAsia="Calibri" w:hAnsi="Calibri" w:cs="Calibri"/>
                <w:color w:val="000000"/>
                <w:sz w:val="16"/>
              </w:rPr>
              <w:t>sex, educational level, administrative regions except Upper East and</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Upper West</w:t>
            </w:r>
          </w:p>
        </w:tc>
      </w:tr>
      <w:tr w:rsidR="000E6949" w:rsidRPr="00000849" w14:paraId="6088EE6D" w14:textId="77777777" w:rsidTr="003A3CF1">
        <w:trPr>
          <w:cnfStyle w:val="000000100000" w:firstRow="0" w:lastRow="0" w:firstColumn="0" w:lastColumn="0" w:oddVBand="0" w:evenVBand="0" w:oddHBand="1" w:evenHBand="0" w:firstRowFirstColumn="0" w:firstRowLastColumn="0" w:lastRowFirstColumn="0" w:lastRowLastColumn="0"/>
          <w:trHeight w:val="728"/>
        </w:trPr>
        <w:tc>
          <w:tcPr>
            <w:tcW w:w="168" w:type="pct"/>
          </w:tcPr>
          <w:p w14:paraId="53E30632" w14:textId="77777777" w:rsidR="00BC221F" w:rsidRPr="00000849" w:rsidRDefault="00BC221F" w:rsidP="00AC6D4B">
            <w:pPr>
              <w:spacing w:after="0" w:line="259" w:lineRule="auto"/>
            </w:pPr>
            <w:r w:rsidRPr="00000849">
              <w:rPr>
                <w:rFonts w:ascii="Calibri" w:eastAsia="Calibri" w:hAnsi="Calibri" w:cs="Calibri"/>
                <w:color w:val="000000"/>
                <w:sz w:val="16"/>
              </w:rPr>
              <w:t>13</w:t>
            </w:r>
          </w:p>
        </w:tc>
        <w:tc>
          <w:tcPr>
            <w:tcW w:w="347" w:type="pct"/>
            <w:gridSpan w:val="2"/>
          </w:tcPr>
          <w:p w14:paraId="47719F1B" w14:textId="77777777" w:rsidR="00BC221F" w:rsidRPr="00000849" w:rsidRDefault="00BC221F" w:rsidP="00AC6D4B">
            <w:pPr>
              <w:spacing w:after="0" w:line="259" w:lineRule="auto"/>
            </w:pPr>
            <w:r w:rsidRPr="00000849">
              <w:rPr>
                <w:rFonts w:ascii="Calibri" w:eastAsia="Calibri" w:hAnsi="Calibri" w:cs="Calibri"/>
                <w:color w:val="000000"/>
                <w:sz w:val="16"/>
              </w:rPr>
              <w:t>Ghana</w:t>
            </w:r>
          </w:p>
        </w:tc>
        <w:tc>
          <w:tcPr>
            <w:tcW w:w="422" w:type="pct"/>
          </w:tcPr>
          <w:p w14:paraId="0BC91209" w14:textId="731CB7A2" w:rsidR="00BC221F" w:rsidRPr="00000849" w:rsidRDefault="00BC221F" w:rsidP="0015701B">
            <w:pPr>
              <w:spacing w:after="0" w:line="259" w:lineRule="auto"/>
            </w:pPr>
            <w:r w:rsidRPr="00000849">
              <w:rPr>
                <w:rFonts w:ascii="Calibri" w:eastAsia="Calibri" w:hAnsi="Calibri" w:cs="Calibri"/>
                <w:color w:val="000000"/>
                <w:sz w:val="16"/>
              </w:rPr>
              <w:t>Nuertey</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2017 [</w:t>
            </w:r>
            <w:r w:rsidRPr="00000849">
              <w:rPr>
                <w:rFonts w:ascii="Calibri" w:eastAsia="Calibri" w:hAnsi="Calibri" w:cs="Calibri"/>
                <w:color w:val="0000FF"/>
                <w:sz w:val="16"/>
              </w:rPr>
              <w:t>34</w:t>
            </w:r>
            <w:r w:rsidRPr="00000849">
              <w:rPr>
                <w:rFonts w:ascii="Calibri" w:eastAsia="Calibri" w:hAnsi="Calibri" w:cs="Calibri"/>
                <w:color w:val="000000"/>
                <w:sz w:val="16"/>
              </w:rPr>
              <w:t>]</w:t>
            </w:r>
          </w:p>
        </w:tc>
        <w:tc>
          <w:tcPr>
            <w:tcW w:w="806" w:type="pct"/>
          </w:tcPr>
          <w:p w14:paraId="3BC5958C" w14:textId="77777777" w:rsidR="00BC221F" w:rsidRPr="00000849" w:rsidRDefault="00BC221F" w:rsidP="00AC6D4B">
            <w:pPr>
              <w:spacing w:after="0" w:line="259" w:lineRule="auto"/>
            </w:pPr>
            <w:r w:rsidRPr="00000849">
              <w:rPr>
                <w:rFonts w:ascii="Calibri" w:eastAsia="Calibri" w:hAnsi="Calibri" w:cs="Calibri"/>
                <w:color w:val="000000"/>
                <w:sz w:val="16"/>
              </w:rPr>
              <w:t>overweight/obesity</w:t>
            </w:r>
          </w:p>
        </w:tc>
        <w:tc>
          <w:tcPr>
            <w:tcW w:w="581" w:type="pct"/>
            <w:gridSpan w:val="2"/>
          </w:tcPr>
          <w:p w14:paraId="2606F121" w14:textId="77777777" w:rsidR="00BC221F" w:rsidRPr="00000849" w:rsidRDefault="00BC221F" w:rsidP="00AC6D4B">
            <w:pPr>
              <w:spacing w:after="160" w:line="259" w:lineRule="auto"/>
            </w:pPr>
          </w:p>
        </w:tc>
        <w:tc>
          <w:tcPr>
            <w:tcW w:w="547" w:type="pct"/>
          </w:tcPr>
          <w:p w14:paraId="735D4D96" w14:textId="77777777" w:rsidR="00BC221F" w:rsidRPr="00000849" w:rsidRDefault="00BC221F" w:rsidP="00AC6D4B">
            <w:pPr>
              <w:spacing w:after="160" w:line="259" w:lineRule="auto"/>
            </w:pPr>
          </w:p>
        </w:tc>
        <w:tc>
          <w:tcPr>
            <w:tcW w:w="785" w:type="pct"/>
          </w:tcPr>
          <w:p w14:paraId="5D766216" w14:textId="77777777" w:rsidR="00BC221F" w:rsidRPr="00000849" w:rsidRDefault="00BC221F" w:rsidP="00AC6D4B">
            <w:pPr>
              <w:spacing w:after="0" w:line="259" w:lineRule="auto"/>
            </w:pPr>
            <w:r w:rsidRPr="00000849">
              <w:rPr>
                <w:rFonts w:ascii="Calibri" w:eastAsia="Calibri" w:hAnsi="Calibri" w:cs="Calibri"/>
                <w:color w:val="000000"/>
                <w:sz w:val="16"/>
              </w:rPr>
              <w:t>overweight/obesity</w:t>
            </w:r>
          </w:p>
        </w:tc>
        <w:tc>
          <w:tcPr>
            <w:tcW w:w="445" w:type="pct"/>
          </w:tcPr>
          <w:p w14:paraId="219DC3BB" w14:textId="77777777" w:rsidR="00BC221F" w:rsidRPr="00000849" w:rsidRDefault="00BC221F" w:rsidP="00AC6D4B">
            <w:pPr>
              <w:spacing w:after="160" w:line="259" w:lineRule="auto"/>
            </w:pPr>
          </w:p>
        </w:tc>
        <w:tc>
          <w:tcPr>
            <w:tcW w:w="899" w:type="pct"/>
          </w:tcPr>
          <w:p w14:paraId="3C6A9954" w14:textId="77777777" w:rsidR="00BC221F" w:rsidRPr="00000849" w:rsidRDefault="00BC221F" w:rsidP="00AC6D4B">
            <w:pPr>
              <w:spacing w:after="0" w:line="259" w:lineRule="auto"/>
            </w:pPr>
            <w:r w:rsidRPr="00000849">
              <w:rPr>
                <w:rFonts w:ascii="Calibri" w:eastAsia="Calibri" w:hAnsi="Calibri" w:cs="Calibri"/>
                <w:color w:val="000000"/>
                <w:sz w:val="16"/>
              </w:rPr>
              <w:t>Model adjusted for sex, religion, region of residence, ethnicity, marital status, education, social class, use of eye glasses, diabetes, arthritis, previous surgeries, mean arterial pressure, smoking status, hearing loss, total cholesterol, triglycerides, low density lipoprotein, coronary risk ratio</w:t>
            </w:r>
          </w:p>
        </w:tc>
      </w:tr>
      <w:tr w:rsidR="000E6949" w:rsidRPr="00000849" w14:paraId="6CD83876" w14:textId="77777777" w:rsidTr="003A3CF1">
        <w:trPr>
          <w:trHeight w:val="2177"/>
        </w:trPr>
        <w:tc>
          <w:tcPr>
            <w:tcW w:w="168" w:type="pct"/>
          </w:tcPr>
          <w:p w14:paraId="002FAD4F" w14:textId="77777777" w:rsidR="00BC221F" w:rsidRPr="00000849" w:rsidRDefault="00BC221F" w:rsidP="00AC6D4B">
            <w:pPr>
              <w:spacing w:after="0" w:line="259" w:lineRule="auto"/>
            </w:pPr>
            <w:r w:rsidRPr="00000849">
              <w:rPr>
                <w:rFonts w:ascii="Calibri" w:eastAsia="Calibri" w:hAnsi="Calibri" w:cs="Calibri"/>
                <w:color w:val="000000"/>
                <w:sz w:val="16"/>
              </w:rPr>
              <w:lastRenderedPageBreak/>
              <w:t>14</w:t>
            </w:r>
          </w:p>
        </w:tc>
        <w:tc>
          <w:tcPr>
            <w:tcW w:w="347" w:type="pct"/>
            <w:gridSpan w:val="2"/>
          </w:tcPr>
          <w:p w14:paraId="01D29056" w14:textId="234BABB9" w:rsidR="00BC221F" w:rsidRPr="00000849" w:rsidRDefault="00BC221F" w:rsidP="0015701B">
            <w:pPr>
              <w:spacing w:after="0" w:line="259" w:lineRule="auto"/>
            </w:pPr>
            <w:r w:rsidRPr="00000849">
              <w:rPr>
                <w:rFonts w:ascii="Calibri" w:eastAsia="Calibri" w:hAnsi="Calibri" w:cs="Calibri"/>
                <w:color w:val="000000"/>
                <w:sz w:val="16"/>
              </w:rPr>
              <w:t>South</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Africa</w:t>
            </w:r>
          </w:p>
        </w:tc>
        <w:tc>
          <w:tcPr>
            <w:tcW w:w="422" w:type="pct"/>
          </w:tcPr>
          <w:p w14:paraId="05F7EA78" w14:textId="77777777" w:rsidR="00BC221F" w:rsidRPr="00000849" w:rsidRDefault="00BC221F" w:rsidP="00AC6D4B">
            <w:pPr>
              <w:spacing w:after="0" w:line="259" w:lineRule="auto"/>
              <w:ind w:right="62"/>
            </w:pPr>
            <w:r w:rsidRPr="00000849">
              <w:rPr>
                <w:rFonts w:ascii="Calibri" w:eastAsia="Calibri" w:hAnsi="Calibri" w:cs="Calibri"/>
                <w:color w:val="000000"/>
                <w:sz w:val="16"/>
              </w:rPr>
              <w:t>Peltzer 2013 [</w:t>
            </w:r>
            <w:r w:rsidRPr="00000849">
              <w:rPr>
                <w:rFonts w:ascii="Calibri" w:eastAsia="Calibri" w:hAnsi="Calibri" w:cs="Calibri"/>
                <w:color w:val="0000FF"/>
                <w:sz w:val="16"/>
              </w:rPr>
              <w:t>23</w:t>
            </w:r>
            <w:r w:rsidRPr="00000849">
              <w:rPr>
                <w:rFonts w:ascii="Calibri" w:eastAsia="Calibri" w:hAnsi="Calibri" w:cs="Calibri"/>
                <w:color w:val="000000"/>
                <w:sz w:val="16"/>
              </w:rPr>
              <w:t>]</w:t>
            </w:r>
          </w:p>
        </w:tc>
        <w:tc>
          <w:tcPr>
            <w:tcW w:w="806" w:type="pct"/>
          </w:tcPr>
          <w:p w14:paraId="4FD750DE" w14:textId="29F090E7" w:rsidR="00BC221F" w:rsidRPr="00000849" w:rsidRDefault="00BC221F" w:rsidP="00AF0A80">
            <w:pPr>
              <w:spacing w:after="0" w:line="227" w:lineRule="auto"/>
            </w:pPr>
            <w:r w:rsidRPr="00000849">
              <w:rPr>
                <w:rFonts w:ascii="Calibri" w:eastAsia="Calibri" w:hAnsi="Calibri" w:cs="Calibri"/>
                <w:color w:val="000000"/>
                <w:sz w:val="16"/>
              </w:rPr>
              <w:t xml:space="preserve">Females, Older age (60–69-year group), coloured race; </w:t>
            </w:r>
            <w:r w:rsidR="00AF0A80" w:rsidRPr="00000849">
              <w:rPr>
                <w:rFonts w:ascii="Calibri" w:eastAsia="Calibri" w:hAnsi="Calibri" w:cs="Calibri"/>
                <w:color w:val="000000"/>
                <w:sz w:val="16"/>
              </w:rPr>
              <w:t>self-reported</w:t>
            </w:r>
            <w:r w:rsidRPr="00000849">
              <w:rPr>
                <w:rFonts w:ascii="Calibri" w:eastAsia="Calibri" w:hAnsi="Calibri" w:cs="Calibri"/>
                <w:color w:val="000000"/>
                <w:sz w:val="16"/>
              </w:rPr>
              <w:t xml:space="preserve"> conditions (diabetes, stroke, arthritis), overall self-reported health status (moderate), being overweight (BMI ≥25 kg/m</w:t>
            </w:r>
            <w:r w:rsidRPr="00000849">
              <w:rPr>
                <w:rFonts w:ascii="Calibri" w:eastAsia="Calibri" w:hAnsi="Calibri" w:cs="Calibri"/>
                <w:color w:val="000000"/>
                <w:sz w:val="16"/>
                <w:vertAlign w:val="superscript"/>
              </w:rPr>
              <w:t>2</w:t>
            </w:r>
            <w:r w:rsidRPr="00000849">
              <w:rPr>
                <w:rFonts w:ascii="Calibri" w:eastAsia="Calibri" w:hAnsi="Calibri" w:cs="Calibri"/>
                <w:color w:val="000000"/>
                <w:sz w:val="16"/>
              </w:rPr>
              <w:t>); having had ≥5 outpatient visits in past 12 months; overweight, severe dependency</w:t>
            </w:r>
          </w:p>
        </w:tc>
        <w:tc>
          <w:tcPr>
            <w:tcW w:w="581" w:type="pct"/>
            <w:gridSpan w:val="2"/>
          </w:tcPr>
          <w:p w14:paraId="124643A8" w14:textId="77777777" w:rsidR="00BC221F" w:rsidRPr="00000849" w:rsidRDefault="00BC221F" w:rsidP="00AC6D4B">
            <w:pPr>
              <w:spacing w:after="0" w:line="259" w:lineRule="auto"/>
              <w:ind w:right="133"/>
            </w:pPr>
            <w:r w:rsidRPr="00000849">
              <w:rPr>
                <w:rFonts w:ascii="Calibri" w:eastAsia="Calibri" w:hAnsi="Calibri" w:cs="Calibri"/>
                <w:color w:val="000000"/>
                <w:sz w:val="16"/>
              </w:rPr>
              <w:t>alcohol use in past month; underweight (BMI &lt; 18.5 kg/m</w:t>
            </w:r>
            <w:r w:rsidRPr="00000849">
              <w:rPr>
                <w:rFonts w:ascii="Calibri" w:eastAsia="Calibri" w:hAnsi="Calibri" w:cs="Calibri"/>
                <w:color w:val="000000"/>
                <w:sz w:val="16"/>
                <w:vertAlign w:val="superscript"/>
              </w:rPr>
              <w:t>2</w:t>
            </w:r>
            <w:r w:rsidRPr="00000849">
              <w:rPr>
                <w:rFonts w:ascii="Calibri" w:eastAsia="Calibri" w:hAnsi="Calibri" w:cs="Calibri"/>
                <w:color w:val="000000"/>
                <w:sz w:val="16"/>
              </w:rPr>
              <w:t>)</w:t>
            </w:r>
          </w:p>
        </w:tc>
        <w:tc>
          <w:tcPr>
            <w:tcW w:w="547" w:type="pct"/>
          </w:tcPr>
          <w:p w14:paraId="5036C032" w14:textId="793B37F9" w:rsidR="00BC221F" w:rsidRPr="00000849" w:rsidRDefault="00BC221F" w:rsidP="00AF0A80">
            <w:pPr>
              <w:spacing w:after="0" w:line="221" w:lineRule="auto"/>
            </w:pPr>
            <w:r w:rsidRPr="00000849">
              <w:rPr>
                <w:rFonts w:ascii="Calibri" w:eastAsia="Calibri" w:hAnsi="Calibri" w:cs="Calibri"/>
                <w:color w:val="000000"/>
                <w:sz w:val="16"/>
              </w:rPr>
              <w:t>marital status, educational level, wealth, urban-rural residence, physical</w:t>
            </w:r>
            <w:r w:rsidR="00AF0A80" w:rsidRPr="00000849">
              <w:rPr>
                <w:rFonts w:ascii="Calibri" w:eastAsia="Calibri" w:hAnsi="Calibri" w:cs="Calibri"/>
                <w:color w:val="000000"/>
                <w:sz w:val="16"/>
              </w:rPr>
              <w:t xml:space="preserve"> </w:t>
            </w:r>
            <w:r w:rsidRPr="00000849">
              <w:rPr>
                <w:rFonts w:ascii="Calibri" w:eastAsia="Calibri" w:hAnsi="Calibri" w:cs="Calibri"/>
                <w:color w:val="000000"/>
                <w:sz w:val="16"/>
              </w:rPr>
              <w:t>activity, daily tobacco use, fruit and vegetable intake, social cohesion index</w:t>
            </w:r>
          </w:p>
        </w:tc>
        <w:tc>
          <w:tcPr>
            <w:tcW w:w="785" w:type="pct"/>
          </w:tcPr>
          <w:p w14:paraId="1D4C0F64" w14:textId="5DBB771C" w:rsidR="00BC221F" w:rsidRPr="00000849" w:rsidRDefault="00BC221F" w:rsidP="00A443DB">
            <w:pPr>
              <w:spacing w:after="0" w:line="221" w:lineRule="auto"/>
            </w:pPr>
            <w:r w:rsidRPr="00000849">
              <w:rPr>
                <w:rFonts w:ascii="Calibri" w:eastAsia="Calibri" w:hAnsi="Calibri" w:cs="Calibri"/>
                <w:color w:val="000000"/>
                <w:sz w:val="16"/>
              </w:rPr>
              <w:t>Coloured race, self</w:t>
            </w:r>
            <w:r w:rsidR="00AF0A80" w:rsidRPr="00000849">
              <w:rPr>
                <w:rFonts w:ascii="Calibri" w:eastAsia="Calibri" w:hAnsi="Calibri" w:cs="Calibri"/>
                <w:color w:val="000000"/>
                <w:sz w:val="16"/>
              </w:rPr>
              <w:t>-</w:t>
            </w:r>
            <w:r w:rsidRPr="00000849">
              <w:rPr>
                <w:rFonts w:ascii="Calibri" w:eastAsia="Calibri" w:hAnsi="Calibri" w:cs="Calibri"/>
                <w:color w:val="000000"/>
                <w:sz w:val="16"/>
              </w:rPr>
              <w:t>reported history of stroke, frequent outpatient visits in</w:t>
            </w:r>
            <w:r w:rsidR="00A443DB" w:rsidRPr="00000849">
              <w:rPr>
                <w:rFonts w:ascii="Calibri" w:eastAsia="Calibri" w:hAnsi="Calibri" w:cs="Calibri"/>
                <w:color w:val="000000"/>
                <w:sz w:val="16"/>
              </w:rPr>
              <w:t xml:space="preserve"> </w:t>
            </w:r>
            <w:r w:rsidRPr="00000849">
              <w:rPr>
                <w:rFonts w:ascii="Calibri" w:eastAsia="Calibri" w:hAnsi="Calibri" w:cs="Calibri"/>
                <w:color w:val="000000"/>
                <w:sz w:val="16"/>
              </w:rPr>
              <w:t>the past 12 months</w:t>
            </w:r>
          </w:p>
        </w:tc>
        <w:tc>
          <w:tcPr>
            <w:tcW w:w="445" w:type="pct"/>
          </w:tcPr>
          <w:p w14:paraId="09F7341E" w14:textId="77777777" w:rsidR="00BC221F" w:rsidRPr="00000849" w:rsidRDefault="00BC221F" w:rsidP="00AC6D4B">
            <w:pPr>
              <w:spacing w:after="0" w:line="259" w:lineRule="auto"/>
            </w:pPr>
            <w:r w:rsidRPr="00000849">
              <w:rPr>
                <w:rFonts w:ascii="Calibri" w:eastAsia="Calibri" w:hAnsi="Calibri" w:cs="Calibri"/>
                <w:color w:val="000000"/>
                <w:sz w:val="16"/>
              </w:rPr>
              <w:t>alcohol use in past month</w:t>
            </w:r>
          </w:p>
        </w:tc>
        <w:tc>
          <w:tcPr>
            <w:tcW w:w="899" w:type="pct"/>
          </w:tcPr>
          <w:p w14:paraId="1CCC835D" w14:textId="23161846" w:rsidR="00BC221F" w:rsidRPr="00000849" w:rsidRDefault="00BC221F" w:rsidP="0015701B">
            <w:pPr>
              <w:spacing w:after="0" w:line="221" w:lineRule="auto"/>
            </w:pPr>
            <w:r w:rsidRPr="00000849">
              <w:rPr>
                <w:rFonts w:ascii="Calibri" w:eastAsia="Calibri" w:hAnsi="Calibri" w:cs="Calibri"/>
                <w:color w:val="000000"/>
                <w:sz w:val="16"/>
              </w:rPr>
              <w:t>Age, sex, marital status, past medical history of diabetes, subject health status, activity limitation</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(dependency)</w:t>
            </w:r>
          </w:p>
        </w:tc>
      </w:tr>
      <w:tr w:rsidR="000E6949" w:rsidRPr="00000849" w14:paraId="5A08AC36" w14:textId="77777777" w:rsidTr="003A3CF1">
        <w:trPr>
          <w:cnfStyle w:val="000000100000" w:firstRow="0" w:lastRow="0" w:firstColumn="0" w:lastColumn="0" w:oddVBand="0" w:evenVBand="0" w:oddHBand="1" w:evenHBand="0" w:firstRowFirstColumn="0" w:firstRowLastColumn="0" w:lastRowFirstColumn="0" w:lastRowLastColumn="0"/>
          <w:trHeight w:val="1880"/>
        </w:trPr>
        <w:tc>
          <w:tcPr>
            <w:tcW w:w="168" w:type="pct"/>
          </w:tcPr>
          <w:p w14:paraId="3DFAF11E" w14:textId="77777777" w:rsidR="00BC221F" w:rsidRPr="00000849" w:rsidRDefault="00BC221F" w:rsidP="00AC6D4B">
            <w:pPr>
              <w:spacing w:after="0" w:line="259" w:lineRule="auto"/>
            </w:pPr>
            <w:r w:rsidRPr="00000849">
              <w:rPr>
                <w:rFonts w:ascii="Calibri" w:eastAsia="Calibri" w:hAnsi="Calibri" w:cs="Calibri"/>
                <w:color w:val="000000"/>
                <w:sz w:val="16"/>
              </w:rPr>
              <w:t>15</w:t>
            </w:r>
          </w:p>
        </w:tc>
        <w:tc>
          <w:tcPr>
            <w:tcW w:w="347" w:type="pct"/>
            <w:gridSpan w:val="2"/>
          </w:tcPr>
          <w:p w14:paraId="3E01F1C9" w14:textId="57586997" w:rsidR="00BC221F" w:rsidRPr="00000849" w:rsidRDefault="00BC221F" w:rsidP="00AF0A80">
            <w:pPr>
              <w:spacing w:after="0" w:line="259" w:lineRule="auto"/>
            </w:pPr>
            <w:r w:rsidRPr="00000849">
              <w:rPr>
                <w:rFonts w:ascii="Calibri" w:eastAsia="Calibri" w:hAnsi="Calibri" w:cs="Calibri"/>
                <w:color w:val="000000"/>
                <w:sz w:val="16"/>
              </w:rPr>
              <w:t>CAR,</w:t>
            </w:r>
            <w:r w:rsidR="00AF0A80" w:rsidRPr="00000849">
              <w:rPr>
                <w:rFonts w:ascii="Calibri" w:eastAsia="Calibri" w:hAnsi="Calibri" w:cs="Calibri"/>
                <w:color w:val="000000"/>
                <w:sz w:val="16"/>
              </w:rPr>
              <w:t xml:space="preserve"> </w:t>
            </w:r>
            <w:r w:rsidRPr="00000849">
              <w:rPr>
                <w:rFonts w:ascii="Calibri" w:eastAsia="Calibri" w:hAnsi="Calibri" w:cs="Calibri"/>
                <w:color w:val="000000"/>
                <w:sz w:val="16"/>
              </w:rPr>
              <w:t>Congo</w:t>
            </w:r>
          </w:p>
        </w:tc>
        <w:tc>
          <w:tcPr>
            <w:tcW w:w="422" w:type="pct"/>
          </w:tcPr>
          <w:p w14:paraId="6BA57752" w14:textId="77777777" w:rsidR="00BC221F" w:rsidRPr="00000849" w:rsidRDefault="00BC221F" w:rsidP="00AC6D4B">
            <w:pPr>
              <w:spacing w:after="0" w:line="259" w:lineRule="auto"/>
              <w:ind w:right="14"/>
            </w:pPr>
            <w:r w:rsidRPr="00000849">
              <w:rPr>
                <w:rFonts w:ascii="Calibri" w:eastAsia="Calibri" w:hAnsi="Calibri" w:cs="Calibri"/>
                <w:color w:val="000000"/>
                <w:sz w:val="16"/>
              </w:rPr>
              <w:t>Pilleron 2017 [</w:t>
            </w:r>
            <w:r w:rsidRPr="00000849">
              <w:rPr>
                <w:rFonts w:ascii="Calibri" w:eastAsia="Calibri" w:hAnsi="Calibri" w:cs="Calibri"/>
                <w:color w:val="0000FF"/>
                <w:sz w:val="16"/>
              </w:rPr>
              <w:t>36</w:t>
            </w:r>
            <w:r w:rsidRPr="00000849">
              <w:rPr>
                <w:rFonts w:ascii="Calibri" w:eastAsia="Calibri" w:hAnsi="Calibri" w:cs="Calibri"/>
                <w:color w:val="000000"/>
                <w:sz w:val="16"/>
              </w:rPr>
              <w:t>]</w:t>
            </w:r>
          </w:p>
        </w:tc>
        <w:tc>
          <w:tcPr>
            <w:tcW w:w="806" w:type="pct"/>
          </w:tcPr>
          <w:p w14:paraId="45DF73AF" w14:textId="77777777" w:rsidR="00BC221F" w:rsidRPr="00000849" w:rsidRDefault="00BC221F" w:rsidP="00AC6D4B">
            <w:pPr>
              <w:spacing w:after="0" w:line="259" w:lineRule="auto"/>
              <w:ind w:right="145"/>
            </w:pPr>
            <w:r w:rsidRPr="00000849">
              <w:rPr>
                <w:rFonts w:ascii="Calibri" w:eastAsia="Calibri" w:hAnsi="Calibri" w:cs="Calibri"/>
                <w:color w:val="000000"/>
                <w:sz w:val="16"/>
              </w:rPr>
              <w:t>Female sex, increasing age, living in Republic of Congo, urban residence, previous occupation as craftsman/ storekeeper or being jobless, increasing BMI, high cholesterol, eating 3 or more meals daily</w:t>
            </w:r>
          </w:p>
        </w:tc>
        <w:tc>
          <w:tcPr>
            <w:tcW w:w="581" w:type="pct"/>
            <w:gridSpan w:val="2"/>
          </w:tcPr>
          <w:p w14:paraId="657BF18F" w14:textId="4F724D24" w:rsidR="00BC221F" w:rsidRPr="00000849" w:rsidRDefault="00BC221F" w:rsidP="00A443DB">
            <w:pPr>
              <w:spacing w:after="27" w:line="222" w:lineRule="auto"/>
              <w:ind w:right="33"/>
            </w:pPr>
            <w:r w:rsidRPr="00000849">
              <w:rPr>
                <w:rFonts w:ascii="Calibri" w:eastAsia="Calibri" w:hAnsi="Calibri" w:cs="Calibri"/>
                <w:color w:val="000000"/>
                <w:sz w:val="16"/>
              </w:rPr>
              <w:t>current smoker, high physical</w:t>
            </w:r>
            <w:r w:rsidR="00A443DB" w:rsidRPr="00000849">
              <w:rPr>
                <w:rFonts w:ascii="Calibri" w:eastAsia="Calibri" w:hAnsi="Calibri" w:cs="Calibri"/>
                <w:color w:val="000000"/>
                <w:sz w:val="16"/>
              </w:rPr>
              <w:t xml:space="preserve"> </w:t>
            </w:r>
            <w:r w:rsidRPr="00000849">
              <w:rPr>
                <w:rFonts w:ascii="Calibri" w:eastAsia="Calibri" w:hAnsi="Calibri" w:cs="Calibri"/>
                <w:color w:val="000000"/>
                <w:sz w:val="16"/>
              </w:rPr>
              <w:t>activity ≥150 min/wk</w:t>
            </w:r>
          </w:p>
        </w:tc>
        <w:tc>
          <w:tcPr>
            <w:tcW w:w="547" w:type="pct"/>
          </w:tcPr>
          <w:p w14:paraId="5EEEE5B8" w14:textId="77777777" w:rsidR="00BC221F" w:rsidRPr="00000849" w:rsidRDefault="00BC221F" w:rsidP="00AC6D4B">
            <w:pPr>
              <w:spacing w:after="0" w:line="259" w:lineRule="auto"/>
              <w:ind w:right="88"/>
            </w:pPr>
            <w:r w:rsidRPr="00000849">
              <w:rPr>
                <w:rFonts w:ascii="Calibri" w:eastAsia="Calibri" w:hAnsi="Calibri" w:cs="Calibri"/>
                <w:color w:val="000000"/>
                <w:sz w:val="16"/>
              </w:rPr>
              <w:t>marital status, primary education, diabetes by measurement, alcohol intake</w:t>
            </w:r>
          </w:p>
        </w:tc>
        <w:tc>
          <w:tcPr>
            <w:tcW w:w="785" w:type="pct"/>
          </w:tcPr>
          <w:p w14:paraId="41523CC4" w14:textId="16E078EB" w:rsidR="00BC221F" w:rsidRPr="00000849" w:rsidRDefault="00BC221F" w:rsidP="00A443DB">
            <w:pPr>
              <w:spacing w:after="0" w:line="221" w:lineRule="auto"/>
              <w:ind w:right="169"/>
            </w:pPr>
            <w:r w:rsidRPr="00000849">
              <w:rPr>
                <w:rFonts w:ascii="Calibri" w:eastAsia="Calibri" w:hAnsi="Calibri" w:cs="Calibri"/>
                <w:color w:val="000000"/>
                <w:sz w:val="16"/>
              </w:rPr>
              <w:t>increasing age, living in Congo, previous occupation as craftsman/ storekeeper or being jobless,</w:t>
            </w:r>
            <w:r w:rsidR="00A443DB" w:rsidRPr="00000849">
              <w:rPr>
                <w:rFonts w:ascii="Calibri" w:eastAsia="Calibri" w:hAnsi="Calibri" w:cs="Calibri"/>
                <w:color w:val="000000"/>
                <w:sz w:val="16"/>
              </w:rPr>
              <w:t xml:space="preserve"> </w:t>
            </w:r>
            <w:r w:rsidRPr="00000849">
              <w:rPr>
                <w:rFonts w:ascii="Calibri" w:eastAsia="Calibri" w:hAnsi="Calibri" w:cs="Calibri"/>
                <w:color w:val="000000"/>
                <w:sz w:val="16"/>
              </w:rPr>
              <w:t>increasing BMI, eating 3 or more meals daily</w:t>
            </w:r>
          </w:p>
        </w:tc>
        <w:tc>
          <w:tcPr>
            <w:tcW w:w="445" w:type="pct"/>
          </w:tcPr>
          <w:p w14:paraId="012B6F02" w14:textId="20F227DE" w:rsidR="00BC221F" w:rsidRPr="00000849" w:rsidRDefault="00BC221F" w:rsidP="00AF0A80">
            <w:pPr>
              <w:spacing w:after="0" w:line="222" w:lineRule="auto"/>
            </w:pPr>
            <w:r w:rsidRPr="00000849">
              <w:rPr>
                <w:rFonts w:ascii="Calibri" w:eastAsia="Calibri" w:hAnsi="Calibri" w:cs="Calibri"/>
                <w:color w:val="000000"/>
                <w:sz w:val="16"/>
              </w:rPr>
              <w:t>current or ex</w:t>
            </w:r>
            <w:r w:rsidR="00AF0A80" w:rsidRPr="00000849">
              <w:rPr>
                <w:rFonts w:ascii="Calibri" w:eastAsia="Calibri" w:hAnsi="Calibri" w:cs="Calibri"/>
                <w:color w:val="000000"/>
                <w:sz w:val="16"/>
              </w:rPr>
              <w:t>-</w:t>
            </w:r>
            <w:r w:rsidRPr="00000849">
              <w:rPr>
                <w:rFonts w:ascii="Calibri" w:eastAsia="Calibri" w:hAnsi="Calibri" w:cs="Calibri"/>
                <w:color w:val="000000"/>
                <w:sz w:val="16"/>
              </w:rPr>
              <w:t>smoker, high</w:t>
            </w:r>
            <w:r w:rsidR="00AF0A80" w:rsidRPr="00000849">
              <w:rPr>
                <w:rFonts w:ascii="Calibri" w:eastAsia="Calibri" w:hAnsi="Calibri" w:cs="Calibri"/>
                <w:color w:val="000000"/>
                <w:sz w:val="16"/>
              </w:rPr>
              <w:t xml:space="preserve"> </w:t>
            </w:r>
            <w:r w:rsidRPr="00000849">
              <w:rPr>
                <w:rFonts w:ascii="Calibri" w:eastAsia="Calibri" w:hAnsi="Calibri" w:cs="Calibri"/>
                <w:color w:val="000000"/>
                <w:sz w:val="16"/>
              </w:rPr>
              <w:t>physical activity ≥150 min/ wk</w:t>
            </w:r>
          </w:p>
        </w:tc>
        <w:tc>
          <w:tcPr>
            <w:tcW w:w="899" w:type="pct"/>
          </w:tcPr>
          <w:p w14:paraId="2B4D92E2" w14:textId="4CC62958" w:rsidR="00BC221F" w:rsidRPr="00000849" w:rsidRDefault="00BC221F" w:rsidP="00AF0A80">
            <w:pPr>
              <w:spacing w:after="0" w:line="222" w:lineRule="auto"/>
              <w:rPr>
                <w:lang w:val="en-GB"/>
              </w:rPr>
            </w:pPr>
            <w:r w:rsidRPr="00000849">
              <w:rPr>
                <w:rFonts w:ascii="Calibri" w:eastAsia="Calibri" w:hAnsi="Calibri" w:cs="Calibri"/>
                <w:color w:val="000000"/>
                <w:sz w:val="16"/>
              </w:rPr>
              <w:t>sex, rural-urban residence, primary education, cholesterol</w:t>
            </w:r>
            <w:r w:rsidR="00AF0A80" w:rsidRPr="00000849">
              <w:rPr>
                <w:rFonts w:ascii="Calibri" w:eastAsia="Calibri" w:hAnsi="Calibri" w:cs="Calibri"/>
                <w:color w:val="000000"/>
                <w:sz w:val="16"/>
              </w:rPr>
              <w:t xml:space="preserve"> </w:t>
            </w:r>
            <w:r w:rsidRPr="00000849">
              <w:rPr>
                <w:rFonts w:ascii="Calibri" w:eastAsia="Calibri" w:hAnsi="Calibri" w:cs="Calibri"/>
                <w:color w:val="000000"/>
                <w:sz w:val="16"/>
                <w:lang w:val="en-GB"/>
              </w:rPr>
              <w:t>level, diabetes, alcohol consumption</w:t>
            </w:r>
          </w:p>
        </w:tc>
      </w:tr>
      <w:tr w:rsidR="000E6949" w:rsidRPr="00000849" w14:paraId="723BBC0B" w14:textId="77777777" w:rsidTr="003A3CF1">
        <w:trPr>
          <w:trHeight w:val="1541"/>
        </w:trPr>
        <w:tc>
          <w:tcPr>
            <w:tcW w:w="168" w:type="pct"/>
          </w:tcPr>
          <w:p w14:paraId="19C371BB" w14:textId="77777777" w:rsidR="00BC221F" w:rsidRPr="00000849" w:rsidRDefault="00BC221F" w:rsidP="00AC6D4B">
            <w:pPr>
              <w:spacing w:after="0" w:line="259" w:lineRule="auto"/>
            </w:pPr>
            <w:r w:rsidRPr="00000849">
              <w:rPr>
                <w:rFonts w:ascii="Calibri" w:eastAsia="Calibri" w:hAnsi="Calibri" w:cs="Calibri"/>
                <w:color w:val="000000"/>
                <w:sz w:val="16"/>
              </w:rPr>
              <w:t>16</w:t>
            </w:r>
          </w:p>
        </w:tc>
        <w:tc>
          <w:tcPr>
            <w:tcW w:w="347" w:type="pct"/>
            <w:gridSpan w:val="2"/>
          </w:tcPr>
          <w:p w14:paraId="79EECBCD" w14:textId="77777777" w:rsidR="00BC221F" w:rsidRPr="00000849" w:rsidRDefault="00BC221F" w:rsidP="00AC6D4B">
            <w:pPr>
              <w:spacing w:after="0" w:line="259" w:lineRule="auto"/>
            </w:pPr>
            <w:r w:rsidRPr="00000849">
              <w:rPr>
                <w:rFonts w:ascii="Calibri" w:eastAsia="Calibri" w:hAnsi="Calibri" w:cs="Calibri"/>
                <w:color w:val="000000"/>
                <w:sz w:val="16"/>
              </w:rPr>
              <w:t>Nigeria</w:t>
            </w:r>
          </w:p>
        </w:tc>
        <w:tc>
          <w:tcPr>
            <w:tcW w:w="422" w:type="pct"/>
          </w:tcPr>
          <w:p w14:paraId="590D7281" w14:textId="77777777" w:rsidR="00BC221F" w:rsidRPr="00000849" w:rsidRDefault="00BC221F" w:rsidP="00AC6D4B">
            <w:pPr>
              <w:spacing w:after="0" w:line="259" w:lineRule="auto"/>
            </w:pPr>
            <w:r w:rsidRPr="00000849">
              <w:rPr>
                <w:rFonts w:ascii="Calibri" w:eastAsia="Calibri" w:hAnsi="Calibri" w:cs="Calibri"/>
                <w:color w:val="000000"/>
                <w:sz w:val="16"/>
              </w:rPr>
              <w:t>Raji 2017 [</w:t>
            </w:r>
            <w:r w:rsidRPr="00000849">
              <w:rPr>
                <w:rFonts w:ascii="Calibri" w:eastAsia="Calibri" w:hAnsi="Calibri" w:cs="Calibri"/>
                <w:color w:val="0000FF"/>
                <w:sz w:val="16"/>
              </w:rPr>
              <w:t>37</w:t>
            </w:r>
            <w:r w:rsidRPr="00000849">
              <w:rPr>
                <w:rFonts w:ascii="Calibri" w:eastAsia="Calibri" w:hAnsi="Calibri" w:cs="Calibri"/>
                <w:color w:val="000000"/>
                <w:sz w:val="16"/>
              </w:rPr>
              <w:t>]</w:t>
            </w:r>
          </w:p>
        </w:tc>
        <w:tc>
          <w:tcPr>
            <w:tcW w:w="806" w:type="pct"/>
          </w:tcPr>
          <w:p w14:paraId="73EEA297" w14:textId="77777777" w:rsidR="00BC221F" w:rsidRPr="00000849" w:rsidRDefault="00BC221F" w:rsidP="00AC6D4B">
            <w:pPr>
              <w:spacing w:after="0" w:line="259" w:lineRule="auto"/>
              <w:ind w:right="148"/>
            </w:pPr>
            <w:r w:rsidRPr="00000849">
              <w:rPr>
                <w:rFonts w:ascii="Calibri" w:eastAsia="Calibri" w:hAnsi="Calibri" w:cs="Calibri"/>
                <w:color w:val="000000"/>
                <w:sz w:val="16"/>
              </w:rPr>
              <w:t>female sex, unmarried, urban residence, never smoked, never drank alcohol, overweight/ obesity</w:t>
            </w:r>
          </w:p>
        </w:tc>
        <w:tc>
          <w:tcPr>
            <w:tcW w:w="581" w:type="pct"/>
            <w:gridSpan w:val="2"/>
          </w:tcPr>
          <w:p w14:paraId="24E071FE" w14:textId="77777777" w:rsidR="00BC221F" w:rsidRPr="00000849" w:rsidRDefault="00BC221F" w:rsidP="00AC6D4B">
            <w:pPr>
              <w:spacing w:after="160" w:line="259" w:lineRule="auto"/>
            </w:pPr>
          </w:p>
        </w:tc>
        <w:tc>
          <w:tcPr>
            <w:tcW w:w="547" w:type="pct"/>
          </w:tcPr>
          <w:p w14:paraId="5181EFEB" w14:textId="77777777" w:rsidR="00BC221F" w:rsidRPr="00000849" w:rsidRDefault="00BC221F" w:rsidP="00AC6D4B">
            <w:pPr>
              <w:spacing w:after="0" w:line="259" w:lineRule="auto"/>
              <w:ind w:right="70"/>
            </w:pPr>
            <w:r w:rsidRPr="00000849">
              <w:rPr>
                <w:rFonts w:ascii="Calibri" w:eastAsia="Calibri" w:hAnsi="Calibri" w:cs="Calibri"/>
                <w:color w:val="000000"/>
                <w:sz w:val="16"/>
              </w:rPr>
              <w:t>older age, educational level, socioeconomic class, self-reported dia betes, history of transient ischaemic attack, diagnosis of lifetime depression</w:t>
            </w:r>
          </w:p>
        </w:tc>
        <w:tc>
          <w:tcPr>
            <w:tcW w:w="785" w:type="pct"/>
          </w:tcPr>
          <w:p w14:paraId="00DDF1A0" w14:textId="4213D70B" w:rsidR="00BC221F" w:rsidRPr="00000849" w:rsidRDefault="00BC221F" w:rsidP="00AC6D4B">
            <w:pPr>
              <w:spacing w:after="0" w:line="259" w:lineRule="auto"/>
              <w:ind w:right="26"/>
            </w:pPr>
            <w:r w:rsidRPr="00000849">
              <w:rPr>
                <w:rFonts w:ascii="Calibri" w:eastAsia="Calibri" w:hAnsi="Calibri" w:cs="Calibri"/>
                <w:color w:val="000000"/>
                <w:sz w:val="16"/>
              </w:rPr>
              <w:t>high educational level, urban or semi-urban residence, overweight/ obesity</w:t>
            </w:r>
          </w:p>
        </w:tc>
        <w:tc>
          <w:tcPr>
            <w:tcW w:w="445" w:type="pct"/>
          </w:tcPr>
          <w:p w14:paraId="430EA3B4" w14:textId="691EF02B" w:rsidR="00BC221F" w:rsidRPr="00000849" w:rsidRDefault="00BC221F" w:rsidP="00AF0A80">
            <w:pPr>
              <w:spacing w:after="0" w:line="259" w:lineRule="auto"/>
            </w:pPr>
            <w:r w:rsidRPr="00000849">
              <w:rPr>
                <w:rFonts w:ascii="Calibri" w:eastAsia="Calibri" w:hAnsi="Calibri" w:cs="Calibri"/>
                <w:color w:val="000000"/>
                <w:sz w:val="16"/>
              </w:rPr>
              <w:t>female sex,</w:t>
            </w:r>
            <w:r w:rsidR="00AF0A80" w:rsidRPr="00000849">
              <w:rPr>
                <w:rFonts w:ascii="Calibri" w:eastAsia="Calibri" w:hAnsi="Calibri" w:cs="Calibri"/>
                <w:color w:val="000000"/>
                <w:sz w:val="16"/>
              </w:rPr>
              <w:t xml:space="preserve"> </w:t>
            </w:r>
            <w:r w:rsidRPr="00000849">
              <w:rPr>
                <w:rFonts w:ascii="Calibri" w:eastAsia="Calibri" w:hAnsi="Calibri" w:cs="Calibri"/>
                <w:color w:val="000000"/>
                <w:sz w:val="16"/>
              </w:rPr>
              <w:t>currently unmarried</w:t>
            </w:r>
          </w:p>
        </w:tc>
        <w:tc>
          <w:tcPr>
            <w:tcW w:w="899" w:type="pct"/>
          </w:tcPr>
          <w:p w14:paraId="23AB006B" w14:textId="45FE2665" w:rsidR="00BC221F" w:rsidRPr="00000849" w:rsidRDefault="00BC221F" w:rsidP="00AC6D4B">
            <w:pPr>
              <w:spacing w:after="0" w:line="259" w:lineRule="auto"/>
            </w:pPr>
            <w:r w:rsidRPr="00000849">
              <w:rPr>
                <w:rFonts w:ascii="Calibri" w:eastAsia="Calibri" w:hAnsi="Calibri" w:cs="Calibri"/>
                <w:color w:val="000000"/>
                <w:sz w:val="16"/>
              </w:rPr>
              <w:t>older age, high SES, current smoking, current alcohol consumption, absence of self</w:t>
            </w:r>
            <w:r w:rsidR="00AF0A80" w:rsidRPr="00000849">
              <w:rPr>
                <w:rFonts w:ascii="Calibri" w:eastAsia="Calibri" w:hAnsi="Calibri" w:cs="Calibri"/>
                <w:color w:val="000000"/>
                <w:sz w:val="16"/>
              </w:rPr>
              <w:t>-</w:t>
            </w:r>
            <w:r w:rsidRPr="00000849">
              <w:rPr>
                <w:rFonts w:ascii="Calibri" w:eastAsia="Calibri" w:hAnsi="Calibri" w:cs="Calibri"/>
                <w:color w:val="000000"/>
                <w:sz w:val="16"/>
              </w:rPr>
              <w:t>reported diabetes</w:t>
            </w:r>
          </w:p>
        </w:tc>
      </w:tr>
      <w:tr w:rsidR="000E6949" w:rsidRPr="00000849" w14:paraId="1B8ED1B2" w14:textId="77777777" w:rsidTr="003A3CF1">
        <w:trPr>
          <w:cnfStyle w:val="000000100000" w:firstRow="0" w:lastRow="0" w:firstColumn="0" w:lastColumn="0" w:oddVBand="0" w:evenVBand="0" w:oddHBand="1" w:evenHBand="0" w:firstRowFirstColumn="0" w:firstRowLastColumn="0" w:lastRowFirstColumn="0" w:lastRowLastColumn="0"/>
          <w:trHeight w:val="573"/>
        </w:trPr>
        <w:tc>
          <w:tcPr>
            <w:tcW w:w="168" w:type="pct"/>
          </w:tcPr>
          <w:p w14:paraId="78A9F485" w14:textId="77777777" w:rsidR="00BC221F" w:rsidRPr="00000849" w:rsidRDefault="00BC221F" w:rsidP="00AC6D4B">
            <w:pPr>
              <w:spacing w:after="0" w:line="259" w:lineRule="auto"/>
            </w:pPr>
            <w:r w:rsidRPr="00000849">
              <w:rPr>
                <w:rFonts w:ascii="Calibri" w:eastAsia="Calibri" w:hAnsi="Calibri" w:cs="Calibri"/>
                <w:color w:val="000000"/>
                <w:sz w:val="16"/>
              </w:rPr>
              <w:t>17</w:t>
            </w:r>
          </w:p>
        </w:tc>
        <w:tc>
          <w:tcPr>
            <w:tcW w:w="347" w:type="pct"/>
            <w:gridSpan w:val="2"/>
          </w:tcPr>
          <w:p w14:paraId="2B167C57" w14:textId="77777777" w:rsidR="00BC221F" w:rsidRPr="00000849" w:rsidRDefault="00BC221F" w:rsidP="00AC6D4B">
            <w:pPr>
              <w:spacing w:after="0" w:line="259" w:lineRule="auto"/>
            </w:pPr>
            <w:r w:rsidRPr="00000849">
              <w:rPr>
                <w:rFonts w:ascii="Calibri" w:eastAsia="Calibri" w:hAnsi="Calibri" w:cs="Calibri"/>
                <w:color w:val="000000"/>
                <w:sz w:val="16"/>
              </w:rPr>
              <w:t>Uganda</w:t>
            </w:r>
          </w:p>
        </w:tc>
        <w:tc>
          <w:tcPr>
            <w:tcW w:w="422" w:type="pct"/>
          </w:tcPr>
          <w:p w14:paraId="3D8D3889" w14:textId="59227F7B" w:rsidR="00BC221F" w:rsidRPr="00000849" w:rsidRDefault="00BC221F" w:rsidP="0015701B">
            <w:pPr>
              <w:spacing w:after="0" w:line="259" w:lineRule="auto"/>
            </w:pPr>
            <w:r w:rsidRPr="00000849">
              <w:rPr>
                <w:rFonts w:ascii="Calibri" w:eastAsia="Calibri" w:hAnsi="Calibri" w:cs="Calibri"/>
                <w:color w:val="000000"/>
                <w:sz w:val="16"/>
              </w:rPr>
              <w:t>Scholten</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2011 [</w:t>
            </w:r>
            <w:r w:rsidRPr="00000849">
              <w:rPr>
                <w:rFonts w:ascii="Calibri" w:eastAsia="Calibri" w:hAnsi="Calibri" w:cs="Calibri"/>
                <w:color w:val="0000FF"/>
                <w:sz w:val="16"/>
              </w:rPr>
              <w:t>38</w:t>
            </w:r>
            <w:r w:rsidRPr="00000849">
              <w:rPr>
                <w:rFonts w:ascii="Calibri" w:eastAsia="Calibri" w:hAnsi="Calibri" w:cs="Calibri"/>
                <w:color w:val="000000"/>
                <w:sz w:val="16"/>
              </w:rPr>
              <w:t>]</w:t>
            </w:r>
          </w:p>
        </w:tc>
        <w:tc>
          <w:tcPr>
            <w:tcW w:w="806" w:type="pct"/>
          </w:tcPr>
          <w:p w14:paraId="6DBEAE11" w14:textId="77777777" w:rsidR="00BC221F" w:rsidRPr="00000849" w:rsidRDefault="00BC221F" w:rsidP="00AC6D4B">
            <w:pPr>
              <w:spacing w:after="160" w:line="259" w:lineRule="auto"/>
            </w:pPr>
          </w:p>
        </w:tc>
        <w:tc>
          <w:tcPr>
            <w:tcW w:w="581" w:type="pct"/>
            <w:gridSpan w:val="2"/>
          </w:tcPr>
          <w:p w14:paraId="4728BB43" w14:textId="77777777" w:rsidR="00BC221F" w:rsidRPr="00000849" w:rsidRDefault="00BC221F" w:rsidP="00AC6D4B">
            <w:pPr>
              <w:spacing w:after="160" w:line="259" w:lineRule="auto"/>
            </w:pPr>
          </w:p>
        </w:tc>
        <w:tc>
          <w:tcPr>
            <w:tcW w:w="547" w:type="pct"/>
          </w:tcPr>
          <w:p w14:paraId="00A4C133" w14:textId="77777777" w:rsidR="00BC221F" w:rsidRPr="00000849" w:rsidRDefault="00BC221F" w:rsidP="00AC6D4B">
            <w:pPr>
              <w:spacing w:after="160" w:line="259" w:lineRule="auto"/>
            </w:pPr>
          </w:p>
        </w:tc>
        <w:tc>
          <w:tcPr>
            <w:tcW w:w="785" w:type="pct"/>
          </w:tcPr>
          <w:p w14:paraId="4B947C6C" w14:textId="77777777" w:rsidR="00BC221F" w:rsidRPr="00000849" w:rsidRDefault="00BC221F" w:rsidP="00AC6D4B">
            <w:pPr>
              <w:spacing w:after="0" w:line="259" w:lineRule="auto"/>
            </w:pPr>
            <w:r w:rsidRPr="00000849">
              <w:rPr>
                <w:rFonts w:ascii="Calibri" w:eastAsia="Calibri" w:hAnsi="Calibri" w:cs="Calibri"/>
                <w:color w:val="000000"/>
                <w:sz w:val="16"/>
              </w:rPr>
              <w:t>Older age, urban residence</w:t>
            </w:r>
          </w:p>
        </w:tc>
        <w:tc>
          <w:tcPr>
            <w:tcW w:w="445" w:type="pct"/>
          </w:tcPr>
          <w:p w14:paraId="0F8A1CE9" w14:textId="20655098" w:rsidR="00BC221F" w:rsidRPr="00000849" w:rsidRDefault="00BC221F" w:rsidP="0015701B">
            <w:pPr>
              <w:spacing w:after="0" w:line="259" w:lineRule="auto"/>
            </w:pPr>
            <w:r w:rsidRPr="00000849">
              <w:rPr>
                <w:rFonts w:ascii="Calibri" w:eastAsia="Calibri" w:hAnsi="Calibri" w:cs="Calibri"/>
                <w:color w:val="000000"/>
                <w:sz w:val="16"/>
              </w:rPr>
              <w:t>HIV infection</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(on or not on</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ART)</w:t>
            </w:r>
          </w:p>
        </w:tc>
        <w:tc>
          <w:tcPr>
            <w:tcW w:w="899" w:type="pct"/>
          </w:tcPr>
          <w:p w14:paraId="4083CE51" w14:textId="77777777" w:rsidR="00BC221F" w:rsidRPr="00000849" w:rsidRDefault="00BC221F" w:rsidP="00AC6D4B">
            <w:pPr>
              <w:spacing w:after="0" w:line="259" w:lineRule="auto"/>
            </w:pPr>
            <w:r w:rsidRPr="00000849">
              <w:rPr>
                <w:rFonts w:ascii="Calibri" w:eastAsia="Calibri" w:hAnsi="Calibri" w:cs="Calibri"/>
                <w:color w:val="000000"/>
                <w:sz w:val="16"/>
              </w:rPr>
              <w:t>sex, marital status, education</w:t>
            </w:r>
          </w:p>
        </w:tc>
      </w:tr>
      <w:tr w:rsidR="000E6949" w:rsidRPr="00000849" w14:paraId="53F03C40" w14:textId="77777777" w:rsidTr="003A3CF1">
        <w:trPr>
          <w:trHeight w:val="642"/>
        </w:trPr>
        <w:tc>
          <w:tcPr>
            <w:tcW w:w="168" w:type="pct"/>
          </w:tcPr>
          <w:p w14:paraId="5904A051" w14:textId="77777777" w:rsidR="00BC221F" w:rsidRPr="00000849" w:rsidRDefault="00BC221F" w:rsidP="00AC6D4B">
            <w:pPr>
              <w:spacing w:after="0" w:line="259" w:lineRule="auto"/>
            </w:pPr>
            <w:r w:rsidRPr="00000849">
              <w:rPr>
                <w:rFonts w:ascii="Calibri" w:eastAsia="Calibri" w:hAnsi="Calibri" w:cs="Calibri"/>
                <w:color w:val="000000"/>
                <w:sz w:val="16"/>
              </w:rPr>
              <w:t>18</w:t>
            </w:r>
          </w:p>
        </w:tc>
        <w:tc>
          <w:tcPr>
            <w:tcW w:w="347" w:type="pct"/>
            <w:gridSpan w:val="2"/>
          </w:tcPr>
          <w:p w14:paraId="2187212A" w14:textId="77777777" w:rsidR="00BC221F" w:rsidRPr="00000849" w:rsidRDefault="00BC221F" w:rsidP="00AC6D4B">
            <w:pPr>
              <w:spacing w:after="0" w:line="259" w:lineRule="auto"/>
            </w:pPr>
            <w:r w:rsidRPr="00000849">
              <w:rPr>
                <w:rFonts w:ascii="Calibri" w:eastAsia="Calibri" w:hAnsi="Calibri" w:cs="Calibri"/>
                <w:color w:val="000000"/>
                <w:sz w:val="16"/>
              </w:rPr>
              <w:t>Cameroon</w:t>
            </w:r>
          </w:p>
        </w:tc>
        <w:tc>
          <w:tcPr>
            <w:tcW w:w="422" w:type="pct"/>
          </w:tcPr>
          <w:p w14:paraId="798F3D93" w14:textId="2827104D" w:rsidR="00BC221F" w:rsidRPr="00000849" w:rsidRDefault="00BC221F" w:rsidP="0015701B">
            <w:pPr>
              <w:spacing w:after="0" w:line="259" w:lineRule="auto"/>
            </w:pPr>
            <w:r w:rsidRPr="00000849">
              <w:rPr>
                <w:rFonts w:ascii="Calibri" w:eastAsia="Calibri" w:hAnsi="Calibri" w:cs="Calibri"/>
                <w:color w:val="000000"/>
                <w:sz w:val="16"/>
              </w:rPr>
              <w:t>Tianyi</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2017 [</w:t>
            </w:r>
            <w:r w:rsidRPr="00000849">
              <w:rPr>
                <w:rFonts w:ascii="Calibri" w:eastAsia="Calibri" w:hAnsi="Calibri" w:cs="Calibri"/>
                <w:color w:val="0000FF"/>
                <w:sz w:val="16"/>
              </w:rPr>
              <w:t>39</w:t>
            </w:r>
            <w:r w:rsidRPr="00000849">
              <w:rPr>
                <w:rFonts w:ascii="Calibri" w:eastAsia="Calibri" w:hAnsi="Calibri" w:cs="Calibri"/>
                <w:color w:val="000000"/>
                <w:sz w:val="16"/>
              </w:rPr>
              <w:t>]</w:t>
            </w:r>
          </w:p>
        </w:tc>
        <w:tc>
          <w:tcPr>
            <w:tcW w:w="806" w:type="pct"/>
          </w:tcPr>
          <w:p w14:paraId="073A387A" w14:textId="77777777" w:rsidR="00BC221F" w:rsidRPr="00000849" w:rsidRDefault="00BC221F" w:rsidP="00AC6D4B">
            <w:pPr>
              <w:spacing w:after="0" w:line="259" w:lineRule="auto"/>
            </w:pPr>
            <w:r w:rsidRPr="00000849">
              <w:rPr>
                <w:rFonts w:ascii="Calibri" w:eastAsia="Calibri" w:hAnsi="Calibri" w:cs="Calibri"/>
                <w:color w:val="000000"/>
                <w:sz w:val="16"/>
              </w:rPr>
              <w:t>overweight/obesity</w:t>
            </w:r>
          </w:p>
        </w:tc>
        <w:tc>
          <w:tcPr>
            <w:tcW w:w="581" w:type="pct"/>
            <w:gridSpan w:val="2"/>
          </w:tcPr>
          <w:p w14:paraId="7DED9417" w14:textId="5D4CDA38" w:rsidR="00BC221F" w:rsidRPr="00000849" w:rsidRDefault="00BC221F" w:rsidP="0015701B">
            <w:pPr>
              <w:spacing w:after="26" w:line="222" w:lineRule="auto"/>
            </w:pPr>
            <w:r w:rsidRPr="00000849">
              <w:rPr>
                <w:rFonts w:ascii="Calibri" w:eastAsia="Calibri" w:hAnsi="Calibri" w:cs="Calibri"/>
                <w:color w:val="000000"/>
                <w:sz w:val="16"/>
              </w:rPr>
              <w:t>occupational level</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(≥medium)</w:t>
            </w:r>
          </w:p>
        </w:tc>
        <w:tc>
          <w:tcPr>
            <w:tcW w:w="547" w:type="pct"/>
          </w:tcPr>
          <w:p w14:paraId="1E572BEC" w14:textId="77777777" w:rsidR="00BC221F" w:rsidRPr="00000849" w:rsidRDefault="00BC221F" w:rsidP="00AC6D4B">
            <w:pPr>
              <w:spacing w:after="0" w:line="259" w:lineRule="auto"/>
              <w:ind w:right="34"/>
            </w:pPr>
            <w:r w:rsidRPr="00000849">
              <w:rPr>
                <w:rFonts w:ascii="Calibri" w:eastAsia="Calibri" w:hAnsi="Calibri" w:cs="Calibri"/>
                <w:color w:val="000000"/>
                <w:sz w:val="16"/>
              </w:rPr>
              <w:t>age, sex, marital status, illiteracy, occupational level</w:t>
            </w:r>
          </w:p>
        </w:tc>
        <w:tc>
          <w:tcPr>
            <w:tcW w:w="785" w:type="pct"/>
          </w:tcPr>
          <w:p w14:paraId="113CB010" w14:textId="77777777" w:rsidR="00BC221F" w:rsidRPr="00000849" w:rsidRDefault="00BC221F" w:rsidP="00AC6D4B">
            <w:pPr>
              <w:spacing w:after="0" w:line="259" w:lineRule="auto"/>
            </w:pPr>
            <w:r w:rsidRPr="00000849">
              <w:rPr>
                <w:rFonts w:ascii="Calibri" w:eastAsia="Calibri" w:hAnsi="Calibri" w:cs="Calibri"/>
                <w:color w:val="000000"/>
                <w:sz w:val="16"/>
              </w:rPr>
              <w:t>overweight/obesity</w:t>
            </w:r>
          </w:p>
        </w:tc>
        <w:tc>
          <w:tcPr>
            <w:tcW w:w="445" w:type="pct"/>
          </w:tcPr>
          <w:p w14:paraId="603B198C" w14:textId="77777777" w:rsidR="00BC221F" w:rsidRPr="00000849" w:rsidRDefault="00BC221F" w:rsidP="00AC6D4B">
            <w:pPr>
              <w:spacing w:after="160" w:line="259" w:lineRule="auto"/>
            </w:pPr>
          </w:p>
        </w:tc>
        <w:tc>
          <w:tcPr>
            <w:tcW w:w="899" w:type="pct"/>
          </w:tcPr>
          <w:p w14:paraId="564FF17D" w14:textId="77777777" w:rsidR="00BC221F" w:rsidRPr="00000849" w:rsidRDefault="00BC221F" w:rsidP="00AC6D4B">
            <w:pPr>
              <w:spacing w:after="0" w:line="259" w:lineRule="auto"/>
            </w:pPr>
            <w:r w:rsidRPr="00000849">
              <w:rPr>
                <w:rFonts w:ascii="Calibri" w:eastAsia="Calibri" w:hAnsi="Calibri" w:cs="Calibri"/>
                <w:color w:val="000000"/>
                <w:sz w:val="16"/>
              </w:rPr>
              <w:t>age, sex, marital status, illiteracy, occupational level</w:t>
            </w:r>
          </w:p>
        </w:tc>
      </w:tr>
      <w:tr w:rsidR="000E6949" w:rsidRPr="00000849" w14:paraId="7EF76A79" w14:textId="77777777" w:rsidTr="003A3CF1">
        <w:trPr>
          <w:cnfStyle w:val="000000100000" w:firstRow="0" w:lastRow="0" w:firstColumn="0" w:lastColumn="0" w:oddVBand="0" w:evenVBand="0" w:oddHBand="1" w:evenHBand="0" w:firstRowFirstColumn="0" w:firstRowLastColumn="0" w:lastRowFirstColumn="0" w:lastRowLastColumn="0"/>
          <w:trHeight w:val="1097"/>
        </w:trPr>
        <w:tc>
          <w:tcPr>
            <w:tcW w:w="168" w:type="pct"/>
          </w:tcPr>
          <w:p w14:paraId="4244360C" w14:textId="77777777" w:rsidR="00BC221F" w:rsidRPr="00000849" w:rsidRDefault="00BC221F" w:rsidP="00AC6D4B">
            <w:pPr>
              <w:spacing w:after="0" w:line="259" w:lineRule="auto"/>
            </w:pPr>
            <w:r w:rsidRPr="00000849">
              <w:rPr>
                <w:rFonts w:ascii="Calibri" w:eastAsia="Calibri" w:hAnsi="Calibri" w:cs="Calibri"/>
                <w:color w:val="000000"/>
                <w:sz w:val="16"/>
              </w:rPr>
              <w:lastRenderedPageBreak/>
              <w:t>19</w:t>
            </w:r>
          </w:p>
        </w:tc>
        <w:tc>
          <w:tcPr>
            <w:tcW w:w="347" w:type="pct"/>
            <w:gridSpan w:val="2"/>
          </w:tcPr>
          <w:p w14:paraId="4DDA392F" w14:textId="77777777" w:rsidR="00BC221F" w:rsidRPr="00000849" w:rsidRDefault="00BC221F" w:rsidP="00AC6D4B">
            <w:pPr>
              <w:spacing w:after="0" w:line="259" w:lineRule="auto"/>
            </w:pPr>
            <w:r w:rsidRPr="00000849">
              <w:rPr>
                <w:rFonts w:ascii="Calibri" w:eastAsia="Calibri" w:hAnsi="Calibri" w:cs="Calibri"/>
                <w:color w:val="000000"/>
                <w:sz w:val="16"/>
              </w:rPr>
              <w:t>Ghana</w:t>
            </w:r>
          </w:p>
        </w:tc>
        <w:tc>
          <w:tcPr>
            <w:tcW w:w="422" w:type="pct"/>
          </w:tcPr>
          <w:p w14:paraId="47D09D36" w14:textId="77777777" w:rsidR="00BC221F" w:rsidRPr="00000849" w:rsidRDefault="00BC221F" w:rsidP="00AC6D4B">
            <w:pPr>
              <w:spacing w:after="0" w:line="259" w:lineRule="auto"/>
            </w:pPr>
            <w:r w:rsidRPr="00000849">
              <w:rPr>
                <w:rFonts w:ascii="Calibri" w:eastAsia="Calibri" w:hAnsi="Calibri" w:cs="Calibri"/>
                <w:color w:val="000000"/>
                <w:sz w:val="16"/>
              </w:rPr>
              <w:t>Tyrovolas 2015 [</w:t>
            </w:r>
            <w:r w:rsidRPr="00000849">
              <w:rPr>
                <w:rFonts w:ascii="Calibri" w:eastAsia="Calibri" w:hAnsi="Calibri" w:cs="Calibri"/>
                <w:color w:val="0000FF"/>
                <w:sz w:val="16"/>
              </w:rPr>
              <w:t>20</w:t>
            </w:r>
            <w:r w:rsidRPr="00000849">
              <w:rPr>
                <w:rFonts w:ascii="Calibri" w:eastAsia="Calibri" w:hAnsi="Calibri" w:cs="Calibri"/>
                <w:color w:val="000000"/>
                <w:sz w:val="16"/>
              </w:rPr>
              <w:t>]</w:t>
            </w:r>
          </w:p>
        </w:tc>
        <w:tc>
          <w:tcPr>
            <w:tcW w:w="806" w:type="pct"/>
          </w:tcPr>
          <w:p w14:paraId="292BF1FE" w14:textId="77777777" w:rsidR="00BC221F" w:rsidRPr="00000849" w:rsidRDefault="00BC221F" w:rsidP="00AC6D4B">
            <w:pPr>
              <w:spacing w:after="160" w:line="259" w:lineRule="auto"/>
            </w:pPr>
          </w:p>
        </w:tc>
        <w:tc>
          <w:tcPr>
            <w:tcW w:w="581" w:type="pct"/>
            <w:gridSpan w:val="2"/>
          </w:tcPr>
          <w:p w14:paraId="15EF5ACB" w14:textId="77777777" w:rsidR="00BC221F" w:rsidRPr="00000849" w:rsidRDefault="00BC221F" w:rsidP="00AC6D4B">
            <w:pPr>
              <w:spacing w:after="160" w:line="259" w:lineRule="auto"/>
            </w:pPr>
          </w:p>
        </w:tc>
        <w:tc>
          <w:tcPr>
            <w:tcW w:w="547" w:type="pct"/>
          </w:tcPr>
          <w:p w14:paraId="1A7AD618" w14:textId="77777777" w:rsidR="00BC221F" w:rsidRPr="00000849" w:rsidRDefault="00BC221F" w:rsidP="00AC6D4B">
            <w:pPr>
              <w:spacing w:after="160" w:line="259" w:lineRule="auto"/>
            </w:pPr>
          </w:p>
        </w:tc>
        <w:tc>
          <w:tcPr>
            <w:tcW w:w="785" w:type="pct"/>
          </w:tcPr>
          <w:p w14:paraId="757420F8" w14:textId="77777777" w:rsidR="00BC221F" w:rsidRPr="00000849" w:rsidRDefault="00BC221F" w:rsidP="00AC6D4B">
            <w:pPr>
              <w:spacing w:after="0" w:line="259" w:lineRule="auto"/>
            </w:pPr>
            <w:r w:rsidRPr="00000849">
              <w:rPr>
                <w:rFonts w:ascii="Calibri" w:eastAsia="Calibri" w:hAnsi="Calibri" w:cs="Calibri"/>
                <w:color w:val="000000"/>
                <w:sz w:val="16"/>
              </w:rPr>
              <w:t>higher BMI</w:t>
            </w:r>
          </w:p>
          <w:p w14:paraId="0321CA86" w14:textId="39A2CD53" w:rsidR="00BC221F" w:rsidRPr="00000849" w:rsidRDefault="00BC221F" w:rsidP="00AC6D4B">
            <w:pPr>
              <w:spacing w:after="0" w:line="259" w:lineRule="auto"/>
            </w:pPr>
            <w:r w:rsidRPr="00000849">
              <w:rPr>
                <w:rFonts w:ascii="Calibri" w:eastAsia="Calibri" w:hAnsi="Calibri" w:cs="Calibri"/>
                <w:color w:val="000000"/>
                <w:sz w:val="16"/>
              </w:rPr>
              <w:t>categories, self</w:t>
            </w:r>
            <w:r w:rsidR="00A443DB" w:rsidRPr="00000849">
              <w:rPr>
                <w:rFonts w:ascii="Calibri" w:eastAsia="Calibri" w:hAnsi="Calibri" w:cs="Calibri"/>
                <w:color w:val="000000"/>
                <w:sz w:val="16"/>
              </w:rPr>
              <w:t>-</w:t>
            </w:r>
            <w:r w:rsidRPr="00000849">
              <w:rPr>
                <w:rFonts w:ascii="Calibri" w:eastAsia="Calibri" w:hAnsi="Calibri" w:cs="Calibri"/>
                <w:color w:val="000000"/>
                <w:sz w:val="16"/>
              </w:rPr>
              <w:t>reported diabetes, self-reported stroke, higher fruit intake</w:t>
            </w:r>
          </w:p>
        </w:tc>
        <w:tc>
          <w:tcPr>
            <w:tcW w:w="445" w:type="pct"/>
          </w:tcPr>
          <w:p w14:paraId="4263370B" w14:textId="77777777" w:rsidR="00BC221F" w:rsidRPr="00000849" w:rsidRDefault="00BC221F" w:rsidP="00AC6D4B">
            <w:pPr>
              <w:spacing w:after="0" w:line="259" w:lineRule="auto"/>
            </w:pPr>
            <w:r w:rsidRPr="00000849">
              <w:rPr>
                <w:rFonts w:ascii="Calibri" w:eastAsia="Calibri" w:hAnsi="Calibri" w:cs="Calibri"/>
                <w:color w:val="000000"/>
                <w:sz w:val="16"/>
              </w:rPr>
              <w:t>underweight BMI &lt; 18.5</w:t>
            </w:r>
          </w:p>
        </w:tc>
        <w:tc>
          <w:tcPr>
            <w:tcW w:w="899" w:type="pct"/>
          </w:tcPr>
          <w:p w14:paraId="73437BF5" w14:textId="77777777" w:rsidR="00BC221F" w:rsidRPr="00000849" w:rsidRDefault="00BC221F" w:rsidP="00AC6D4B">
            <w:pPr>
              <w:spacing w:after="0" w:line="259" w:lineRule="auto"/>
            </w:pPr>
            <w:r w:rsidRPr="00000849">
              <w:rPr>
                <w:rFonts w:ascii="Calibri" w:eastAsia="Calibri" w:hAnsi="Calibri" w:cs="Calibri"/>
                <w:color w:val="000000"/>
                <w:sz w:val="16"/>
              </w:rPr>
              <w:t>Alcohol consumption, smoking, physical activity, vegetable intake, education, wealth. Adjusted for age, sex and marital status.</w:t>
            </w:r>
          </w:p>
        </w:tc>
      </w:tr>
      <w:tr w:rsidR="000E6949" w:rsidRPr="00000849" w14:paraId="562C2768" w14:textId="77777777" w:rsidTr="003A3CF1">
        <w:trPr>
          <w:trHeight w:val="1361"/>
        </w:trPr>
        <w:tc>
          <w:tcPr>
            <w:tcW w:w="168" w:type="pct"/>
          </w:tcPr>
          <w:p w14:paraId="74BCA98D" w14:textId="77777777" w:rsidR="00BC221F" w:rsidRPr="00000849" w:rsidRDefault="00BC221F" w:rsidP="00AC6D4B">
            <w:pPr>
              <w:spacing w:after="0" w:line="259" w:lineRule="auto"/>
            </w:pPr>
            <w:r w:rsidRPr="00000849">
              <w:rPr>
                <w:rFonts w:ascii="Calibri" w:eastAsia="Calibri" w:hAnsi="Calibri" w:cs="Calibri"/>
                <w:color w:val="000000"/>
                <w:sz w:val="16"/>
              </w:rPr>
              <w:t>20</w:t>
            </w:r>
          </w:p>
        </w:tc>
        <w:tc>
          <w:tcPr>
            <w:tcW w:w="347" w:type="pct"/>
            <w:gridSpan w:val="2"/>
          </w:tcPr>
          <w:p w14:paraId="04C18155" w14:textId="77777777" w:rsidR="00BC221F" w:rsidRPr="00000849" w:rsidRDefault="00BC221F" w:rsidP="00AC6D4B">
            <w:pPr>
              <w:spacing w:after="0" w:line="259" w:lineRule="auto"/>
            </w:pPr>
            <w:r w:rsidRPr="00000849">
              <w:rPr>
                <w:rFonts w:ascii="Calibri" w:eastAsia="Calibri" w:hAnsi="Calibri" w:cs="Calibri"/>
                <w:color w:val="000000"/>
                <w:sz w:val="16"/>
              </w:rPr>
              <w:t>South</w:t>
            </w:r>
          </w:p>
          <w:p w14:paraId="0E8B5E24" w14:textId="77777777" w:rsidR="00BC221F" w:rsidRPr="00000849" w:rsidRDefault="00BC221F" w:rsidP="00AC6D4B">
            <w:pPr>
              <w:spacing w:after="0" w:line="259" w:lineRule="auto"/>
            </w:pPr>
            <w:r w:rsidRPr="00000849">
              <w:rPr>
                <w:rFonts w:ascii="Calibri" w:eastAsia="Calibri" w:hAnsi="Calibri" w:cs="Calibri"/>
                <w:color w:val="000000"/>
                <w:sz w:val="16"/>
              </w:rPr>
              <w:t>Africa</w:t>
            </w:r>
          </w:p>
        </w:tc>
        <w:tc>
          <w:tcPr>
            <w:tcW w:w="422" w:type="pct"/>
          </w:tcPr>
          <w:p w14:paraId="13A750C4" w14:textId="77777777" w:rsidR="00BC221F" w:rsidRPr="00000849" w:rsidRDefault="00BC221F" w:rsidP="00AC6D4B">
            <w:pPr>
              <w:spacing w:after="0" w:line="259" w:lineRule="auto"/>
            </w:pPr>
            <w:r w:rsidRPr="00000849">
              <w:rPr>
                <w:rFonts w:ascii="Calibri" w:eastAsia="Calibri" w:hAnsi="Calibri" w:cs="Calibri"/>
                <w:color w:val="000000"/>
                <w:sz w:val="16"/>
              </w:rPr>
              <w:t>Tyrovolas 2015 [</w:t>
            </w:r>
            <w:r w:rsidRPr="00000849">
              <w:rPr>
                <w:rFonts w:ascii="Calibri" w:eastAsia="Calibri" w:hAnsi="Calibri" w:cs="Calibri"/>
                <w:color w:val="0000FF"/>
                <w:sz w:val="16"/>
              </w:rPr>
              <w:t>20</w:t>
            </w:r>
            <w:r w:rsidRPr="00000849">
              <w:rPr>
                <w:rFonts w:ascii="Calibri" w:eastAsia="Calibri" w:hAnsi="Calibri" w:cs="Calibri"/>
                <w:color w:val="000000"/>
                <w:sz w:val="16"/>
              </w:rPr>
              <w:t>]</w:t>
            </w:r>
          </w:p>
        </w:tc>
        <w:tc>
          <w:tcPr>
            <w:tcW w:w="806" w:type="pct"/>
          </w:tcPr>
          <w:p w14:paraId="14D21FD6" w14:textId="77777777" w:rsidR="00BC221F" w:rsidRPr="00000849" w:rsidRDefault="00BC221F" w:rsidP="00AC6D4B">
            <w:pPr>
              <w:spacing w:after="160" w:line="259" w:lineRule="auto"/>
            </w:pPr>
          </w:p>
        </w:tc>
        <w:tc>
          <w:tcPr>
            <w:tcW w:w="581" w:type="pct"/>
            <w:gridSpan w:val="2"/>
          </w:tcPr>
          <w:p w14:paraId="5C1C03CC" w14:textId="77777777" w:rsidR="00BC221F" w:rsidRPr="00000849" w:rsidRDefault="00BC221F" w:rsidP="00AC6D4B">
            <w:pPr>
              <w:spacing w:after="160" w:line="259" w:lineRule="auto"/>
            </w:pPr>
          </w:p>
        </w:tc>
        <w:tc>
          <w:tcPr>
            <w:tcW w:w="547" w:type="pct"/>
          </w:tcPr>
          <w:p w14:paraId="39CA85A6" w14:textId="77777777" w:rsidR="00BC221F" w:rsidRPr="00000849" w:rsidRDefault="00BC221F" w:rsidP="00AC6D4B">
            <w:pPr>
              <w:spacing w:after="160" w:line="259" w:lineRule="auto"/>
            </w:pPr>
          </w:p>
        </w:tc>
        <w:tc>
          <w:tcPr>
            <w:tcW w:w="785" w:type="pct"/>
          </w:tcPr>
          <w:p w14:paraId="2975F14C" w14:textId="20D8D652" w:rsidR="00BC221F" w:rsidRPr="00000849" w:rsidRDefault="00BC221F" w:rsidP="00AC6D4B">
            <w:pPr>
              <w:spacing w:after="0" w:line="259" w:lineRule="auto"/>
              <w:ind w:right="118"/>
            </w:pPr>
            <w:r w:rsidRPr="00000849">
              <w:rPr>
                <w:rFonts w:ascii="Calibri" w:eastAsia="Calibri" w:hAnsi="Calibri" w:cs="Calibri"/>
                <w:color w:val="000000"/>
                <w:sz w:val="16"/>
              </w:rPr>
              <w:t>higher BMI categories, alcohol intake, ex-smoker, low physical activity, self-reported stroke, higher veg table intake</w:t>
            </w:r>
          </w:p>
        </w:tc>
        <w:tc>
          <w:tcPr>
            <w:tcW w:w="445" w:type="pct"/>
          </w:tcPr>
          <w:p w14:paraId="57D7455E" w14:textId="3E8B8F77" w:rsidR="00BC221F" w:rsidRPr="00000849" w:rsidRDefault="00BC221F" w:rsidP="0015701B">
            <w:pPr>
              <w:spacing w:after="0" w:line="222" w:lineRule="auto"/>
            </w:pPr>
            <w:r w:rsidRPr="00000849">
              <w:rPr>
                <w:rFonts w:ascii="Calibri" w:eastAsia="Calibri" w:hAnsi="Calibri" w:cs="Calibri"/>
                <w:color w:val="000000"/>
                <w:sz w:val="16"/>
              </w:rPr>
              <w:t>heavy alcohol user, low</w:t>
            </w:r>
            <w:r w:rsidR="00AF0A80" w:rsidRPr="00000849">
              <w:rPr>
                <w:rFonts w:ascii="Calibri" w:eastAsia="Calibri" w:hAnsi="Calibri" w:cs="Calibri"/>
                <w:color w:val="000000"/>
                <w:sz w:val="16"/>
              </w:rPr>
              <w:t>,</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level physical activity,</w:t>
            </w:r>
            <w:r w:rsidR="0015701B" w:rsidRPr="00000849">
              <w:rPr>
                <w:rFonts w:ascii="Calibri" w:eastAsia="Calibri" w:hAnsi="Calibri" w:cs="Calibri"/>
                <w:color w:val="000000"/>
                <w:sz w:val="16"/>
              </w:rPr>
              <w:t xml:space="preserve"> </w:t>
            </w:r>
            <w:r w:rsidRPr="00000849">
              <w:rPr>
                <w:rFonts w:ascii="Calibri" w:eastAsia="Calibri" w:hAnsi="Calibri" w:cs="Calibri"/>
                <w:color w:val="000000"/>
                <w:sz w:val="16"/>
              </w:rPr>
              <w:t>secondary level of education</w:t>
            </w:r>
          </w:p>
        </w:tc>
        <w:tc>
          <w:tcPr>
            <w:tcW w:w="899" w:type="pct"/>
          </w:tcPr>
          <w:p w14:paraId="788D0CAC" w14:textId="77777777" w:rsidR="00BC221F" w:rsidRPr="00000849" w:rsidRDefault="00BC221F" w:rsidP="00AC6D4B">
            <w:pPr>
              <w:spacing w:after="0" w:line="259" w:lineRule="auto"/>
              <w:ind w:right="-1"/>
            </w:pPr>
            <w:r w:rsidRPr="00000849">
              <w:rPr>
                <w:rFonts w:ascii="Calibri" w:eastAsia="Calibri" w:hAnsi="Calibri" w:cs="Calibri"/>
                <w:color w:val="000000"/>
                <w:sz w:val="16"/>
              </w:rPr>
              <w:t>Self-reported diabetes, fruit intake, wealth. Adjusted for age, sex and marital status.</w:t>
            </w:r>
          </w:p>
        </w:tc>
      </w:tr>
    </w:tbl>
    <w:p w14:paraId="76F0A39C" w14:textId="77777777" w:rsidR="00BC221F" w:rsidRPr="00000849" w:rsidRDefault="00BC221F" w:rsidP="00BC221F">
      <w:pPr>
        <w:spacing w:after="6" w:line="265" w:lineRule="auto"/>
        <w:ind w:left="-5" w:hanging="10"/>
        <w:rPr>
          <w:sz w:val="24"/>
          <w:szCs w:val="24"/>
        </w:rPr>
      </w:pPr>
      <w:r w:rsidRPr="00000849">
        <w:rPr>
          <w:rFonts w:ascii="Calibri" w:eastAsia="Calibri" w:hAnsi="Calibri" w:cs="Calibri"/>
          <w:color w:val="000000"/>
          <w:sz w:val="16"/>
          <w:szCs w:val="24"/>
        </w:rPr>
        <w:t>ART antiretroviral therapy, BMI body mass index, CAR Central African Republic, DHTN diastolic hypertension, HTN hypertension, NS not statistically significant, SAGE</w:t>
      </w:r>
    </w:p>
    <w:p w14:paraId="08C187EB" w14:textId="1A5D7BC9" w:rsidR="00BC221F" w:rsidRPr="00000849" w:rsidRDefault="00BC221F" w:rsidP="00BC221F">
      <w:pPr>
        <w:spacing w:after="6" w:line="265" w:lineRule="auto"/>
        <w:ind w:left="-5" w:hanging="10"/>
        <w:rPr>
          <w:rFonts w:ascii="Calibri" w:eastAsia="Calibri" w:hAnsi="Calibri" w:cs="Calibri"/>
          <w:color w:val="000000"/>
          <w:sz w:val="16"/>
          <w:szCs w:val="24"/>
        </w:rPr>
      </w:pPr>
      <w:r w:rsidRPr="00000849">
        <w:rPr>
          <w:rFonts w:ascii="Calibri" w:eastAsia="Calibri" w:hAnsi="Calibri" w:cs="Calibri"/>
          <w:color w:val="000000"/>
          <w:sz w:val="16"/>
          <w:szCs w:val="24"/>
        </w:rPr>
        <w:t>Study on Global Ageing and Adult Health, SHTN systolic hypertension, SES socio-economic status, WHR waist-to-hip ratio</w:t>
      </w:r>
    </w:p>
    <w:p w14:paraId="0F6299A0" w14:textId="54AC4D2A" w:rsidR="00275E9B" w:rsidRPr="00000849" w:rsidRDefault="00275E9B" w:rsidP="00BC221F">
      <w:pPr>
        <w:spacing w:after="6" w:line="265" w:lineRule="auto"/>
        <w:ind w:left="-5" w:hanging="10"/>
        <w:rPr>
          <w:rFonts w:ascii="Calibri" w:eastAsia="Calibri" w:hAnsi="Calibri" w:cs="Calibri"/>
          <w:color w:val="000000"/>
          <w:sz w:val="14"/>
        </w:rPr>
      </w:pPr>
    </w:p>
    <w:p w14:paraId="71192D61" w14:textId="6DEEDC5E" w:rsidR="00275E9B" w:rsidRPr="00000849" w:rsidRDefault="00275E9B" w:rsidP="00BC221F">
      <w:pPr>
        <w:spacing w:after="6" w:line="265" w:lineRule="auto"/>
        <w:ind w:left="-5" w:hanging="10"/>
        <w:rPr>
          <w:rFonts w:ascii="Calibri" w:eastAsia="Calibri" w:hAnsi="Calibri" w:cs="Calibri"/>
          <w:color w:val="000000"/>
          <w:sz w:val="14"/>
        </w:rPr>
      </w:pPr>
    </w:p>
    <w:p w14:paraId="7F890558" w14:textId="77777777" w:rsidR="00275E9B" w:rsidRPr="00000849" w:rsidRDefault="00275E9B" w:rsidP="00BC221F">
      <w:pPr>
        <w:spacing w:after="6" w:line="265" w:lineRule="auto"/>
        <w:ind w:left="-5" w:hanging="10"/>
      </w:pPr>
    </w:p>
    <w:p w14:paraId="0387F9BF" w14:textId="77777777" w:rsidR="00BC221F" w:rsidRPr="00000849" w:rsidRDefault="00BC221F" w:rsidP="00BC221F">
      <w:pPr>
        <w:sectPr w:rsidR="00BC221F" w:rsidRPr="00000849" w:rsidSect="00275E9B">
          <w:headerReference w:type="even" r:id="rId381"/>
          <w:headerReference w:type="default" r:id="rId382"/>
          <w:footerReference w:type="even" r:id="rId383"/>
          <w:footerReference w:type="default" r:id="rId384"/>
          <w:headerReference w:type="first" r:id="rId385"/>
          <w:footerReference w:type="first" r:id="rId386"/>
          <w:pgSz w:w="15817" w:h="11906" w:orient="landscape"/>
          <w:pgMar w:top="1134" w:right="1440" w:bottom="1176" w:left="1196" w:header="640" w:footer="720" w:gutter="0"/>
          <w:cols w:space="720"/>
          <w:docGrid w:linePitch="299"/>
        </w:sectPr>
      </w:pPr>
    </w:p>
    <w:p w14:paraId="0E8A130D" w14:textId="53F222E3" w:rsidR="00BC221F" w:rsidRPr="00000849" w:rsidRDefault="00BC221F" w:rsidP="00BC221F">
      <w:pPr>
        <w:spacing w:after="255"/>
      </w:pPr>
      <w:r w:rsidRPr="00000849">
        <w:lastRenderedPageBreak/>
        <w:t>Only two studies evaluated ethnicity and found that it was independently associated with hypertension in the rural Hai district of Tanzania [</w:t>
      </w:r>
      <w:r w:rsidRPr="00000849">
        <w:rPr>
          <w:color w:val="0000FF"/>
        </w:rPr>
        <w:t>25</w:t>
      </w:r>
      <w:r w:rsidRPr="00000849">
        <w:t>] and in the Nakuru district of Kenya [</w:t>
      </w:r>
      <w:r w:rsidRPr="00000849">
        <w:rPr>
          <w:color w:val="0000FF"/>
        </w:rPr>
        <w:t>31</w:t>
      </w:r>
      <w:r w:rsidRPr="00000849">
        <w:t xml:space="preserve">] (Tables </w:t>
      </w:r>
      <w:r w:rsidRPr="00000849">
        <w:rPr>
          <w:color w:val="0000FF"/>
        </w:rPr>
        <w:t xml:space="preserve">3 </w:t>
      </w:r>
      <w:r w:rsidRPr="00000849">
        <w:t xml:space="preserve">and </w:t>
      </w:r>
      <w:r w:rsidRPr="00000849">
        <w:rPr>
          <w:color w:val="0000FF"/>
        </w:rPr>
        <w:t>4</w:t>
      </w:r>
      <w:r w:rsidRPr="00000849">
        <w:t>). The adjusted odds ratios associated with hypertension comparing the Chagga tribe to the non-Chagga tribes and comparing Kikuyus to the Kalenjins were 1.65 (95% CI 1.18</w:t>
      </w:r>
      <w:r w:rsidRPr="00000849">
        <w:rPr>
          <w:rFonts w:ascii="Calibri" w:eastAsia="Calibri" w:hAnsi="Calibri" w:cs="Calibri"/>
        </w:rPr>
        <w:t>–</w:t>
      </w:r>
      <w:r w:rsidRPr="00000849">
        <w:t>2.30) [</w:t>
      </w:r>
      <w:r w:rsidRPr="00000849">
        <w:rPr>
          <w:color w:val="0000FF"/>
        </w:rPr>
        <w:t>25</w:t>
      </w:r>
      <w:r w:rsidRPr="00000849">
        <w:t>] and 1.4 (95% CI 1.2</w:t>
      </w:r>
      <w:r w:rsidRPr="00000849">
        <w:rPr>
          <w:rFonts w:ascii="Calibri" w:eastAsia="Calibri" w:hAnsi="Calibri" w:cs="Calibri"/>
        </w:rPr>
        <w:t>–</w:t>
      </w:r>
      <w:r w:rsidRPr="00000849">
        <w:t>1.7) [</w:t>
      </w:r>
      <w:r w:rsidRPr="00000849">
        <w:rPr>
          <w:color w:val="0000FF"/>
        </w:rPr>
        <w:t>31</w:t>
      </w:r>
      <w:r w:rsidRPr="00000849">
        <w:t xml:space="preserve">] in the two respective studies (Table </w:t>
      </w:r>
      <w:r w:rsidRPr="00000849">
        <w:rPr>
          <w:color w:val="0000FF"/>
        </w:rPr>
        <w:t>4</w:t>
      </w:r>
      <w:r w:rsidRPr="00000849">
        <w:t>). The odds of having hypertension among coloured South African older adults was 89% greater than that among black Africans [</w:t>
      </w:r>
      <w:r w:rsidRPr="00000849">
        <w:rPr>
          <w:color w:val="0000FF"/>
        </w:rPr>
        <w:t>23</w:t>
      </w:r>
      <w:r w:rsidRPr="00000849">
        <w:t>]. Practitioners of traditional religion faith in Ghana had 0.35</w:t>
      </w:r>
      <w:r w:rsidRPr="00000849">
        <w:rPr>
          <w:rFonts w:ascii="Calibri" w:eastAsia="Calibri" w:hAnsi="Calibri" w:cs="Calibri"/>
        </w:rPr>
        <w:t>–</w:t>
      </w:r>
      <w:r w:rsidRPr="00000849">
        <w:t>0.38 times the adjusted odds of having stage 2 SHTN or DHTN as those with no religion [</w:t>
      </w:r>
      <w:r w:rsidRPr="00000849">
        <w:rPr>
          <w:color w:val="0000FF"/>
        </w:rPr>
        <w:t>21</w:t>
      </w:r>
      <w:r w:rsidRPr="00000849">
        <w:t>].</w:t>
      </w:r>
    </w:p>
    <w:p w14:paraId="3D4231FB" w14:textId="77777777" w:rsidR="00BF6233" w:rsidRPr="00000849" w:rsidRDefault="00BC221F" w:rsidP="00BC221F">
      <w:pPr>
        <w:rPr>
          <w:rFonts w:ascii="Calibri" w:eastAsia="Calibri" w:hAnsi="Calibri" w:cs="Calibri"/>
        </w:rPr>
      </w:pPr>
      <w:r w:rsidRPr="00000849">
        <w:rPr>
          <w:b/>
          <w:bCs/>
          <w:color w:val="0070C0"/>
        </w:rPr>
        <w:t>Socioeconomic factors</w:t>
      </w:r>
      <w:r w:rsidRPr="00000849">
        <w:rPr>
          <w:rFonts w:ascii="Calibri" w:eastAsia="Calibri" w:hAnsi="Calibri" w:cs="Calibri"/>
        </w:rPr>
        <w:t xml:space="preserve"> </w:t>
      </w:r>
    </w:p>
    <w:p w14:paraId="62098208" w14:textId="0717F5ED" w:rsidR="00BC221F" w:rsidRPr="00000849" w:rsidRDefault="00BC221F" w:rsidP="00BC221F">
      <w:r w:rsidRPr="00000849">
        <w:rPr>
          <w:b/>
          <w:bCs/>
          <w:i/>
          <w:iCs/>
          <w:color w:val="0070C0"/>
        </w:rPr>
        <w:t>Occupation and educational level</w:t>
      </w:r>
      <w:r w:rsidRPr="00000849">
        <w:rPr>
          <w:rFonts w:ascii="Calibri" w:eastAsia="Calibri" w:hAnsi="Calibri" w:cs="Calibri"/>
        </w:rPr>
        <w:t xml:space="preserve">. </w:t>
      </w:r>
      <w:r w:rsidRPr="00000849">
        <w:t>In bivariate analyses, previous occupation as craftsman, storekeeper or being jobless was associated with being hypertensive in the CAR and Congo [</w:t>
      </w:r>
      <w:r w:rsidRPr="00000849">
        <w:rPr>
          <w:color w:val="0000FF"/>
        </w:rPr>
        <w:t>36</w:t>
      </w:r>
      <w:r w:rsidRPr="00000849">
        <w:t xml:space="preserve">] (Table </w:t>
      </w:r>
      <w:r w:rsidRPr="00000849">
        <w:rPr>
          <w:color w:val="0000FF"/>
        </w:rPr>
        <w:t>3</w:t>
      </w:r>
      <w:r w:rsidRPr="00000849">
        <w:t>). In Cameroon, having medium or high-level occupation (higher than unskilled work) protected against having hypertension [</w:t>
      </w:r>
      <w:r w:rsidRPr="00000849">
        <w:rPr>
          <w:color w:val="0000FF"/>
        </w:rPr>
        <w:t>39</w:t>
      </w:r>
      <w:r w:rsidRPr="00000849">
        <w:t>]. Otherwise, socioeconomic factors such as educational level, wealth or occupational level were not significantly associated with hypertension in Senegal, South Africa, CAR, Congo or Cameroon [</w:t>
      </w:r>
      <w:r w:rsidRPr="00000849">
        <w:rPr>
          <w:color w:val="0000FF"/>
        </w:rPr>
        <w:t>23</w:t>
      </w:r>
      <w:r w:rsidRPr="00000849">
        <w:t xml:space="preserve">, </w:t>
      </w:r>
      <w:r w:rsidRPr="00000849">
        <w:rPr>
          <w:color w:val="0000FF"/>
        </w:rPr>
        <w:t>36</w:t>
      </w:r>
      <w:r w:rsidRPr="00000849">
        <w:t xml:space="preserve">, </w:t>
      </w:r>
      <w:r w:rsidRPr="00000849">
        <w:rPr>
          <w:color w:val="0000FF"/>
        </w:rPr>
        <w:t>39</w:t>
      </w:r>
      <w:r w:rsidRPr="00000849">
        <w:t>].</w:t>
      </w:r>
    </w:p>
    <w:p w14:paraId="67F8F44A" w14:textId="064FF01A" w:rsidR="0088673E" w:rsidRPr="00000849" w:rsidRDefault="00BC221F" w:rsidP="0088673E">
      <w:r w:rsidRPr="00000849">
        <w:t xml:space="preserve">In South Africa, 76.4% of older adults with no schooling compared with 75.8% of those with </w:t>
      </w:r>
      <w:r w:rsidRPr="00000849">
        <w:rPr>
          <w:rFonts w:ascii="Calibri" w:eastAsia="Calibri" w:hAnsi="Calibri" w:cs="Calibri"/>
        </w:rPr>
        <w:t>≥</w:t>
      </w:r>
      <w:r w:rsidRPr="00000849">
        <w:t>12 years of schooling had hypertension [</w:t>
      </w:r>
      <w:r w:rsidRPr="00000849">
        <w:rPr>
          <w:color w:val="0000FF"/>
        </w:rPr>
        <w:t>42</w:t>
      </w:r>
      <w:r w:rsidRPr="00000849">
        <w:t>]. The prevalence of</w:t>
      </w:r>
      <w:r w:rsidR="0088673E" w:rsidRPr="00000849">
        <w:t xml:space="preserve"> hypertension was higher among the groups with intervening schooling year duration - 78.9% among those with less than 7 years and 79.2% among those with 8</w:t>
      </w:r>
      <w:r w:rsidR="0088673E" w:rsidRPr="00000849">
        <w:rPr>
          <w:rFonts w:ascii="Calibri" w:eastAsia="Calibri" w:hAnsi="Calibri" w:cs="Calibri"/>
        </w:rPr>
        <w:t>–</w:t>
      </w:r>
      <w:r w:rsidR="0088673E" w:rsidRPr="00000849">
        <w:t>11 years of schooling. In Tunisia, the prevalence of hypertension among elderly subjects aged years declined with increasing educational level but the difference was not statistically significant [</w:t>
      </w:r>
      <w:r w:rsidR="0088673E" w:rsidRPr="00000849">
        <w:rPr>
          <w:color w:val="0000FF"/>
        </w:rPr>
        <w:t>26</w:t>
      </w:r>
      <w:r w:rsidR="0088673E" w:rsidRPr="00000849">
        <w:t>]. It was 53.9% among illiterate subjects, 47.1% among those with primary education and 31.3% in those with secondary or higher-level education.</w:t>
      </w:r>
    </w:p>
    <w:p w14:paraId="54C09C70" w14:textId="77777777" w:rsidR="0088673E" w:rsidRPr="00000849" w:rsidRDefault="0088673E" w:rsidP="0088673E">
      <w:r w:rsidRPr="00000849">
        <w:t>The association between previous employment as a craftsman, storekeeper, farmer, breeder, fisherman or being jobless and hypertension in the Central African Republic and Congo [</w:t>
      </w:r>
      <w:r w:rsidRPr="00000849">
        <w:rPr>
          <w:color w:val="0000FF"/>
        </w:rPr>
        <w:t>36</w:t>
      </w:r>
      <w:r w:rsidRPr="00000849">
        <w:t xml:space="preserve">] persisted in the multivariate analysis (Table </w:t>
      </w:r>
      <w:r w:rsidRPr="00000849">
        <w:rPr>
          <w:color w:val="0000FF"/>
        </w:rPr>
        <w:t>3</w:t>
      </w:r>
      <w:r w:rsidRPr="00000849">
        <w:t>). Similarly, the absence of a statistically significant association between educational level and hypertension in Central African Republic, Congo, Nigeria and Senegal remained after adjusting for other variables [</w:t>
      </w:r>
      <w:r w:rsidRPr="00000849">
        <w:rPr>
          <w:color w:val="0000FF"/>
        </w:rPr>
        <w:t>30</w:t>
      </w:r>
      <w:r w:rsidRPr="00000849">
        <w:t xml:space="preserve">, </w:t>
      </w:r>
      <w:r w:rsidRPr="00000849">
        <w:rPr>
          <w:color w:val="0000FF"/>
        </w:rPr>
        <w:t>36</w:t>
      </w:r>
      <w:r w:rsidRPr="00000849">
        <w:t xml:space="preserve">, </w:t>
      </w:r>
      <w:r w:rsidRPr="00000849">
        <w:rPr>
          <w:color w:val="0000FF"/>
        </w:rPr>
        <w:t>37</w:t>
      </w:r>
      <w:r w:rsidRPr="00000849">
        <w:t>]. The results were similar in Ghana [</w:t>
      </w:r>
      <w:r w:rsidRPr="00000849">
        <w:rPr>
          <w:color w:val="0000FF"/>
        </w:rPr>
        <w:t>22</w:t>
      </w:r>
      <w:r w:rsidRPr="00000849">
        <w:t>] and Uganda [</w:t>
      </w:r>
      <w:r w:rsidRPr="00000849">
        <w:rPr>
          <w:color w:val="0000FF"/>
        </w:rPr>
        <w:t>38</w:t>
      </w:r>
      <w:r w:rsidRPr="00000849">
        <w:t>] where educational level did not correlate with hypertension.</w:t>
      </w:r>
    </w:p>
    <w:p w14:paraId="7C3E618E" w14:textId="77777777" w:rsidR="0088673E" w:rsidRPr="00000849" w:rsidRDefault="0088673E" w:rsidP="0088673E">
      <w:r w:rsidRPr="00000849">
        <w:t xml:space="preserve">Multivariate analyses of the multi-country SAGE dataset gave discordant results (Tables </w:t>
      </w:r>
      <w:r w:rsidRPr="00000849">
        <w:rPr>
          <w:color w:val="0000FF"/>
        </w:rPr>
        <w:t xml:space="preserve">3 </w:t>
      </w:r>
      <w:r w:rsidRPr="00000849">
        <w:t xml:space="preserve">and </w:t>
      </w:r>
      <w:r w:rsidRPr="00000849">
        <w:rPr>
          <w:color w:val="0000FF"/>
        </w:rPr>
        <w:t>4</w:t>
      </w:r>
      <w:r w:rsidRPr="00000849">
        <w:t>). Compared to the primary level, higher (tertiary) level educational attainment in South Africa predicted lower prevalence of hypertension whereas, in Ghana, it was no education that did so [</w:t>
      </w:r>
      <w:r w:rsidRPr="00000849">
        <w:rPr>
          <w:color w:val="0000FF"/>
        </w:rPr>
        <w:t>18</w:t>
      </w:r>
      <w:r w:rsidRPr="00000849">
        <w:t xml:space="preserve">, </w:t>
      </w:r>
      <w:r w:rsidRPr="00000849">
        <w:rPr>
          <w:color w:val="0000FF"/>
        </w:rPr>
        <w:t>19</w:t>
      </w:r>
      <w:r w:rsidRPr="00000849">
        <w:t>]. Contrary to these findings, another group evaluating different variables on the same multicountry SAGE dataset found that, compared to primary or lower level educational attainment, secondary education level was protective of hypertension in South Africa [</w:t>
      </w:r>
      <w:r w:rsidRPr="00000849">
        <w:rPr>
          <w:color w:val="0000FF"/>
        </w:rPr>
        <w:t>20</w:t>
      </w:r>
      <w:r w:rsidRPr="00000849">
        <w:t>]. This group reported that neither secondary nor tertiary level educational attainment was significantly associated with hypertension in Ghana.</w:t>
      </w:r>
    </w:p>
    <w:p w14:paraId="67B3A088" w14:textId="71227252" w:rsidR="00FC6CF3" w:rsidRPr="00000849" w:rsidRDefault="00FC6CF3" w:rsidP="00BC221F"/>
    <w:p w14:paraId="5188A9BA" w14:textId="77777777" w:rsidR="00FC6CF3" w:rsidRPr="00000849" w:rsidRDefault="00FC6CF3" w:rsidP="00BC221F"/>
    <w:p w14:paraId="05A46F36" w14:textId="77777777" w:rsidR="00BC221F" w:rsidRPr="00000849" w:rsidRDefault="00BC221F" w:rsidP="00BC221F">
      <w:pPr>
        <w:sectPr w:rsidR="00BC221F" w:rsidRPr="00000849" w:rsidSect="00275E9B">
          <w:pgSz w:w="11906" w:h="15817"/>
          <w:pgMar w:top="1440" w:right="1132" w:bottom="1440" w:left="1134" w:header="720" w:footer="720" w:gutter="0"/>
          <w:cols w:space="283"/>
        </w:sectPr>
      </w:pPr>
    </w:p>
    <w:p w14:paraId="6FFC3319" w14:textId="138AE979" w:rsidR="00D1712A" w:rsidRPr="00000849" w:rsidRDefault="00D1712A" w:rsidP="00D1712A">
      <w:pPr>
        <w:spacing w:after="0" w:line="259" w:lineRule="auto"/>
      </w:pPr>
      <w:r w:rsidRPr="00000849">
        <w:rPr>
          <w:rFonts w:ascii="Calibri" w:eastAsia="Calibri" w:hAnsi="Calibri" w:cs="Calibri"/>
          <w:b/>
          <w:bCs/>
          <w:szCs w:val="28"/>
        </w:rPr>
        <w:lastRenderedPageBreak/>
        <w:t>Table 4</w:t>
      </w:r>
      <w:r w:rsidRPr="00000849">
        <w:rPr>
          <w:rFonts w:ascii="Calibri" w:eastAsia="Calibri" w:hAnsi="Calibri" w:cs="Calibri"/>
          <w:szCs w:val="28"/>
        </w:rPr>
        <w:t xml:space="preserve">  Demographic and socioeconomic determinants associated with hypertension in older adults in Africa</w:t>
      </w:r>
    </w:p>
    <w:tbl>
      <w:tblPr>
        <w:tblStyle w:val="PlainTable3"/>
        <w:tblW w:w="5000" w:type="pct"/>
        <w:tblInd w:w="0" w:type="dxa"/>
        <w:tblLook w:val="0420" w:firstRow="1" w:lastRow="0" w:firstColumn="0" w:lastColumn="0" w:noHBand="0" w:noVBand="1"/>
      </w:tblPr>
      <w:tblGrid>
        <w:gridCol w:w="451"/>
        <w:gridCol w:w="894"/>
        <w:gridCol w:w="890"/>
        <w:gridCol w:w="1813"/>
        <w:gridCol w:w="1144"/>
        <w:gridCol w:w="388"/>
        <w:gridCol w:w="88"/>
        <w:gridCol w:w="2190"/>
        <w:gridCol w:w="1547"/>
        <w:gridCol w:w="1547"/>
        <w:gridCol w:w="1985"/>
      </w:tblGrid>
      <w:tr w:rsidR="00F7456C" w:rsidRPr="00000849" w14:paraId="220A5F61" w14:textId="77777777" w:rsidTr="00F7456C">
        <w:trPr>
          <w:cnfStyle w:val="100000000000" w:firstRow="1" w:lastRow="0" w:firstColumn="0" w:lastColumn="0" w:oddVBand="0" w:evenVBand="0" w:oddHBand="0" w:evenHBand="0" w:firstRowFirstColumn="0" w:firstRowLastColumn="0" w:lastRowFirstColumn="0" w:lastRowLastColumn="0"/>
          <w:trHeight w:val="440"/>
          <w:tblHeader/>
        </w:trPr>
        <w:tc>
          <w:tcPr>
            <w:tcW w:w="174" w:type="pct"/>
            <w:tcBorders>
              <w:top w:val="single" w:sz="4" w:space="0" w:color="auto"/>
              <w:bottom w:val="single" w:sz="4" w:space="0" w:color="auto"/>
            </w:tcBorders>
            <w:hideMark/>
          </w:tcPr>
          <w:p w14:paraId="341E0801" w14:textId="5857B239" w:rsidR="00D1712A" w:rsidRPr="00000849" w:rsidRDefault="00F7456C" w:rsidP="00D16031">
            <w:pPr>
              <w:jc w:val="center"/>
              <w:rPr>
                <w:rFonts w:ascii="Calibri" w:eastAsia="Times New Roman" w:hAnsi="Calibri" w:cs="Calibri"/>
                <w:color w:val="000000"/>
                <w:sz w:val="16"/>
                <w:szCs w:val="16"/>
              </w:rPr>
            </w:pPr>
            <w:r w:rsidRPr="00000849">
              <w:rPr>
                <w:rFonts w:ascii="Calibri" w:eastAsia="Times New Roman" w:hAnsi="Calibri" w:cs="Calibri"/>
                <w:caps w:val="0"/>
                <w:color w:val="000000"/>
                <w:sz w:val="16"/>
                <w:szCs w:val="16"/>
              </w:rPr>
              <w:t>No.</w:t>
            </w:r>
          </w:p>
        </w:tc>
        <w:tc>
          <w:tcPr>
            <w:tcW w:w="346" w:type="pct"/>
            <w:tcBorders>
              <w:top w:val="single" w:sz="4" w:space="0" w:color="auto"/>
              <w:bottom w:val="single" w:sz="4" w:space="0" w:color="auto"/>
            </w:tcBorders>
            <w:hideMark/>
          </w:tcPr>
          <w:p w14:paraId="7F25E308" w14:textId="0987F113" w:rsidR="00D1712A" w:rsidRPr="00000849" w:rsidRDefault="00F7456C" w:rsidP="00D16031">
            <w:pPr>
              <w:rPr>
                <w:rFonts w:ascii="Calibri" w:eastAsia="Times New Roman" w:hAnsi="Calibri" w:cs="Calibri"/>
                <w:color w:val="000000"/>
                <w:sz w:val="16"/>
                <w:szCs w:val="16"/>
              </w:rPr>
            </w:pPr>
            <w:r w:rsidRPr="00000849">
              <w:rPr>
                <w:rFonts w:ascii="Calibri" w:eastAsia="Times New Roman" w:hAnsi="Calibri" w:cs="Calibri"/>
                <w:caps w:val="0"/>
                <w:color w:val="000000"/>
                <w:sz w:val="16"/>
                <w:szCs w:val="16"/>
              </w:rPr>
              <w:t>Country</w:t>
            </w:r>
          </w:p>
        </w:tc>
        <w:tc>
          <w:tcPr>
            <w:tcW w:w="344" w:type="pct"/>
            <w:tcBorders>
              <w:top w:val="single" w:sz="4" w:space="0" w:color="auto"/>
              <w:bottom w:val="single" w:sz="4" w:space="0" w:color="auto"/>
            </w:tcBorders>
            <w:hideMark/>
          </w:tcPr>
          <w:p w14:paraId="6B83A47D" w14:textId="68FE2FB5" w:rsidR="00D1712A" w:rsidRPr="00000849" w:rsidRDefault="00F7456C" w:rsidP="00D16031">
            <w:pPr>
              <w:rPr>
                <w:rFonts w:ascii="Calibri" w:eastAsia="Times New Roman" w:hAnsi="Calibri" w:cs="Calibri"/>
                <w:color w:val="000000"/>
                <w:sz w:val="16"/>
                <w:szCs w:val="16"/>
              </w:rPr>
            </w:pPr>
            <w:r w:rsidRPr="00000849">
              <w:rPr>
                <w:rFonts w:ascii="Calibri" w:eastAsia="Times New Roman" w:hAnsi="Calibri" w:cs="Calibri"/>
                <w:caps w:val="0"/>
                <w:color w:val="000000"/>
                <w:sz w:val="16"/>
                <w:szCs w:val="16"/>
              </w:rPr>
              <w:t>Reference</w:t>
            </w:r>
          </w:p>
        </w:tc>
        <w:tc>
          <w:tcPr>
            <w:tcW w:w="701" w:type="pct"/>
            <w:tcBorders>
              <w:top w:val="single" w:sz="4" w:space="0" w:color="auto"/>
              <w:bottom w:val="single" w:sz="4" w:space="0" w:color="auto"/>
            </w:tcBorders>
            <w:hideMark/>
          </w:tcPr>
          <w:p w14:paraId="344A2F8B" w14:textId="124684FD" w:rsidR="00D1712A" w:rsidRPr="00000849" w:rsidRDefault="00F7456C" w:rsidP="00D16031">
            <w:pPr>
              <w:jc w:val="center"/>
              <w:rPr>
                <w:rFonts w:ascii="Calibri" w:eastAsia="Times New Roman" w:hAnsi="Calibri" w:cs="Calibri"/>
                <w:color w:val="000000"/>
                <w:sz w:val="16"/>
                <w:szCs w:val="16"/>
              </w:rPr>
            </w:pPr>
            <w:r w:rsidRPr="00000849">
              <w:rPr>
                <w:rFonts w:ascii="Calibri" w:eastAsia="Times New Roman" w:hAnsi="Calibri" w:cs="Calibri"/>
                <w:caps w:val="0"/>
                <w:color w:val="000000"/>
                <w:sz w:val="16"/>
                <w:szCs w:val="16"/>
              </w:rPr>
              <w:t>Age</w:t>
            </w:r>
          </w:p>
        </w:tc>
        <w:tc>
          <w:tcPr>
            <w:tcW w:w="442" w:type="pct"/>
            <w:tcBorders>
              <w:top w:val="single" w:sz="4" w:space="0" w:color="auto"/>
              <w:bottom w:val="single" w:sz="4" w:space="0" w:color="auto"/>
            </w:tcBorders>
            <w:hideMark/>
          </w:tcPr>
          <w:p w14:paraId="1D0EC323" w14:textId="6356A361" w:rsidR="00D1712A" w:rsidRPr="00000849" w:rsidRDefault="00F7456C" w:rsidP="00D16031">
            <w:pPr>
              <w:jc w:val="center"/>
              <w:rPr>
                <w:rFonts w:ascii="Calibri" w:eastAsia="Times New Roman" w:hAnsi="Calibri" w:cs="Calibri"/>
                <w:color w:val="000000"/>
                <w:sz w:val="16"/>
                <w:szCs w:val="16"/>
              </w:rPr>
            </w:pPr>
            <w:r w:rsidRPr="00000849">
              <w:rPr>
                <w:rFonts w:ascii="Calibri" w:eastAsia="Times New Roman" w:hAnsi="Calibri" w:cs="Calibri"/>
                <w:caps w:val="0"/>
                <w:color w:val="000000"/>
                <w:sz w:val="16"/>
                <w:szCs w:val="16"/>
              </w:rPr>
              <w:t>Sex</w:t>
            </w:r>
          </w:p>
        </w:tc>
        <w:tc>
          <w:tcPr>
            <w:tcW w:w="1030" w:type="pct"/>
            <w:gridSpan w:val="3"/>
            <w:tcBorders>
              <w:top w:val="single" w:sz="4" w:space="0" w:color="auto"/>
              <w:bottom w:val="single" w:sz="4" w:space="0" w:color="auto"/>
            </w:tcBorders>
            <w:hideMark/>
          </w:tcPr>
          <w:p w14:paraId="5A60CECF" w14:textId="186AB36C" w:rsidR="00D1712A" w:rsidRPr="00000849" w:rsidRDefault="00F7456C" w:rsidP="00D16031">
            <w:pPr>
              <w:jc w:val="center"/>
              <w:rPr>
                <w:rFonts w:ascii="Calibri" w:eastAsia="Times New Roman" w:hAnsi="Calibri" w:cs="Calibri"/>
                <w:color w:val="000000"/>
                <w:sz w:val="16"/>
                <w:szCs w:val="16"/>
              </w:rPr>
            </w:pPr>
            <w:r w:rsidRPr="00000849">
              <w:rPr>
                <w:rFonts w:ascii="Calibri" w:eastAsia="Times New Roman" w:hAnsi="Calibri" w:cs="Calibri"/>
                <w:caps w:val="0"/>
                <w:color w:val="000000"/>
                <w:sz w:val="16"/>
                <w:szCs w:val="16"/>
              </w:rPr>
              <w:t>Residence</w:t>
            </w:r>
          </w:p>
        </w:tc>
        <w:tc>
          <w:tcPr>
            <w:tcW w:w="598" w:type="pct"/>
            <w:tcBorders>
              <w:top w:val="single" w:sz="4" w:space="0" w:color="auto"/>
              <w:bottom w:val="single" w:sz="4" w:space="0" w:color="auto"/>
            </w:tcBorders>
            <w:hideMark/>
          </w:tcPr>
          <w:p w14:paraId="4EEAC4C6" w14:textId="3DAF7653" w:rsidR="00D1712A" w:rsidRPr="00000849" w:rsidRDefault="00F7456C" w:rsidP="00D16031">
            <w:pPr>
              <w:jc w:val="center"/>
              <w:rPr>
                <w:rFonts w:ascii="Calibri" w:eastAsia="Times New Roman" w:hAnsi="Calibri" w:cs="Calibri"/>
                <w:color w:val="000000"/>
                <w:sz w:val="16"/>
                <w:szCs w:val="16"/>
              </w:rPr>
            </w:pPr>
            <w:r w:rsidRPr="00000849">
              <w:rPr>
                <w:rFonts w:ascii="Calibri" w:eastAsia="Times New Roman" w:hAnsi="Calibri" w:cs="Calibri"/>
                <w:caps w:val="0"/>
                <w:color w:val="000000"/>
                <w:sz w:val="16"/>
                <w:szCs w:val="16"/>
              </w:rPr>
              <w:t>Education</w:t>
            </w:r>
          </w:p>
        </w:tc>
        <w:tc>
          <w:tcPr>
            <w:tcW w:w="598" w:type="pct"/>
            <w:tcBorders>
              <w:top w:val="single" w:sz="4" w:space="0" w:color="auto"/>
              <w:bottom w:val="single" w:sz="4" w:space="0" w:color="auto"/>
            </w:tcBorders>
            <w:hideMark/>
          </w:tcPr>
          <w:p w14:paraId="1F8BB726" w14:textId="34E6A64B" w:rsidR="00D1712A" w:rsidRPr="00000849" w:rsidRDefault="00F7456C" w:rsidP="00D16031">
            <w:pPr>
              <w:jc w:val="center"/>
              <w:rPr>
                <w:rFonts w:ascii="Calibri" w:eastAsia="Times New Roman" w:hAnsi="Calibri" w:cs="Calibri"/>
                <w:color w:val="000000"/>
                <w:sz w:val="16"/>
                <w:szCs w:val="16"/>
              </w:rPr>
            </w:pPr>
            <w:r w:rsidRPr="00000849">
              <w:rPr>
                <w:rFonts w:ascii="Calibri" w:eastAsia="Times New Roman" w:hAnsi="Calibri" w:cs="Calibri"/>
                <w:caps w:val="0"/>
                <w:color w:val="000000"/>
                <w:sz w:val="16"/>
                <w:szCs w:val="16"/>
              </w:rPr>
              <w:t>Wealth</w:t>
            </w:r>
          </w:p>
        </w:tc>
        <w:tc>
          <w:tcPr>
            <w:tcW w:w="767" w:type="pct"/>
            <w:tcBorders>
              <w:top w:val="single" w:sz="4" w:space="0" w:color="auto"/>
              <w:bottom w:val="single" w:sz="4" w:space="0" w:color="auto"/>
            </w:tcBorders>
            <w:hideMark/>
          </w:tcPr>
          <w:p w14:paraId="4DFDF0C4" w14:textId="32200BD2" w:rsidR="00D1712A" w:rsidRPr="00000849" w:rsidRDefault="00F7456C" w:rsidP="00D16031">
            <w:pPr>
              <w:jc w:val="center"/>
              <w:rPr>
                <w:rFonts w:ascii="Calibri" w:eastAsia="Times New Roman" w:hAnsi="Calibri" w:cs="Calibri"/>
                <w:color w:val="000000"/>
                <w:sz w:val="16"/>
                <w:szCs w:val="16"/>
              </w:rPr>
            </w:pPr>
            <w:r w:rsidRPr="00000849">
              <w:rPr>
                <w:rFonts w:ascii="Calibri" w:eastAsia="Times New Roman" w:hAnsi="Calibri" w:cs="Calibri"/>
                <w:caps w:val="0"/>
                <w:color w:val="000000"/>
                <w:sz w:val="16"/>
                <w:szCs w:val="16"/>
              </w:rPr>
              <w:t>Occupation</w:t>
            </w:r>
          </w:p>
        </w:tc>
      </w:tr>
      <w:tr w:rsidR="00F7456C" w:rsidRPr="00000849" w14:paraId="492866F9" w14:textId="77777777" w:rsidTr="00F7456C">
        <w:trPr>
          <w:cnfStyle w:val="000000100000" w:firstRow="0" w:lastRow="0" w:firstColumn="0" w:lastColumn="0" w:oddVBand="0" w:evenVBand="0" w:oddHBand="1" w:evenHBand="0" w:firstRowFirstColumn="0" w:firstRowLastColumn="0" w:lastRowFirstColumn="0" w:lastRowLastColumn="0"/>
          <w:trHeight w:val="800"/>
        </w:trPr>
        <w:tc>
          <w:tcPr>
            <w:tcW w:w="174" w:type="pct"/>
            <w:tcBorders>
              <w:top w:val="single" w:sz="4" w:space="0" w:color="auto"/>
            </w:tcBorders>
            <w:hideMark/>
          </w:tcPr>
          <w:p w14:paraId="02F9CD5B"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w:t>
            </w:r>
          </w:p>
        </w:tc>
        <w:tc>
          <w:tcPr>
            <w:tcW w:w="346" w:type="pct"/>
            <w:tcBorders>
              <w:top w:val="single" w:sz="4" w:space="0" w:color="auto"/>
            </w:tcBorders>
            <w:hideMark/>
          </w:tcPr>
          <w:p w14:paraId="4447C99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Nigeria</w:t>
            </w:r>
          </w:p>
        </w:tc>
        <w:tc>
          <w:tcPr>
            <w:tcW w:w="344" w:type="pct"/>
            <w:tcBorders>
              <w:top w:val="single" w:sz="4" w:space="0" w:color="auto"/>
            </w:tcBorders>
            <w:hideMark/>
          </w:tcPr>
          <w:p w14:paraId="110E76AA" w14:textId="3446D437"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Abegunde 2013 </w:t>
            </w:r>
            <w:r w:rsidRPr="00000849">
              <w:rPr>
                <w:rFonts w:ascii="Calibri" w:eastAsia="Calibri" w:hAnsi="Calibri" w:cs="Calibri"/>
                <w:color w:val="000000"/>
                <w:sz w:val="16"/>
              </w:rPr>
              <w:t>[</w:t>
            </w:r>
            <w:r w:rsidRPr="00000849">
              <w:rPr>
                <w:rFonts w:ascii="Calibri" w:eastAsia="Calibri" w:hAnsi="Calibri" w:cs="Calibri"/>
                <w:color w:val="0000FF"/>
                <w:sz w:val="16"/>
              </w:rPr>
              <w:t>24</w:t>
            </w:r>
            <w:r w:rsidRPr="00000849">
              <w:rPr>
                <w:rFonts w:ascii="Calibri" w:eastAsia="Calibri" w:hAnsi="Calibri" w:cs="Calibri"/>
                <w:color w:val="000000"/>
                <w:sz w:val="16"/>
              </w:rPr>
              <w:t>]</w:t>
            </w:r>
          </w:p>
        </w:tc>
        <w:tc>
          <w:tcPr>
            <w:tcW w:w="701" w:type="pct"/>
            <w:tcBorders>
              <w:top w:val="single" w:sz="4" w:space="0" w:color="auto"/>
            </w:tcBorders>
            <w:hideMark/>
          </w:tcPr>
          <w:p w14:paraId="72EB0E14" w14:textId="77777777" w:rsidR="00D1712A" w:rsidRPr="00000849" w:rsidRDefault="00D1712A" w:rsidP="00D16031">
            <w:pPr>
              <w:rPr>
                <w:rFonts w:ascii="Calibri" w:eastAsia="Times New Roman" w:hAnsi="Calibri" w:cs="Calibri"/>
                <w:color w:val="000000"/>
                <w:sz w:val="16"/>
                <w:szCs w:val="16"/>
              </w:rPr>
            </w:pPr>
          </w:p>
        </w:tc>
        <w:tc>
          <w:tcPr>
            <w:tcW w:w="442" w:type="pct"/>
            <w:tcBorders>
              <w:top w:val="single" w:sz="4" w:space="0" w:color="auto"/>
            </w:tcBorders>
            <w:hideMark/>
          </w:tcPr>
          <w:p w14:paraId="3E88098E"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Compared with males: Females OR = 1.551; (1.01-2.39; P = 0.046)</w:t>
            </w:r>
          </w:p>
        </w:tc>
        <w:tc>
          <w:tcPr>
            <w:tcW w:w="1030" w:type="pct"/>
            <w:gridSpan w:val="3"/>
            <w:tcBorders>
              <w:top w:val="single" w:sz="4" w:space="0" w:color="auto"/>
            </w:tcBorders>
            <w:hideMark/>
          </w:tcPr>
          <w:p w14:paraId="03E362D5" w14:textId="77777777" w:rsidR="00D1712A" w:rsidRPr="00000849" w:rsidRDefault="00D1712A" w:rsidP="00D16031">
            <w:pPr>
              <w:rPr>
                <w:rFonts w:ascii="Calibri" w:eastAsia="Times New Roman" w:hAnsi="Calibri" w:cs="Calibri"/>
                <w:color w:val="000000"/>
                <w:sz w:val="16"/>
                <w:szCs w:val="16"/>
              </w:rPr>
            </w:pPr>
          </w:p>
        </w:tc>
        <w:tc>
          <w:tcPr>
            <w:tcW w:w="598" w:type="pct"/>
            <w:tcBorders>
              <w:top w:val="single" w:sz="4" w:space="0" w:color="auto"/>
            </w:tcBorders>
            <w:hideMark/>
          </w:tcPr>
          <w:p w14:paraId="45533B7A" w14:textId="77777777" w:rsidR="00D1712A" w:rsidRPr="00000849" w:rsidRDefault="00D1712A" w:rsidP="00D16031">
            <w:pPr>
              <w:rPr>
                <w:rFonts w:ascii="Calibri" w:eastAsia="Times New Roman" w:hAnsi="Calibri" w:cs="Calibri"/>
                <w:sz w:val="16"/>
                <w:szCs w:val="16"/>
              </w:rPr>
            </w:pPr>
          </w:p>
        </w:tc>
        <w:tc>
          <w:tcPr>
            <w:tcW w:w="598" w:type="pct"/>
            <w:tcBorders>
              <w:top w:val="single" w:sz="4" w:space="0" w:color="auto"/>
            </w:tcBorders>
            <w:hideMark/>
          </w:tcPr>
          <w:p w14:paraId="251D96B5"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Decreasing monthly income: OR = 0.798; 95%CI = 0.677-0.940; P = 0.007</w:t>
            </w:r>
          </w:p>
        </w:tc>
        <w:tc>
          <w:tcPr>
            <w:tcW w:w="767" w:type="pct"/>
            <w:tcBorders>
              <w:top w:val="single" w:sz="4" w:space="0" w:color="auto"/>
            </w:tcBorders>
            <w:hideMark/>
          </w:tcPr>
          <w:p w14:paraId="7B2B59FE" w14:textId="77777777" w:rsidR="00D1712A" w:rsidRPr="00000849" w:rsidRDefault="00D1712A" w:rsidP="00D16031">
            <w:pPr>
              <w:rPr>
                <w:rFonts w:ascii="Calibri" w:eastAsia="Times New Roman" w:hAnsi="Calibri" w:cs="Calibri"/>
                <w:color w:val="000000"/>
                <w:sz w:val="16"/>
                <w:szCs w:val="16"/>
              </w:rPr>
            </w:pPr>
          </w:p>
        </w:tc>
      </w:tr>
      <w:tr w:rsidR="00F7456C" w:rsidRPr="00000849" w14:paraId="4407037F" w14:textId="77777777" w:rsidTr="00F7456C">
        <w:trPr>
          <w:trHeight w:val="2025"/>
        </w:trPr>
        <w:tc>
          <w:tcPr>
            <w:tcW w:w="174" w:type="pct"/>
            <w:hideMark/>
          </w:tcPr>
          <w:p w14:paraId="2E03487B"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2</w:t>
            </w:r>
          </w:p>
        </w:tc>
        <w:tc>
          <w:tcPr>
            <w:tcW w:w="346" w:type="pct"/>
            <w:hideMark/>
          </w:tcPr>
          <w:p w14:paraId="4F00715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Ghana</w:t>
            </w:r>
          </w:p>
        </w:tc>
        <w:tc>
          <w:tcPr>
            <w:tcW w:w="344" w:type="pct"/>
            <w:hideMark/>
          </w:tcPr>
          <w:p w14:paraId="5F0934ED" w14:textId="4477497E"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Boateng 2017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F7456C" w:rsidRPr="00000849">
              <w:rPr>
                <w:rFonts w:ascii="Calibri" w:eastAsia="Calibri" w:hAnsi="Calibri" w:cs="Calibri"/>
                <w:color w:val="0000FF"/>
                <w:sz w:val="16"/>
              </w:rPr>
              <w:t>1</w:t>
            </w:r>
            <w:r w:rsidRPr="00000849">
              <w:rPr>
                <w:rFonts w:ascii="Calibri" w:eastAsia="Calibri" w:hAnsi="Calibri" w:cs="Calibri"/>
                <w:color w:val="000000"/>
                <w:sz w:val="16"/>
              </w:rPr>
              <w:t>]</w:t>
            </w:r>
          </w:p>
        </w:tc>
        <w:tc>
          <w:tcPr>
            <w:tcW w:w="701" w:type="pct"/>
            <w:hideMark/>
          </w:tcPr>
          <w:p w14:paraId="7F4060E1" w14:textId="77777777" w:rsidR="00D1712A" w:rsidRPr="00000849" w:rsidRDefault="00D1712A" w:rsidP="00D16031">
            <w:pPr>
              <w:rPr>
                <w:rFonts w:ascii="Calibri" w:eastAsia="Times New Roman" w:hAnsi="Calibri" w:cs="Calibri"/>
                <w:color w:val="000000"/>
                <w:sz w:val="16"/>
                <w:szCs w:val="16"/>
              </w:rPr>
            </w:pPr>
          </w:p>
        </w:tc>
        <w:tc>
          <w:tcPr>
            <w:tcW w:w="626" w:type="pct"/>
            <w:gridSpan w:val="3"/>
            <w:hideMark/>
          </w:tcPr>
          <w:p w14:paraId="63D19072"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Compared with males: Female sex RR 1.33 (1.04, 1.69)  p ≤0.05 (Stage 1 SHTN); RR= 1.66 (1.28, 2.15) p ≤0.001 (Stage 2 SHTN).  </w:t>
            </w:r>
          </w:p>
        </w:tc>
        <w:tc>
          <w:tcPr>
            <w:tcW w:w="846" w:type="pct"/>
            <w:hideMark/>
          </w:tcPr>
          <w:p w14:paraId="799F573A"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Compared with urban residents: rural RR = 0.86 (0.65, 1.13), NS (Stage 1 SHTN); RR= 0.79 (0.59, 1.05), NS (Stage 2 SHTN).  </w:t>
            </w:r>
          </w:p>
        </w:tc>
        <w:tc>
          <w:tcPr>
            <w:tcW w:w="598" w:type="pct"/>
            <w:hideMark/>
          </w:tcPr>
          <w:p w14:paraId="70E248E6" w14:textId="77777777" w:rsidR="00D1712A" w:rsidRPr="00000849" w:rsidRDefault="00D1712A" w:rsidP="00D16031">
            <w:pPr>
              <w:rPr>
                <w:rFonts w:ascii="Calibri" w:eastAsia="Times New Roman" w:hAnsi="Calibri" w:cs="Calibri"/>
                <w:color w:val="000000"/>
                <w:sz w:val="16"/>
                <w:szCs w:val="16"/>
              </w:rPr>
            </w:pPr>
          </w:p>
        </w:tc>
        <w:tc>
          <w:tcPr>
            <w:tcW w:w="598" w:type="pct"/>
            <w:hideMark/>
          </w:tcPr>
          <w:p w14:paraId="34139112"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Compared with the poorest adults: the next poor quintile group 2, RR 1.47 (1.02, 2.09)  p ≤0.05 (Stage 1 SHTN); all other quintile groups NS for stage 1 or stage 2 SHTN  </w:t>
            </w:r>
          </w:p>
        </w:tc>
        <w:tc>
          <w:tcPr>
            <w:tcW w:w="767" w:type="pct"/>
            <w:hideMark/>
          </w:tcPr>
          <w:p w14:paraId="6DB14092" w14:textId="77777777" w:rsidR="00D1712A" w:rsidRPr="00000849" w:rsidRDefault="00D1712A" w:rsidP="00D16031">
            <w:pPr>
              <w:rPr>
                <w:rFonts w:ascii="Calibri" w:eastAsia="Times New Roman" w:hAnsi="Calibri" w:cs="Calibri"/>
                <w:color w:val="000000"/>
                <w:sz w:val="16"/>
                <w:szCs w:val="16"/>
              </w:rPr>
            </w:pPr>
          </w:p>
        </w:tc>
      </w:tr>
      <w:tr w:rsidR="00F7456C" w:rsidRPr="00000849" w14:paraId="66A974ED" w14:textId="77777777" w:rsidTr="00F7456C">
        <w:trPr>
          <w:cnfStyle w:val="000000100000" w:firstRow="0" w:lastRow="0" w:firstColumn="0" w:lastColumn="0" w:oddVBand="0" w:evenVBand="0" w:oddHBand="1" w:evenHBand="0" w:firstRowFirstColumn="0" w:firstRowLastColumn="0" w:lastRowFirstColumn="0" w:lastRowLastColumn="0"/>
          <w:trHeight w:val="1962"/>
        </w:trPr>
        <w:tc>
          <w:tcPr>
            <w:tcW w:w="174" w:type="pct"/>
            <w:hideMark/>
          </w:tcPr>
          <w:p w14:paraId="5C1DECB0"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3</w:t>
            </w:r>
          </w:p>
        </w:tc>
        <w:tc>
          <w:tcPr>
            <w:tcW w:w="346" w:type="pct"/>
            <w:hideMark/>
          </w:tcPr>
          <w:p w14:paraId="030DF5B5"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Ghana</w:t>
            </w:r>
          </w:p>
        </w:tc>
        <w:tc>
          <w:tcPr>
            <w:tcW w:w="344" w:type="pct"/>
            <w:hideMark/>
          </w:tcPr>
          <w:p w14:paraId="4997C518" w14:textId="72C17250"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Boateng 2017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F7456C" w:rsidRPr="00000849">
              <w:rPr>
                <w:rFonts w:ascii="Calibri" w:eastAsia="Calibri" w:hAnsi="Calibri" w:cs="Calibri"/>
                <w:color w:val="0000FF"/>
                <w:sz w:val="16"/>
              </w:rPr>
              <w:t>1</w:t>
            </w:r>
            <w:r w:rsidRPr="00000849">
              <w:rPr>
                <w:rFonts w:ascii="Calibri" w:eastAsia="Calibri" w:hAnsi="Calibri" w:cs="Calibri"/>
                <w:color w:val="000000"/>
                <w:sz w:val="16"/>
              </w:rPr>
              <w:t>]</w:t>
            </w:r>
          </w:p>
        </w:tc>
        <w:tc>
          <w:tcPr>
            <w:tcW w:w="701" w:type="pct"/>
            <w:hideMark/>
          </w:tcPr>
          <w:p w14:paraId="5E71073B" w14:textId="77777777" w:rsidR="00D1712A" w:rsidRPr="00000849" w:rsidRDefault="00D1712A" w:rsidP="00D16031">
            <w:pPr>
              <w:rPr>
                <w:rFonts w:ascii="Calibri" w:eastAsia="Times New Roman" w:hAnsi="Calibri" w:cs="Calibri"/>
                <w:color w:val="000000"/>
                <w:sz w:val="16"/>
                <w:szCs w:val="16"/>
              </w:rPr>
            </w:pPr>
          </w:p>
        </w:tc>
        <w:tc>
          <w:tcPr>
            <w:tcW w:w="592" w:type="pct"/>
            <w:gridSpan w:val="2"/>
            <w:hideMark/>
          </w:tcPr>
          <w:p w14:paraId="312F474A"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Compared with males: Female sex RR 0.91 (0.69, 1.19) NS (Stage 1 DHTN); RR= 0.79 (0.61, 1.01) NS (Stage 2 DHTN).  </w:t>
            </w:r>
          </w:p>
        </w:tc>
        <w:tc>
          <w:tcPr>
            <w:tcW w:w="880" w:type="pct"/>
            <w:gridSpan w:val="2"/>
            <w:hideMark/>
          </w:tcPr>
          <w:p w14:paraId="7DCEA816"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Compared with urban residents: rural RR= 0.91 (0.69, 1.19), NS (Stage 1 DHTN); RR=0.79 (0.61, 1.02), NS (Stage 2 DHTN).  </w:t>
            </w:r>
          </w:p>
        </w:tc>
        <w:tc>
          <w:tcPr>
            <w:tcW w:w="598" w:type="pct"/>
            <w:hideMark/>
          </w:tcPr>
          <w:p w14:paraId="7C135BC2" w14:textId="77777777" w:rsidR="00D1712A" w:rsidRPr="00000849" w:rsidRDefault="00D1712A" w:rsidP="00D16031">
            <w:pPr>
              <w:rPr>
                <w:rFonts w:ascii="Calibri" w:eastAsia="Times New Roman" w:hAnsi="Calibri" w:cs="Calibri"/>
                <w:color w:val="000000"/>
                <w:sz w:val="16"/>
                <w:szCs w:val="16"/>
              </w:rPr>
            </w:pPr>
          </w:p>
        </w:tc>
        <w:tc>
          <w:tcPr>
            <w:tcW w:w="598" w:type="pct"/>
            <w:hideMark/>
          </w:tcPr>
          <w:p w14:paraId="0DB426C7"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Compared with the poorest adults: the next poor quintile group 2, RR 1.47 (1.03, 2.13)  p ≤0.05 (Stage 1 DHTN); all other quintile groups NS for stage 1 or stage 2 DHTN  </w:t>
            </w:r>
          </w:p>
        </w:tc>
        <w:tc>
          <w:tcPr>
            <w:tcW w:w="767" w:type="pct"/>
            <w:hideMark/>
          </w:tcPr>
          <w:p w14:paraId="5340592A" w14:textId="77777777" w:rsidR="00D1712A" w:rsidRPr="00000849" w:rsidRDefault="00D1712A" w:rsidP="00D16031">
            <w:pPr>
              <w:rPr>
                <w:rFonts w:ascii="Calibri" w:eastAsia="Times New Roman" w:hAnsi="Calibri" w:cs="Calibri"/>
                <w:color w:val="000000"/>
                <w:sz w:val="16"/>
                <w:szCs w:val="16"/>
              </w:rPr>
            </w:pPr>
          </w:p>
        </w:tc>
      </w:tr>
      <w:tr w:rsidR="00F7456C" w:rsidRPr="00000849" w14:paraId="2FD603DB" w14:textId="77777777" w:rsidTr="00F7456C">
        <w:trPr>
          <w:trHeight w:val="1170"/>
        </w:trPr>
        <w:tc>
          <w:tcPr>
            <w:tcW w:w="174" w:type="pct"/>
            <w:hideMark/>
          </w:tcPr>
          <w:p w14:paraId="0DF78BAE"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4</w:t>
            </w:r>
          </w:p>
        </w:tc>
        <w:tc>
          <w:tcPr>
            <w:tcW w:w="346" w:type="pct"/>
            <w:hideMark/>
          </w:tcPr>
          <w:p w14:paraId="6CB6550B"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Tanzania</w:t>
            </w:r>
          </w:p>
        </w:tc>
        <w:tc>
          <w:tcPr>
            <w:tcW w:w="344" w:type="pct"/>
            <w:hideMark/>
          </w:tcPr>
          <w:p w14:paraId="29E98819" w14:textId="1D811E99"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Dewhurst 2013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F7456C" w:rsidRPr="00000849">
              <w:rPr>
                <w:rFonts w:ascii="Calibri" w:eastAsia="Calibri" w:hAnsi="Calibri" w:cs="Calibri"/>
                <w:color w:val="0000FF"/>
                <w:sz w:val="16"/>
              </w:rPr>
              <w:t>5</w:t>
            </w:r>
            <w:r w:rsidRPr="00000849">
              <w:rPr>
                <w:rFonts w:ascii="Calibri" w:eastAsia="Calibri" w:hAnsi="Calibri" w:cs="Calibri"/>
                <w:color w:val="000000"/>
                <w:sz w:val="16"/>
              </w:rPr>
              <w:t>]</w:t>
            </w:r>
          </w:p>
        </w:tc>
        <w:tc>
          <w:tcPr>
            <w:tcW w:w="701" w:type="pct"/>
            <w:hideMark/>
          </w:tcPr>
          <w:p w14:paraId="7F16FFB8"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Compared with 70-74-year age group: ≥85y OR=1.53 (1.13-2.08); 75-79 years OR 1.13 (0.89-1.44); 80-84 years OR 1.18 (0.88-1.58)</w:t>
            </w:r>
          </w:p>
        </w:tc>
        <w:tc>
          <w:tcPr>
            <w:tcW w:w="442" w:type="pct"/>
            <w:hideMark/>
          </w:tcPr>
          <w:p w14:paraId="305D317A"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Compared with males: female, OR 1.80 (1.48-2.20)</w:t>
            </w:r>
          </w:p>
        </w:tc>
        <w:tc>
          <w:tcPr>
            <w:tcW w:w="1030" w:type="pct"/>
            <w:gridSpan w:val="3"/>
            <w:hideMark/>
          </w:tcPr>
          <w:p w14:paraId="023FE413"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Compared with lowland village dwelling: upland dwelling, OR=1.52 (1.21-1.92)</w:t>
            </w:r>
          </w:p>
        </w:tc>
        <w:tc>
          <w:tcPr>
            <w:tcW w:w="598" w:type="pct"/>
            <w:hideMark/>
          </w:tcPr>
          <w:p w14:paraId="681D5CB4" w14:textId="77777777" w:rsidR="00D1712A" w:rsidRPr="00000849" w:rsidRDefault="00D1712A" w:rsidP="00D16031">
            <w:pPr>
              <w:rPr>
                <w:rFonts w:ascii="Calibri" w:eastAsia="Times New Roman" w:hAnsi="Calibri" w:cs="Calibri"/>
                <w:color w:val="000000"/>
                <w:sz w:val="16"/>
                <w:szCs w:val="16"/>
              </w:rPr>
            </w:pPr>
          </w:p>
        </w:tc>
        <w:tc>
          <w:tcPr>
            <w:tcW w:w="598" w:type="pct"/>
            <w:hideMark/>
          </w:tcPr>
          <w:p w14:paraId="497A6140" w14:textId="77777777" w:rsidR="00D1712A" w:rsidRPr="00000849" w:rsidRDefault="00D1712A" w:rsidP="00D16031">
            <w:pPr>
              <w:rPr>
                <w:rFonts w:ascii="Calibri" w:eastAsia="Times New Roman" w:hAnsi="Calibri" w:cs="Calibri"/>
                <w:sz w:val="16"/>
                <w:szCs w:val="16"/>
              </w:rPr>
            </w:pPr>
          </w:p>
        </w:tc>
        <w:tc>
          <w:tcPr>
            <w:tcW w:w="767" w:type="pct"/>
            <w:hideMark/>
          </w:tcPr>
          <w:p w14:paraId="76F1A864" w14:textId="77777777" w:rsidR="00D1712A" w:rsidRPr="00000849" w:rsidRDefault="00D1712A" w:rsidP="00D16031">
            <w:pPr>
              <w:rPr>
                <w:rFonts w:ascii="Calibri" w:eastAsia="Times New Roman" w:hAnsi="Calibri" w:cs="Calibri"/>
                <w:sz w:val="16"/>
                <w:szCs w:val="16"/>
              </w:rPr>
            </w:pPr>
          </w:p>
        </w:tc>
      </w:tr>
      <w:tr w:rsidR="00F7456C" w:rsidRPr="00000849" w14:paraId="77FA56EA" w14:textId="77777777" w:rsidTr="00F7456C">
        <w:trPr>
          <w:cnfStyle w:val="000000100000" w:firstRow="0" w:lastRow="0" w:firstColumn="0" w:lastColumn="0" w:oddVBand="0" w:evenVBand="0" w:oddHBand="1" w:evenHBand="0" w:firstRowFirstColumn="0" w:firstRowLastColumn="0" w:lastRowFirstColumn="0" w:lastRowLastColumn="0"/>
          <w:trHeight w:val="936"/>
        </w:trPr>
        <w:tc>
          <w:tcPr>
            <w:tcW w:w="174" w:type="pct"/>
            <w:hideMark/>
          </w:tcPr>
          <w:p w14:paraId="405EC864"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5</w:t>
            </w:r>
          </w:p>
        </w:tc>
        <w:tc>
          <w:tcPr>
            <w:tcW w:w="346" w:type="pct"/>
            <w:hideMark/>
          </w:tcPr>
          <w:p w14:paraId="0F3A8A62"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Tunisia</w:t>
            </w:r>
          </w:p>
        </w:tc>
        <w:tc>
          <w:tcPr>
            <w:tcW w:w="344" w:type="pct"/>
            <w:hideMark/>
          </w:tcPr>
          <w:p w14:paraId="53DB9436" w14:textId="205ED3C6"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Hammami 2011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F7456C" w:rsidRPr="00000849">
              <w:rPr>
                <w:rFonts w:ascii="Calibri" w:eastAsia="Calibri" w:hAnsi="Calibri" w:cs="Calibri"/>
                <w:color w:val="0000FF"/>
                <w:sz w:val="16"/>
              </w:rPr>
              <w:t>6</w:t>
            </w:r>
            <w:r w:rsidRPr="00000849">
              <w:rPr>
                <w:rFonts w:ascii="Calibri" w:eastAsia="Calibri" w:hAnsi="Calibri" w:cs="Calibri"/>
                <w:color w:val="000000"/>
                <w:sz w:val="16"/>
              </w:rPr>
              <w:t>]</w:t>
            </w:r>
          </w:p>
        </w:tc>
        <w:tc>
          <w:tcPr>
            <w:tcW w:w="701" w:type="pct"/>
            <w:hideMark/>
          </w:tcPr>
          <w:p w14:paraId="29D1C7D1"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NS</w:t>
            </w:r>
          </w:p>
        </w:tc>
        <w:tc>
          <w:tcPr>
            <w:tcW w:w="442" w:type="pct"/>
            <w:hideMark/>
          </w:tcPr>
          <w:p w14:paraId="6FEB5B7D" w14:textId="77777777" w:rsidR="00D1712A" w:rsidRPr="00000849" w:rsidRDefault="00D1712A" w:rsidP="00D16031">
            <w:pPr>
              <w:rPr>
                <w:rFonts w:ascii="Calibri" w:eastAsia="Times New Roman" w:hAnsi="Calibri" w:cs="Calibri"/>
                <w:sz w:val="16"/>
                <w:szCs w:val="16"/>
              </w:rPr>
            </w:pPr>
            <w:r w:rsidRPr="00000849">
              <w:rPr>
                <w:rFonts w:ascii="Calibri" w:eastAsia="Times New Roman" w:hAnsi="Calibri" w:cs="Calibri"/>
                <w:sz w:val="16"/>
                <w:szCs w:val="16"/>
              </w:rPr>
              <w:t>NS</w:t>
            </w:r>
          </w:p>
        </w:tc>
        <w:tc>
          <w:tcPr>
            <w:tcW w:w="1030" w:type="pct"/>
            <w:gridSpan w:val="3"/>
            <w:hideMark/>
          </w:tcPr>
          <w:p w14:paraId="3321BDF3" w14:textId="77777777" w:rsidR="00D1712A" w:rsidRPr="00000849" w:rsidRDefault="00D1712A" w:rsidP="00D16031">
            <w:pPr>
              <w:rPr>
                <w:rFonts w:ascii="Calibri" w:eastAsia="Times New Roman" w:hAnsi="Calibri" w:cs="Calibri"/>
                <w:sz w:val="16"/>
                <w:szCs w:val="16"/>
              </w:rPr>
            </w:pPr>
            <w:r w:rsidRPr="00000849">
              <w:rPr>
                <w:rFonts w:ascii="Calibri" w:eastAsia="Times New Roman" w:hAnsi="Calibri" w:cs="Calibri"/>
                <w:sz w:val="16"/>
                <w:szCs w:val="16"/>
              </w:rPr>
              <w:t>NS</w:t>
            </w:r>
          </w:p>
        </w:tc>
        <w:tc>
          <w:tcPr>
            <w:tcW w:w="598" w:type="pct"/>
            <w:hideMark/>
          </w:tcPr>
          <w:p w14:paraId="3080F0B7" w14:textId="77777777" w:rsidR="00D1712A" w:rsidRPr="00000849" w:rsidRDefault="00D1712A" w:rsidP="00D16031">
            <w:pPr>
              <w:rPr>
                <w:rFonts w:ascii="Calibri" w:eastAsia="Times New Roman" w:hAnsi="Calibri" w:cs="Calibri"/>
                <w:sz w:val="16"/>
                <w:szCs w:val="16"/>
              </w:rPr>
            </w:pPr>
            <w:r w:rsidRPr="00000849">
              <w:rPr>
                <w:rFonts w:ascii="Calibri" w:eastAsia="Times New Roman" w:hAnsi="Calibri" w:cs="Calibri"/>
                <w:sz w:val="16"/>
                <w:szCs w:val="16"/>
              </w:rPr>
              <w:t>NS</w:t>
            </w:r>
          </w:p>
        </w:tc>
        <w:tc>
          <w:tcPr>
            <w:tcW w:w="598" w:type="pct"/>
            <w:hideMark/>
          </w:tcPr>
          <w:p w14:paraId="5D9F635C" w14:textId="77777777" w:rsidR="00D1712A" w:rsidRPr="00000849" w:rsidRDefault="00D1712A" w:rsidP="00D16031">
            <w:pPr>
              <w:rPr>
                <w:rFonts w:ascii="Calibri" w:eastAsia="Times New Roman" w:hAnsi="Calibri" w:cs="Calibri"/>
                <w:sz w:val="16"/>
                <w:szCs w:val="16"/>
              </w:rPr>
            </w:pPr>
          </w:p>
        </w:tc>
        <w:tc>
          <w:tcPr>
            <w:tcW w:w="767" w:type="pct"/>
            <w:hideMark/>
          </w:tcPr>
          <w:p w14:paraId="46B3BA2E" w14:textId="77777777" w:rsidR="00D1712A" w:rsidRPr="00000849" w:rsidRDefault="00D1712A" w:rsidP="00D16031">
            <w:pPr>
              <w:rPr>
                <w:rFonts w:ascii="Calibri" w:eastAsia="Times New Roman" w:hAnsi="Calibri" w:cs="Calibri"/>
                <w:sz w:val="16"/>
                <w:szCs w:val="16"/>
              </w:rPr>
            </w:pPr>
          </w:p>
        </w:tc>
      </w:tr>
      <w:tr w:rsidR="00F7456C" w:rsidRPr="00000849" w14:paraId="67E5AA73" w14:textId="77777777" w:rsidTr="00F7456C">
        <w:trPr>
          <w:trHeight w:val="1439"/>
        </w:trPr>
        <w:tc>
          <w:tcPr>
            <w:tcW w:w="174" w:type="pct"/>
            <w:hideMark/>
          </w:tcPr>
          <w:p w14:paraId="59E557E7"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lastRenderedPageBreak/>
              <w:t>6</w:t>
            </w:r>
          </w:p>
        </w:tc>
        <w:tc>
          <w:tcPr>
            <w:tcW w:w="346" w:type="pct"/>
            <w:hideMark/>
          </w:tcPr>
          <w:p w14:paraId="4E6A0D5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Ghana</w:t>
            </w:r>
          </w:p>
        </w:tc>
        <w:tc>
          <w:tcPr>
            <w:tcW w:w="344" w:type="pct"/>
            <w:hideMark/>
          </w:tcPr>
          <w:p w14:paraId="558F7775" w14:textId="09889480"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Lloyd-Sherlock 2014 </w:t>
            </w:r>
            <w:r w:rsidRPr="00000849">
              <w:rPr>
                <w:rFonts w:ascii="Calibri" w:eastAsia="Calibri" w:hAnsi="Calibri" w:cs="Calibri"/>
                <w:color w:val="000000"/>
                <w:sz w:val="16"/>
              </w:rPr>
              <w:t>[</w:t>
            </w:r>
            <w:r w:rsidR="00F7456C" w:rsidRPr="00000849">
              <w:rPr>
                <w:rFonts w:ascii="Calibri" w:eastAsia="Calibri" w:hAnsi="Calibri" w:cs="Calibri"/>
                <w:color w:val="0000FF"/>
                <w:sz w:val="16"/>
              </w:rPr>
              <w:t>18</w:t>
            </w:r>
            <w:r w:rsidRPr="00000849">
              <w:rPr>
                <w:rFonts w:ascii="Calibri" w:eastAsia="Calibri" w:hAnsi="Calibri" w:cs="Calibri"/>
                <w:color w:val="000000"/>
                <w:sz w:val="16"/>
              </w:rPr>
              <w:t>]</w:t>
            </w:r>
          </w:p>
        </w:tc>
        <w:tc>
          <w:tcPr>
            <w:tcW w:w="701" w:type="pct"/>
            <w:hideMark/>
          </w:tcPr>
          <w:p w14:paraId="7BE6B910"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50-54 (ref.): 55-59 years, OR 1.12 (0.91-1.38); 60-64 years, OR 1.24(0.99-1.56); 65-69 years, OR 1.53 (1.21-1.95); 70-74 years, OR 1.32 (1.04-1.67); 75+ years, OR 1.28 (1.02-1.61)</w:t>
            </w:r>
          </w:p>
        </w:tc>
        <w:tc>
          <w:tcPr>
            <w:tcW w:w="442" w:type="pct"/>
            <w:hideMark/>
          </w:tcPr>
          <w:p w14:paraId="5D569ACA"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Female, OR 1.16 (1.00-1.35)</w:t>
            </w:r>
          </w:p>
        </w:tc>
        <w:tc>
          <w:tcPr>
            <w:tcW w:w="1030" w:type="pct"/>
            <w:gridSpan w:val="3"/>
            <w:hideMark/>
          </w:tcPr>
          <w:p w14:paraId="5E7D1A83"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Urban (ref.): rural OR 0.73 (0.63-0.85)</w:t>
            </w:r>
          </w:p>
        </w:tc>
        <w:tc>
          <w:tcPr>
            <w:tcW w:w="598" w:type="pct"/>
            <w:hideMark/>
          </w:tcPr>
          <w:p w14:paraId="006EF95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Primary (ref.): None, OR 0.82 (0.69-0.98); Secondary, OR 0.76 (0.53-1.10); Higher, OR 0.96 (0.78-1.18)</w:t>
            </w:r>
          </w:p>
        </w:tc>
        <w:tc>
          <w:tcPr>
            <w:tcW w:w="598" w:type="pct"/>
            <w:hideMark/>
          </w:tcPr>
          <w:p w14:paraId="3C607212"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Poorest wealth quintile (ref.): Q2, OR 1.11 (0.90-1.38); Q3, OR 1.77 (0.95-1.45); Q4, OR 1.77 (0.94-1.47); Richest, OR 1.16 (0.91-1.48)</w:t>
            </w:r>
          </w:p>
        </w:tc>
        <w:tc>
          <w:tcPr>
            <w:tcW w:w="767" w:type="pct"/>
            <w:hideMark/>
          </w:tcPr>
          <w:p w14:paraId="5B04F2DB" w14:textId="77777777" w:rsidR="00D1712A" w:rsidRPr="00000849" w:rsidRDefault="00D1712A" w:rsidP="00D16031">
            <w:pPr>
              <w:rPr>
                <w:rFonts w:ascii="Calibri" w:eastAsia="Times New Roman" w:hAnsi="Calibri" w:cs="Calibri"/>
                <w:color w:val="000000"/>
                <w:sz w:val="16"/>
                <w:szCs w:val="16"/>
              </w:rPr>
            </w:pPr>
          </w:p>
        </w:tc>
      </w:tr>
      <w:tr w:rsidR="00F7456C" w:rsidRPr="00000849" w14:paraId="22A9703F" w14:textId="77777777" w:rsidTr="00F7456C">
        <w:trPr>
          <w:cnfStyle w:val="000000100000" w:firstRow="0" w:lastRow="0" w:firstColumn="0" w:lastColumn="0" w:oddVBand="0" w:evenVBand="0" w:oddHBand="1" w:evenHBand="0" w:firstRowFirstColumn="0" w:firstRowLastColumn="0" w:lastRowFirstColumn="0" w:lastRowLastColumn="0"/>
          <w:trHeight w:val="1520"/>
        </w:trPr>
        <w:tc>
          <w:tcPr>
            <w:tcW w:w="174" w:type="pct"/>
            <w:hideMark/>
          </w:tcPr>
          <w:p w14:paraId="70C8F762"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7</w:t>
            </w:r>
          </w:p>
        </w:tc>
        <w:tc>
          <w:tcPr>
            <w:tcW w:w="346" w:type="pct"/>
            <w:hideMark/>
          </w:tcPr>
          <w:p w14:paraId="68C7633C"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South Africa</w:t>
            </w:r>
          </w:p>
        </w:tc>
        <w:tc>
          <w:tcPr>
            <w:tcW w:w="344" w:type="pct"/>
            <w:hideMark/>
          </w:tcPr>
          <w:p w14:paraId="4436DFB8" w14:textId="17C091D9"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Lloyd-Sherlock 2014 </w:t>
            </w:r>
            <w:r w:rsidRPr="00000849">
              <w:rPr>
                <w:rFonts w:ascii="Calibri" w:eastAsia="Calibri" w:hAnsi="Calibri" w:cs="Calibri"/>
                <w:color w:val="000000"/>
                <w:sz w:val="16"/>
              </w:rPr>
              <w:t>[</w:t>
            </w:r>
            <w:r w:rsidR="00F7456C" w:rsidRPr="00000849">
              <w:rPr>
                <w:rFonts w:ascii="Calibri" w:eastAsia="Calibri" w:hAnsi="Calibri" w:cs="Calibri"/>
                <w:color w:val="0000FF"/>
                <w:sz w:val="16"/>
              </w:rPr>
              <w:t>18</w:t>
            </w:r>
            <w:r w:rsidRPr="00000849">
              <w:rPr>
                <w:rFonts w:ascii="Calibri" w:eastAsia="Calibri" w:hAnsi="Calibri" w:cs="Calibri"/>
                <w:color w:val="000000"/>
                <w:sz w:val="16"/>
              </w:rPr>
              <w:t>]</w:t>
            </w:r>
          </w:p>
        </w:tc>
        <w:tc>
          <w:tcPr>
            <w:tcW w:w="701" w:type="pct"/>
            <w:hideMark/>
          </w:tcPr>
          <w:p w14:paraId="08317767"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50-54 (ref.): 55-59 years, OR 1.31 (1.13-2.07); 60-64 years, OR  1.53 (0.99-1.56); 65-69 years, OR 1.50 (1.07-2.09); 70-74 years, OR 1.53 (1.02-2.29); 75+ years, OR 1.83 (1.25-2.68)</w:t>
            </w:r>
          </w:p>
        </w:tc>
        <w:tc>
          <w:tcPr>
            <w:tcW w:w="442" w:type="pct"/>
            <w:hideMark/>
          </w:tcPr>
          <w:p w14:paraId="6CBE70EC"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Female, OR 1.29 (1.05-1.59)</w:t>
            </w:r>
          </w:p>
        </w:tc>
        <w:tc>
          <w:tcPr>
            <w:tcW w:w="1030" w:type="pct"/>
            <w:gridSpan w:val="3"/>
            <w:hideMark/>
          </w:tcPr>
          <w:p w14:paraId="60FF0B03"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Urban (ref.): rural OR 1.04 (0.83-1.31)</w:t>
            </w:r>
          </w:p>
        </w:tc>
        <w:tc>
          <w:tcPr>
            <w:tcW w:w="598" w:type="pct"/>
            <w:hideMark/>
          </w:tcPr>
          <w:p w14:paraId="335666E7"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Primary (ref.): None, OR 1.11 (0.85-1.43); Secondary, OR 0.77 (0.57-1.04); Higher, OR 0.67 (0.48-0.93)</w:t>
            </w:r>
          </w:p>
        </w:tc>
        <w:tc>
          <w:tcPr>
            <w:tcW w:w="598" w:type="pct"/>
            <w:hideMark/>
          </w:tcPr>
          <w:p w14:paraId="14B68C94"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Poorest wealth quintile (ref.): Q2, OR 0.87 (0.64-1.17); Q3, OR 1.03 (0.75-1.42); Q4, OR 1.26 (0.90-1.78); Richest, OR 1.26 (0.88-1.80)</w:t>
            </w:r>
          </w:p>
        </w:tc>
        <w:tc>
          <w:tcPr>
            <w:tcW w:w="767" w:type="pct"/>
            <w:hideMark/>
          </w:tcPr>
          <w:p w14:paraId="3A3BC961" w14:textId="77777777" w:rsidR="00D1712A" w:rsidRPr="00000849" w:rsidRDefault="00D1712A" w:rsidP="00D16031">
            <w:pPr>
              <w:rPr>
                <w:rFonts w:ascii="Calibri" w:eastAsia="Times New Roman" w:hAnsi="Calibri" w:cs="Calibri"/>
                <w:color w:val="000000"/>
                <w:sz w:val="16"/>
                <w:szCs w:val="16"/>
              </w:rPr>
            </w:pPr>
          </w:p>
        </w:tc>
      </w:tr>
      <w:tr w:rsidR="00F7456C" w:rsidRPr="00000849" w14:paraId="6917D924" w14:textId="77777777" w:rsidTr="00F7456C">
        <w:trPr>
          <w:trHeight w:val="2097"/>
        </w:trPr>
        <w:tc>
          <w:tcPr>
            <w:tcW w:w="174" w:type="pct"/>
            <w:hideMark/>
          </w:tcPr>
          <w:p w14:paraId="5943EAD7"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8</w:t>
            </w:r>
          </w:p>
        </w:tc>
        <w:tc>
          <w:tcPr>
            <w:tcW w:w="346" w:type="pct"/>
            <w:hideMark/>
          </w:tcPr>
          <w:p w14:paraId="1D951EA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Ghana</w:t>
            </w:r>
          </w:p>
        </w:tc>
        <w:tc>
          <w:tcPr>
            <w:tcW w:w="344" w:type="pct"/>
            <w:hideMark/>
          </w:tcPr>
          <w:p w14:paraId="7CC60A17" w14:textId="7FCBE637"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Lloyd-Sherlock 2017 </w:t>
            </w:r>
            <w:r w:rsidRPr="00000849">
              <w:rPr>
                <w:rFonts w:ascii="Calibri" w:eastAsia="Calibri" w:hAnsi="Calibri" w:cs="Calibri"/>
                <w:color w:val="000000"/>
                <w:sz w:val="16"/>
              </w:rPr>
              <w:t>[</w:t>
            </w:r>
            <w:r w:rsidR="00F7456C" w:rsidRPr="00000849">
              <w:rPr>
                <w:rFonts w:ascii="Calibri" w:eastAsia="Calibri" w:hAnsi="Calibri" w:cs="Calibri"/>
                <w:color w:val="0000FF"/>
                <w:sz w:val="16"/>
              </w:rPr>
              <w:t>19</w:t>
            </w:r>
            <w:r w:rsidRPr="00000849">
              <w:rPr>
                <w:rFonts w:ascii="Calibri" w:eastAsia="Calibri" w:hAnsi="Calibri" w:cs="Calibri"/>
                <w:color w:val="000000"/>
                <w:sz w:val="16"/>
              </w:rPr>
              <w:t>]</w:t>
            </w:r>
          </w:p>
        </w:tc>
        <w:tc>
          <w:tcPr>
            <w:tcW w:w="701" w:type="pct"/>
            <w:hideMark/>
          </w:tcPr>
          <w:p w14:paraId="547E063F"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50-54 (ref.): 55-59 years, OR 1.08 (0.85-1.38); 60-64 years, OR  1.19 (0.91-1.54); 65-69 years, OR 1.36 (1.04-1.78); 70-74 years, OR 1.20 (0.92-1.58); 75+ years, OR 1.09 (0.84-1.40)</w:t>
            </w:r>
          </w:p>
        </w:tc>
        <w:tc>
          <w:tcPr>
            <w:tcW w:w="442" w:type="pct"/>
            <w:hideMark/>
          </w:tcPr>
          <w:p w14:paraId="01C27C54"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Female, OR 1.31 (1.12-1.54)</w:t>
            </w:r>
          </w:p>
        </w:tc>
        <w:tc>
          <w:tcPr>
            <w:tcW w:w="1030" w:type="pct"/>
            <w:gridSpan w:val="3"/>
            <w:hideMark/>
          </w:tcPr>
          <w:p w14:paraId="1D28430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Urban (ref.): rural OR 0.64 (0.52-0.79)</w:t>
            </w:r>
          </w:p>
        </w:tc>
        <w:tc>
          <w:tcPr>
            <w:tcW w:w="598" w:type="pct"/>
            <w:hideMark/>
          </w:tcPr>
          <w:p w14:paraId="2CA083AB"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Primary (ref.): None, OR 0.80 (0.66-0.98); Secondary, OR 0.77 (0.51-1.16); Higher, OR 0.94 (0.74-1.19)</w:t>
            </w:r>
          </w:p>
        </w:tc>
        <w:tc>
          <w:tcPr>
            <w:tcW w:w="598" w:type="pct"/>
            <w:hideMark/>
          </w:tcPr>
          <w:p w14:paraId="24E807F8"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Poorest wealth quintile (ref.): Q2, OR 1.20 (0.99-1.46); Q3, OR 1.36 (1.06-1.74); Q4, OR 1.55 (1.19-2.01); Richest, OR 1.68 (1.28-2.21)</w:t>
            </w:r>
          </w:p>
        </w:tc>
        <w:tc>
          <w:tcPr>
            <w:tcW w:w="767" w:type="pct"/>
            <w:hideMark/>
          </w:tcPr>
          <w:p w14:paraId="74868E8E" w14:textId="77777777" w:rsidR="00D1712A" w:rsidRPr="00000849" w:rsidRDefault="00D1712A" w:rsidP="00D16031">
            <w:pPr>
              <w:rPr>
                <w:rFonts w:ascii="Calibri" w:eastAsia="Times New Roman" w:hAnsi="Calibri" w:cs="Calibri"/>
                <w:color w:val="000000"/>
                <w:sz w:val="16"/>
                <w:szCs w:val="16"/>
              </w:rPr>
            </w:pPr>
          </w:p>
        </w:tc>
      </w:tr>
      <w:tr w:rsidR="00F7456C" w:rsidRPr="00000849" w14:paraId="4E4A6FBF" w14:textId="77777777" w:rsidTr="00F7456C">
        <w:trPr>
          <w:cnfStyle w:val="000000100000" w:firstRow="0" w:lastRow="0" w:firstColumn="0" w:lastColumn="0" w:oddVBand="0" w:evenVBand="0" w:oddHBand="1" w:evenHBand="0" w:firstRowFirstColumn="0" w:firstRowLastColumn="0" w:lastRowFirstColumn="0" w:lastRowLastColumn="0"/>
          <w:trHeight w:val="990"/>
        </w:trPr>
        <w:tc>
          <w:tcPr>
            <w:tcW w:w="174" w:type="pct"/>
            <w:hideMark/>
          </w:tcPr>
          <w:p w14:paraId="52F22826"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9</w:t>
            </w:r>
          </w:p>
        </w:tc>
        <w:tc>
          <w:tcPr>
            <w:tcW w:w="346" w:type="pct"/>
            <w:hideMark/>
          </w:tcPr>
          <w:p w14:paraId="2EFB0D20"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South Africa</w:t>
            </w:r>
          </w:p>
        </w:tc>
        <w:tc>
          <w:tcPr>
            <w:tcW w:w="344" w:type="pct"/>
            <w:hideMark/>
          </w:tcPr>
          <w:p w14:paraId="70335DDD" w14:textId="7B399449"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Lloyd-Sherlock 2017 </w:t>
            </w:r>
            <w:r w:rsidRPr="00000849">
              <w:rPr>
                <w:rFonts w:ascii="Calibri" w:eastAsia="Calibri" w:hAnsi="Calibri" w:cs="Calibri"/>
                <w:color w:val="000000"/>
                <w:sz w:val="16"/>
              </w:rPr>
              <w:t>[</w:t>
            </w:r>
            <w:r w:rsidR="00F7456C" w:rsidRPr="00000849">
              <w:rPr>
                <w:rFonts w:ascii="Calibri" w:eastAsia="Calibri" w:hAnsi="Calibri" w:cs="Calibri"/>
                <w:color w:val="0000FF"/>
                <w:sz w:val="16"/>
              </w:rPr>
              <w:t>19</w:t>
            </w:r>
            <w:r w:rsidRPr="00000849">
              <w:rPr>
                <w:rFonts w:ascii="Calibri" w:eastAsia="Calibri" w:hAnsi="Calibri" w:cs="Calibri"/>
                <w:color w:val="000000"/>
                <w:sz w:val="16"/>
              </w:rPr>
              <w:t>]</w:t>
            </w:r>
          </w:p>
        </w:tc>
        <w:tc>
          <w:tcPr>
            <w:tcW w:w="701" w:type="pct"/>
            <w:hideMark/>
          </w:tcPr>
          <w:p w14:paraId="7DA4CDEF"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50-54 (ref.): 55-59 years, OR 1.36 (0.93-1.98); 60-64 years, OR  1.58 (0.99-2.54); 65-69 years, OR 1.52 (1.03-2.26); 70-74 years, OR 1.38 (0.79-2.41); 75+ </w:t>
            </w:r>
            <w:r w:rsidRPr="00000849">
              <w:rPr>
                <w:rFonts w:ascii="Calibri" w:eastAsia="Times New Roman" w:hAnsi="Calibri" w:cs="Calibri"/>
                <w:color w:val="000000"/>
                <w:sz w:val="16"/>
                <w:szCs w:val="16"/>
              </w:rPr>
              <w:lastRenderedPageBreak/>
              <w:t>years, OR 1.62 (1.09-2.40)</w:t>
            </w:r>
          </w:p>
        </w:tc>
        <w:tc>
          <w:tcPr>
            <w:tcW w:w="442" w:type="pct"/>
            <w:hideMark/>
          </w:tcPr>
          <w:p w14:paraId="367D4455"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lastRenderedPageBreak/>
              <w:t>Female, OR 1.42 (1.09-1.85)</w:t>
            </w:r>
          </w:p>
        </w:tc>
        <w:tc>
          <w:tcPr>
            <w:tcW w:w="1030" w:type="pct"/>
            <w:gridSpan w:val="3"/>
            <w:hideMark/>
          </w:tcPr>
          <w:p w14:paraId="7EB34A1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Urban (ref.): rural OR 1.42 (1.09-1.85)</w:t>
            </w:r>
          </w:p>
        </w:tc>
        <w:tc>
          <w:tcPr>
            <w:tcW w:w="598" w:type="pct"/>
            <w:hideMark/>
          </w:tcPr>
          <w:p w14:paraId="3F2F478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Primary (ref.): None, OR 1.09 (0.81-1.48); Secondary, OR 0.86 (0.57-1.28); Higher, OR 0.59 (0.39-0.90)</w:t>
            </w:r>
          </w:p>
        </w:tc>
        <w:tc>
          <w:tcPr>
            <w:tcW w:w="598" w:type="pct"/>
            <w:hideMark/>
          </w:tcPr>
          <w:p w14:paraId="13D8C05F"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Poorest wealth quintile (ref.): Q2, OR 1.00 (0.62-1.62); Q3, OR 1.24 (0.76-2.04); Q4, OR 1.43 (0.88-2.33); Richest, OR 1.80 (1.04-3.12)</w:t>
            </w:r>
          </w:p>
        </w:tc>
        <w:tc>
          <w:tcPr>
            <w:tcW w:w="767" w:type="pct"/>
            <w:hideMark/>
          </w:tcPr>
          <w:p w14:paraId="7D58AF4F" w14:textId="77777777" w:rsidR="00D1712A" w:rsidRPr="00000849" w:rsidRDefault="00D1712A" w:rsidP="00D16031">
            <w:pPr>
              <w:rPr>
                <w:rFonts w:ascii="Calibri" w:eastAsia="Times New Roman" w:hAnsi="Calibri" w:cs="Calibri"/>
                <w:color w:val="000000"/>
                <w:sz w:val="16"/>
                <w:szCs w:val="16"/>
              </w:rPr>
            </w:pPr>
          </w:p>
        </w:tc>
      </w:tr>
      <w:tr w:rsidR="00F7456C" w:rsidRPr="00000849" w14:paraId="3357EA9D" w14:textId="77777777" w:rsidTr="00F7456C">
        <w:trPr>
          <w:trHeight w:val="1350"/>
        </w:trPr>
        <w:tc>
          <w:tcPr>
            <w:tcW w:w="174" w:type="pct"/>
            <w:hideMark/>
          </w:tcPr>
          <w:p w14:paraId="18ADCA94"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10</w:t>
            </w:r>
          </w:p>
        </w:tc>
        <w:tc>
          <w:tcPr>
            <w:tcW w:w="346" w:type="pct"/>
            <w:hideMark/>
          </w:tcPr>
          <w:p w14:paraId="5E416196"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Senegal</w:t>
            </w:r>
          </w:p>
        </w:tc>
        <w:tc>
          <w:tcPr>
            <w:tcW w:w="344" w:type="pct"/>
            <w:hideMark/>
          </w:tcPr>
          <w:p w14:paraId="0D499ED2" w14:textId="45AEA39A"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Macia 2012 </w:t>
            </w:r>
            <w:r w:rsidRPr="00000849">
              <w:rPr>
                <w:rFonts w:ascii="Calibri" w:eastAsia="Calibri" w:hAnsi="Calibri" w:cs="Calibri"/>
                <w:color w:val="000000"/>
                <w:sz w:val="16"/>
              </w:rPr>
              <w:t>[</w:t>
            </w:r>
            <w:r w:rsidR="00F7456C" w:rsidRPr="00000849">
              <w:rPr>
                <w:rFonts w:ascii="Calibri" w:eastAsia="Calibri" w:hAnsi="Calibri" w:cs="Calibri"/>
                <w:color w:val="0000FF"/>
                <w:sz w:val="16"/>
              </w:rPr>
              <w:t>30</w:t>
            </w:r>
            <w:r w:rsidRPr="00000849">
              <w:rPr>
                <w:rFonts w:ascii="Calibri" w:eastAsia="Calibri" w:hAnsi="Calibri" w:cs="Calibri"/>
                <w:color w:val="000000"/>
                <w:sz w:val="16"/>
              </w:rPr>
              <w:t>]</w:t>
            </w:r>
          </w:p>
        </w:tc>
        <w:tc>
          <w:tcPr>
            <w:tcW w:w="701" w:type="pct"/>
            <w:hideMark/>
          </w:tcPr>
          <w:p w14:paraId="5C5EA445"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50-59 year age group (ref.): 60-69y, OR=1.94** (1.22-3.07), p&lt;0.01; ≥70y, OR=2.54** (1.45-4.44), p&lt;0.01</w:t>
            </w:r>
          </w:p>
        </w:tc>
        <w:tc>
          <w:tcPr>
            <w:tcW w:w="442" w:type="pct"/>
            <w:hideMark/>
          </w:tcPr>
          <w:p w14:paraId="35D0DDEF"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Males (ref.): Females OR 1.01 (0.66-1.56)</w:t>
            </w:r>
          </w:p>
        </w:tc>
        <w:tc>
          <w:tcPr>
            <w:tcW w:w="1030" w:type="pct"/>
            <w:gridSpan w:val="3"/>
            <w:noWrap/>
            <w:hideMark/>
          </w:tcPr>
          <w:p w14:paraId="28DEDEC3" w14:textId="77777777" w:rsidR="00D1712A" w:rsidRPr="00000849" w:rsidRDefault="00D1712A" w:rsidP="00D16031">
            <w:pPr>
              <w:rPr>
                <w:rFonts w:ascii="Calibri" w:eastAsia="Times New Roman" w:hAnsi="Calibri" w:cs="Calibri"/>
                <w:color w:val="000000"/>
                <w:sz w:val="16"/>
                <w:szCs w:val="16"/>
              </w:rPr>
            </w:pPr>
          </w:p>
        </w:tc>
        <w:tc>
          <w:tcPr>
            <w:tcW w:w="598" w:type="pct"/>
            <w:hideMark/>
          </w:tcPr>
          <w:p w14:paraId="09149684"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Schooling ≥9 years (ref.): None, OR 1.28 (0.73-2.23);1-8 years, OR 1.23 (0.71-2.14)</w:t>
            </w:r>
          </w:p>
        </w:tc>
        <w:tc>
          <w:tcPr>
            <w:tcW w:w="598" w:type="pct"/>
            <w:noWrap/>
            <w:hideMark/>
          </w:tcPr>
          <w:p w14:paraId="75DEF7DA" w14:textId="77777777" w:rsidR="00D1712A" w:rsidRPr="00000849" w:rsidRDefault="00D1712A" w:rsidP="00D16031">
            <w:pPr>
              <w:rPr>
                <w:rFonts w:ascii="Calibri" w:eastAsia="Times New Roman" w:hAnsi="Calibri" w:cs="Calibri"/>
                <w:color w:val="000000"/>
                <w:sz w:val="16"/>
                <w:szCs w:val="16"/>
              </w:rPr>
            </w:pPr>
          </w:p>
        </w:tc>
        <w:tc>
          <w:tcPr>
            <w:tcW w:w="767" w:type="pct"/>
            <w:noWrap/>
            <w:hideMark/>
          </w:tcPr>
          <w:p w14:paraId="05D7655A" w14:textId="77777777" w:rsidR="00D1712A" w:rsidRPr="00000849" w:rsidRDefault="00D1712A" w:rsidP="00D16031">
            <w:pPr>
              <w:rPr>
                <w:rFonts w:ascii="Calibri" w:eastAsia="Times New Roman" w:hAnsi="Calibri" w:cs="Calibri"/>
                <w:sz w:val="16"/>
                <w:szCs w:val="16"/>
              </w:rPr>
            </w:pPr>
          </w:p>
        </w:tc>
      </w:tr>
      <w:tr w:rsidR="00F7456C" w:rsidRPr="00000849" w14:paraId="47D138A8" w14:textId="77777777" w:rsidTr="00F7456C">
        <w:trPr>
          <w:cnfStyle w:val="000000100000" w:firstRow="0" w:lastRow="0" w:firstColumn="0" w:lastColumn="0" w:oddVBand="0" w:evenVBand="0" w:oddHBand="1" w:evenHBand="0" w:firstRowFirstColumn="0" w:firstRowLastColumn="0" w:lastRowFirstColumn="0" w:lastRowLastColumn="0"/>
          <w:trHeight w:val="936"/>
        </w:trPr>
        <w:tc>
          <w:tcPr>
            <w:tcW w:w="174" w:type="pct"/>
          </w:tcPr>
          <w:p w14:paraId="4ED0565C"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11</w:t>
            </w:r>
          </w:p>
        </w:tc>
        <w:tc>
          <w:tcPr>
            <w:tcW w:w="346" w:type="pct"/>
          </w:tcPr>
          <w:p w14:paraId="298DF2A5"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Kenya</w:t>
            </w:r>
          </w:p>
        </w:tc>
        <w:tc>
          <w:tcPr>
            <w:tcW w:w="344" w:type="pct"/>
          </w:tcPr>
          <w:p w14:paraId="45A27B02" w14:textId="4DAFE525"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Mathenge 2010 </w:t>
            </w:r>
            <w:r w:rsidRPr="00000849">
              <w:rPr>
                <w:rFonts w:ascii="Calibri" w:eastAsia="Calibri" w:hAnsi="Calibri" w:cs="Calibri"/>
                <w:color w:val="000000"/>
                <w:sz w:val="16"/>
              </w:rPr>
              <w:t>[</w:t>
            </w:r>
            <w:r w:rsidR="00F7456C" w:rsidRPr="00000849">
              <w:rPr>
                <w:rFonts w:ascii="Calibri" w:eastAsia="Calibri" w:hAnsi="Calibri" w:cs="Calibri"/>
                <w:color w:val="0000FF"/>
                <w:sz w:val="16"/>
              </w:rPr>
              <w:t>31</w:t>
            </w:r>
            <w:r w:rsidRPr="00000849">
              <w:rPr>
                <w:rFonts w:ascii="Calibri" w:eastAsia="Calibri" w:hAnsi="Calibri" w:cs="Calibri"/>
                <w:color w:val="000000"/>
                <w:sz w:val="16"/>
              </w:rPr>
              <w:t>]</w:t>
            </w:r>
          </w:p>
        </w:tc>
        <w:tc>
          <w:tcPr>
            <w:tcW w:w="701" w:type="pct"/>
          </w:tcPr>
          <w:p w14:paraId="0555D81E"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Age adjusted</w:t>
            </w:r>
          </w:p>
        </w:tc>
        <w:tc>
          <w:tcPr>
            <w:tcW w:w="442" w:type="pct"/>
          </w:tcPr>
          <w:p w14:paraId="4950A8F3"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Sex adjusted</w:t>
            </w:r>
          </w:p>
        </w:tc>
        <w:tc>
          <w:tcPr>
            <w:tcW w:w="1030" w:type="pct"/>
            <w:gridSpan w:val="3"/>
            <w:noWrap/>
          </w:tcPr>
          <w:p w14:paraId="366E5901"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Urban (ref.): rural OR 0.77 (0.67-0.91)</w:t>
            </w:r>
          </w:p>
        </w:tc>
        <w:tc>
          <w:tcPr>
            <w:tcW w:w="598" w:type="pct"/>
          </w:tcPr>
          <w:p w14:paraId="42595654"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SES adjusted</w:t>
            </w:r>
          </w:p>
        </w:tc>
        <w:tc>
          <w:tcPr>
            <w:tcW w:w="598" w:type="pct"/>
            <w:noWrap/>
          </w:tcPr>
          <w:p w14:paraId="78519B9F"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SES adjusted</w:t>
            </w:r>
          </w:p>
        </w:tc>
        <w:tc>
          <w:tcPr>
            <w:tcW w:w="767" w:type="pct"/>
            <w:noWrap/>
          </w:tcPr>
          <w:p w14:paraId="6DCC0B0F" w14:textId="77777777" w:rsidR="00D1712A" w:rsidRPr="00000849" w:rsidRDefault="00D1712A" w:rsidP="00D16031">
            <w:pPr>
              <w:rPr>
                <w:rFonts w:ascii="Calibri" w:eastAsia="Times New Roman" w:hAnsi="Calibri" w:cs="Calibri"/>
                <w:sz w:val="16"/>
                <w:szCs w:val="16"/>
              </w:rPr>
            </w:pPr>
          </w:p>
        </w:tc>
      </w:tr>
      <w:tr w:rsidR="00F7456C" w:rsidRPr="00000849" w14:paraId="67E67E51" w14:textId="77777777" w:rsidTr="00F7456C">
        <w:trPr>
          <w:trHeight w:val="936"/>
        </w:trPr>
        <w:tc>
          <w:tcPr>
            <w:tcW w:w="174" w:type="pct"/>
          </w:tcPr>
          <w:p w14:paraId="407768C3"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12</w:t>
            </w:r>
          </w:p>
        </w:tc>
        <w:tc>
          <w:tcPr>
            <w:tcW w:w="346" w:type="pct"/>
          </w:tcPr>
          <w:p w14:paraId="3FFAD19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Ghana</w:t>
            </w:r>
          </w:p>
        </w:tc>
        <w:tc>
          <w:tcPr>
            <w:tcW w:w="344" w:type="pct"/>
          </w:tcPr>
          <w:p w14:paraId="14484689" w14:textId="607A6AA4"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Minicuci 2014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F7456C" w:rsidRPr="00000849">
              <w:rPr>
                <w:rFonts w:ascii="Calibri" w:eastAsia="Calibri" w:hAnsi="Calibri" w:cs="Calibri"/>
                <w:color w:val="0000FF"/>
                <w:sz w:val="16"/>
              </w:rPr>
              <w:t>2</w:t>
            </w:r>
            <w:r w:rsidRPr="00000849">
              <w:rPr>
                <w:rFonts w:ascii="Calibri" w:eastAsia="Calibri" w:hAnsi="Calibri" w:cs="Calibri"/>
                <w:color w:val="000000"/>
                <w:sz w:val="16"/>
              </w:rPr>
              <w:t>]</w:t>
            </w:r>
          </w:p>
        </w:tc>
        <w:tc>
          <w:tcPr>
            <w:tcW w:w="701" w:type="pct"/>
          </w:tcPr>
          <w:p w14:paraId="33C6A8B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50-64 (ref.): 65-74 years, OR 1.28 (1.05-1.55); ≥75 years, OR  1.14 (0.90-1.45)</w:t>
            </w:r>
          </w:p>
        </w:tc>
        <w:tc>
          <w:tcPr>
            <w:tcW w:w="442" w:type="pct"/>
          </w:tcPr>
          <w:p w14:paraId="67438876"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Males (ref.): Females OR 1.14 (0.94-1.38)</w:t>
            </w:r>
          </w:p>
        </w:tc>
        <w:tc>
          <w:tcPr>
            <w:tcW w:w="1030" w:type="pct"/>
            <w:gridSpan w:val="3"/>
            <w:noWrap/>
          </w:tcPr>
          <w:p w14:paraId="24D70D1B"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Urban (ref.): rural OR 0.77 (0.61-0.97)</w:t>
            </w:r>
          </w:p>
        </w:tc>
        <w:tc>
          <w:tcPr>
            <w:tcW w:w="598" w:type="pct"/>
          </w:tcPr>
          <w:p w14:paraId="691E906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None (ref.): Primary, OR 1.07 (0.89-1.30); Secondary, OR 0.90 (0.60-1.35); High school completed, OR 1.15 (0.90-1.46); Tertiary or higher, OR 0.67 (0.43-1.06)</w:t>
            </w:r>
          </w:p>
        </w:tc>
        <w:tc>
          <w:tcPr>
            <w:tcW w:w="598" w:type="pct"/>
            <w:noWrap/>
          </w:tcPr>
          <w:p w14:paraId="5496F08C" w14:textId="77777777" w:rsidR="00D1712A" w:rsidRPr="00000849" w:rsidRDefault="00D1712A" w:rsidP="00D16031">
            <w:pPr>
              <w:rPr>
                <w:rFonts w:ascii="Calibri" w:eastAsia="Times New Roman" w:hAnsi="Calibri" w:cs="Calibri"/>
                <w:color w:val="000000"/>
                <w:sz w:val="16"/>
                <w:szCs w:val="16"/>
              </w:rPr>
            </w:pPr>
          </w:p>
        </w:tc>
        <w:tc>
          <w:tcPr>
            <w:tcW w:w="767" w:type="pct"/>
            <w:noWrap/>
          </w:tcPr>
          <w:p w14:paraId="3D9713FC" w14:textId="77777777" w:rsidR="00D1712A" w:rsidRPr="00000849" w:rsidRDefault="00D1712A" w:rsidP="00D16031">
            <w:pPr>
              <w:rPr>
                <w:rFonts w:ascii="Calibri" w:eastAsia="Times New Roman" w:hAnsi="Calibri" w:cs="Calibri"/>
                <w:sz w:val="16"/>
                <w:szCs w:val="16"/>
              </w:rPr>
            </w:pPr>
          </w:p>
        </w:tc>
      </w:tr>
      <w:tr w:rsidR="00F7456C" w:rsidRPr="00000849" w14:paraId="426266F2" w14:textId="77777777" w:rsidTr="00F7456C">
        <w:trPr>
          <w:cnfStyle w:val="000000100000" w:firstRow="0" w:lastRow="0" w:firstColumn="0" w:lastColumn="0" w:oddVBand="0" w:evenVBand="0" w:oddHBand="1" w:evenHBand="0" w:firstRowFirstColumn="0" w:firstRowLastColumn="0" w:lastRowFirstColumn="0" w:lastRowLastColumn="0"/>
          <w:trHeight w:val="936"/>
        </w:trPr>
        <w:tc>
          <w:tcPr>
            <w:tcW w:w="174" w:type="pct"/>
          </w:tcPr>
          <w:p w14:paraId="1088C61E"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13</w:t>
            </w:r>
          </w:p>
        </w:tc>
        <w:tc>
          <w:tcPr>
            <w:tcW w:w="346" w:type="pct"/>
          </w:tcPr>
          <w:p w14:paraId="6A251475"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Ghana</w:t>
            </w:r>
          </w:p>
        </w:tc>
        <w:tc>
          <w:tcPr>
            <w:tcW w:w="344" w:type="pct"/>
          </w:tcPr>
          <w:p w14:paraId="2B8EC91C" w14:textId="3BFDB0A6"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Nuertey 2017 </w:t>
            </w:r>
            <w:r w:rsidRPr="00000849">
              <w:rPr>
                <w:rFonts w:ascii="Calibri" w:eastAsia="Calibri" w:hAnsi="Calibri" w:cs="Calibri"/>
                <w:color w:val="000000"/>
                <w:sz w:val="16"/>
              </w:rPr>
              <w:t>[</w:t>
            </w:r>
            <w:r w:rsidR="00F7456C" w:rsidRPr="00000849">
              <w:rPr>
                <w:rFonts w:ascii="Calibri" w:eastAsia="Calibri" w:hAnsi="Calibri" w:cs="Calibri"/>
                <w:color w:val="000000"/>
                <w:sz w:val="16"/>
              </w:rPr>
              <w:t>3</w:t>
            </w:r>
            <w:r w:rsidRPr="00000849">
              <w:rPr>
                <w:rFonts w:ascii="Calibri" w:eastAsia="Calibri" w:hAnsi="Calibri" w:cs="Calibri"/>
                <w:color w:val="0000FF"/>
                <w:sz w:val="16"/>
              </w:rPr>
              <w:t>4</w:t>
            </w:r>
            <w:r w:rsidRPr="00000849">
              <w:rPr>
                <w:rFonts w:ascii="Calibri" w:eastAsia="Calibri" w:hAnsi="Calibri" w:cs="Calibri"/>
                <w:color w:val="000000"/>
                <w:sz w:val="16"/>
              </w:rPr>
              <w:t>]</w:t>
            </w:r>
          </w:p>
        </w:tc>
        <w:tc>
          <w:tcPr>
            <w:tcW w:w="701" w:type="pct"/>
          </w:tcPr>
          <w:p w14:paraId="1FC613A3"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Age adjusted</w:t>
            </w:r>
          </w:p>
        </w:tc>
        <w:tc>
          <w:tcPr>
            <w:tcW w:w="442" w:type="pct"/>
          </w:tcPr>
          <w:p w14:paraId="0CEC0D3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Sex adjusted</w:t>
            </w:r>
          </w:p>
        </w:tc>
        <w:tc>
          <w:tcPr>
            <w:tcW w:w="1030" w:type="pct"/>
            <w:gridSpan w:val="3"/>
            <w:noWrap/>
          </w:tcPr>
          <w:p w14:paraId="56C49967"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Region of residence adjusted</w:t>
            </w:r>
          </w:p>
        </w:tc>
        <w:tc>
          <w:tcPr>
            <w:tcW w:w="598" w:type="pct"/>
          </w:tcPr>
          <w:p w14:paraId="4F3DDFC1"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Education adjusted</w:t>
            </w:r>
          </w:p>
        </w:tc>
        <w:tc>
          <w:tcPr>
            <w:tcW w:w="598" w:type="pct"/>
            <w:noWrap/>
          </w:tcPr>
          <w:p w14:paraId="13BDD911" w14:textId="77777777" w:rsidR="00D1712A" w:rsidRPr="00000849" w:rsidRDefault="00D1712A" w:rsidP="00D16031">
            <w:pPr>
              <w:rPr>
                <w:rFonts w:ascii="Calibri" w:eastAsia="Times New Roman" w:hAnsi="Calibri" w:cs="Calibri"/>
                <w:color w:val="000000"/>
                <w:sz w:val="16"/>
                <w:szCs w:val="16"/>
              </w:rPr>
            </w:pPr>
          </w:p>
        </w:tc>
        <w:tc>
          <w:tcPr>
            <w:tcW w:w="767" w:type="pct"/>
            <w:noWrap/>
          </w:tcPr>
          <w:p w14:paraId="753D0E81" w14:textId="77777777" w:rsidR="00D1712A" w:rsidRPr="00000849" w:rsidRDefault="00D1712A" w:rsidP="00D16031">
            <w:pPr>
              <w:rPr>
                <w:rFonts w:ascii="Calibri" w:eastAsia="Times New Roman" w:hAnsi="Calibri" w:cs="Calibri"/>
                <w:sz w:val="16"/>
                <w:szCs w:val="16"/>
              </w:rPr>
            </w:pPr>
            <w:r w:rsidRPr="00000849">
              <w:rPr>
                <w:rFonts w:ascii="Calibri" w:eastAsia="Times New Roman" w:hAnsi="Calibri" w:cs="Calibri"/>
                <w:sz w:val="16"/>
                <w:szCs w:val="16"/>
              </w:rPr>
              <w:t>Social class adjusted</w:t>
            </w:r>
          </w:p>
        </w:tc>
      </w:tr>
      <w:tr w:rsidR="00F7456C" w:rsidRPr="00000849" w14:paraId="443666B9" w14:textId="77777777" w:rsidTr="00F7456C">
        <w:trPr>
          <w:trHeight w:val="1349"/>
        </w:trPr>
        <w:tc>
          <w:tcPr>
            <w:tcW w:w="174" w:type="pct"/>
            <w:hideMark/>
          </w:tcPr>
          <w:p w14:paraId="541423F6"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14</w:t>
            </w:r>
          </w:p>
        </w:tc>
        <w:tc>
          <w:tcPr>
            <w:tcW w:w="346" w:type="pct"/>
            <w:hideMark/>
          </w:tcPr>
          <w:p w14:paraId="23B46A3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South Africa</w:t>
            </w:r>
          </w:p>
        </w:tc>
        <w:tc>
          <w:tcPr>
            <w:tcW w:w="344" w:type="pct"/>
            <w:hideMark/>
          </w:tcPr>
          <w:p w14:paraId="5B5C5FC7" w14:textId="4403FBD3"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Peltzer 2013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F7456C" w:rsidRPr="00000849">
              <w:rPr>
                <w:rFonts w:ascii="Calibri" w:eastAsia="Calibri" w:hAnsi="Calibri" w:cs="Calibri"/>
                <w:color w:val="0000FF"/>
                <w:sz w:val="16"/>
              </w:rPr>
              <w:t>3</w:t>
            </w:r>
            <w:r w:rsidRPr="00000849">
              <w:rPr>
                <w:rFonts w:ascii="Calibri" w:eastAsia="Calibri" w:hAnsi="Calibri" w:cs="Calibri"/>
                <w:color w:val="000000"/>
                <w:sz w:val="16"/>
              </w:rPr>
              <w:t>]</w:t>
            </w:r>
          </w:p>
        </w:tc>
        <w:tc>
          <w:tcPr>
            <w:tcW w:w="701" w:type="pct"/>
            <w:hideMark/>
          </w:tcPr>
          <w:p w14:paraId="01D3494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50-59 (ref.): 60-69 years, OR 1.30 (0.94-1.79); ≥70 years, OR  1.19 (0.80-1.78)</w:t>
            </w:r>
          </w:p>
        </w:tc>
        <w:tc>
          <w:tcPr>
            <w:tcW w:w="442" w:type="pct"/>
            <w:hideMark/>
          </w:tcPr>
          <w:p w14:paraId="21AF2FE4" w14:textId="77777777" w:rsidR="00D1712A" w:rsidRPr="00000849" w:rsidRDefault="00D1712A" w:rsidP="00D16031">
            <w:pPr>
              <w:rPr>
                <w:rFonts w:ascii="Calibri" w:eastAsia="Times New Roman" w:hAnsi="Calibri" w:cs="Calibri"/>
                <w:sz w:val="16"/>
                <w:szCs w:val="16"/>
              </w:rPr>
            </w:pPr>
            <w:r w:rsidRPr="00000849">
              <w:rPr>
                <w:rFonts w:ascii="Calibri" w:eastAsia="Times New Roman" w:hAnsi="Calibri" w:cs="Calibri"/>
                <w:sz w:val="16"/>
                <w:szCs w:val="16"/>
              </w:rPr>
              <w:t>Males (ref.): Females OR 1.18 (0.61-1.25)</w:t>
            </w:r>
          </w:p>
        </w:tc>
        <w:tc>
          <w:tcPr>
            <w:tcW w:w="1030" w:type="pct"/>
            <w:gridSpan w:val="3"/>
            <w:hideMark/>
          </w:tcPr>
          <w:p w14:paraId="58CD0469" w14:textId="77777777" w:rsidR="00D1712A" w:rsidRPr="00000849" w:rsidRDefault="00D1712A" w:rsidP="00D16031">
            <w:pPr>
              <w:rPr>
                <w:rFonts w:ascii="Calibri" w:eastAsia="Times New Roman" w:hAnsi="Calibri" w:cs="Calibri"/>
                <w:sz w:val="16"/>
                <w:szCs w:val="16"/>
              </w:rPr>
            </w:pPr>
          </w:p>
        </w:tc>
        <w:tc>
          <w:tcPr>
            <w:tcW w:w="598" w:type="pct"/>
            <w:hideMark/>
          </w:tcPr>
          <w:p w14:paraId="4C2F2508" w14:textId="77777777" w:rsidR="00D1712A" w:rsidRPr="00000849" w:rsidRDefault="00D1712A" w:rsidP="00D16031">
            <w:pPr>
              <w:rPr>
                <w:rFonts w:ascii="Calibri" w:eastAsia="Times New Roman" w:hAnsi="Calibri" w:cs="Calibri"/>
                <w:sz w:val="16"/>
                <w:szCs w:val="16"/>
              </w:rPr>
            </w:pPr>
          </w:p>
        </w:tc>
        <w:tc>
          <w:tcPr>
            <w:tcW w:w="598" w:type="pct"/>
            <w:hideMark/>
          </w:tcPr>
          <w:p w14:paraId="47AC8B88" w14:textId="77777777" w:rsidR="00D1712A" w:rsidRPr="00000849" w:rsidRDefault="00D1712A" w:rsidP="00D16031">
            <w:pPr>
              <w:rPr>
                <w:rFonts w:ascii="Calibri" w:eastAsia="Times New Roman" w:hAnsi="Calibri" w:cs="Calibri"/>
                <w:sz w:val="16"/>
                <w:szCs w:val="16"/>
              </w:rPr>
            </w:pPr>
          </w:p>
        </w:tc>
        <w:tc>
          <w:tcPr>
            <w:tcW w:w="767" w:type="pct"/>
            <w:hideMark/>
          </w:tcPr>
          <w:p w14:paraId="4171C243" w14:textId="77777777" w:rsidR="00D1712A" w:rsidRPr="00000849" w:rsidRDefault="00D1712A" w:rsidP="00D16031">
            <w:pPr>
              <w:rPr>
                <w:rFonts w:ascii="Calibri" w:eastAsia="Times New Roman" w:hAnsi="Calibri" w:cs="Calibri"/>
                <w:sz w:val="16"/>
                <w:szCs w:val="16"/>
              </w:rPr>
            </w:pPr>
          </w:p>
        </w:tc>
      </w:tr>
      <w:tr w:rsidR="00F7456C" w:rsidRPr="00000849" w14:paraId="417495F7" w14:textId="77777777" w:rsidTr="00F7456C">
        <w:trPr>
          <w:cnfStyle w:val="000000100000" w:firstRow="0" w:lastRow="0" w:firstColumn="0" w:lastColumn="0" w:oddVBand="0" w:evenVBand="0" w:oddHBand="1" w:evenHBand="0" w:firstRowFirstColumn="0" w:firstRowLastColumn="0" w:lastRowFirstColumn="0" w:lastRowLastColumn="0"/>
          <w:trHeight w:val="2250"/>
        </w:trPr>
        <w:tc>
          <w:tcPr>
            <w:tcW w:w="174" w:type="pct"/>
            <w:hideMark/>
          </w:tcPr>
          <w:p w14:paraId="760F8DA3"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lastRenderedPageBreak/>
              <w:t>15</w:t>
            </w:r>
          </w:p>
        </w:tc>
        <w:tc>
          <w:tcPr>
            <w:tcW w:w="346" w:type="pct"/>
            <w:hideMark/>
          </w:tcPr>
          <w:p w14:paraId="4DB99C87"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CAR, Congo</w:t>
            </w:r>
          </w:p>
        </w:tc>
        <w:tc>
          <w:tcPr>
            <w:tcW w:w="344" w:type="pct"/>
            <w:hideMark/>
          </w:tcPr>
          <w:p w14:paraId="64B6B9B0" w14:textId="7EC755FC"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Pilleron 2017 </w:t>
            </w:r>
            <w:r w:rsidRPr="00000849">
              <w:rPr>
                <w:rFonts w:ascii="Calibri" w:eastAsia="Calibri" w:hAnsi="Calibri" w:cs="Calibri"/>
                <w:color w:val="000000"/>
                <w:sz w:val="16"/>
              </w:rPr>
              <w:t>[</w:t>
            </w:r>
            <w:r w:rsidR="00F7456C" w:rsidRPr="00000849">
              <w:rPr>
                <w:rFonts w:ascii="Calibri" w:eastAsia="Calibri" w:hAnsi="Calibri" w:cs="Calibri"/>
                <w:color w:val="0000FF"/>
                <w:sz w:val="16"/>
              </w:rPr>
              <w:t>36</w:t>
            </w:r>
            <w:r w:rsidRPr="00000849">
              <w:rPr>
                <w:rFonts w:ascii="Calibri" w:eastAsia="Calibri" w:hAnsi="Calibri" w:cs="Calibri"/>
                <w:color w:val="000000"/>
                <w:sz w:val="16"/>
              </w:rPr>
              <w:t>]</w:t>
            </w:r>
          </w:p>
        </w:tc>
        <w:tc>
          <w:tcPr>
            <w:tcW w:w="701" w:type="pct"/>
            <w:hideMark/>
          </w:tcPr>
          <w:p w14:paraId="50FE7C30"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Age (continuous variable); OR = 1.02 (95% CI 1.01-1.04)</w:t>
            </w:r>
          </w:p>
        </w:tc>
        <w:tc>
          <w:tcPr>
            <w:tcW w:w="442" w:type="pct"/>
            <w:hideMark/>
          </w:tcPr>
          <w:p w14:paraId="4DEF22D1"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NS, OR = 0.98 (0.70-1.37); p=0.924</w:t>
            </w:r>
          </w:p>
        </w:tc>
        <w:tc>
          <w:tcPr>
            <w:tcW w:w="1030" w:type="pct"/>
            <w:gridSpan w:val="3"/>
            <w:hideMark/>
          </w:tcPr>
          <w:p w14:paraId="6A177C8C"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Urban (ref.): rural OR 0.92 (0.71-1.19), p value = 0.528.  </w:t>
            </w:r>
          </w:p>
          <w:p w14:paraId="2211F1C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Living in Congo vs. CAR: OR 1.68 (1.31-2.16) p&lt;0.001</w:t>
            </w:r>
          </w:p>
        </w:tc>
        <w:tc>
          <w:tcPr>
            <w:tcW w:w="598" w:type="pct"/>
            <w:hideMark/>
          </w:tcPr>
          <w:p w14:paraId="25756737"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Having primary education vs. not having it; OR = 1.09 (0.81-1.46); p=0.566</w:t>
            </w:r>
          </w:p>
        </w:tc>
        <w:tc>
          <w:tcPr>
            <w:tcW w:w="598" w:type="pct"/>
            <w:hideMark/>
          </w:tcPr>
          <w:p w14:paraId="24056F7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767" w:type="pct"/>
            <w:hideMark/>
          </w:tcPr>
          <w:p w14:paraId="7F92E553"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Compared with previous occupation as employee/government employee: craftsman/storekeeper OR 1.59 (1.10-2.31); Farmer/breeder/fisherman OR= 1.65 (1.13-2.41); Jobless OR=1.83 (1.03-3.28).</w:t>
            </w:r>
          </w:p>
        </w:tc>
      </w:tr>
      <w:tr w:rsidR="00F7456C" w:rsidRPr="00000849" w14:paraId="2CF6F547" w14:textId="77777777" w:rsidTr="00F7456C">
        <w:trPr>
          <w:trHeight w:val="1062"/>
        </w:trPr>
        <w:tc>
          <w:tcPr>
            <w:tcW w:w="174" w:type="pct"/>
          </w:tcPr>
          <w:p w14:paraId="30AA0577"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16</w:t>
            </w:r>
          </w:p>
        </w:tc>
        <w:tc>
          <w:tcPr>
            <w:tcW w:w="346" w:type="pct"/>
          </w:tcPr>
          <w:p w14:paraId="05A06CD1"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Nigeria</w:t>
            </w:r>
          </w:p>
        </w:tc>
        <w:tc>
          <w:tcPr>
            <w:tcW w:w="344" w:type="pct"/>
          </w:tcPr>
          <w:p w14:paraId="767B4572" w14:textId="176D9884"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Raji 2017 </w:t>
            </w:r>
            <w:r w:rsidRPr="00000849">
              <w:rPr>
                <w:rFonts w:ascii="Calibri" w:eastAsia="Calibri" w:hAnsi="Calibri" w:cs="Calibri"/>
                <w:color w:val="000000"/>
                <w:sz w:val="16"/>
              </w:rPr>
              <w:t>[</w:t>
            </w:r>
            <w:r w:rsidR="00F7456C" w:rsidRPr="00000849">
              <w:rPr>
                <w:rFonts w:ascii="Calibri" w:eastAsia="Calibri" w:hAnsi="Calibri" w:cs="Calibri"/>
                <w:color w:val="0000FF"/>
                <w:sz w:val="16"/>
              </w:rPr>
              <w:t>37</w:t>
            </w:r>
            <w:r w:rsidRPr="00000849">
              <w:rPr>
                <w:rFonts w:ascii="Calibri" w:eastAsia="Calibri" w:hAnsi="Calibri" w:cs="Calibri"/>
                <w:color w:val="000000"/>
                <w:sz w:val="16"/>
              </w:rPr>
              <w:t>]</w:t>
            </w:r>
          </w:p>
        </w:tc>
        <w:tc>
          <w:tcPr>
            <w:tcW w:w="701" w:type="pct"/>
          </w:tcPr>
          <w:p w14:paraId="7224171A"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Age &gt;69 years, OR 1.16 (0.78-1.72), p value=0.443</w:t>
            </w:r>
          </w:p>
        </w:tc>
        <w:tc>
          <w:tcPr>
            <w:tcW w:w="442" w:type="pct"/>
          </w:tcPr>
          <w:p w14:paraId="6D9747D7"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Males (ref.): Females OR 0.62** (0.48-0.79), p value=0.001; NS</w:t>
            </w:r>
          </w:p>
        </w:tc>
        <w:tc>
          <w:tcPr>
            <w:tcW w:w="1030" w:type="pct"/>
            <w:gridSpan w:val="3"/>
          </w:tcPr>
          <w:p w14:paraId="5FABE5A2"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Urban/semi-urban (ref.): Rural OR 0.53* (0.72-0.98); p=0.04</w:t>
            </w:r>
          </w:p>
        </w:tc>
        <w:tc>
          <w:tcPr>
            <w:tcW w:w="598" w:type="pct"/>
          </w:tcPr>
          <w:p w14:paraId="609572A8"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Non-high education (ref.): High educational level OR 2.55* (1.02-6.38), p value=0.045</w:t>
            </w:r>
          </w:p>
        </w:tc>
        <w:tc>
          <w:tcPr>
            <w:tcW w:w="598" w:type="pct"/>
          </w:tcPr>
          <w:p w14:paraId="605C8C11" w14:textId="77777777" w:rsidR="00D1712A" w:rsidRPr="00000849" w:rsidRDefault="00D1712A" w:rsidP="00D16031">
            <w:pPr>
              <w:rPr>
                <w:rFonts w:ascii="Calibri" w:eastAsia="Times New Roman" w:hAnsi="Calibri" w:cs="Calibri"/>
                <w:color w:val="000000"/>
                <w:sz w:val="16"/>
                <w:szCs w:val="16"/>
              </w:rPr>
            </w:pPr>
          </w:p>
        </w:tc>
        <w:tc>
          <w:tcPr>
            <w:tcW w:w="767" w:type="pct"/>
          </w:tcPr>
          <w:p w14:paraId="59765DB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High SES, OR 1.50 (0.80-2.86), NS</w:t>
            </w:r>
          </w:p>
        </w:tc>
      </w:tr>
      <w:tr w:rsidR="00F7456C" w:rsidRPr="00000849" w14:paraId="075C7152" w14:textId="77777777" w:rsidTr="00F7456C">
        <w:trPr>
          <w:cnfStyle w:val="000000100000" w:firstRow="0" w:lastRow="0" w:firstColumn="0" w:lastColumn="0" w:oddVBand="0" w:evenVBand="0" w:oddHBand="1" w:evenHBand="0" w:firstRowFirstColumn="0" w:firstRowLastColumn="0" w:lastRowFirstColumn="0" w:lastRowLastColumn="0"/>
          <w:trHeight w:val="1062"/>
        </w:trPr>
        <w:tc>
          <w:tcPr>
            <w:tcW w:w="174" w:type="pct"/>
          </w:tcPr>
          <w:p w14:paraId="192C6190"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17</w:t>
            </w:r>
          </w:p>
        </w:tc>
        <w:tc>
          <w:tcPr>
            <w:tcW w:w="346" w:type="pct"/>
          </w:tcPr>
          <w:p w14:paraId="56A790B3"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Uganda</w:t>
            </w:r>
          </w:p>
        </w:tc>
        <w:tc>
          <w:tcPr>
            <w:tcW w:w="344" w:type="pct"/>
          </w:tcPr>
          <w:p w14:paraId="7567167D" w14:textId="4DF903A6"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Scholten 2011 </w:t>
            </w:r>
            <w:r w:rsidRPr="00000849">
              <w:rPr>
                <w:rFonts w:ascii="Calibri" w:eastAsia="Calibri" w:hAnsi="Calibri" w:cs="Calibri"/>
                <w:color w:val="000000"/>
                <w:sz w:val="16"/>
              </w:rPr>
              <w:t>[</w:t>
            </w:r>
            <w:r w:rsidR="00F7456C" w:rsidRPr="00000849">
              <w:rPr>
                <w:rFonts w:ascii="Calibri" w:eastAsia="Calibri" w:hAnsi="Calibri" w:cs="Calibri"/>
                <w:color w:val="0000FF"/>
                <w:sz w:val="16"/>
              </w:rPr>
              <w:t>38</w:t>
            </w:r>
            <w:r w:rsidRPr="00000849">
              <w:rPr>
                <w:rFonts w:ascii="Calibri" w:eastAsia="Calibri" w:hAnsi="Calibri" w:cs="Calibri"/>
                <w:color w:val="000000"/>
                <w:sz w:val="16"/>
              </w:rPr>
              <w:t>]</w:t>
            </w:r>
          </w:p>
        </w:tc>
        <w:tc>
          <w:tcPr>
            <w:tcW w:w="701" w:type="pct"/>
          </w:tcPr>
          <w:p w14:paraId="0ED6B618"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50-59 (ref.): 60-69 years, OR 1.13, NS; ≥70 years, OR  2.48; p=0.01</w:t>
            </w:r>
          </w:p>
        </w:tc>
        <w:tc>
          <w:tcPr>
            <w:tcW w:w="442" w:type="pct"/>
          </w:tcPr>
          <w:p w14:paraId="5E1473C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Males (ref.): Females OR 1.47; NS</w:t>
            </w:r>
          </w:p>
        </w:tc>
        <w:tc>
          <w:tcPr>
            <w:tcW w:w="1030" w:type="pct"/>
            <w:gridSpan w:val="3"/>
          </w:tcPr>
          <w:p w14:paraId="51AAC148"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Urban (ref.): Rural OR 0.57*; p=0.04</w:t>
            </w:r>
          </w:p>
        </w:tc>
        <w:tc>
          <w:tcPr>
            <w:tcW w:w="598" w:type="pct"/>
          </w:tcPr>
          <w:p w14:paraId="1EC5CA24"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Primary (ref.): None, OR 1.35, NS; Secondary or higher, OR 1.38; NS</w:t>
            </w:r>
          </w:p>
        </w:tc>
        <w:tc>
          <w:tcPr>
            <w:tcW w:w="598" w:type="pct"/>
          </w:tcPr>
          <w:p w14:paraId="24E87888" w14:textId="77777777" w:rsidR="00D1712A" w:rsidRPr="00000849" w:rsidRDefault="00D1712A" w:rsidP="00D16031">
            <w:pPr>
              <w:rPr>
                <w:rFonts w:ascii="Calibri" w:eastAsia="Times New Roman" w:hAnsi="Calibri" w:cs="Calibri"/>
                <w:color w:val="000000"/>
                <w:sz w:val="16"/>
                <w:szCs w:val="16"/>
              </w:rPr>
            </w:pPr>
          </w:p>
        </w:tc>
        <w:tc>
          <w:tcPr>
            <w:tcW w:w="767" w:type="pct"/>
          </w:tcPr>
          <w:p w14:paraId="0564CEC1" w14:textId="77777777" w:rsidR="00D1712A" w:rsidRPr="00000849" w:rsidRDefault="00D1712A" w:rsidP="00D16031">
            <w:pPr>
              <w:rPr>
                <w:rFonts w:ascii="Calibri" w:eastAsia="Times New Roman" w:hAnsi="Calibri" w:cs="Calibri"/>
                <w:color w:val="000000"/>
                <w:sz w:val="16"/>
                <w:szCs w:val="16"/>
              </w:rPr>
            </w:pPr>
          </w:p>
        </w:tc>
      </w:tr>
      <w:tr w:rsidR="00F7456C" w:rsidRPr="00000849" w14:paraId="08D39777" w14:textId="77777777" w:rsidTr="00F7456C">
        <w:trPr>
          <w:trHeight w:val="1494"/>
        </w:trPr>
        <w:tc>
          <w:tcPr>
            <w:tcW w:w="174" w:type="pct"/>
            <w:hideMark/>
          </w:tcPr>
          <w:p w14:paraId="00741AE7"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18</w:t>
            </w:r>
          </w:p>
        </w:tc>
        <w:tc>
          <w:tcPr>
            <w:tcW w:w="346" w:type="pct"/>
            <w:hideMark/>
          </w:tcPr>
          <w:p w14:paraId="0138C7AB"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Cameroon</w:t>
            </w:r>
          </w:p>
        </w:tc>
        <w:tc>
          <w:tcPr>
            <w:tcW w:w="344" w:type="pct"/>
            <w:hideMark/>
          </w:tcPr>
          <w:p w14:paraId="7A50A3FD" w14:textId="44183DCD"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Tianyi 2017 </w:t>
            </w:r>
            <w:r w:rsidRPr="00000849">
              <w:rPr>
                <w:rFonts w:ascii="Calibri" w:eastAsia="Calibri" w:hAnsi="Calibri" w:cs="Calibri"/>
                <w:color w:val="000000"/>
                <w:sz w:val="16"/>
              </w:rPr>
              <w:t>[</w:t>
            </w:r>
            <w:r w:rsidR="00F7456C" w:rsidRPr="00000849">
              <w:rPr>
                <w:rFonts w:ascii="Calibri" w:eastAsia="Calibri" w:hAnsi="Calibri" w:cs="Calibri"/>
                <w:color w:val="0000FF"/>
                <w:sz w:val="16"/>
              </w:rPr>
              <w:t>39</w:t>
            </w:r>
            <w:r w:rsidRPr="00000849">
              <w:rPr>
                <w:rFonts w:ascii="Calibri" w:eastAsia="Calibri" w:hAnsi="Calibri" w:cs="Calibri"/>
                <w:color w:val="000000"/>
                <w:sz w:val="16"/>
              </w:rPr>
              <w:t>]</w:t>
            </w:r>
          </w:p>
        </w:tc>
        <w:tc>
          <w:tcPr>
            <w:tcW w:w="701" w:type="pct"/>
            <w:hideMark/>
          </w:tcPr>
          <w:p w14:paraId="02B02772"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NS</w:t>
            </w:r>
          </w:p>
        </w:tc>
        <w:tc>
          <w:tcPr>
            <w:tcW w:w="442" w:type="pct"/>
            <w:hideMark/>
          </w:tcPr>
          <w:p w14:paraId="3AE5F564"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NS</w:t>
            </w:r>
          </w:p>
        </w:tc>
        <w:tc>
          <w:tcPr>
            <w:tcW w:w="1030" w:type="pct"/>
            <w:gridSpan w:val="3"/>
            <w:hideMark/>
          </w:tcPr>
          <w:p w14:paraId="2303C0EB" w14:textId="77777777" w:rsidR="00D1712A" w:rsidRPr="00000849" w:rsidRDefault="00D1712A" w:rsidP="00D16031">
            <w:pPr>
              <w:rPr>
                <w:rFonts w:ascii="Calibri" w:eastAsia="Times New Roman" w:hAnsi="Calibri" w:cs="Calibri"/>
                <w:color w:val="000000"/>
                <w:sz w:val="16"/>
                <w:szCs w:val="16"/>
              </w:rPr>
            </w:pPr>
          </w:p>
        </w:tc>
        <w:tc>
          <w:tcPr>
            <w:tcW w:w="598" w:type="pct"/>
            <w:hideMark/>
          </w:tcPr>
          <w:p w14:paraId="620CBBB4"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NS</w:t>
            </w:r>
          </w:p>
        </w:tc>
        <w:tc>
          <w:tcPr>
            <w:tcW w:w="598" w:type="pct"/>
            <w:hideMark/>
          </w:tcPr>
          <w:p w14:paraId="1D89DB68"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w:t>
            </w:r>
          </w:p>
        </w:tc>
        <w:tc>
          <w:tcPr>
            <w:tcW w:w="767" w:type="pct"/>
            <w:hideMark/>
          </w:tcPr>
          <w:p w14:paraId="4CB2F7A7"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Compared with low occupational level (unskilled workers): medium or high level occupational level: OR=0.56 (0.23-1.32); P=0.183</w:t>
            </w:r>
          </w:p>
        </w:tc>
      </w:tr>
      <w:tr w:rsidR="00F7456C" w:rsidRPr="00000849" w14:paraId="5665B2D3" w14:textId="77777777" w:rsidTr="00F7456C">
        <w:trPr>
          <w:cnfStyle w:val="000000100000" w:firstRow="0" w:lastRow="0" w:firstColumn="0" w:lastColumn="0" w:oddVBand="0" w:evenVBand="0" w:oddHBand="1" w:evenHBand="0" w:firstRowFirstColumn="0" w:firstRowLastColumn="0" w:lastRowFirstColumn="0" w:lastRowLastColumn="0"/>
          <w:trHeight w:val="720"/>
        </w:trPr>
        <w:tc>
          <w:tcPr>
            <w:tcW w:w="174" w:type="pct"/>
            <w:hideMark/>
          </w:tcPr>
          <w:p w14:paraId="386662E2"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19</w:t>
            </w:r>
          </w:p>
        </w:tc>
        <w:tc>
          <w:tcPr>
            <w:tcW w:w="346" w:type="pct"/>
            <w:hideMark/>
          </w:tcPr>
          <w:p w14:paraId="4AEC49D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Ghana</w:t>
            </w:r>
          </w:p>
        </w:tc>
        <w:tc>
          <w:tcPr>
            <w:tcW w:w="344" w:type="pct"/>
            <w:hideMark/>
          </w:tcPr>
          <w:p w14:paraId="65D9EA30" w14:textId="52110D91"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Tyrovolas 2015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F7456C" w:rsidRPr="00000849">
              <w:rPr>
                <w:rFonts w:ascii="Calibri" w:eastAsia="Calibri" w:hAnsi="Calibri" w:cs="Calibri"/>
                <w:color w:val="0000FF"/>
                <w:sz w:val="16"/>
              </w:rPr>
              <w:t>0</w:t>
            </w:r>
            <w:r w:rsidRPr="00000849">
              <w:rPr>
                <w:rFonts w:ascii="Calibri" w:eastAsia="Calibri" w:hAnsi="Calibri" w:cs="Calibri"/>
                <w:color w:val="000000"/>
                <w:sz w:val="16"/>
              </w:rPr>
              <w:t>]</w:t>
            </w:r>
          </w:p>
        </w:tc>
        <w:tc>
          <w:tcPr>
            <w:tcW w:w="701" w:type="pct"/>
            <w:hideMark/>
          </w:tcPr>
          <w:p w14:paraId="73FA23E7"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Adjusted for age, sex and marital status</w:t>
            </w:r>
          </w:p>
        </w:tc>
        <w:tc>
          <w:tcPr>
            <w:tcW w:w="442" w:type="pct"/>
            <w:hideMark/>
          </w:tcPr>
          <w:p w14:paraId="5E404768"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Adjusted for age, sex and marital status</w:t>
            </w:r>
          </w:p>
        </w:tc>
        <w:tc>
          <w:tcPr>
            <w:tcW w:w="1030" w:type="pct"/>
            <w:gridSpan w:val="3"/>
            <w:hideMark/>
          </w:tcPr>
          <w:p w14:paraId="63004F99" w14:textId="77777777" w:rsidR="00D1712A" w:rsidRPr="00000849" w:rsidRDefault="00D1712A" w:rsidP="00D16031">
            <w:pPr>
              <w:rPr>
                <w:rFonts w:ascii="Calibri" w:eastAsia="Times New Roman" w:hAnsi="Calibri" w:cs="Calibri"/>
                <w:color w:val="000000"/>
                <w:sz w:val="16"/>
                <w:szCs w:val="16"/>
              </w:rPr>
            </w:pPr>
          </w:p>
        </w:tc>
        <w:tc>
          <w:tcPr>
            <w:tcW w:w="598" w:type="pct"/>
            <w:hideMark/>
          </w:tcPr>
          <w:p w14:paraId="1DFA933A"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Compared with ≤primary level: Secondary OR 1.11 (0.89-1.38), NS; ≥Tertiary, OR 0.66 (0.41-1.06), NS </w:t>
            </w:r>
          </w:p>
        </w:tc>
        <w:tc>
          <w:tcPr>
            <w:tcW w:w="598" w:type="pct"/>
            <w:hideMark/>
          </w:tcPr>
          <w:p w14:paraId="30EEC81A"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Compared with middle wealth quintile: Poorest OR 0.83 (0.65-1.07), NS; Poorer, OR 1.02 (0.80-1.30); Richer, OR 1.10 (0.86-1.41); </w:t>
            </w:r>
            <w:r w:rsidRPr="00000849">
              <w:rPr>
                <w:rFonts w:ascii="Calibri" w:eastAsia="Times New Roman" w:hAnsi="Calibri" w:cs="Calibri"/>
                <w:color w:val="000000"/>
                <w:sz w:val="16"/>
                <w:szCs w:val="16"/>
              </w:rPr>
              <w:lastRenderedPageBreak/>
              <w:t>Richest, OR 1.15 (0.87-1.52)</w:t>
            </w:r>
          </w:p>
        </w:tc>
        <w:tc>
          <w:tcPr>
            <w:tcW w:w="767" w:type="pct"/>
            <w:hideMark/>
          </w:tcPr>
          <w:p w14:paraId="537F517B" w14:textId="77777777" w:rsidR="00D1712A" w:rsidRPr="00000849" w:rsidRDefault="00D1712A" w:rsidP="00D16031">
            <w:pPr>
              <w:rPr>
                <w:rFonts w:ascii="Calibri" w:eastAsia="Times New Roman" w:hAnsi="Calibri" w:cs="Calibri"/>
                <w:color w:val="000000"/>
                <w:sz w:val="16"/>
                <w:szCs w:val="16"/>
              </w:rPr>
            </w:pPr>
          </w:p>
        </w:tc>
      </w:tr>
      <w:tr w:rsidR="00F7456C" w:rsidRPr="00000849" w14:paraId="66034C85" w14:textId="77777777" w:rsidTr="00F7456C">
        <w:trPr>
          <w:trHeight w:val="1619"/>
        </w:trPr>
        <w:tc>
          <w:tcPr>
            <w:tcW w:w="174" w:type="pct"/>
            <w:tcBorders>
              <w:bottom w:val="single" w:sz="4" w:space="0" w:color="auto"/>
            </w:tcBorders>
            <w:hideMark/>
          </w:tcPr>
          <w:p w14:paraId="168A2C03" w14:textId="77777777" w:rsidR="00D1712A" w:rsidRPr="00000849" w:rsidRDefault="00D1712A" w:rsidP="00D16031">
            <w:pPr>
              <w:jc w:val="center"/>
              <w:rPr>
                <w:rFonts w:ascii="Calibri" w:eastAsia="Times New Roman" w:hAnsi="Calibri" w:cs="Calibri"/>
                <w:color w:val="000000"/>
                <w:sz w:val="16"/>
                <w:szCs w:val="16"/>
              </w:rPr>
            </w:pPr>
            <w:r w:rsidRPr="00000849">
              <w:rPr>
                <w:rFonts w:ascii="Calibri" w:eastAsia="Times New Roman" w:hAnsi="Calibri" w:cs="Calibri"/>
                <w:color w:val="000000"/>
                <w:sz w:val="16"/>
                <w:szCs w:val="16"/>
              </w:rPr>
              <w:t>20</w:t>
            </w:r>
          </w:p>
        </w:tc>
        <w:tc>
          <w:tcPr>
            <w:tcW w:w="346" w:type="pct"/>
            <w:tcBorders>
              <w:bottom w:val="single" w:sz="4" w:space="0" w:color="auto"/>
            </w:tcBorders>
            <w:hideMark/>
          </w:tcPr>
          <w:p w14:paraId="4DC71D05"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South Africa</w:t>
            </w:r>
          </w:p>
        </w:tc>
        <w:tc>
          <w:tcPr>
            <w:tcW w:w="344" w:type="pct"/>
            <w:tcBorders>
              <w:bottom w:val="single" w:sz="4" w:space="0" w:color="auto"/>
            </w:tcBorders>
            <w:hideMark/>
          </w:tcPr>
          <w:p w14:paraId="6AB12FEA" w14:textId="54E06D61" w:rsidR="00D1712A" w:rsidRPr="00000849" w:rsidRDefault="00D1712A" w:rsidP="00D16031">
            <w:pP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Tyrovolas 2015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F7456C" w:rsidRPr="00000849">
              <w:rPr>
                <w:rFonts w:ascii="Calibri" w:eastAsia="Calibri" w:hAnsi="Calibri" w:cs="Calibri"/>
                <w:color w:val="0000FF"/>
                <w:sz w:val="16"/>
              </w:rPr>
              <w:t>0</w:t>
            </w:r>
            <w:r w:rsidRPr="00000849">
              <w:rPr>
                <w:rFonts w:ascii="Calibri" w:eastAsia="Calibri" w:hAnsi="Calibri" w:cs="Calibri"/>
                <w:color w:val="000000"/>
                <w:sz w:val="16"/>
              </w:rPr>
              <w:t>]</w:t>
            </w:r>
          </w:p>
        </w:tc>
        <w:tc>
          <w:tcPr>
            <w:tcW w:w="701" w:type="pct"/>
            <w:tcBorders>
              <w:bottom w:val="single" w:sz="4" w:space="0" w:color="auto"/>
            </w:tcBorders>
            <w:hideMark/>
          </w:tcPr>
          <w:p w14:paraId="2A8821D0"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Adjusted for age, sex and marital status</w:t>
            </w:r>
          </w:p>
        </w:tc>
        <w:tc>
          <w:tcPr>
            <w:tcW w:w="442" w:type="pct"/>
            <w:tcBorders>
              <w:bottom w:val="single" w:sz="4" w:space="0" w:color="auto"/>
            </w:tcBorders>
            <w:hideMark/>
          </w:tcPr>
          <w:p w14:paraId="4386016D"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Adjusted for age, sex and marital status</w:t>
            </w:r>
          </w:p>
        </w:tc>
        <w:tc>
          <w:tcPr>
            <w:tcW w:w="1030" w:type="pct"/>
            <w:gridSpan w:val="3"/>
            <w:tcBorders>
              <w:bottom w:val="single" w:sz="4" w:space="0" w:color="auto"/>
            </w:tcBorders>
            <w:hideMark/>
          </w:tcPr>
          <w:p w14:paraId="06F19CC6" w14:textId="77777777" w:rsidR="00D1712A" w:rsidRPr="00000849" w:rsidRDefault="00D1712A" w:rsidP="00D16031">
            <w:pPr>
              <w:rPr>
                <w:rFonts w:ascii="Calibri" w:eastAsia="Times New Roman" w:hAnsi="Calibri" w:cs="Calibri"/>
                <w:color w:val="000000"/>
                <w:sz w:val="16"/>
                <w:szCs w:val="16"/>
              </w:rPr>
            </w:pPr>
          </w:p>
        </w:tc>
        <w:tc>
          <w:tcPr>
            <w:tcW w:w="598" w:type="pct"/>
            <w:tcBorders>
              <w:bottom w:val="single" w:sz="4" w:space="0" w:color="auto"/>
            </w:tcBorders>
            <w:hideMark/>
          </w:tcPr>
          <w:p w14:paraId="7E181A2A"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 xml:space="preserve">Compared with ≤primary level: Secondary OR 0.66* (0.46-0.95), p&lt;0.05; ≥Tertiary, OR 0.66 (0.41-1.06), NS </w:t>
            </w:r>
          </w:p>
        </w:tc>
        <w:tc>
          <w:tcPr>
            <w:tcW w:w="598" w:type="pct"/>
            <w:tcBorders>
              <w:bottom w:val="single" w:sz="4" w:space="0" w:color="auto"/>
            </w:tcBorders>
            <w:hideMark/>
          </w:tcPr>
          <w:p w14:paraId="7DB0ACF9" w14:textId="77777777" w:rsidR="00D1712A" w:rsidRPr="00000849" w:rsidRDefault="00D1712A" w:rsidP="00D16031">
            <w:pPr>
              <w:rPr>
                <w:rFonts w:ascii="Calibri" w:eastAsia="Times New Roman" w:hAnsi="Calibri" w:cs="Calibri"/>
                <w:color w:val="000000"/>
                <w:sz w:val="16"/>
                <w:szCs w:val="16"/>
              </w:rPr>
            </w:pPr>
            <w:r w:rsidRPr="00000849">
              <w:rPr>
                <w:rFonts w:ascii="Calibri" w:eastAsia="Times New Roman" w:hAnsi="Calibri" w:cs="Calibri"/>
                <w:color w:val="000000"/>
                <w:sz w:val="16"/>
                <w:szCs w:val="16"/>
              </w:rPr>
              <w:t>Compared with middle wealth quintile: Poorest OR 0.85 (0.54-1.35), NS; Poorer, OR 0.78 (0.49-1.24); Richer, OR 0.87 (0.54-1.39); Richest, OR 1.14 (0.69-1.89)</w:t>
            </w:r>
          </w:p>
        </w:tc>
        <w:tc>
          <w:tcPr>
            <w:tcW w:w="767" w:type="pct"/>
            <w:tcBorders>
              <w:bottom w:val="single" w:sz="4" w:space="0" w:color="auto"/>
            </w:tcBorders>
            <w:hideMark/>
          </w:tcPr>
          <w:p w14:paraId="7DE8C610" w14:textId="77777777" w:rsidR="00D1712A" w:rsidRPr="00000849" w:rsidRDefault="00D1712A" w:rsidP="00D16031">
            <w:pPr>
              <w:rPr>
                <w:rFonts w:ascii="Calibri" w:eastAsia="Times New Roman" w:hAnsi="Calibri" w:cs="Calibri"/>
                <w:color w:val="000000"/>
                <w:sz w:val="16"/>
                <w:szCs w:val="16"/>
              </w:rPr>
            </w:pPr>
          </w:p>
        </w:tc>
      </w:tr>
    </w:tbl>
    <w:p w14:paraId="7C06FEF2" w14:textId="77777777" w:rsidR="00F7456C" w:rsidRPr="00000849" w:rsidRDefault="00F7456C" w:rsidP="00F7456C">
      <w:pPr>
        <w:spacing w:after="348" w:line="265" w:lineRule="auto"/>
        <w:ind w:left="-5" w:hanging="10"/>
        <w:rPr>
          <w:sz w:val="24"/>
          <w:szCs w:val="24"/>
        </w:rPr>
      </w:pPr>
      <w:r w:rsidRPr="00000849">
        <w:rPr>
          <w:rFonts w:ascii="Calibri" w:eastAsia="Calibri" w:hAnsi="Calibri" w:cs="Calibri"/>
          <w:color w:val="000000"/>
          <w:sz w:val="16"/>
          <w:szCs w:val="24"/>
        </w:rPr>
        <w:t>NS = not statistically significant; OR = odds ratio; SES = socioeconomic status</w:t>
      </w:r>
    </w:p>
    <w:p w14:paraId="13CFAB53" w14:textId="20EC4A59" w:rsidR="00D1712A" w:rsidRPr="00000849" w:rsidRDefault="00D1712A" w:rsidP="00BC221F"/>
    <w:p w14:paraId="23ECFED7" w14:textId="55F95505" w:rsidR="00D1712A" w:rsidRPr="00000849" w:rsidRDefault="00D1712A" w:rsidP="00BC221F"/>
    <w:p w14:paraId="593F95A1" w14:textId="77777777" w:rsidR="00D1712A" w:rsidRPr="00000849" w:rsidRDefault="00D1712A" w:rsidP="00BC221F"/>
    <w:p w14:paraId="70C07A02" w14:textId="77777777" w:rsidR="0088673E" w:rsidRPr="00000849" w:rsidRDefault="0088673E" w:rsidP="00BC221F">
      <w:pPr>
        <w:rPr>
          <w:b/>
          <w:bCs/>
          <w:i/>
          <w:iCs/>
          <w:color w:val="0070C0"/>
        </w:rPr>
        <w:sectPr w:rsidR="0088673E" w:rsidRPr="00000849" w:rsidSect="00D1712A">
          <w:headerReference w:type="even" r:id="rId387"/>
          <w:headerReference w:type="default" r:id="rId388"/>
          <w:footerReference w:type="even" r:id="rId389"/>
          <w:footerReference w:type="default" r:id="rId390"/>
          <w:headerReference w:type="first" r:id="rId391"/>
          <w:footerReference w:type="first" r:id="rId392"/>
          <w:pgSz w:w="15817" w:h="11906" w:orient="landscape"/>
          <w:pgMar w:top="1134" w:right="1440" w:bottom="1133" w:left="1440" w:header="720" w:footer="720" w:gutter="0"/>
          <w:cols w:space="284"/>
          <w:docGrid w:linePitch="299"/>
        </w:sectPr>
      </w:pPr>
    </w:p>
    <w:p w14:paraId="2B797570" w14:textId="43BACFBE" w:rsidR="00BC221F" w:rsidRPr="00000849" w:rsidRDefault="00BC221F" w:rsidP="00DE4C21">
      <w:pPr>
        <w:jc w:val="both"/>
      </w:pPr>
      <w:r w:rsidRPr="00000849">
        <w:rPr>
          <w:b/>
          <w:bCs/>
          <w:i/>
          <w:iCs/>
          <w:color w:val="0070C0"/>
        </w:rPr>
        <w:lastRenderedPageBreak/>
        <w:t>Health insurance and wealth quintile</w:t>
      </w:r>
      <w:r w:rsidRPr="00000849">
        <w:rPr>
          <w:rFonts w:ascii="Calibri" w:eastAsia="Calibri" w:hAnsi="Calibri" w:cs="Calibri"/>
        </w:rPr>
        <w:t xml:space="preserve"> </w:t>
      </w:r>
      <w:r w:rsidRPr="00000849">
        <w:t>Only one study, a SAGE multi-country study, assessed the association between having health insurance and being hypertensive in a multivariate model [</w:t>
      </w:r>
      <w:r w:rsidRPr="00000849">
        <w:rPr>
          <w:color w:val="0000FF"/>
        </w:rPr>
        <w:t>18</w:t>
      </w:r>
      <w:r w:rsidRPr="00000849">
        <w:t>]. It found that having health insurance was not significantly associated with hypertension in Ghana or South Africa.</w:t>
      </w:r>
    </w:p>
    <w:p w14:paraId="6D9B027B" w14:textId="77777777" w:rsidR="00BC221F" w:rsidRPr="00000849" w:rsidRDefault="00BC221F" w:rsidP="00DE4C21">
      <w:pPr>
        <w:jc w:val="both"/>
      </w:pPr>
      <w:r w:rsidRPr="00000849">
        <w:t xml:space="preserve">There were contrasting patterns in the relationship between wealth quintile and the prevalence of hypertension in Ghana and South Africa (Fig. </w:t>
      </w:r>
      <w:r w:rsidRPr="00000849">
        <w:rPr>
          <w:color w:val="0000FF"/>
        </w:rPr>
        <w:t>2</w:t>
      </w:r>
      <w:r w:rsidRPr="00000849">
        <w:t>). In Ghana, the prevalence increased with increasing wealth quintile whereas in South Africa, the difference between the different quintiles groups was minimal [</w:t>
      </w:r>
      <w:r w:rsidRPr="00000849">
        <w:rPr>
          <w:color w:val="0000FF"/>
        </w:rPr>
        <w:t>19</w:t>
      </w:r>
      <w:r w:rsidRPr="00000849">
        <w:t>]. The ratio of the prevalence in the richest and poorest quintiles was 1.39 and 1.04 in the two respective countries.</w:t>
      </w:r>
    </w:p>
    <w:p w14:paraId="6EBB1CBF" w14:textId="53346023" w:rsidR="00BC221F" w:rsidRPr="00000849" w:rsidRDefault="00BC221F" w:rsidP="00DE4C21">
      <w:pPr>
        <w:jc w:val="both"/>
      </w:pPr>
      <w:r w:rsidRPr="00000849">
        <w:t>Wealthier quintile groups were independently associated with hypertension in older adults in the SAGE study in Ghana [</w:t>
      </w:r>
      <w:r w:rsidRPr="00000849">
        <w:rPr>
          <w:color w:val="0000FF"/>
        </w:rPr>
        <w:t>19</w:t>
      </w:r>
      <w:r w:rsidRPr="00000849">
        <w:t xml:space="preserve">, </w:t>
      </w:r>
      <w:r w:rsidRPr="00000849">
        <w:rPr>
          <w:color w:val="0000FF"/>
        </w:rPr>
        <w:t>21</w:t>
      </w:r>
      <w:r w:rsidRPr="00000849">
        <w:t xml:space="preserve">] (Tables </w:t>
      </w:r>
      <w:r w:rsidRPr="00000849">
        <w:rPr>
          <w:color w:val="0000FF"/>
        </w:rPr>
        <w:t xml:space="preserve">3 </w:t>
      </w:r>
      <w:r w:rsidRPr="00000849">
        <w:t xml:space="preserve">and </w:t>
      </w:r>
      <w:r w:rsidRPr="00000849">
        <w:rPr>
          <w:color w:val="0000FF"/>
        </w:rPr>
        <w:t>4</w:t>
      </w:r>
      <w:r w:rsidRPr="00000849">
        <w:t>). Consistent with the positive gradient economic observed in the crude analysis in Ghana, the adjusted odds ratio associated with hypertension in the multivariate analysis</w:t>
      </w:r>
      <w:r w:rsidR="00DE4C21" w:rsidRPr="00000849">
        <w:t xml:space="preserve"> increased steadily from 1.20 in the second wealth quintile (Q2), to 1.36 in Q3, 1.55 in Q4 and 1.68 in the richest quintile group when compared to the poorest wealth quintile [</w:t>
      </w:r>
      <w:r w:rsidR="00DE4C21" w:rsidRPr="00000849">
        <w:rPr>
          <w:color w:val="0000FF"/>
        </w:rPr>
        <w:t>19</w:t>
      </w:r>
      <w:r w:rsidR="00DE4C21" w:rsidRPr="00000849">
        <w:t>]. However, no such dose-response gradient was observed among the subjects in South Africa in whom only the adjusted odds ratio comparing the richest to the poorest wealth quintile was statistically significant. In two other multi-country publications of the same SAGE data on Ghana and South Africa which fitted models with additional variables, wealth quintiles were not associated with hypertension [</w:t>
      </w:r>
      <w:r w:rsidR="00DE4C21" w:rsidRPr="00000849">
        <w:rPr>
          <w:color w:val="0000FF"/>
        </w:rPr>
        <w:t>18</w:t>
      </w:r>
      <w:r w:rsidR="00DE4C21" w:rsidRPr="00000849">
        <w:t xml:space="preserve">, </w:t>
      </w:r>
      <w:r w:rsidR="00DE4C21" w:rsidRPr="00000849">
        <w:rPr>
          <w:color w:val="0000FF"/>
        </w:rPr>
        <w:t>20</w:t>
      </w:r>
      <w:r w:rsidR="00DE4C21" w:rsidRPr="00000849">
        <w:t>]. Neither were they associated with stage 1 or stage 2 systolic hypertension (SHTN) or diastolic hypertension (DHTN) in Ghana [</w:t>
      </w:r>
      <w:r w:rsidR="00DE4C21" w:rsidRPr="00000849">
        <w:rPr>
          <w:color w:val="0000FF"/>
        </w:rPr>
        <w:t>21</w:t>
      </w:r>
      <w:r w:rsidR="00DE4C21" w:rsidRPr="00000849">
        <w:t xml:space="preserve">]. Consistent with the SAGE Ghana pattern, another multivariate analysis concluded that low monthly income of adults aged </w:t>
      </w:r>
      <w:r w:rsidR="00DE4C21" w:rsidRPr="00000849">
        <w:rPr>
          <w:rFonts w:ascii="Calibri" w:eastAsia="Calibri" w:hAnsi="Calibri" w:cs="Calibri"/>
        </w:rPr>
        <w:t>≥</w:t>
      </w:r>
      <w:r w:rsidR="00DE4C21" w:rsidRPr="00000849">
        <w:t>60 years in Nigeria protected against hypertension.</w:t>
      </w:r>
    </w:p>
    <w:p w14:paraId="72DBF357" w14:textId="7B1342A5" w:rsidR="00DE4C21" w:rsidRPr="00000849" w:rsidRDefault="00DE4C21" w:rsidP="00DE4C21">
      <w:pPr>
        <w:jc w:val="both"/>
      </w:pPr>
    </w:p>
    <w:p w14:paraId="2CF09F77" w14:textId="2013C971" w:rsidR="00DE4C21" w:rsidRPr="00000849" w:rsidRDefault="00DE4C21" w:rsidP="00BC221F">
      <w:r w:rsidRPr="00000849">
        <w:rPr>
          <w:rFonts w:ascii="Calibri" w:eastAsia="Calibri" w:hAnsi="Calibri" w:cs="Calibri"/>
          <w:noProof/>
          <w:color w:val="000000"/>
        </w:rPr>
        <mc:AlternateContent>
          <mc:Choice Requires="wpg">
            <w:drawing>
              <wp:inline distT="0" distB="0" distL="0" distR="0" wp14:anchorId="3223BDEE" wp14:editId="4D661BBA">
                <wp:extent cx="5760720" cy="2739606"/>
                <wp:effectExtent l="0" t="0" r="30480" b="41910"/>
                <wp:docPr id="63013" name="Group 63013"/>
                <wp:cNvGraphicFramePr/>
                <a:graphic xmlns:a="http://schemas.openxmlformats.org/drawingml/2006/main">
                  <a:graphicData uri="http://schemas.microsoft.com/office/word/2010/wordprocessingGroup">
                    <wpg:wgp>
                      <wpg:cNvGrpSpPr/>
                      <wpg:grpSpPr>
                        <a:xfrm>
                          <a:off x="0" y="0"/>
                          <a:ext cx="5760720" cy="2739606"/>
                          <a:chOff x="0" y="0"/>
                          <a:chExt cx="6120003" cy="2739606"/>
                        </a:xfrm>
                      </wpg:grpSpPr>
                      <wps:wsp>
                        <wps:cNvPr id="82995" name="Shape 82995"/>
                        <wps:cNvSpPr/>
                        <wps:spPr>
                          <a:xfrm>
                            <a:off x="51117" y="0"/>
                            <a:ext cx="6017756" cy="9144"/>
                          </a:xfrm>
                          <a:custGeom>
                            <a:avLst/>
                            <a:gdLst/>
                            <a:ahLst/>
                            <a:cxnLst/>
                            <a:rect l="0" t="0" r="0" b="0"/>
                            <a:pathLst>
                              <a:path w="6017756" h="9144">
                                <a:moveTo>
                                  <a:pt x="0" y="0"/>
                                </a:moveTo>
                                <a:lnTo>
                                  <a:pt x="6017756" y="0"/>
                                </a:lnTo>
                                <a:lnTo>
                                  <a:pt x="6017756" y="9144"/>
                                </a:lnTo>
                                <a:lnTo>
                                  <a:pt x="0" y="9144"/>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4553" name="Shape 4553"/>
                        <wps:cNvSpPr/>
                        <wps:spPr>
                          <a:xfrm>
                            <a:off x="6068873" y="0"/>
                            <a:ext cx="51118" cy="50394"/>
                          </a:xfrm>
                          <a:custGeom>
                            <a:avLst/>
                            <a:gdLst/>
                            <a:ahLst/>
                            <a:cxnLst/>
                            <a:rect l="0" t="0" r="0" b="0"/>
                            <a:pathLst>
                              <a:path w="51118" h="50394">
                                <a:moveTo>
                                  <a:pt x="0" y="0"/>
                                </a:moveTo>
                                <a:lnTo>
                                  <a:pt x="9360" y="724"/>
                                </a:lnTo>
                                <a:cubicBezTo>
                                  <a:pt x="29146" y="2908"/>
                                  <a:pt x="47968" y="22466"/>
                                  <a:pt x="50406" y="41758"/>
                                </a:cubicBezTo>
                                <a:lnTo>
                                  <a:pt x="51118" y="50394"/>
                                </a:lnTo>
                                <a:lnTo>
                                  <a:pt x="48234" y="50394"/>
                                </a:lnTo>
                                <a:lnTo>
                                  <a:pt x="47523" y="42482"/>
                                </a:lnTo>
                                <a:cubicBezTo>
                                  <a:pt x="44793" y="23698"/>
                                  <a:pt x="27863" y="6452"/>
                                  <a:pt x="8636" y="3594"/>
                                </a:cubicBezTo>
                                <a:lnTo>
                                  <a:pt x="0" y="2883"/>
                                </a:lnTo>
                                <a:lnTo>
                                  <a:pt x="0" y="0"/>
                                </a:lnTo>
                                <a:close/>
                              </a:path>
                            </a:pathLst>
                          </a:custGeom>
                          <a:ln w="0" cap="rnd">
                            <a:round/>
                          </a:ln>
                        </wps:spPr>
                        <wps:style>
                          <a:lnRef idx="1">
                            <a:srgbClr val="131313"/>
                          </a:lnRef>
                          <a:fillRef idx="1">
                            <a:srgbClr val="131313"/>
                          </a:fillRef>
                          <a:effectRef idx="0">
                            <a:scrgbClr r="0" g="0" b="0"/>
                          </a:effectRef>
                          <a:fontRef idx="none"/>
                        </wps:style>
                        <wps:bodyPr/>
                      </wps:wsp>
                      <wps:wsp>
                        <wps:cNvPr id="82996" name="Shape 82996"/>
                        <wps:cNvSpPr/>
                        <wps:spPr>
                          <a:xfrm>
                            <a:off x="6117121" y="50406"/>
                            <a:ext cx="9144" cy="2638083"/>
                          </a:xfrm>
                          <a:custGeom>
                            <a:avLst/>
                            <a:gdLst/>
                            <a:ahLst/>
                            <a:cxnLst/>
                            <a:rect l="0" t="0" r="0" b="0"/>
                            <a:pathLst>
                              <a:path w="9144" h="2638083">
                                <a:moveTo>
                                  <a:pt x="0" y="0"/>
                                </a:moveTo>
                                <a:lnTo>
                                  <a:pt x="9144" y="0"/>
                                </a:lnTo>
                                <a:lnTo>
                                  <a:pt x="9144" y="2638083"/>
                                </a:lnTo>
                                <a:lnTo>
                                  <a:pt x="0" y="2638083"/>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4555" name="Shape 4555"/>
                        <wps:cNvSpPr/>
                        <wps:spPr>
                          <a:xfrm>
                            <a:off x="6068886" y="2688476"/>
                            <a:ext cx="51118" cy="51117"/>
                          </a:xfrm>
                          <a:custGeom>
                            <a:avLst/>
                            <a:gdLst/>
                            <a:ahLst/>
                            <a:cxnLst/>
                            <a:rect l="0" t="0" r="0" b="0"/>
                            <a:pathLst>
                              <a:path w="51118" h="51117">
                                <a:moveTo>
                                  <a:pt x="48235" y="0"/>
                                </a:moveTo>
                                <a:lnTo>
                                  <a:pt x="51118" y="0"/>
                                </a:lnTo>
                                <a:lnTo>
                                  <a:pt x="50394" y="8636"/>
                                </a:lnTo>
                                <a:cubicBezTo>
                                  <a:pt x="47968" y="27940"/>
                                  <a:pt x="29147" y="47498"/>
                                  <a:pt x="9360" y="49682"/>
                                </a:cubicBezTo>
                                <a:lnTo>
                                  <a:pt x="0" y="51117"/>
                                </a:lnTo>
                                <a:lnTo>
                                  <a:pt x="0" y="47523"/>
                                </a:lnTo>
                                <a:lnTo>
                                  <a:pt x="8637" y="46799"/>
                                </a:lnTo>
                                <a:cubicBezTo>
                                  <a:pt x="28626" y="43116"/>
                                  <a:pt x="43536" y="28537"/>
                                  <a:pt x="47523" y="8636"/>
                                </a:cubicBezTo>
                                <a:lnTo>
                                  <a:pt x="48235" y="0"/>
                                </a:lnTo>
                                <a:close/>
                              </a:path>
                            </a:pathLst>
                          </a:custGeom>
                          <a:ln w="0" cap="rnd">
                            <a:round/>
                          </a:ln>
                        </wps:spPr>
                        <wps:style>
                          <a:lnRef idx="1">
                            <a:srgbClr val="131313"/>
                          </a:lnRef>
                          <a:fillRef idx="1">
                            <a:srgbClr val="131313"/>
                          </a:fillRef>
                          <a:effectRef idx="0">
                            <a:scrgbClr r="0" g="0" b="0"/>
                          </a:effectRef>
                          <a:fontRef idx="none"/>
                        </wps:style>
                        <wps:bodyPr/>
                      </wps:wsp>
                      <wps:wsp>
                        <wps:cNvPr id="82997" name="Shape 82997"/>
                        <wps:cNvSpPr/>
                        <wps:spPr>
                          <a:xfrm>
                            <a:off x="51118" y="2736012"/>
                            <a:ext cx="6017755" cy="9144"/>
                          </a:xfrm>
                          <a:custGeom>
                            <a:avLst/>
                            <a:gdLst/>
                            <a:ahLst/>
                            <a:cxnLst/>
                            <a:rect l="0" t="0" r="0" b="0"/>
                            <a:pathLst>
                              <a:path w="6017755" h="9144">
                                <a:moveTo>
                                  <a:pt x="0" y="0"/>
                                </a:moveTo>
                                <a:lnTo>
                                  <a:pt x="6017755" y="0"/>
                                </a:lnTo>
                                <a:lnTo>
                                  <a:pt x="6017755" y="9144"/>
                                </a:lnTo>
                                <a:lnTo>
                                  <a:pt x="0" y="9144"/>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4557" name="Shape 4557"/>
                        <wps:cNvSpPr/>
                        <wps:spPr>
                          <a:xfrm>
                            <a:off x="0" y="2688489"/>
                            <a:ext cx="51118" cy="51117"/>
                          </a:xfrm>
                          <a:custGeom>
                            <a:avLst/>
                            <a:gdLst/>
                            <a:ahLst/>
                            <a:cxnLst/>
                            <a:rect l="0" t="0" r="0" b="0"/>
                            <a:pathLst>
                              <a:path w="51118" h="51117">
                                <a:moveTo>
                                  <a:pt x="0" y="0"/>
                                </a:moveTo>
                                <a:lnTo>
                                  <a:pt x="2883" y="0"/>
                                </a:lnTo>
                                <a:lnTo>
                                  <a:pt x="3594" y="8636"/>
                                </a:lnTo>
                                <a:cubicBezTo>
                                  <a:pt x="7582" y="28537"/>
                                  <a:pt x="22492" y="43116"/>
                                  <a:pt x="42482" y="46799"/>
                                </a:cubicBezTo>
                                <a:lnTo>
                                  <a:pt x="51118" y="47523"/>
                                </a:lnTo>
                                <a:lnTo>
                                  <a:pt x="51118" y="51117"/>
                                </a:lnTo>
                                <a:lnTo>
                                  <a:pt x="41758" y="50393"/>
                                </a:lnTo>
                                <a:cubicBezTo>
                                  <a:pt x="21565" y="46038"/>
                                  <a:pt x="3810" y="29451"/>
                                  <a:pt x="711" y="8636"/>
                                </a:cubicBezTo>
                                <a:lnTo>
                                  <a:pt x="0" y="0"/>
                                </a:lnTo>
                                <a:close/>
                              </a:path>
                            </a:pathLst>
                          </a:custGeom>
                          <a:ln w="0" cap="rnd">
                            <a:round/>
                          </a:ln>
                        </wps:spPr>
                        <wps:style>
                          <a:lnRef idx="1">
                            <a:srgbClr val="131313"/>
                          </a:lnRef>
                          <a:fillRef idx="1">
                            <a:srgbClr val="131313"/>
                          </a:fillRef>
                          <a:effectRef idx="0">
                            <a:scrgbClr r="0" g="0" b="0"/>
                          </a:effectRef>
                          <a:fontRef idx="none"/>
                        </wps:style>
                        <wps:bodyPr/>
                      </wps:wsp>
                      <wps:wsp>
                        <wps:cNvPr id="82998" name="Shape 82998"/>
                        <wps:cNvSpPr/>
                        <wps:spPr>
                          <a:xfrm>
                            <a:off x="0" y="50394"/>
                            <a:ext cx="9144" cy="2638082"/>
                          </a:xfrm>
                          <a:custGeom>
                            <a:avLst/>
                            <a:gdLst/>
                            <a:ahLst/>
                            <a:cxnLst/>
                            <a:rect l="0" t="0" r="0" b="0"/>
                            <a:pathLst>
                              <a:path w="9144" h="2638082">
                                <a:moveTo>
                                  <a:pt x="0" y="0"/>
                                </a:moveTo>
                                <a:lnTo>
                                  <a:pt x="9144" y="0"/>
                                </a:lnTo>
                                <a:lnTo>
                                  <a:pt x="9144" y="2638082"/>
                                </a:lnTo>
                                <a:lnTo>
                                  <a:pt x="0" y="2638082"/>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4559" name="Shape 4559"/>
                        <wps:cNvSpPr/>
                        <wps:spPr>
                          <a:xfrm>
                            <a:off x="0" y="13"/>
                            <a:ext cx="51118" cy="50394"/>
                          </a:xfrm>
                          <a:custGeom>
                            <a:avLst/>
                            <a:gdLst/>
                            <a:ahLst/>
                            <a:cxnLst/>
                            <a:rect l="0" t="0" r="0" b="0"/>
                            <a:pathLst>
                              <a:path w="51118" h="50394">
                                <a:moveTo>
                                  <a:pt x="51118" y="0"/>
                                </a:moveTo>
                                <a:lnTo>
                                  <a:pt x="51118" y="2870"/>
                                </a:lnTo>
                                <a:lnTo>
                                  <a:pt x="42482" y="3594"/>
                                </a:lnTo>
                                <a:cubicBezTo>
                                  <a:pt x="23254" y="6439"/>
                                  <a:pt x="6337" y="23686"/>
                                  <a:pt x="3594" y="42469"/>
                                </a:cubicBezTo>
                                <a:lnTo>
                                  <a:pt x="2883" y="50394"/>
                                </a:lnTo>
                                <a:lnTo>
                                  <a:pt x="0" y="50394"/>
                                </a:lnTo>
                                <a:lnTo>
                                  <a:pt x="724" y="41758"/>
                                </a:lnTo>
                                <a:cubicBezTo>
                                  <a:pt x="3150" y="22454"/>
                                  <a:pt x="21971" y="2908"/>
                                  <a:pt x="41758" y="711"/>
                                </a:cubicBezTo>
                                <a:lnTo>
                                  <a:pt x="51118" y="0"/>
                                </a:lnTo>
                                <a:close/>
                              </a:path>
                            </a:pathLst>
                          </a:custGeom>
                          <a:ln w="0" cap="rnd">
                            <a:round/>
                          </a:ln>
                        </wps:spPr>
                        <wps:style>
                          <a:lnRef idx="1">
                            <a:srgbClr val="131313"/>
                          </a:lnRef>
                          <a:fillRef idx="1">
                            <a:srgbClr val="131313"/>
                          </a:fillRef>
                          <a:effectRef idx="0">
                            <a:scrgbClr r="0" g="0" b="0"/>
                          </a:effectRef>
                          <a:fontRef idx="none"/>
                        </wps:style>
                        <wps:bodyPr/>
                      </wps:wsp>
                      <pic:pic xmlns:pic="http://schemas.openxmlformats.org/drawingml/2006/picture">
                        <pic:nvPicPr>
                          <pic:cNvPr id="4561" name="Picture 4561"/>
                          <pic:cNvPicPr/>
                        </pic:nvPicPr>
                        <pic:blipFill>
                          <a:blip r:embed="rId393"/>
                          <a:stretch>
                            <a:fillRect/>
                          </a:stretch>
                        </pic:blipFill>
                        <pic:spPr>
                          <a:xfrm>
                            <a:off x="896404" y="79210"/>
                            <a:ext cx="4327601" cy="2427834"/>
                          </a:xfrm>
                          <a:prstGeom prst="rect">
                            <a:avLst/>
                          </a:prstGeom>
                        </pic:spPr>
                      </pic:pic>
                      <wps:wsp>
                        <wps:cNvPr id="4562" name="Rectangle 4562"/>
                        <wps:cNvSpPr/>
                        <wps:spPr>
                          <a:xfrm>
                            <a:off x="76318" y="2587443"/>
                            <a:ext cx="334032" cy="124316"/>
                          </a:xfrm>
                          <a:prstGeom prst="rect">
                            <a:avLst/>
                          </a:prstGeom>
                          <a:ln>
                            <a:noFill/>
                          </a:ln>
                        </wps:spPr>
                        <wps:txbx>
                          <w:txbxContent>
                            <w:p w14:paraId="59A86DED" w14:textId="77777777" w:rsidR="00AC2BE6" w:rsidRDefault="00AC2BE6" w:rsidP="00DE4C21">
                              <w:pPr>
                                <w:spacing w:after="160" w:line="259" w:lineRule="auto"/>
                              </w:pPr>
                              <w:r>
                                <w:rPr>
                                  <w:rFonts w:ascii="Calibri" w:eastAsia="Calibri" w:hAnsi="Calibri" w:cs="Calibri"/>
                                  <w:w w:val="114"/>
                                  <w:sz w:val="16"/>
                                </w:rPr>
                                <w:t>Fig.</w:t>
                              </w:r>
                              <w:r>
                                <w:rPr>
                                  <w:rFonts w:ascii="Calibri" w:eastAsia="Calibri" w:hAnsi="Calibri" w:cs="Calibri"/>
                                  <w:spacing w:val="11"/>
                                  <w:w w:val="114"/>
                                  <w:sz w:val="16"/>
                                </w:rPr>
                                <w:t xml:space="preserve"> </w:t>
                              </w:r>
                              <w:r>
                                <w:rPr>
                                  <w:rFonts w:ascii="Calibri" w:eastAsia="Calibri" w:hAnsi="Calibri" w:cs="Calibri"/>
                                  <w:w w:val="114"/>
                                  <w:sz w:val="16"/>
                                </w:rPr>
                                <w:t>2</w:t>
                              </w:r>
                            </w:p>
                          </w:txbxContent>
                        </wps:txbx>
                        <wps:bodyPr horzOverflow="overflow" vert="horz" lIns="0" tIns="0" rIns="0" bIns="0" rtlCol="0">
                          <a:noAutofit/>
                        </wps:bodyPr>
                      </wps:wsp>
                      <wps:wsp>
                        <wps:cNvPr id="4563" name="Rectangle 4563"/>
                        <wps:cNvSpPr/>
                        <wps:spPr>
                          <a:xfrm>
                            <a:off x="357848" y="2587443"/>
                            <a:ext cx="4437278" cy="124316"/>
                          </a:xfrm>
                          <a:prstGeom prst="rect">
                            <a:avLst/>
                          </a:prstGeom>
                          <a:ln>
                            <a:noFill/>
                          </a:ln>
                        </wps:spPr>
                        <wps:txbx>
                          <w:txbxContent>
                            <w:p w14:paraId="2D8DFB0F" w14:textId="77777777" w:rsidR="00AC2BE6" w:rsidRDefault="00AC2BE6" w:rsidP="00DE4C21">
                              <w:pPr>
                                <w:spacing w:after="160" w:line="259" w:lineRule="auto"/>
                              </w:pPr>
                              <w:r>
                                <w:rPr>
                                  <w:rFonts w:ascii="Calibri" w:eastAsia="Calibri" w:hAnsi="Calibri" w:cs="Calibri"/>
                                  <w:w w:val="97"/>
                                  <w:sz w:val="16"/>
                                </w:rPr>
                                <w:t>Prevalence</w:t>
                              </w:r>
                              <w:r>
                                <w:rPr>
                                  <w:rFonts w:ascii="Calibri" w:eastAsia="Calibri" w:hAnsi="Calibri" w:cs="Calibri"/>
                                  <w:spacing w:val="12"/>
                                  <w:w w:val="97"/>
                                  <w:sz w:val="16"/>
                                </w:rPr>
                                <w:t xml:space="preserve"> </w:t>
                              </w:r>
                              <w:r>
                                <w:rPr>
                                  <w:rFonts w:ascii="Calibri" w:eastAsia="Calibri" w:hAnsi="Calibri" w:cs="Calibri"/>
                                  <w:w w:val="97"/>
                                  <w:sz w:val="16"/>
                                </w:rPr>
                                <w:t>of</w:t>
                              </w:r>
                              <w:r>
                                <w:rPr>
                                  <w:rFonts w:ascii="Calibri" w:eastAsia="Calibri" w:hAnsi="Calibri" w:cs="Calibri"/>
                                  <w:spacing w:val="12"/>
                                  <w:w w:val="97"/>
                                  <w:sz w:val="16"/>
                                </w:rPr>
                                <w:t xml:space="preserve"> </w:t>
                              </w:r>
                              <w:r>
                                <w:rPr>
                                  <w:rFonts w:ascii="Calibri" w:eastAsia="Calibri" w:hAnsi="Calibri" w:cs="Calibri"/>
                                  <w:w w:val="97"/>
                                  <w:sz w:val="16"/>
                                </w:rPr>
                                <w:t>hypertension</w:t>
                              </w:r>
                              <w:r>
                                <w:rPr>
                                  <w:rFonts w:ascii="Calibri" w:eastAsia="Calibri" w:hAnsi="Calibri" w:cs="Calibri"/>
                                  <w:spacing w:val="12"/>
                                  <w:w w:val="97"/>
                                  <w:sz w:val="16"/>
                                </w:rPr>
                                <w:t xml:space="preserve"> </w:t>
                              </w:r>
                              <w:r>
                                <w:rPr>
                                  <w:rFonts w:ascii="Calibri" w:eastAsia="Calibri" w:hAnsi="Calibri" w:cs="Calibri"/>
                                  <w:w w:val="97"/>
                                  <w:sz w:val="16"/>
                                </w:rPr>
                                <w:t>by</w:t>
                              </w:r>
                              <w:r>
                                <w:rPr>
                                  <w:rFonts w:ascii="Calibri" w:eastAsia="Calibri" w:hAnsi="Calibri" w:cs="Calibri"/>
                                  <w:spacing w:val="12"/>
                                  <w:w w:val="97"/>
                                  <w:sz w:val="16"/>
                                </w:rPr>
                                <w:t xml:space="preserve"> </w:t>
                              </w:r>
                              <w:r>
                                <w:rPr>
                                  <w:rFonts w:ascii="Calibri" w:eastAsia="Calibri" w:hAnsi="Calibri" w:cs="Calibri"/>
                                  <w:w w:val="97"/>
                                  <w:sz w:val="16"/>
                                </w:rPr>
                                <w:t>wealth</w:t>
                              </w:r>
                              <w:r>
                                <w:rPr>
                                  <w:rFonts w:ascii="Calibri" w:eastAsia="Calibri" w:hAnsi="Calibri" w:cs="Calibri"/>
                                  <w:spacing w:val="10"/>
                                  <w:w w:val="97"/>
                                  <w:sz w:val="16"/>
                                </w:rPr>
                                <w:t xml:space="preserve"> </w:t>
                              </w:r>
                              <w:r>
                                <w:rPr>
                                  <w:rFonts w:ascii="Calibri" w:eastAsia="Calibri" w:hAnsi="Calibri" w:cs="Calibri"/>
                                  <w:w w:val="97"/>
                                  <w:sz w:val="16"/>
                                </w:rPr>
                                <w:t>quintile.</w:t>
                              </w:r>
                              <w:r>
                                <w:rPr>
                                  <w:rFonts w:ascii="Calibri" w:eastAsia="Calibri" w:hAnsi="Calibri" w:cs="Calibri"/>
                                  <w:spacing w:val="11"/>
                                  <w:w w:val="97"/>
                                  <w:sz w:val="16"/>
                                </w:rPr>
                                <w:t xml:space="preserve"> </w:t>
                              </w:r>
                              <w:r>
                                <w:rPr>
                                  <w:rFonts w:ascii="Calibri" w:eastAsia="Calibri" w:hAnsi="Calibri" w:cs="Calibri"/>
                                  <w:w w:val="97"/>
                                  <w:sz w:val="16"/>
                                </w:rPr>
                                <w:t>Source:</w:t>
                              </w:r>
                              <w:r>
                                <w:rPr>
                                  <w:rFonts w:ascii="Calibri" w:eastAsia="Calibri" w:hAnsi="Calibri" w:cs="Calibri"/>
                                  <w:spacing w:val="11"/>
                                  <w:w w:val="97"/>
                                  <w:sz w:val="16"/>
                                </w:rPr>
                                <w:t xml:space="preserve"> </w:t>
                              </w:r>
                              <w:r>
                                <w:rPr>
                                  <w:rFonts w:ascii="Calibri" w:eastAsia="Calibri" w:hAnsi="Calibri" w:cs="Calibri"/>
                                  <w:w w:val="97"/>
                                  <w:sz w:val="16"/>
                                </w:rPr>
                                <w:t>Lloyd-Sherlock</w:t>
                              </w:r>
                              <w:r>
                                <w:rPr>
                                  <w:rFonts w:ascii="Calibri" w:eastAsia="Calibri" w:hAnsi="Calibri" w:cs="Calibri"/>
                                  <w:spacing w:val="12"/>
                                  <w:w w:val="97"/>
                                  <w:sz w:val="16"/>
                                </w:rPr>
                                <w:t xml:space="preserve"> </w:t>
                              </w:r>
                              <w:r>
                                <w:rPr>
                                  <w:rFonts w:ascii="Calibri" w:eastAsia="Calibri" w:hAnsi="Calibri" w:cs="Calibri"/>
                                  <w:w w:val="97"/>
                                  <w:sz w:val="16"/>
                                </w:rPr>
                                <w:t>et</w:t>
                              </w:r>
                              <w:r>
                                <w:rPr>
                                  <w:rFonts w:ascii="Calibri" w:eastAsia="Calibri" w:hAnsi="Calibri" w:cs="Calibri"/>
                                  <w:spacing w:val="11"/>
                                  <w:w w:val="97"/>
                                  <w:sz w:val="16"/>
                                </w:rPr>
                                <w:t xml:space="preserve"> </w:t>
                              </w:r>
                              <w:r>
                                <w:rPr>
                                  <w:rFonts w:ascii="Calibri" w:eastAsia="Calibri" w:hAnsi="Calibri" w:cs="Calibri"/>
                                  <w:w w:val="97"/>
                                  <w:sz w:val="16"/>
                                </w:rPr>
                                <w:t>al.</w:t>
                              </w:r>
                              <w:r>
                                <w:rPr>
                                  <w:rFonts w:ascii="Calibri" w:eastAsia="Calibri" w:hAnsi="Calibri" w:cs="Calibri"/>
                                  <w:spacing w:val="12"/>
                                  <w:w w:val="97"/>
                                  <w:sz w:val="16"/>
                                </w:rPr>
                                <w:t xml:space="preserve"> </w:t>
                              </w:r>
                              <w:r>
                                <w:rPr>
                                  <w:rFonts w:ascii="Calibri" w:eastAsia="Calibri" w:hAnsi="Calibri" w:cs="Calibri"/>
                                  <w:w w:val="97"/>
                                  <w:sz w:val="16"/>
                                </w:rPr>
                                <w:t>2017</w:t>
                              </w:r>
                              <w:r>
                                <w:rPr>
                                  <w:rFonts w:ascii="Calibri" w:eastAsia="Calibri" w:hAnsi="Calibri" w:cs="Calibri"/>
                                  <w:spacing w:val="11"/>
                                  <w:w w:val="97"/>
                                  <w:sz w:val="16"/>
                                </w:rPr>
                                <w:t xml:space="preserve"> </w:t>
                              </w:r>
                              <w:r>
                                <w:rPr>
                                  <w:rFonts w:ascii="Calibri" w:eastAsia="Calibri" w:hAnsi="Calibri" w:cs="Calibri"/>
                                  <w:w w:val="97"/>
                                  <w:sz w:val="16"/>
                                </w:rPr>
                                <w:t>[</w:t>
                              </w:r>
                            </w:p>
                          </w:txbxContent>
                        </wps:txbx>
                        <wps:bodyPr horzOverflow="overflow" vert="horz" lIns="0" tIns="0" rIns="0" bIns="0" rtlCol="0">
                          <a:noAutofit/>
                        </wps:bodyPr>
                      </wps:wsp>
                      <wps:wsp>
                        <wps:cNvPr id="4564" name="Rectangle 4564"/>
                        <wps:cNvSpPr/>
                        <wps:spPr>
                          <a:xfrm>
                            <a:off x="3694351" y="2587443"/>
                            <a:ext cx="129451" cy="124316"/>
                          </a:xfrm>
                          <a:prstGeom prst="rect">
                            <a:avLst/>
                          </a:prstGeom>
                          <a:ln>
                            <a:noFill/>
                          </a:ln>
                        </wps:spPr>
                        <wps:txbx>
                          <w:txbxContent>
                            <w:p w14:paraId="3AE53FBF" w14:textId="77777777" w:rsidR="00AC2BE6" w:rsidRDefault="00AC2BE6" w:rsidP="00DE4C21">
                              <w:pPr>
                                <w:spacing w:after="160" w:line="259" w:lineRule="auto"/>
                              </w:pPr>
                              <w:r>
                                <w:rPr>
                                  <w:rFonts w:ascii="Calibri" w:eastAsia="Calibri" w:hAnsi="Calibri" w:cs="Calibri"/>
                                  <w:color w:val="0000FF"/>
                                  <w:w w:val="94"/>
                                  <w:sz w:val="16"/>
                                </w:rPr>
                                <w:t>19</w:t>
                              </w:r>
                            </w:p>
                          </w:txbxContent>
                        </wps:txbx>
                        <wps:bodyPr horzOverflow="overflow" vert="horz" lIns="0" tIns="0" rIns="0" bIns="0" rtlCol="0">
                          <a:noAutofit/>
                        </wps:bodyPr>
                      </wps:wsp>
                      <wps:wsp>
                        <wps:cNvPr id="4565" name="Rectangle 4565"/>
                        <wps:cNvSpPr/>
                        <wps:spPr>
                          <a:xfrm>
                            <a:off x="3791580" y="2587443"/>
                            <a:ext cx="35133" cy="124316"/>
                          </a:xfrm>
                          <a:prstGeom prst="rect">
                            <a:avLst/>
                          </a:prstGeom>
                          <a:ln>
                            <a:noFill/>
                          </a:ln>
                        </wps:spPr>
                        <wps:txbx>
                          <w:txbxContent>
                            <w:p w14:paraId="07CB5F4D" w14:textId="77777777" w:rsidR="00AC2BE6" w:rsidRDefault="00AC2BE6" w:rsidP="00DE4C21">
                              <w:pPr>
                                <w:spacing w:after="160" w:line="259" w:lineRule="auto"/>
                              </w:pPr>
                              <w:r>
                                <w:rPr>
                                  <w:rFonts w:ascii="Calibri" w:eastAsia="Calibri" w:hAnsi="Calibri" w:cs="Calibri"/>
                                  <w:w w:val="87"/>
                                  <w:sz w:val="16"/>
                                </w:rPr>
                                <w:t>]</w:t>
                              </w:r>
                            </w:p>
                          </w:txbxContent>
                        </wps:txbx>
                        <wps:bodyPr horzOverflow="overflow" vert="horz" lIns="0" tIns="0" rIns="0" bIns="0" rtlCol="0">
                          <a:noAutofit/>
                        </wps:bodyPr>
                      </wps:wsp>
                    </wpg:wgp>
                  </a:graphicData>
                </a:graphic>
              </wp:inline>
            </w:drawing>
          </mc:Choice>
          <mc:Fallback>
            <w:pict>
              <v:group w14:anchorId="3223BDEE" id="Group 63013" o:spid="_x0000_s1086" style="width:453.6pt;height:215.7pt;mso-position-horizontal-relative:char;mso-position-vertical-relative:line" coordsize="61200,273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&#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">
                <v:shape id="Shape 82995" o:spid="_x0000_s1087" style="position:absolute;left:511;width:60177;height:91;visibility:visible;mso-wrap-style:square;v-text-anchor:top" coordsize="6017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" path="m,l6017756,r,9144l,9144,,e" fillcolor="#131313" strokecolor="#131313" strokeweight="0">
                  <v:stroke endcap="round"/>
                  <v:path arrowok="t" textboxrect="0,0,6017756,9144"/>
                </v:shape>
                <v:shape id="Shape 4553" o:spid="_x0000_s1088" style="position:absolute;left:60688;width:511;height:503;visibility:visible;mso-wrap-style:square;v-text-anchor:top" coordsize="51118,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" path="m,l9360,724c29146,2908,47968,22466,50406,41758r712,8636l48234,50394r-711,-7912c44793,23698,27863,6452,8636,3594l,2883,,xe" fillcolor="#131313" strokecolor="#131313" strokeweight="0">
                  <v:stroke endcap="round"/>
                  <v:path arrowok="t" textboxrect="0,0,51118,50394"/>
                </v:shape>
                <v:shape id="Shape 82996" o:spid="_x0000_s1089" style="position:absolute;left:61171;top:504;width:91;height:26380;visibility:visible;mso-wrap-style:square;v-text-anchor:top" coordsize="9144,263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" path="m,l9144,r,2638083l,2638083,,e" fillcolor="#131313" strokecolor="#131313" strokeweight="0">
                  <v:stroke endcap="round"/>
                  <v:path arrowok="t" textboxrect="0,0,9144,2638083"/>
                </v:shape>
                <v:shape id="Shape 4555" o:spid="_x0000_s1090" style="position:absolute;left:60688;top:26884;width:512;height:511;visibility:visible;mso-wrap-style:square;v-text-anchor:top" coordsize="51118,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" path="m48235,r2883,l50394,8636c47968,27940,29147,47498,9360,49682l,51117,,47523r8637,-724c28626,43116,43536,28537,47523,8636l48235,xe" fillcolor="#131313" strokecolor="#131313" strokeweight="0">
                  <v:stroke endcap="round"/>
                  <v:path arrowok="t" textboxrect="0,0,51118,51117"/>
                </v:shape>
                <v:shape id="Shape 82997" o:spid="_x0000_s1091" style="position:absolute;left:511;top:27360;width:60177;height:91;visibility:visible;mso-wrap-style:square;v-text-anchor:top" coordsize="601775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" path="m,l6017755,r,9144l,9144,,e" fillcolor="#131313" strokecolor="#131313" strokeweight="0">
                  <v:stroke endcap="round"/>
                  <v:path arrowok="t" textboxrect="0,0,6017755,9144"/>
                </v:shape>
                <v:shape id="Shape 4557" o:spid="_x0000_s1092" style="position:absolute;top:26884;width:511;height:512;visibility:visible;mso-wrap-style:square;v-text-anchor:top" coordsize="51118,5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" path="m,l2883,r711,8636c7582,28537,22492,43116,42482,46799r8636,724l51118,51117r-9360,-724c21565,46038,3810,29451,711,8636l,xe" fillcolor="#131313" strokecolor="#131313" strokeweight="0">
                  <v:stroke endcap="round"/>
                  <v:path arrowok="t" textboxrect="0,0,51118,51117"/>
                </v:shape>
                <v:shape id="Shape 82998" o:spid="_x0000_s1093" style="position:absolute;top:503;width:91;height:26381;visibility:visible;mso-wrap-style:square;v-text-anchor:top" coordsize="9144,2638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" path="m,l9144,r,2638082l,2638082,,e" fillcolor="#131313" strokecolor="#131313" strokeweight="0">
                  <v:stroke endcap="round"/>
                  <v:path arrowok="t" textboxrect="0,0,9144,2638082"/>
                </v:shape>
                <v:shape id="Shape 4559" o:spid="_x0000_s1094" style="position:absolute;width:511;height:504;visibility:visible;mso-wrap-style:square;v-text-anchor:top" coordsize="51118,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" path="m51118,r,2870l42482,3594c23254,6439,6337,23686,3594,42469r-711,7925l,50394,724,41758c3150,22454,21971,2908,41758,711l51118,xe" fillcolor="#131313" strokecolor="#131313" strokeweight="0">
                  <v:stroke endcap="round"/>
                  <v:path arrowok="t" textboxrect="0,0,51118,50394"/>
                </v:shape>
                <v:shape id="Picture 4561" o:spid="_x0000_s1095" type="#_x0000_t75" style="position:absolute;left:8964;top:792;width:43276;height:24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">
                  <v:imagedata r:id="rId394" o:title=""/>
                </v:shape>
                <v:rect id="Rectangle 4562" o:spid="_x0000_s1096" style="position:absolute;left:763;top:25874;width:3340;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" filled="f" stroked="f">
                  <v:textbox inset="0,0,0,0">
                    <w:txbxContent>
                      <w:p w14:paraId="59A86DED" w14:textId="77777777" w:rsidR="00AC2BE6" w:rsidRDefault="00AC2BE6" w:rsidP="00DE4C21">
                        <w:pPr>
                          <w:spacing w:after="160" w:line="259" w:lineRule="auto"/>
                        </w:pPr>
                        <w:r>
                          <w:rPr>
                            <w:rFonts w:ascii="Calibri" w:eastAsia="Calibri" w:hAnsi="Calibri" w:cs="Calibri"/>
                            <w:w w:val="114"/>
                            <w:sz w:val="16"/>
                          </w:rPr>
                          <w:t>Fig.</w:t>
                        </w:r>
                        <w:r>
                          <w:rPr>
                            <w:rFonts w:ascii="Calibri" w:eastAsia="Calibri" w:hAnsi="Calibri" w:cs="Calibri"/>
                            <w:spacing w:val="11"/>
                            <w:w w:val="114"/>
                            <w:sz w:val="16"/>
                          </w:rPr>
                          <w:t xml:space="preserve"> </w:t>
                        </w:r>
                        <w:r>
                          <w:rPr>
                            <w:rFonts w:ascii="Calibri" w:eastAsia="Calibri" w:hAnsi="Calibri" w:cs="Calibri"/>
                            <w:w w:val="114"/>
                            <w:sz w:val="16"/>
                          </w:rPr>
                          <w:t>2</w:t>
                        </w:r>
                      </w:p>
                    </w:txbxContent>
                  </v:textbox>
                </v:rect>
                <v:rect id="Rectangle 4563" o:spid="_x0000_s1097" style="position:absolute;left:3578;top:25874;width:44373;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" filled="f" stroked="f">
                  <v:textbox inset="0,0,0,0">
                    <w:txbxContent>
                      <w:p w14:paraId="2D8DFB0F" w14:textId="77777777" w:rsidR="00AC2BE6" w:rsidRDefault="00AC2BE6" w:rsidP="00DE4C21">
                        <w:pPr>
                          <w:spacing w:after="160" w:line="259" w:lineRule="auto"/>
                        </w:pPr>
                        <w:r>
                          <w:rPr>
                            <w:rFonts w:ascii="Calibri" w:eastAsia="Calibri" w:hAnsi="Calibri" w:cs="Calibri"/>
                            <w:w w:val="97"/>
                            <w:sz w:val="16"/>
                          </w:rPr>
                          <w:t>Prevalence</w:t>
                        </w:r>
                        <w:r>
                          <w:rPr>
                            <w:rFonts w:ascii="Calibri" w:eastAsia="Calibri" w:hAnsi="Calibri" w:cs="Calibri"/>
                            <w:spacing w:val="12"/>
                            <w:w w:val="97"/>
                            <w:sz w:val="16"/>
                          </w:rPr>
                          <w:t xml:space="preserve"> </w:t>
                        </w:r>
                        <w:r>
                          <w:rPr>
                            <w:rFonts w:ascii="Calibri" w:eastAsia="Calibri" w:hAnsi="Calibri" w:cs="Calibri"/>
                            <w:w w:val="97"/>
                            <w:sz w:val="16"/>
                          </w:rPr>
                          <w:t>of</w:t>
                        </w:r>
                        <w:r>
                          <w:rPr>
                            <w:rFonts w:ascii="Calibri" w:eastAsia="Calibri" w:hAnsi="Calibri" w:cs="Calibri"/>
                            <w:spacing w:val="12"/>
                            <w:w w:val="97"/>
                            <w:sz w:val="16"/>
                          </w:rPr>
                          <w:t xml:space="preserve"> </w:t>
                        </w:r>
                        <w:r>
                          <w:rPr>
                            <w:rFonts w:ascii="Calibri" w:eastAsia="Calibri" w:hAnsi="Calibri" w:cs="Calibri"/>
                            <w:w w:val="97"/>
                            <w:sz w:val="16"/>
                          </w:rPr>
                          <w:t>hypertension</w:t>
                        </w:r>
                        <w:r>
                          <w:rPr>
                            <w:rFonts w:ascii="Calibri" w:eastAsia="Calibri" w:hAnsi="Calibri" w:cs="Calibri"/>
                            <w:spacing w:val="12"/>
                            <w:w w:val="97"/>
                            <w:sz w:val="16"/>
                          </w:rPr>
                          <w:t xml:space="preserve"> </w:t>
                        </w:r>
                        <w:r>
                          <w:rPr>
                            <w:rFonts w:ascii="Calibri" w:eastAsia="Calibri" w:hAnsi="Calibri" w:cs="Calibri"/>
                            <w:w w:val="97"/>
                            <w:sz w:val="16"/>
                          </w:rPr>
                          <w:t>by</w:t>
                        </w:r>
                        <w:r>
                          <w:rPr>
                            <w:rFonts w:ascii="Calibri" w:eastAsia="Calibri" w:hAnsi="Calibri" w:cs="Calibri"/>
                            <w:spacing w:val="12"/>
                            <w:w w:val="97"/>
                            <w:sz w:val="16"/>
                          </w:rPr>
                          <w:t xml:space="preserve"> </w:t>
                        </w:r>
                        <w:r>
                          <w:rPr>
                            <w:rFonts w:ascii="Calibri" w:eastAsia="Calibri" w:hAnsi="Calibri" w:cs="Calibri"/>
                            <w:w w:val="97"/>
                            <w:sz w:val="16"/>
                          </w:rPr>
                          <w:t>wealth</w:t>
                        </w:r>
                        <w:r>
                          <w:rPr>
                            <w:rFonts w:ascii="Calibri" w:eastAsia="Calibri" w:hAnsi="Calibri" w:cs="Calibri"/>
                            <w:spacing w:val="10"/>
                            <w:w w:val="97"/>
                            <w:sz w:val="16"/>
                          </w:rPr>
                          <w:t xml:space="preserve"> </w:t>
                        </w:r>
                        <w:r>
                          <w:rPr>
                            <w:rFonts w:ascii="Calibri" w:eastAsia="Calibri" w:hAnsi="Calibri" w:cs="Calibri"/>
                            <w:w w:val="97"/>
                            <w:sz w:val="16"/>
                          </w:rPr>
                          <w:t>quintile.</w:t>
                        </w:r>
                        <w:r>
                          <w:rPr>
                            <w:rFonts w:ascii="Calibri" w:eastAsia="Calibri" w:hAnsi="Calibri" w:cs="Calibri"/>
                            <w:spacing w:val="11"/>
                            <w:w w:val="97"/>
                            <w:sz w:val="16"/>
                          </w:rPr>
                          <w:t xml:space="preserve"> </w:t>
                        </w:r>
                        <w:r>
                          <w:rPr>
                            <w:rFonts w:ascii="Calibri" w:eastAsia="Calibri" w:hAnsi="Calibri" w:cs="Calibri"/>
                            <w:w w:val="97"/>
                            <w:sz w:val="16"/>
                          </w:rPr>
                          <w:t>Source:</w:t>
                        </w:r>
                        <w:r>
                          <w:rPr>
                            <w:rFonts w:ascii="Calibri" w:eastAsia="Calibri" w:hAnsi="Calibri" w:cs="Calibri"/>
                            <w:spacing w:val="11"/>
                            <w:w w:val="97"/>
                            <w:sz w:val="16"/>
                          </w:rPr>
                          <w:t xml:space="preserve"> </w:t>
                        </w:r>
                        <w:r>
                          <w:rPr>
                            <w:rFonts w:ascii="Calibri" w:eastAsia="Calibri" w:hAnsi="Calibri" w:cs="Calibri"/>
                            <w:w w:val="97"/>
                            <w:sz w:val="16"/>
                          </w:rPr>
                          <w:t>Lloyd-Sherlock</w:t>
                        </w:r>
                        <w:r>
                          <w:rPr>
                            <w:rFonts w:ascii="Calibri" w:eastAsia="Calibri" w:hAnsi="Calibri" w:cs="Calibri"/>
                            <w:spacing w:val="12"/>
                            <w:w w:val="97"/>
                            <w:sz w:val="16"/>
                          </w:rPr>
                          <w:t xml:space="preserve"> </w:t>
                        </w:r>
                        <w:r>
                          <w:rPr>
                            <w:rFonts w:ascii="Calibri" w:eastAsia="Calibri" w:hAnsi="Calibri" w:cs="Calibri"/>
                            <w:w w:val="97"/>
                            <w:sz w:val="16"/>
                          </w:rPr>
                          <w:t>et</w:t>
                        </w:r>
                        <w:r>
                          <w:rPr>
                            <w:rFonts w:ascii="Calibri" w:eastAsia="Calibri" w:hAnsi="Calibri" w:cs="Calibri"/>
                            <w:spacing w:val="11"/>
                            <w:w w:val="97"/>
                            <w:sz w:val="16"/>
                          </w:rPr>
                          <w:t xml:space="preserve"> </w:t>
                        </w:r>
                        <w:r>
                          <w:rPr>
                            <w:rFonts w:ascii="Calibri" w:eastAsia="Calibri" w:hAnsi="Calibri" w:cs="Calibri"/>
                            <w:w w:val="97"/>
                            <w:sz w:val="16"/>
                          </w:rPr>
                          <w:t>al.</w:t>
                        </w:r>
                        <w:r>
                          <w:rPr>
                            <w:rFonts w:ascii="Calibri" w:eastAsia="Calibri" w:hAnsi="Calibri" w:cs="Calibri"/>
                            <w:spacing w:val="12"/>
                            <w:w w:val="97"/>
                            <w:sz w:val="16"/>
                          </w:rPr>
                          <w:t xml:space="preserve"> </w:t>
                        </w:r>
                        <w:r>
                          <w:rPr>
                            <w:rFonts w:ascii="Calibri" w:eastAsia="Calibri" w:hAnsi="Calibri" w:cs="Calibri"/>
                            <w:w w:val="97"/>
                            <w:sz w:val="16"/>
                          </w:rPr>
                          <w:t>2017</w:t>
                        </w:r>
                        <w:r>
                          <w:rPr>
                            <w:rFonts w:ascii="Calibri" w:eastAsia="Calibri" w:hAnsi="Calibri" w:cs="Calibri"/>
                            <w:spacing w:val="11"/>
                            <w:w w:val="97"/>
                            <w:sz w:val="16"/>
                          </w:rPr>
                          <w:t xml:space="preserve"> </w:t>
                        </w:r>
                        <w:r>
                          <w:rPr>
                            <w:rFonts w:ascii="Calibri" w:eastAsia="Calibri" w:hAnsi="Calibri" w:cs="Calibri"/>
                            <w:w w:val="97"/>
                            <w:sz w:val="16"/>
                          </w:rPr>
                          <w:t>[</w:t>
                        </w:r>
                      </w:p>
                    </w:txbxContent>
                  </v:textbox>
                </v:rect>
                <v:rect id="Rectangle 4564" o:spid="_x0000_s1098" style="position:absolute;left:36943;top:25874;width:1295;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" filled="f" stroked="f">
                  <v:textbox inset="0,0,0,0">
                    <w:txbxContent>
                      <w:p w14:paraId="3AE53FBF" w14:textId="77777777" w:rsidR="00AC2BE6" w:rsidRDefault="00AC2BE6" w:rsidP="00DE4C21">
                        <w:pPr>
                          <w:spacing w:after="160" w:line="259" w:lineRule="auto"/>
                        </w:pPr>
                        <w:r>
                          <w:rPr>
                            <w:rFonts w:ascii="Calibri" w:eastAsia="Calibri" w:hAnsi="Calibri" w:cs="Calibri"/>
                            <w:color w:val="0000FF"/>
                            <w:w w:val="94"/>
                            <w:sz w:val="16"/>
                          </w:rPr>
                          <w:t>19</w:t>
                        </w:r>
                      </w:p>
                    </w:txbxContent>
                  </v:textbox>
                </v:rect>
                <v:rect id="Rectangle 4565" o:spid="_x0000_s1099" style="position:absolute;left:37915;top:25874;width:352;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" filled="f" stroked="f">
                  <v:textbox inset="0,0,0,0">
                    <w:txbxContent>
                      <w:p w14:paraId="07CB5F4D" w14:textId="77777777" w:rsidR="00AC2BE6" w:rsidRDefault="00AC2BE6" w:rsidP="00DE4C21">
                        <w:pPr>
                          <w:spacing w:after="160" w:line="259" w:lineRule="auto"/>
                        </w:pPr>
                        <w:r>
                          <w:rPr>
                            <w:rFonts w:ascii="Calibri" w:eastAsia="Calibri" w:hAnsi="Calibri" w:cs="Calibri"/>
                            <w:w w:val="87"/>
                            <w:sz w:val="16"/>
                          </w:rPr>
                          <w:t>]</w:t>
                        </w:r>
                      </w:p>
                    </w:txbxContent>
                  </v:textbox>
                </v:rect>
                <w10:anchorlock/>
              </v:group>
            </w:pict>
          </mc:Fallback>
        </mc:AlternateContent>
      </w:r>
    </w:p>
    <w:p w14:paraId="108504FA" w14:textId="5A1C9A40" w:rsidR="00DE4C21" w:rsidRPr="00000849" w:rsidRDefault="00DE4C21" w:rsidP="00BC221F"/>
    <w:p w14:paraId="66DDE8F2" w14:textId="77777777" w:rsidR="00BC221F" w:rsidRPr="00000849" w:rsidRDefault="00BC221F" w:rsidP="00143B7E">
      <w:pPr>
        <w:spacing w:after="120"/>
        <w:jc w:val="both"/>
      </w:pPr>
      <w:r w:rsidRPr="00000849">
        <w:rPr>
          <w:b/>
          <w:bCs/>
          <w:color w:val="0070C0"/>
        </w:rPr>
        <w:lastRenderedPageBreak/>
        <w:t>Lifestyle factors</w:t>
      </w:r>
      <w:r w:rsidRPr="00000849">
        <w:rPr>
          <w:rFonts w:ascii="Calibri" w:eastAsia="Calibri" w:hAnsi="Calibri" w:cs="Calibri"/>
        </w:rPr>
        <w:t xml:space="preserve"> </w:t>
      </w:r>
      <w:r w:rsidRPr="00000849">
        <w:rPr>
          <w:b/>
          <w:bCs/>
          <w:i/>
          <w:iCs/>
          <w:color w:val="0070C0"/>
        </w:rPr>
        <w:t>Body mass index</w:t>
      </w:r>
      <w:r w:rsidRPr="00000849">
        <w:rPr>
          <w:rFonts w:ascii="Calibri" w:eastAsia="Calibri" w:hAnsi="Calibri" w:cs="Calibri"/>
        </w:rPr>
        <w:t xml:space="preserve">. </w:t>
      </w:r>
      <w:r w:rsidRPr="00000849">
        <w:t>In both bivariate and multivariate analyses, overweight as well as general and abdominal obesity was consistently associated with a higher prevalence of hypertension [</w:t>
      </w:r>
      <w:r w:rsidRPr="00000849">
        <w:rPr>
          <w:color w:val="0000FF"/>
        </w:rPr>
        <w:t>26</w:t>
      </w:r>
      <w:r w:rsidRPr="00000849">
        <w:t xml:space="preserve">, </w:t>
      </w:r>
      <w:r w:rsidRPr="00000849">
        <w:rPr>
          <w:color w:val="0000FF"/>
        </w:rPr>
        <w:t>36</w:t>
      </w:r>
      <w:r w:rsidRPr="00000849">
        <w:t xml:space="preserve">]. Overweight/obese (BMI </w:t>
      </w:r>
      <w:r w:rsidRPr="00000849">
        <w:rPr>
          <w:rFonts w:ascii="Calibri" w:eastAsia="Calibri" w:hAnsi="Calibri" w:cs="Calibri"/>
        </w:rPr>
        <w:t>≥</w:t>
      </w:r>
      <w:r w:rsidRPr="00000849">
        <w:t>25 kg/m</w:t>
      </w:r>
      <w:r w:rsidRPr="00000849">
        <w:rPr>
          <w:vertAlign w:val="superscript"/>
        </w:rPr>
        <w:t>2</w:t>
      </w:r>
      <w:r w:rsidRPr="00000849">
        <w:t>) subjects were 1.2 to 2.0 times as likely as non-overweight subjects (BMI &lt; 25 kg/ m</w:t>
      </w:r>
      <w:r w:rsidRPr="00000849">
        <w:rPr>
          <w:vertAlign w:val="superscript"/>
        </w:rPr>
        <w:t>2</w:t>
      </w:r>
      <w:r w:rsidRPr="00000849">
        <w:t>) to have hypertension, with the difference being statistically significant [</w:t>
      </w:r>
      <w:r w:rsidRPr="00000849">
        <w:rPr>
          <w:color w:val="0000FF"/>
        </w:rPr>
        <w:t>26</w:t>
      </w:r>
      <w:r w:rsidRPr="00000849">
        <w:t xml:space="preserve">, </w:t>
      </w:r>
      <w:r w:rsidRPr="00000849">
        <w:rPr>
          <w:color w:val="0000FF"/>
        </w:rPr>
        <w:t>30</w:t>
      </w:r>
      <w:r w:rsidRPr="00000849">
        <w:t>]. The relationship followed a dose-response pattern in Tunisia with prevalence at</w:t>
      </w:r>
    </w:p>
    <w:p w14:paraId="6A3E7556" w14:textId="77777777" w:rsidR="00BC221F" w:rsidRPr="00000849" w:rsidRDefault="00BC221F" w:rsidP="00143B7E">
      <w:pPr>
        <w:spacing w:after="120"/>
        <w:jc w:val="both"/>
      </w:pPr>
      <w:r w:rsidRPr="00000849">
        <w:t>29.9% among normal weight elderly subjects (BMI 18.0</w:t>
      </w:r>
      <w:r w:rsidRPr="00000849">
        <w:rPr>
          <w:rFonts w:ascii="Calibri" w:eastAsia="Calibri" w:hAnsi="Calibri" w:cs="Calibri"/>
        </w:rPr>
        <w:t xml:space="preserve">– </w:t>
      </w:r>
      <w:r w:rsidRPr="00000849">
        <w:t>24.9 kg/m</w:t>
      </w:r>
      <w:r w:rsidRPr="00000849">
        <w:rPr>
          <w:vertAlign w:val="superscript"/>
        </w:rPr>
        <w:t>2</w:t>
      </w:r>
      <w:r w:rsidRPr="00000849">
        <w:t>), 49.1% among those overweight non-obese (BMI 25.0</w:t>
      </w:r>
      <w:r w:rsidRPr="00000849">
        <w:rPr>
          <w:rFonts w:ascii="Calibri" w:eastAsia="Calibri" w:hAnsi="Calibri" w:cs="Calibri"/>
        </w:rPr>
        <w:t>–</w:t>
      </w:r>
      <w:r w:rsidRPr="00000849">
        <w:t>29.9 kg/m</w:t>
      </w:r>
      <w:r w:rsidRPr="00000849">
        <w:rPr>
          <w:vertAlign w:val="superscript"/>
        </w:rPr>
        <w:t>2</w:t>
      </w:r>
      <w:r w:rsidRPr="00000849">
        <w:t xml:space="preserve">) and 64.2% among those obese (BMI </w:t>
      </w:r>
      <w:r w:rsidRPr="00000849">
        <w:rPr>
          <w:rFonts w:ascii="Calibri" w:eastAsia="Calibri" w:hAnsi="Calibri" w:cs="Calibri"/>
        </w:rPr>
        <w:t>≥</w:t>
      </w:r>
      <w:r w:rsidRPr="00000849">
        <w:t>30.0 kg/m</w:t>
      </w:r>
      <w:r w:rsidRPr="00000849">
        <w:rPr>
          <w:vertAlign w:val="superscript"/>
        </w:rPr>
        <w:t>2</w:t>
      </w:r>
      <w:r w:rsidRPr="00000849">
        <w:t>) [</w:t>
      </w:r>
      <w:r w:rsidRPr="00000849">
        <w:rPr>
          <w:color w:val="0000FF"/>
        </w:rPr>
        <w:t>26</w:t>
      </w:r>
      <w:r w:rsidRPr="00000849">
        <w:t>]. Conversely, being underweight (BMI &lt; 18.5 kg/m</w:t>
      </w:r>
      <w:r w:rsidRPr="00000849">
        <w:rPr>
          <w:vertAlign w:val="superscript"/>
        </w:rPr>
        <w:t>2</w:t>
      </w:r>
      <w:r w:rsidRPr="00000849">
        <w:t>) was associated with a lower prevalence of hypertension in South Africa [</w:t>
      </w:r>
      <w:r w:rsidRPr="00000849">
        <w:rPr>
          <w:color w:val="0000FF"/>
        </w:rPr>
        <w:t>23</w:t>
      </w:r>
      <w:r w:rsidRPr="00000849">
        <w:t>].</w:t>
      </w:r>
    </w:p>
    <w:p w14:paraId="792853E2" w14:textId="79D813FE" w:rsidR="00BC221F" w:rsidRPr="00000849" w:rsidRDefault="00BC221F" w:rsidP="00143B7E">
      <w:pPr>
        <w:spacing w:after="120"/>
        <w:jc w:val="both"/>
      </w:pPr>
      <w:r w:rsidRPr="00000849">
        <w:t>In all the models in which it was evaluated whether as a categorical or continuous variable, BMI or overweight/ obese was strongly, consistently and independently correlated with hypertension [</w:t>
      </w:r>
      <w:r w:rsidRPr="00000849">
        <w:rPr>
          <w:color w:val="0000FF"/>
        </w:rPr>
        <w:t>18</w:t>
      </w:r>
      <w:r w:rsidRPr="00000849">
        <w:rPr>
          <w:rFonts w:ascii="Calibri" w:eastAsia="Calibri" w:hAnsi="Calibri" w:cs="Calibri"/>
        </w:rPr>
        <w:t>–</w:t>
      </w:r>
      <w:r w:rsidRPr="00000849">
        <w:rPr>
          <w:color w:val="0000FF"/>
        </w:rPr>
        <w:t>21</w:t>
      </w:r>
      <w:r w:rsidRPr="00000849">
        <w:t xml:space="preserve">, </w:t>
      </w:r>
      <w:r w:rsidRPr="00000849">
        <w:rPr>
          <w:color w:val="0000FF"/>
        </w:rPr>
        <w:t>23</w:t>
      </w:r>
      <w:r w:rsidRPr="00000849">
        <w:rPr>
          <w:rFonts w:ascii="Calibri" w:eastAsia="Calibri" w:hAnsi="Calibri" w:cs="Calibri"/>
        </w:rPr>
        <w:t>–</w:t>
      </w:r>
      <w:r w:rsidRPr="00000849">
        <w:rPr>
          <w:color w:val="0000FF"/>
        </w:rPr>
        <w:t>26</w:t>
      </w:r>
      <w:r w:rsidRPr="00000849">
        <w:t xml:space="preserve">, </w:t>
      </w:r>
      <w:r w:rsidRPr="00000849">
        <w:rPr>
          <w:color w:val="0000FF"/>
        </w:rPr>
        <w:t>30</w:t>
      </w:r>
      <w:r w:rsidRPr="00000849">
        <w:t xml:space="preserve">, </w:t>
      </w:r>
      <w:r w:rsidRPr="00000849">
        <w:rPr>
          <w:color w:val="0000FF"/>
        </w:rPr>
        <w:t>34</w:t>
      </w:r>
      <w:r w:rsidRPr="00000849">
        <w:t xml:space="preserve">, </w:t>
      </w:r>
      <w:r w:rsidRPr="00000849">
        <w:rPr>
          <w:color w:val="0000FF"/>
        </w:rPr>
        <w:t>36</w:t>
      </w:r>
      <w:r w:rsidRPr="00000849">
        <w:t xml:space="preserve">, </w:t>
      </w:r>
      <w:r w:rsidRPr="00000849">
        <w:rPr>
          <w:color w:val="0000FF"/>
        </w:rPr>
        <w:t>39</w:t>
      </w:r>
      <w:r w:rsidRPr="00000849">
        <w:t xml:space="preserve">] (Table </w:t>
      </w:r>
      <w:r w:rsidRPr="00000849">
        <w:rPr>
          <w:color w:val="0000FF"/>
        </w:rPr>
        <w:t>5</w:t>
      </w:r>
      <w:r w:rsidRPr="00000849">
        <w:t>). The adjusted odds of being overweight or obese in subjects with hypertension was up to 3.7 times that in non-overweight/non-obese subjects [</w:t>
      </w:r>
      <w:r w:rsidRPr="00000849">
        <w:rPr>
          <w:color w:val="0000FF"/>
        </w:rPr>
        <w:t>37</w:t>
      </w:r>
      <w:r w:rsidRPr="00000849">
        <w:t xml:space="preserve">, </w:t>
      </w:r>
      <w:r w:rsidRPr="00000849">
        <w:rPr>
          <w:color w:val="0000FF"/>
        </w:rPr>
        <w:t>39</w:t>
      </w:r>
      <w:r w:rsidRPr="00000849">
        <w:t>]. It increased with increasing BMI status [</w:t>
      </w:r>
      <w:r w:rsidRPr="00000849">
        <w:rPr>
          <w:color w:val="0000FF"/>
        </w:rPr>
        <w:t>20</w:t>
      </w:r>
      <w:r w:rsidRPr="00000849">
        <w:t xml:space="preserve">, </w:t>
      </w:r>
      <w:r w:rsidRPr="00000849">
        <w:rPr>
          <w:color w:val="0000FF"/>
        </w:rPr>
        <w:t>26</w:t>
      </w:r>
      <w:r w:rsidRPr="00000849">
        <w:t xml:space="preserve">, </w:t>
      </w:r>
      <w:r w:rsidRPr="00000849">
        <w:rPr>
          <w:color w:val="0000FF"/>
        </w:rPr>
        <w:t>36</w:t>
      </w:r>
      <w:r w:rsidRPr="00000849">
        <w:t xml:space="preserve">]. Compared with those with normal BMI, the adjusted odds ratio associating underweight adults involved in the </w:t>
      </w:r>
      <w:r w:rsidR="00FB6DE4" w:rsidRPr="00000849">
        <w:t>cross-country</w:t>
      </w:r>
      <w:r w:rsidRPr="00000849">
        <w:t xml:space="preserve"> SAGE study with hypertension (compared with adults with normal BMI) was protective in Ghana but not in South Africa [</w:t>
      </w:r>
      <w:r w:rsidRPr="00000849">
        <w:rPr>
          <w:color w:val="0000FF"/>
        </w:rPr>
        <w:t>18</w:t>
      </w:r>
      <w:r w:rsidRPr="00000849">
        <w:t xml:space="preserve">, </w:t>
      </w:r>
      <w:r w:rsidRPr="00000849">
        <w:rPr>
          <w:color w:val="0000FF"/>
        </w:rPr>
        <w:t>20</w:t>
      </w:r>
      <w:r w:rsidRPr="00000849">
        <w:t>].</w:t>
      </w:r>
    </w:p>
    <w:p w14:paraId="1B26F7AB" w14:textId="77777777" w:rsidR="00BC221F" w:rsidRPr="00000849" w:rsidRDefault="00BC221F" w:rsidP="00143B7E">
      <w:pPr>
        <w:spacing w:after="120"/>
        <w:jc w:val="both"/>
      </w:pPr>
      <w:r w:rsidRPr="00000849">
        <w:rPr>
          <w:b/>
          <w:bCs/>
          <w:i/>
          <w:iCs/>
          <w:color w:val="0070C0"/>
        </w:rPr>
        <w:t>Other lifestyle factors</w:t>
      </w:r>
      <w:r w:rsidRPr="00000849">
        <w:rPr>
          <w:rFonts w:ascii="Calibri" w:eastAsia="Calibri" w:hAnsi="Calibri" w:cs="Calibri"/>
        </w:rPr>
        <w:t xml:space="preserve"> </w:t>
      </w:r>
      <w:r w:rsidRPr="00000849">
        <w:t>The relationships between other lifestyle factors and hypertension were not as remarkable as that with the BMI. In isolated studies, alcohol use in the past one month in South Africa [</w:t>
      </w:r>
      <w:r w:rsidRPr="00000849">
        <w:rPr>
          <w:color w:val="0000FF"/>
        </w:rPr>
        <w:t>23</w:t>
      </w:r>
      <w:r w:rsidRPr="00000849">
        <w:t>] and being an former or current smoker in CAR/Congo [</w:t>
      </w:r>
      <w:r w:rsidRPr="00000849">
        <w:rPr>
          <w:color w:val="0000FF"/>
        </w:rPr>
        <w:t>36</w:t>
      </w:r>
      <w:r w:rsidRPr="00000849">
        <w:t>] protected against having hypertension. Daily tobacco use or inadequate fruit and vegetable intake was not significantly associated with hypertension in South Africa [</w:t>
      </w:r>
      <w:r w:rsidRPr="00000849">
        <w:rPr>
          <w:color w:val="0000FF"/>
        </w:rPr>
        <w:t>23</w:t>
      </w:r>
      <w:r w:rsidRPr="00000849">
        <w:t>]. There was an inverse association between the level of physical activity and hypertension in CAR/Congo [</w:t>
      </w:r>
      <w:r w:rsidRPr="00000849">
        <w:rPr>
          <w:color w:val="0000FF"/>
        </w:rPr>
        <w:t>36</w:t>
      </w:r>
      <w:r w:rsidRPr="00000849">
        <w:t>]. However, in South Africa, the association was not statistically significant [</w:t>
      </w:r>
      <w:r w:rsidRPr="00000849">
        <w:rPr>
          <w:color w:val="0000FF"/>
        </w:rPr>
        <w:t>23</w:t>
      </w:r>
      <w:r w:rsidRPr="00000849">
        <w:t>]. Frequent outpatient visits during the past 12 months was significantly associated with hypertension in South Africa [</w:t>
      </w:r>
      <w:r w:rsidRPr="00000849">
        <w:rPr>
          <w:color w:val="0000FF"/>
        </w:rPr>
        <w:t>23</w:t>
      </w:r>
      <w:r w:rsidRPr="00000849">
        <w:t>] but not in Senegal [</w:t>
      </w:r>
      <w:r w:rsidRPr="00000849">
        <w:rPr>
          <w:color w:val="0000FF"/>
        </w:rPr>
        <w:t>30</w:t>
      </w:r>
      <w:r w:rsidRPr="00000849">
        <w:t>]. A social cohesion index constructed to assess the extent of social engagement with society, club, union, or any organizational meeting in one study was not significantly associated with hypertension [</w:t>
      </w:r>
      <w:r w:rsidRPr="00000849">
        <w:rPr>
          <w:color w:val="0000FF"/>
        </w:rPr>
        <w:t>23</w:t>
      </w:r>
      <w:r w:rsidRPr="00000849">
        <w:t>].</w:t>
      </w:r>
    </w:p>
    <w:p w14:paraId="0AA77BD3" w14:textId="29485132" w:rsidR="00DE4C21" w:rsidRPr="00000849" w:rsidRDefault="00BC221F" w:rsidP="00143B7E">
      <w:pPr>
        <w:spacing w:after="120"/>
        <w:jc w:val="both"/>
      </w:pPr>
      <w:r w:rsidRPr="00000849">
        <w:t>The inverse association between alcohol intake and hypertension in South Africa persisted in multivariate analysis [</w:t>
      </w:r>
      <w:r w:rsidRPr="00000849">
        <w:rPr>
          <w:color w:val="0000FF"/>
        </w:rPr>
        <w:t>23</w:t>
      </w:r>
      <w:r w:rsidRPr="00000849">
        <w:t>]. The adjusted odds of being heavy drinker</w:t>
      </w:r>
      <w:r w:rsidR="00DE4C21" w:rsidRPr="00000849">
        <w:t xml:space="preserve"> in hypertensives was 57% lower than that of being a lifetime abstainer [</w:t>
      </w:r>
      <w:r w:rsidR="00DE4C21" w:rsidRPr="00000849">
        <w:rPr>
          <w:color w:val="0000FF"/>
        </w:rPr>
        <w:t>20</w:t>
      </w:r>
      <w:r w:rsidR="00DE4C21" w:rsidRPr="00000849">
        <w:t>]. In contrast, alcohol intake was associated with a 41% greater prevalence of stage 1 SHTN in Ghana [</w:t>
      </w:r>
      <w:r w:rsidR="00DE4C21" w:rsidRPr="00000849">
        <w:rPr>
          <w:color w:val="0000FF"/>
        </w:rPr>
        <w:t>21</w:t>
      </w:r>
      <w:r w:rsidR="00DE4C21" w:rsidRPr="00000849">
        <w:t>]. Overall, it was not significantly associated with stage 1 or 2 DHTN or any hypertension in Ghana [</w:t>
      </w:r>
      <w:r w:rsidR="00DE4C21" w:rsidRPr="00000849">
        <w:rPr>
          <w:color w:val="0000FF"/>
        </w:rPr>
        <w:t>20</w:t>
      </w:r>
      <w:r w:rsidR="00DE4C21" w:rsidRPr="00000849">
        <w:t xml:space="preserve">, </w:t>
      </w:r>
      <w:r w:rsidR="00DE4C21" w:rsidRPr="00000849">
        <w:rPr>
          <w:color w:val="0000FF"/>
        </w:rPr>
        <w:t>21</w:t>
      </w:r>
      <w:r w:rsidR="00DE4C21" w:rsidRPr="00000849">
        <w:t>], Congo or Central African Republic [</w:t>
      </w:r>
      <w:r w:rsidR="00DE4C21" w:rsidRPr="00000849">
        <w:rPr>
          <w:color w:val="0000FF"/>
        </w:rPr>
        <w:t>36</w:t>
      </w:r>
      <w:r w:rsidR="00DE4C21" w:rsidRPr="00000849">
        <w:t>] or Nigeria [</w:t>
      </w:r>
      <w:r w:rsidR="00DE4C21" w:rsidRPr="00000849">
        <w:rPr>
          <w:color w:val="0000FF"/>
        </w:rPr>
        <w:t>37</w:t>
      </w:r>
      <w:r w:rsidR="00DE4C21" w:rsidRPr="00000849">
        <w:t>].</w:t>
      </w:r>
    </w:p>
    <w:p w14:paraId="7764AB1C" w14:textId="07A57F10" w:rsidR="007E6CC7" w:rsidRPr="00000849" w:rsidRDefault="00DE4C21" w:rsidP="00143B7E">
      <w:pPr>
        <w:spacing w:after="120" w:line="259" w:lineRule="auto"/>
        <w:ind w:right="-243"/>
        <w:jc w:val="both"/>
      </w:pPr>
      <w:r w:rsidRPr="00000849">
        <w:t>The association between smoking and hypertension was inconsistent between consumption habits or countries. Current non-daily or former smoking was independently associated with hypertension as a harmful predictor in the same multi-country analyses of the SAGE study in Ghana but not in South Africa [</w:t>
      </w:r>
      <w:r w:rsidRPr="00000849">
        <w:rPr>
          <w:color w:val="0000FF"/>
        </w:rPr>
        <w:t>18</w:t>
      </w:r>
      <w:r w:rsidRPr="00000849">
        <w:t>]. In similar analyses, former smoking was independently associated with higher prevalence of hypertension in South Africa but not in Ghana [</w:t>
      </w:r>
      <w:r w:rsidRPr="00000849">
        <w:rPr>
          <w:color w:val="0000FF"/>
        </w:rPr>
        <w:t>20</w:t>
      </w:r>
      <w:r w:rsidRPr="00000849">
        <w:t>]. Contrary to these findings, in CAR/Congo, current smoking was associated with a lower prevalence of hypertension [</w:t>
      </w:r>
      <w:r w:rsidRPr="00000849">
        <w:rPr>
          <w:color w:val="0000FF"/>
        </w:rPr>
        <w:t>36</w:t>
      </w:r>
      <w:r w:rsidRPr="00000849">
        <w:t>] while in Nigeria, having ever smoked tobacco was not independently associated with hypertension [</w:t>
      </w:r>
      <w:r w:rsidRPr="00000849">
        <w:rPr>
          <w:color w:val="0000FF"/>
        </w:rPr>
        <w:t>37</w:t>
      </w:r>
      <w:r w:rsidRPr="00000849">
        <w:t>].</w:t>
      </w:r>
    </w:p>
    <w:p w14:paraId="270476A4" w14:textId="73083DEF" w:rsidR="007E6CC7" w:rsidRPr="00000849" w:rsidRDefault="007E6CC7">
      <w:pPr>
        <w:spacing w:after="160" w:line="259" w:lineRule="auto"/>
      </w:pPr>
    </w:p>
    <w:p w14:paraId="3B7A4CF8" w14:textId="77777777" w:rsidR="00D16031" w:rsidRPr="00000849" w:rsidRDefault="00D16031" w:rsidP="00BC221F">
      <w:pPr>
        <w:spacing w:after="0" w:line="259" w:lineRule="auto"/>
        <w:ind w:left="-312" w:right="-243"/>
        <w:sectPr w:rsidR="00D16031" w:rsidRPr="00000849" w:rsidSect="00265067">
          <w:headerReference w:type="even" r:id="rId395"/>
          <w:headerReference w:type="default" r:id="rId396"/>
          <w:footerReference w:type="even" r:id="rId397"/>
          <w:footerReference w:type="default" r:id="rId398"/>
          <w:headerReference w:type="first" r:id="rId399"/>
          <w:footerReference w:type="first" r:id="rId400"/>
          <w:type w:val="continuous"/>
          <w:pgSz w:w="11906" w:h="15817"/>
          <w:pgMar w:top="1440" w:right="1440" w:bottom="1181" w:left="1440" w:header="720" w:footer="720" w:gutter="0"/>
          <w:cols w:space="720"/>
          <w:docGrid w:linePitch="299"/>
        </w:sectPr>
      </w:pPr>
    </w:p>
    <w:p w14:paraId="32FF777A" w14:textId="23105C83" w:rsidR="00D16031" w:rsidRPr="00000849" w:rsidRDefault="00D16031" w:rsidP="00D16031">
      <w:pPr>
        <w:spacing w:after="0" w:line="259" w:lineRule="auto"/>
      </w:pPr>
      <w:r w:rsidRPr="00000849">
        <w:rPr>
          <w:rFonts w:ascii="Calibri" w:eastAsia="Calibri" w:hAnsi="Calibri" w:cs="Calibri"/>
          <w:b/>
          <w:bCs/>
          <w:szCs w:val="28"/>
        </w:rPr>
        <w:lastRenderedPageBreak/>
        <w:t>Table 5</w:t>
      </w:r>
      <w:r w:rsidRPr="00000849">
        <w:rPr>
          <w:rFonts w:ascii="Calibri" w:eastAsia="Calibri" w:hAnsi="Calibri" w:cs="Calibri"/>
          <w:szCs w:val="28"/>
        </w:rPr>
        <w:t xml:space="preserve">  Comorbidities and other determinants associated with hypertension in older adults in Africa</w:t>
      </w:r>
    </w:p>
    <w:tbl>
      <w:tblPr>
        <w:tblStyle w:val="PlainTable1"/>
        <w:tblW w:w="5000" w:type="pct"/>
        <w:tblInd w:w="0" w:type="dxa"/>
        <w:tblLook w:val="0420" w:firstRow="1" w:lastRow="0" w:firstColumn="0" w:lastColumn="0" w:noHBand="0" w:noVBand="1"/>
      </w:tblPr>
      <w:tblGrid>
        <w:gridCol w:w="452"/>
        <w:gridCol w:w="895"/>
        <w:gridCol w:w="891"/>
        <w:gridCol w:w="1933"/>
        <w:gridCol w:w="2033"/>
        <w:gridCol w:w="2033"/>
        <w:gridCol w:w="2918"/>
        <w:gridCol w:w="2031"/>
      </w:tblGrid>
      <w:tr w:rsidR="00D16031" w:rsidRPr="00000849" w14:paraId="7C0FD6EB" w14:textId="77777777" w:rsidTr="00143B7E">
        <w:trPr>
          <w:cnfStyle w:val="100000000000" w:firstRow="1" w:lastRow="0" w:firstColumn="0" w:lastColumn="0" w:oddVBand="0" w:evenVBand="0" w:oddHBand="0" w:evenHBand="0" w:firstRowFirstColumn="0" w:firstRowLastColumn="0" w:lastRowFirstColumn="0" w:lastRowLastColumn="0"/>
          <w:trHeight w:val="530"/>
          <w:tblHeader/>
        </w:trPr>
        <w:tc>
          <w:tcPr>
            <w:tcW w:w="171" w:type="pct"/>
            <w:hideMark/>
          </w:tcPr>
          <w:p w14:paraId="32F5B4E8"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No.</w:t>
            </w:r>
          </w:p>
        </w:tc>
        <w:tc>
          <w:tcPr>
            <w:tcW w:w="339" w:type="pct"/>
            <w:hideMark/>
          </w:tcPr>
          <w:p w14:paraId="172A074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Country</w:t>
            </w:r>
          </w:p>
        </w:tc>
        <w:tc>
          <w:tcPr>
            <w:tcW w:w="337" w:type="pct"/>
            <w:hideMark/>
          </w:tcPr>
          <w:p w14:paraId="42668803"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Reference</w:t>
            </w:r>
          </w:p>
        </w:tc>
        <w:tc>
          <w:tcPr>
            <w:tcW w:w="733" w:type="pct"/>
            <w:hideMark/>
          </w:tcPr>
          <w:p w14:paraId="727CA4AB"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Physical activity</w:t>
            </w:r>
          </w:p>
        </w:tc>
        <w:tc>
          <w:tcPr>
            <w:tcW w:w="771" w:type="pct"/>
            <w:hideMark/>
          </w:tcPr>
          <w:p w14:paraId="32C61C33"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Obesity or adiposity</w:t>
            </w:r>
          </w:p>
        </w:tc>
        <w:tc>
          <w:tcPr>
            <w:tcW w:w="771" w:type="pct"/>
            <w:hideMark/>
          </w:tcPr>
          <w:p w14:paraId="75348F8A"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Alcohol</w:t>
            </w:r>
          </w:p>
        </w:tc>
        <w:tc>
          <w:tcPr>
            <w:tcW w:w="1106" w:type="pct"/>
            <w:hideMark/>
          </w:tcPr>
          <w:p w14:paraId="7C73981E"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Diabetes</w:t>
            </w:r>
          </w:p>
        </w:tc>
        <w:tc>
          <w:tcPr>
            <w:tcW w:w="770" w:type="pct"/>
            <w:hideMark/>
          </w:tcPr>
          <w:p w14:paraId="799FA1D1"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Other determinants</w:t>
            </w:r>
          </w:p>
        </w:tc>
      </w:tr>
      <w:tr w:rsidR="00D16031" w:rsidRPr="00000849" w14:paraId="1FFB1DD8" w14:textId="77777777" w:rsidTr="00143B7E">
        <w:trPr>
          <w:cnfStyle w:val="000000100000" w:firstRow="0" w:lastRow="0" w:firstColumn="0" w:lastColumn="0" w:oddVBand="0" w:evenVBand="0" w:oddHBand="1" w:evenHBand="0" w:firstRowFirstColumn="0" w:firstRowLastColumn="0" w:lastRowFirstColumn="0" w:lastRowLastColumn="0"/>
          <w:trHeight w:val="710"/>
        </w:trPr>
        <w:tc>
          <w:tcPr>
            <w:tcW w:w="171" w:type="pct"/>
            <w:hideMark/>
          </w:tcPr>
          <w:p w14:paraId="06B4E94A"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1</w:t>
            </w:r>
          </w:p>
        </w:tc>
        <w:tc>
          <w:tcPr>
            <w:tcW w:w="339" w:type="pct"/>
            <w:hideMark/>
          </w:tcPr>
          <w:p w14:paraId="65666F5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Nigeria</w:t>
            </w:r>
          </w:p>
        </w:tc>
        <w:tc>
          <w:tcPr>
            <w:tcW w:w="337" w:type="pct"/>
            <w:hideMark/>
          </w:tcPr>
          <w:p w14:paraId="25CAEE18" w14:textId="0470FAF5"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Abegunde 2013 </w:t>
            </w:r>
            <w:r w:rsidRPr="00000849">
              <w:rPr>
                <w:rFonts w:ascii="Calibri" w:eastAsia="Calibri" w:hAnsi="Calibri" w:cs="Calibri"/>
                <w:color w:val="000000"/>
                <w:sz w:val="16"/>
              </w:rPr>
              <w:t>[</w:t>
            </w:r>
            <w:r w:rsidRPr="00000849">
              <w:rPr>
                <w:rFonts w:ascii="Calibri" w:eastAsia="Calibri" w:hAnsi="Calibri" w:cs="Calibri"/>
                <w:color w:val="0000FF"/>
                <w:sz w:val="16"/>
              </w:rPr>
              <w:t>24</w:t>
            </w:r>
            <w:r w:rsidRPr="00000849">
              <w:rPr>
                <w:rFonts w:ascii="Calibri" w:eastAsia="Calibri" w:hAnsi="Calibri" w:cs="Calibri"/>
                <w:color w:val="000000"/>
                <w:sz w:val="16"/>
              </w:rPr>
              <w:t>]</w:t>
            </w:r>
          </w:p>
        </w:tc>
        <w:tc>
          <w:tcPr>
            <w:tcW w:w="733" w:type="pct"/>
            <w:hideMark/>
          </w:tcPr>
          <w:p w14:paraId="751CE81B"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hideMark/>
          </w:tcPr>
          <w:p w14:paraId="71014865"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normal BMI: obese OR = 2.8** (1.52-5.29); p=0.001</w:t>
            </w:r>
          </w:p>
        </w:tc>
        <w:tc>
          <w:tcPr>
            <w:tcW w:w="771" w:type="pct"/>
            <w:hideMark/>
          </w:tcPr>
          <w:p w14:paraId="59433CCE"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1106" w:type="pct"/>
            <w:hideMark/>
          </w:tcPr>
          <w:p w14:paraId="03809D41" w14:textId="77777777" w:rsidR="00D16031" w:rsidRPr="00000849" w:rsidRDefault="00D16031" w:rsidP="00143B7E">
            <w:pPr>
              <w:spacing w:after="60" w:line="259" w:lineRule="auto"/>
              <w:rPr>
                <w:rFonts w:ascii="Times New Roman" w:eastAsia="Times New Roman" w:hAnsi="Times New Roman" w:cs="Times New Roman"/>
                <w:sz w:val="16"/>
                <w:szCs w:val="20"/>
              </w:rPr>
            </w:pPr>
          </w:p>
        </w:tc>
        <w:tc>
          <w:tcPr>
            <w:tcW w:w="770" w:type="pct"/>
            <w:hideMark/>
          </w:tcPr>
          <w:p w14:paraId="781D8819" w14:textId="77777777" w:rsidR="00D16031" w:rsidRPr="00000849" w:rsidRDefault="00D16031" w:rsidP="00143B7E">
            <w:pPr>
              <w:spacing w:after="60" w:line="259" w:lineRule="auto"/>
              <w:rPr>
                <w:rFonts w:ascii="Times New Roman" w:eastAsia="Times New Roman" w:hAnsi="Times New Roman" w:cs="Times New Roman"/>
                <w:sz w:val="16"/>
                <w:szCs w:val="20"/>
              </w:rPr>
            </w:pPr>
          </w:p>
        </w:tc>
      </w:tr>
      <w:tr w:rsidR="00D16031" w:rsidRPr="00000849" w14:paraId="48716D6B" w14:textId="77777777" w:rsidTr="00143B7E">
        <w:trPr>
          <w:trHeight w:val="2420"/>
        </w:trPr>
        <w:tc>
          <w:tcPr>
            <w:tcW w:w="171" w:type="pct"/>
            <w:hideMark/>
          </w:tcPr>
          <w:p w14:paraId="7FB4BD8F"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2</w:t>
            </w:r>
          </w:p>
        </w:tc>
        <w:tc>
          <w:tcPr>
            <w:tcW w:w="339" w:type="pct"/>
            <w:hideMark/>
          </w:tcPr>
          <w:p w14:paraId="53D90BD6"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Ghana</w:t>
            </w:r>
          </w:p>
        </w:tc>
        <w:tc>
          <w:tcPr>
            <w:tcW w:w="337" w:type="pct"/>
            <w:hideMark/>
          </w:tcPr>
          <w:p w14:paraId="48A7F85E" w14:textId="021F3BA1"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Boateng 2017 </w:t>
            </w:r>
            <w:r w:rsidRPr="00000849">
              <w:rPr>
                <w:rFonts w:ascii="Calibri" w:eastAsia="Calibri" w:hAnsi="Calibri" w:cs="Calibri"/>
                <w:color w:val="000000"/>
                <w:sz w:val="16"/>
              </w:rPr>
              <w:t>[</w:t>
            </w:r>
            <w:r w:rsidRPr="00000849">
              <w:rPr>
                <w:rFonts w:ascii="Calibri" w:eastAsia="Calibri" w:hAnsi="Calibri" w:cs="Calibri"/>
                <w:color w:val="0000FF"/>
                <w:sz w:val="16"/>
              </w:rPr>
              <w:t>21</w:t>
            </w:r>
            <w:r w:rsidRPr="00000849">
              <w:rPr>
                <w:rFonts w:ascii="Calibri" w:eastAsia="Calibri" w:hAnsi="Calibri" w:cs="Calibri"/>
                <w:color w:val="000000"/>
                <w:sz w:val="16"/>
              </w:rPr>
              <w:t>]</w:t>
            </w:r>
          </w:p>
        </w:tc>
        <w:tc>
          <w:tcPr>
            <w:tcW w:w="733" w:type="pct"/>
            <w:hideMark/>
          </w:tcPr>
          <w:p w14:paraId="6EF01001"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hideMark/>
          </w:tcPr>
          <w:p w14:paraId="0AA2D8BF"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Compared with BMI normal weight category: underweight RR = 0.65** (0.40, 0.81) p ≤0.01 (Stage 1 SHTN); RR= 0.57*** (0.41, 0.81), p ≤0.001 (Stage 2 SHTN).  </w:t>
            </w:r>
            <w:r w:rsidRPr="00000849">
              <w:rPr>
                <w:rFonts w:ascii="Calibri" w:eastAsia="Times New Roman" w:hAnsi="Calibri" w:cs="Calibri"/>
                <w:color w:val="000000"/>
                <w:sz w:val="16"/>
                <w:szCs w:val="18"/>
              </w:rPr>
              <w:br/>
              <w:t>Overweight RR= 1.73*** (1.24, 2.40), p ≤0.001 (Stage 2 SHTN)</w:t>
            </w:r>
            <w:r w:rsidRPr="00000849">
              <w:rPr>
                <w:rFonts w:ascii="Calibri" w:eastAsia="Times New Roman" w:hAnsi="Calibri" w:cs="Calibri"/>
                <w:color w:val="000000"/>
                <w:sz w:val="16"/>
                <w:szCs w:val="18"/>
              </w:rPr>
              <w:br/>
              <w:t>Obese RR = 1.64* (1.07, 2.51) p ≤0.05 (Stage 1 SHTN); RR= 1.81* (1.19, 2.77), p ≤0.01 (Stage 2 SHTN)</w:t>
            </w:r>
          </w:p>
        </w:tc>
        <w:tc>
          <w:tcPr>
            <w:tcW w:w="771" w:type="pct"/>
            <w:hideMark/>
          </w:tcPr>
          <w:p w14:paraId="2461DDE5"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Consumes alcohol compared with does not consume alcohol: RR 1.41 (1.08, 1.85)  p ≤0.05 (Stage 1 SHTN); RR= 0.89 (0.68, 1.18) NS (Stage 2 SHTN).  </w:t>
            </w:r>
          </w:p>
        </w:tc>
        <w:tc>
          <w:tcPr>
            <w:tcW w:w="1106" w:type="pct"/>
            <w:hideMark/>
          </w:tcPr>
          <w:p w14:paraId="598A711B"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0" w:type="pct"/>
            <w:hideMark/>
          </w:tcPr>
          <w:p w14:paraId="2F220DA0"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subjects with no religion: Traditional religion, RR 0.38 (0.19, 0.75)  p ≤0.01 (Stage 2 SHTN)</w:t>
            </w:r>
          </w:p>
        </w:tc>
      </w:tr>
      <w:tr w:rsidR="00D16031" w:rsidRPr="00000849" w14:paraId="47A88D48" w14:textId="77777777" w:rsidTr="00143B7E">
        <w:trPr>
          <w:cnfStyle w:val="000000100000" w:firstRow="0" w:lastRow="0" w:firstColumn="0" w:lastColumn="0" w:oddVBand="0" w:evenVBand="0" w:oddHBand="1" w:evenHBand="0" w:firstRowFirstColumn="0" w:firstRowLastColumn="0" w:lastRowFirstColumn="0" w:lastRowLastColumn="0"/>
          <w:trHeight w:val="2690"/>
        </w:trPr>
        <w:tc>
          <w:tcPr>
            <w:tcW w:w="171" w:type="pct"/>
            <w:hideMark/>
          </w:tcPr>
          <w:p w14:paraId="427F87D9"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3</w:t>
            </w:r>
          </w:p>
        </w:tc>
        <w:tc>
          <w:tcPr>
            <w:tcW w:w="339" w:type="pct"/>
            <w:hideMark/>
          </w:tcPr>
          <w:p w14:paraId="318B71D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Ghana</w:t>
            </w:r>
          </w:p>
        </w:tc>
        <w:tc>
          <w:tcPr>
            <w:tcW w:w="337" w:type="pct"/>
            <w:hideMark/>
          </w:tcPr>
          <w:p w14:paraId="4D9B0F0F" w14:textId="2ADC67B8"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Boateng 2017 </w:t>
            </w:r>
            <w:r w:rsidRPr="00000849">
              <w:rPr>
                <w:rFonts w:ascii="Calibri" w:eastAsia="Calibri" w:hAnsi="Calibri" w:cs="Calibri"/>
                <w:color w:val="000000"/>
                <w:sz w:val="16"/>
              </w:rPr>
              <w:t>[</w:t>
            </w:r>
            <w:r w:rsidRPr="00000849">
              <w:rPr>
                <w:rFonts w:ascii="Calibri" w:eastAsia="Calibri" w:hAnsi="Calibri" w:cs="Calibri"/>
                <w:color w:val="0000FF"/>
                <w:sz w:val="16"/>
              </w:rPr>
              <w:t>21</w:t>
            </w:r>
            <w:r w:rsidRPr="00000849">
              <w:rPr>
                <w:rFonts w:ascii="Calibri" w:eastAsia="Calibri" w:hAnsi="Calibri" w:cs="Calibri"/>
                <w:color w:val="000000"/>
                <w:sz w:val="16"/>
              </w:rPr>
              <w:t>]</w:t>
            </w:r>
          </w:p>
        </w:tc>
        <w:tc>
          <w:tcPr>
            <w:tcW w:w="733" w:type="pct"/>
            <w:hideMark/>
          </w:tcPr>
          <w:p w14:paraId="509D9701"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hideMark/>
          </w:tcPr>
          <w:p w14:paraId="48B6D210"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Compared with BMI normal weight category: underweight RR = 0.75 (0.54, 1.02) NS (Stage 1 DHTN); RR= 0.63 (0.47,0.85), NS (Stage 2 DHTN).  </w:t>
            </w:r>
            <w:r w:rsidRPr="00000849">
              <w:rPr>
                <w:rFonts w:ascii="Calibri" w:eastAsia="Times New Roman" w:hAnsi="Calibri" w:cs="Calibri"/>
                <w:color w:val="000000"/>
                <w:sz w:val="16"/>
                <w:szCs w:val="18"/>
              </w:rPr>
              <w:br w:type="page"/>
              <w:t>Overweight RR= 1.51* (1.06, 2.15), p ≤0.05 (Stage 1 DHTN); 1.67*** (1.21, 2.31), p ≤0.001 (Stage 2 DHTN)</w:t>
            </w:r>
            <w:r w:rsidRPr="00000849">
              <w:rPr>
                <w:rFonts w:ascii="Calibri" w:eastAsia="Times New Roman" w:hAnsi="Calibri" w:cs="Calibri"/>
                <w:color w:val="000000"/>
                <w:sz w:val="16"/>
                <w:szCs w:val="18"/>
              </w:rPr>
              <w:br w:type="page"/>
              <w:t xml:space="preserve"> Obese RR = 1.79** (1.16, 2.77) p ≤0.01 (Stage 1 DHTN); RR= 1.77** (1.18, 2.63), p ≤0.01 (Stage 2 DHTN)</w:t>
            </w:r>
          </w:p>
        </w:tc>
        <w:tc>
          <w:tcPr>
            <w:tcW w:w="771" w:type="pct"/>
            <w:hideMark/>
          </w:tcPr>
          <w:p w14:paraId="28A57B58"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Consumes alcohol compared with does not consume alcohol: RR 0.94 (0.71, 1.23), NS (Stage 1 DHTN); RR= 0.91 (0.71, 1.16), NS (Stage 2 DHTN).  </w:t>
            </w:r>
          </w:p>
        </w:tc>
        <w:tc>
          <w:tcPr>
            <w:tcW w:w="1106" w:type="pct"/>
            <w:hideMark/>
          </w:tcPr>
          <w:p w14:paraId="6F79960A"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0" w:type="pct"/>
            <w:hideMark/>
          </w:tcPr>
          <w:p w14:paraId="267DEAE1"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Compared with subjects with no religion: Other religion, RR 0.30 (0.11, 0.82)  p ≤0.01 (Stage 1 DHTN); </w:t>
            </w:r>
            <w:r w:rsidRPr="00000849">
              <w:rPr>
                <w:rFonts w:ascii="Calibri" w:eastAsia="Times New Roman" w:hAnsi="Calibri" w:cs="Calibri"/>
                <w:color w:val="000000"/>
                <w:sz w:val="16"/>
                <w:szCs w:val="18"/>
              </w:rPr>
              <w:br w:type="page"/>
              <w:t>Traditional religion RR = 0.35 (0.19, 0.75)  p ≤0.001 (Stage 2 DHTN)</w:t>
            </w:r>
          </w:p>
        </w:tc>
      </w:tr>
      <w:tr w:rsidR="00D16031" w:rsidRPr="00000849" w14:paraId="7FEC035F" w14:textId="77777777" w:rsidTr="00143B7E">
        <w:trPr>
          <w:trHeight w:val="980"/>
        </w:trPr>
        <w:tc>
          <w:tcPr>
            <w:tcW w:w="171" w:type="pct"/>
            <w:hideMark/>
          </w:tcPr>
          <w:p w14:paraId="2840F14D"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4</w:t>
            </w:r>
          </w:p>
        </w:tc>
        <w:tc>
          <w:tcPr>
            <w:tcW w:w="339" w:type="pct"/>
            <w:hideMark/>
          </w:tcPr>
          <w:p w14:paraId="5E75F142"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Tanzania</w:t>
            </w:r>
          </w:p>
        </w:tc>
        <w:tc>
          <w:tcPr>
            <w:tcW w:w="337" w:type="pct"/>
            <w:hideMark/>
          </w:tcPr>
          <w:p w14:paraId="6DB56C75" w14:textId="2FB6E699"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Dewhurst 2013 </w:t>
            </w:r>
            <w:r w:rsidRPr="00000849">
              <w:rPr>
                <w:rFonts w:ascii="Calibri" w:eastAsia="Calibri" w:hAnsi="Calibri" w:cs="Calibri"/>
                <w:color w:val="000000"/>
                <w:sz w:val="16"/>
              </w:rPr>
              <w:t>[</w:t>
            </w:r>
            <w:r w:rsidRPr="00000849">
              <w:rPr>
                <w:rFonts w:ascii="Calibri" w:eastAsia="Calibri" w:hAnsi="Calibri" w:cs="Calibri"/>
                <w:color w:val="0000FF"/>
                <w:sz w:val="16"/>
              </w:rPr>
              <w:t>25</w:t>
            </w:r>
            <w:r w:rsidRPr="00000849">
              <w:rPr>
                <w:rFonts w:ascii="Calibri" w:eastAsia="Calibri" w:hAnsi="Calibri" w:cs="Calibri"/>
                <w:color w:val="000000"/>
                <w:sz w:val="16"/>
              </w:rPr>
              <w:t>]</w:t>
            </w:r>
          </w:p>
        </w:tc>
        <w:tc>
          <w:tcPr>
            <w:tcW w:w="733" w:type="pct"/>
            <w:hideMark/>
          </w:tcPr>
          <w:p w14:paraId="640EAB87"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hideMark/>
          </w:tcPr>
          <w:p w14:paraId="21D750F5"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Increasing BMI: OR 1.09 (1.06-1.12)</w:t>
            </w:r>
          </w:p>
        </w:tc>
        <w:tc>
          <w:tcPr>
            <w:tcW w:w="771" w:type="pct"/>
            <w:hideMark/>
          </w:tcPr>
          <w:p w14:paraId="5C498498"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1106" w:type="pct"/>
            <w:hideMark/>
          </w:tcPr>
          <w:p w14:paraId="0B70A0E6" w14:textId="77777777" w:rsidR="00D16031" w:rsidRPr="00000849" w:rsidRDefault="00D16031" w:rsidP="00143B7E">
            <w:pPr>
              <w:spacing w:after="60" w:line="259" w:lineRule="auto"/>
              <w:rPr>
                <w:rFonts w:ascii="Times New Roman" w:eastAsia="Times New Roman" w:hAnsi="Times New Roman" w:cs="Times New Roman"/>
                <w:sz w:val="16"/>
                <w:szCs w:val="20"/>
              </w:rPr>
            </w:pPr>
          </w:p>
        </w:tc>
        <w:tc>
          <w:tcPr>
            <w:tcW w:w="770" w:type="pct"/>
            <w:hideMark/>
          </w:tcPr>
          <w:p w14:paraId="7AD95DAF"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subjects of non-Chagga tribal origin: Chagga tribe, OR 1.65 (1.18-2.30)</w:t>
            </w:r>
          </w:p>
        </w:tc>
      </w:tr>
      <w:tr w:rsidR="00D16031" w:rsidRPr="00000849" w14:paraId="5BE6542E" w14:textId="77777777" w:rsidTr="00143B7E">
        <w:trPr>
          <w:cnfStyle w:val="000000100000" w:firstRow="0" w:lastRow="0" w:firstColumn="0" w:lastColumn="0" w:oddVBand="0" w:evenVBand="0" w:oddHBand="1" w:evenHBand="0" w:firstRowFirstColumn="0" w:firstRowLastColumn="0" w:lastRowFirstColumn="0" w:lastRowLastColumn="0"/>
          <w:trHeight w:val="530"/>
        </w:trPr>
        <w:tc>
          <w:tcPr>
            <w:tcW w:w="171" w:type="pct"/>
            <w:hideMark/>
          </w:tcPr>
          <w:p w14:paraId="1C4A5D02"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lastRenderedPageBreak/>
              <w:t>5</w:t>
            </w:r>
          </w:p>
        </w:tc>
        <w:tc>
          <w:tcPr>
            <w:tcW w:w="339" w:type="pct"/>
            <w:hideMark/>
          </w:tcPr>
          <w:p w14:paraId="6BDED530"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Tunisia</w:t>
            </w:r>
          </w:p>
        </w:tc>
        <w:tc>
          <w:tcPr>
            <w:tcW w:w="337" w:type="pct"/>
            <w:hideMark/>
          </w:tcPr>
          <w:p w14:paraId="5EA58CDE" w14:textId="5B856AA4"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Hammami 2011 </w:t>
            </w:r>
            <w:r w:rsidRPr="00000849">
              <w:rPr>
                <w:rFonts w:ascii="Calibri" w:eastAsia="Calibri" w:hAnsi="Calibri" w:cs="Calibri"/>
                <w:color w:val="000000"/>
                <w:sz w:val="16"/>
              </w:rPr>
              <w:t>[</w:t>
            </w:r>
            <w:r w:rsidRPr="00000849">
              <w:rPr>
                <w:rFonts w:ascii="Calibri" w:eastAsia="Calibri" w:hAnsi="Calibri" w:cs="Calibri"/>
                <w:color w:val="0000FF"/>
                <w:sz w:val="16"/>
              </w:rPr>
              <w:t>26</w:t>
            </w:r>
            <w:r w:rsidRPr="00000849">
              <w:rPr>
                <w:rFonts w:ascii="Calibri" w:eastAsia="Calibri" w:hAnsi="Calibri" w:cs="Calibri"/>
                <w:color w:val="000000"/>
                <w:sz w:val="16"/>
              </w:rPr>
              <w:t>]</w:t>
            </w:r>
          </w:p>
        </w:tc>
        <w:tc>
          <w:tcPr>
            <w:tcW w:w="733" w:type="pct"/>
            <w:hideMark/>
          </w:tcPr>
          <w:p w14:paraId="101A195C"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hideMark/>
          </w:tcPr>
          <w:p w14:paraId="544BA9CC"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BMI (continuous) OR 2.01** (1.5 - 2.5); P&lt;0.01</w:t>
            </w:r>
          </w:p>
        </w:tc>
        <w:tc>
          <w:tcPr>
            <w:tcW w:w="771" w:type="pct"/>
            <w:hideMark/>
          </w:tcPr>
          <w:p w14:paraId="75BDECF8" w14:textId="77777777" w:rsidR="00D16031" w:rsidRPr="00000849" w:rsidRDefault="00D16031" w:rsidP="00143B7E">
            <w:pPr>
              <w:spacing w:after="60" w:line="259" w:lineRule="auto"/>
              <w:jc w:val="center"/>
              <w:rPr>
                <w:rFonts w:ascii="Calibri" w:eastAsia="Times New Roman" w:hAnsi="Calibri" w:cs="Calibri"/>
                <w:color w:val="000000"/>
                <w:sz w:val="16"/>
                <w:szCs w:val="18"/>
              </w:rPr>
            </w:pPr>
          </w:p>
        </w:tc>
        <w:tc>
          <w:tcPr>
            <w:tcW w:w="1106" w:type="pct"/>
            <w:hideMark/>
          </w:tcPr>
          <w:p w14:paraId="1238DB96"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Self-reported diabetes OR 2.06 (1.45-3.5), p&lt;0.001</w:t>
            </w:r>
          </w:p>
        </w:tc>
        <w:tc>
          <w:tcPr>
            <w:tcW w:w="770" w:type="pct"/>
            <w:hideMark/>
          </w:tcPr>
          <w:p w14:paraId="2A4CB5C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Disability OR 1.6 (0.9-2.7), p&lt;0.001</w:t>
            </w:r>
          </w:p>
        </w:tc>
      </w:tr>
      <w:tr w:rsidR="00D16031" w:rsidRPr="00000849" w14:paraId="64228CBC" w14:textId="77777777" w:rsidTr="00143B7E">
        <w:trPr>
          <w:trHeight w:val="1430"/>
        </w:trPr>
        <w:tc>
          <w:tcPr>
            <w:tcW w:w="171" w:type="pct"/>
            <w:hideMark/>
          </w:tcPr>
          <w:p w14:paraId="2E384E17"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6</w:t>
            </w:r>
          </w:p>
        </w:tc>
        <w:tc>
          <w:tcPr>
            <w:tcW w:w="339" w:type="pct"/>
            <w:hideMark/>
          </w:tcPr>
          <w:p w14:paraId="411898F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Ghana</w:t>
            </w:r>
          </w:p>
        </w:tc>
        <w:tc>
          <w:tcPr>
            <w:tcW w:w="337" w:type="pct"/>
            <w:hideMark/>
          </w:tcPr>
          <w:p w14:paraId="67B199BE" w14:textId="1A987EA3"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Lloyd-Sherlock 2014 </w:t>
            </w:r>
            <w:r w:rsidRPr="00000849">
              <w:rPr>
                <w:rFonts w:ascii="Calibri" w:eastAsia="Calibri" w:hAnsi="Calibri" w:cs="Calibri"/>
                <w:color w:val="000000"/>
                <w:sz w:val="16"/>
              </w:rPr>
              <w:t>[</w:t>
            </w:r>
            <w:r w:rsidRPr="00000849">
              <w:rPr>
                <w:rFonts w:ascii="Calibri" w:eastAsia="Calibri" w:hAnsi="Calibri" w:cs="Calibri"/>
                <w:color w:val="0000FF"/>
                <w:sz w:val="16"/>
              </w:rPr>
              <w:t>18</w:t>
            </w:r>
            <w:r w:rsidRPr="00000849">
              <w:rPr>
                <w:rFonts w:ascii="Calibri" w:eastAsia="Calibri" w:hAnsi="Calibri" w:cs="Calibri"/>
                <w:color w:val="000000"/>
                <w:sz w:val="16"/>
              </w:rPr>
              <w:t>]</w:t>
            </w:r>
          </w:p>
        </w:tc>
        <w:tc>
          <w:tcPr>
            <w:tcW w:w="733" w:type="pct"/>
            <w:hideMark/>
          </w:tcPr>
          <w:p w14:paraId="2363EF95"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High physical activity (ref.): Moderate, OR = 1.02 (0.83-1.25); Low, OR 1.09 (0.92-1.30)</w:t>
            </w:r>
          </w:p>
        </w:tc>
        <w:tc>
          <w:tcPr>
            <w:tcW w:w="771" w:type="pct"/>
            <w:hideMark/>
          </w:tcPr>
          <w:p w14:paraId="4BEAEDA3"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Normal BMI (ref): Underweight, OR 0.65 (0.54-0.79); Overweight, OR 1.77 (1.48-2.12); Obese, OR 2.30 (1.76-3.00)</w:t>
            </w:r>
          </w:p>
        </w:tc>
        <w:tc>
          <w:tcPr>
            <w:tcW w:w="771" w:type="pct"/>
            <w:hideMark/>
          </w:tcPr>
          <w:p w14:paraId="0EAB5D23"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Life-time abstainers (ref.): non-heavy drinker, OR 0.80 (0.69-0.94); Infrequent heavy drinkers, OR 1.24 (0.66-2.33); Frequent heavy drinkers, OR 1.24 (0.66-2.33)</w:t>
            </w:r>
          </w:p>
        </w:tc>
        <w:tc>
          <w:tcPr>
            <w:tcW w:w="1106" w:type="pct"/>
            <w:hideMark/>
          </w:tcPr>
          <w:p w14:paraId="5F20AFCD"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0" w:type="pct"/>
            <w:hideMark/>
          </w:tcPr>
          <w:p w14:paraId="04052C22"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Never smoker (ref.): Less than daily / ever smoker, OR 1.24 (1.02-1.49); Daily, OR 0.83 (0.61-1.12).</w:t>
            </w:r>
            <w:r w:rsidRPr="00000849">
              <w:rPr>
                <w:rFonts w:ascii="Calibri" w:eastAsia="Times New Roman" w:hAnsi="Calibri" w:cs="Calibri"/>
                <w:color w:val="000000"/>
                <w:sz w:val="16"/>
                <w:szCs w:val="18"/>
              </w:rPr>
              <w:br/>
            </w:r>
          </w:p>
          <w:p w14:paraId="557AD3F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Has health insurance vs.  Uninsured, OR 1.08 (0.94-1.25)</w:t>
            </w:r>
          </w:p>
        </w:tc>
      </w:tr>
      <w:tr w:rsidR="00D16031" w:rsidRPr="00000849" w14:paraId="512240C6" w14:textId="77777777" w:rsidTr="00143B7E">
        <w:trPr>
          <w:cnfStyle w:val="000000100000" w:firstRow="0" w:lastRow="0" w:firstColumn="0" w:lastColumn="0" w:oddVBand="0" w:evenVBand="0" w:oddHBand="1" w:evenHBand="0" w:firstRowFirstColumn="0" w:firstRowLastColumn="0" w:lastRowFirstColumn="0" w:lastRowLastColumn="0"/>
          <w:trHeight w:val="1520"/>
        </w:trPr>
        <w:tc>
          <w:tcPr>
            <w:tcW w:w="171" w:type="pct"/>
            <w:hideMark/>
          </w:tcPr>
          <w:p w14:paraId="1C7DF89E"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7</w:t>
            </w:r>
          </w:p>
        </w:tc>
        <w:tc>
          <w:tcPr>
            <w:tcW w:w="339" w:type="pct"/>
            <w:hideMark/>
          </w:tcPr>
          <w:p w14:paraId="27B7839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South Africa</w:t>
            </w:r>
          </w:p>
        </w:tc>
        <w:tc>
          <w:tcPr>
            <w:tcW w:w="337" w:type="pct"/>
            <w:hideMark/>
          </w:tcPr>
          <w:p w14:paraId="4640088E" w14:textId="2006F14D"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Lloyd-Sherlock 2014 </w:t>
            </w:r>
            <w:r w:rsidRPr="00000849">
              <w:rPr>
                <w:rFonts w:ascii="Calibri" w:eastAsia="Calibri" w:hAnsi="Calibri" w:cs="Calibri"/>
                <w:color w:val="000000"/>
                <w:sz w:val="16"/>
              </w:rPr>
              <w:t>[</w:t>
            </w:r>
            <w:r w:rsidR="003664E9" w:rsidRPr="00000849">
              <w:rPr>
                <w:rFonts w:ascii="Calibri" w:eastAsia="Calibri" w:hAnsi="Calibri" w:cs="Calibri"/>
                <w:color w:val="0000FF"/>
                <w:sz w:val="16"/>
              </w:rPr>
              <w:t>18</w:t>
            </w:r>
            <w:r w:rsidRPr="00000849">
              <w:rPr>
                <w:rFonts w:ascii="Calibri" w:eastAsia="Calibri" w:hAnsi="Calibri" w:cs="Calibri"/>
                <w:color w:val="000000"/>
                <w:sz w:val="16"/>
              </w:rPr>
              <w:t>]</w:t>
            </w:r>
          </w:p>
        </w:tc>
        <w:tc>
          <w:tcPr>
            <w:tcW w:w="733" w:type="pct"/>
            <w:hideMark/>
          </w:tcPr>
          <w:p w14:paraId="2194FB1E"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High physical activity (ref.): Moderate, OR = 0.91 (0.66-1.26); Low, OR 0.77 (0.61-0.97)</w:t>
            </w:r>
          </w:p>
        </w:tc>
        <w:tc>
          <w:tcPr>
            <w:tcW w:w="771" w:type="pct"/>
            <w:hideMark/>
          </w:tcPr>
          <w:p w14:paraId="6B7264F8"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Normal BMI (ref): Underweight, OR 0.96 (0.58-1.59); Overweight, OR 1.57 (1.29-2.06); Obese, OR 1.85 (1.43-2.39)</w:t>
            </w:r>
          </w:p>
        </w:tc>
        <w:tc>
          <w:tcPr>
            <w:tcW w:w="771" w:type="pct"/>
            <w:hideMark/>
          </w:tcPr>
          <w:p w14:paraId="1E986B5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Life-time abstainers (ref.): non-heavy drinker, OR 0.66 (0.47-0.91); Infrequent heavy drinkers, OR 0.41 (0.25-0.67); Frequent heavy drinkers, OR 0.45 (0.17-1.15)</w:t>
            </w:r>
          </w:p>
        </w:tc>
        <w:tc>
          <w:tcPr>
            <w:tcW w:w="1106" w:type="pct"/>
            <w:hideMark/>
          </w:tcPr>
          <w:p w14:paraId="585ABC26"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0" w:type="pct"/>
            <w:hideMark/>
          </w:tcPr>
          <w:p w14:paraId="2BF0EBF3"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Never smoker (ref.): Less than daily / ever smoker, OR 1.05 (0.78-1.42); Daily, OR 1.07 (0.81-1.42).</w:t>
            </w:r>
            <w:r w:rsidRPr="00000849">
              <w:rPr>
                <w:rFonts w:ascii="Calibri" w:eastAsia="Times New Roman" w:hAnsi="Calibri" w:cs="Calibri"/>
                <w:color w:val="000000"/>
                <w:sz w:val="16"/>
                <w:szCs w:val="18"/>
              </w:rPr>
              <w:br w:type="page"/>
            </w:r>
          </w:p>
          <w:p w14:paraId="5498A391" w14:textId="77777777" w:rsidR="00D16031" w:rsidRPr="00000849" w:rsidRDefault="00D16031" w:rsidP="00143B7E">
            <w:pPr>
              <w:spacing w:after="60" w:line="259" w:lineRule="auto"/>
              <w:rPr>
                <w:rFonts w:ascii="Calibri" w:eastAsia="Times New Roman" w:hAnsi="Calibri" w:cs="Calibri"/>
                <w:color w:val="000000"/>
                <w:sz w:val="16"/>
                <w:szCs w:val="18"/>
              </w:rPr>
            </w:pPr>
          </w:p>
          <w:p w14:paraId="7EC7C6CA"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Has health insurance vs.  Uninsured, OR 0.92 (0.71-1.20)</w:t>
            </w:r>
          </w:p>
        </w:tc>
      </w:tr>
      <w:tr w:rsidR="00D16031" w:rsidRPr="00000849" w14:paraId="2B2A5EAB" w14:textId="77777777" w:rsidTr="00143B7E">
        <w:trPr>
          <w:trHeight w:val="620"/>
        </w:trPr>
        <w:tc>
          <w:tcPr>
            <w:tcW w:w="171" w:type="pct"/>
            <w:hideMark/>
          </w:tcPr>
          <w:p w14:paraId="2A1BBC7B"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8</w:t>
            </w:r>
          </w:p>
        </w:tc>
        <w:tc>
          <w:tcPr>
            <w:tcW w:w="339" w:type="pct"/>
            <w:hideMark/>
          </w:tcPr>
          <w:p w14:paraId="051A784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Senegal</w:t>
            </w:r>
          </w:p>
        </w:tc>
        <w:tc>
          <w:tcPr>
            <w:tcW w:w="337" w:type="pct"/>
            <w:hideMark/>
          </w:tcPr>
          <w:p w14:paraId="6384FB1B" w14:textId="2A94CB09"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Macia 2012 </w:t>
            </w:r>
            <w:r w:rsidRPr="00000849">
              <w:rPr>
                <w:rFonts w:ascii="Calibri" w:eastAsia="Calibri" w:hAnsi="Calibri" w:cs="Calibri"/>
                <w:color w:val="000000"/>
                <w:sz w:val="16"/>
              </w:rPr>
              <w:t>[</w:t>
            </w:r>
            <w:r w:rsidR="003664E9" w:rsidRPr="00000849">
              <w:rPr>
                <w:rFonts w:ascii="Calibri" w:eastAsia="Calibri" w:hAnsi="Calibri" w:cs="Calibri"/>
                <w:color w:val="0000FF"/>
                <w:sz w:val="16"/>
              </w:rPr>
              <w:t>30</w:t>
            </w:r>
            <w:r w:rsidRPr="00000849">
              <w:rPr>
                <w:rFonts w:ascii="Calibri" w:eastAsia="Calibri" w:hAnsi="Calibri" w:cs="Calibri"/>
                <w:color w:val="000000"/>
                <w:sz w:val="16"/>
              </w:rPr>
              <w:t>]</w:t>
            </w:r>
          </w:p>
        </w:tc>
        <w:tc>
          <w:tcPr>
            <w:tcW w:w="733" w:type="pct"/>
            <w:noWrap/>
            <w:hideMark/>
          </w:tcPr>
          <w:p w14:paraId="7FA2274D"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hideMark/>
          </w:tcPr>
          <w:p w14:paraId="0ACAB5C7"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BMI &lt;25: BMI ≥25, OR=1.86** (1.24-2.79), p&lt;0.01</w:t>
            </w:r>
          </w:p>
        </w:tc>
        <w:tc>
          <w:tcPr>
            <w:tcW w:w="771" w:type="pct"/>
            <w:noWrap/>
            <w:hideMark/>
          </w:tcPr>
          <w:p w14:paraId="1DAC5010" w14:textId="77777777" w:rsidR="00D16031" w:rsidRPr="00000849" w:rsidRDefault="00D16031" w:rsidP="00143B7E">
            <w:pPr>
              <w:spacing w:after="60" w:line="259" w:lineRule="auto"/>
              <w:jc w:val="center"/>
              <w:rPr>
                <w:rFonts w:ascii="Calibri" w:eastAsia="Times New Roman" w:hAnsi="Calibri" w:cs="Calibri"/>
                <w:color w:val="000000"/>
                <w:sz w:val="16"/>
                <w:szCs w:val="18"/>
              </w:rPr>
            </w:pPr>
          </w:p>
        </w:tc>
        <w:tc>
          <w:tcPr>
            <w:tcW w:w="1106" w:type="pct"/>
            <w:noWrap/>
            <w:hideMark/>
          </w:tcPr>
          <w:p w14:paraId="76883533" w14:textId="77777777" w:rsidR="00D16031" w:rsidRPr="00000849" w:rsidRDefault="00D16031" w:rsidP="00143B7E">
            <w:pPr>
              <w:spacing w:after="60" w:line="259" w:lineRule="auto"/>
              <w:rPr>
                <w:rFonts w:ascii="Times New Roman" w:eastAsia="Times New Roman" w:hAnsi="Times New Roman" w:cs="Times New Roman"/>
                <w:sz w:val="16"/>
                <w:szCs w:val="20"/>
              </w:rPr>
            </w:pPr>
          </w:p>
        </w:tc>
        <w:tc>
          <w:tcPr>
            <w:tcW w:w="770" w:type="pct"/>
            <w:hideMark/>
          </w:tcPr>
          <w:p w14:paraId="626DD8FD"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Married (ref.): Not married, OR 0.81 (0.51-1.28) </w:t>
            </w:r>
          </w:p>
        </w:tc>
      </w:tr>
      <w:tr w:rsidR="00D16031" w:rsidRPr="00000849" w14:paraId="308BE7EE" w14:textId="77777777" w:rsidTr="00143B7E">
        <w:trPr>
          <w:cnfStyle w:val="000000100000" w:firstRow="0" w:lastRow="0" w:firstColumn="0" w:lastColumn="0" w:oddVBand="0" w:evenVBand="0" w:oddHBand="1" w:evenHBand="0" w:firstRowFirstColumn="0" w:firstRowLastColumn="0" w:lastRowFirstColumn="0" w:lastRowLastColumn="0"/>
          <w:trHeight w:val="620"/>
        </w:trPr>
        <w:tc>
          <w:tcPr>
            <w:tcW w:w="171" w:type="pct"/>
          </w:tcPr>
          <w:p w14:paraId="137E8A29"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9</w:t>
            </w:r>
          </w:p>
        </w:tc>
        <w:tc>
          <w:tcPr>
            <w:tcW w:w="339" w:type="pct"/>
          </w:tcPr>
          <w:p w14:paraId="7886F7A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Kenya</w:t>
            </w:r>
          </w:p>
        </w:tc>
        <w:tc>
          <w:tcPr>
            <w:tcW w:w="337" w:type="pct"/>
          </w:tcPr>
          <w:p w14:paraId="6CD864D6" w14:textId="2E7C9219"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Mathenge 2010 </w:t>
            </w:r>
            <w:r w:rsidRPr="00000849">
              <w:rPr>
                <w:rFonts w:ascii="Calibri" w:eastAsia="Calibri" w:hAnsi="Calibri" w:cs="Calibri"/>
                <w:color w:val="000000"/>
                <w:sz w:val="16"/>
              </w:rPr>
              <w:t>[</w:t>
            </w:r>
            <w:r w:rsidR="003664E9" w:rsidRPr="00000849">
              <w:rPr>
                <w:rFonts w:ascii="Calibri" w:eastAsia="Calibri" w:hAnsi="Calibri" w:cs="Calibri"/>
                <w:color w:val="0000FF"/>
                <w:sz w:val="16"/>
              </w:rPr>
              <w:t>31</w:t>
            </w:r>
            <w:r w:rsidRPr="00000849">
              <w:rPr>
                <w:rFonts w:ascii="Calibri" w:eastAsia="Calibri" w:hAnsi="Calibri" w:cs="Calibri"/>
                <w:color w:val="000000"/>
                <w:sz w:val="16"/>
              </w:rPr>
              <w:t>]</w:t>
            </w:r>
          </w:p>
        </w:tc>
        <w:tc>
          <w:tcPr>
            <w:tcW w:w="733" w:type="pct"/>
            <w:noWrap/>
          </w:tcPr>
          <w:p w14:paraId="44A1608D"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tcPr>
          <w:p w14:paraId="7E01CFF8"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BMI and WHR adjusted</w:t>
            </w:r>
          </w:p>
        </w:tc>
        <w:tc>
          <w:tcPr>
            <w:tcW w:w="771" w:type="pct"/>
            <w:noWrap/>
          </w:tcPr>
          <w:p w14:paraId="269459A0"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Alcohol use adjusted</w:t>
            </w:r>
          </w:p>
        </w:tc>
        <w:tc>
          <w:tcPr>
            <w:tcW w:w="1106" w:type="pct"/>
            <w:noWrap/>
          </w:tcPr>
          <w:p w14:paraId="243F24C5"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Diabetes (laboratory-confirmed) adjusted</w:t>
            </w:r>
          </w:p>
        </w:tc>
        <w:tc>
          <w:tcPr>
            <w:tcW w:w="770" w:type="pct"/>
          </w:tcPr>
          <w:p w14:paraId="257264A6"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Ethnicity Kalenjins (ref.): Kikuyus OR 1.4 (1.2-1.7)</w:t>
            </w:r>
          </w:p>
        </w:tc>
      </w:tr>
      <w:tr w:rsidR="00D16031" w:rsidRPr="00000849" w14:paraId="6C42653A" w14:textId="77777777" w:rsidTr="00143B7E">
        <w:trPr>
          <w:trHeight w:val="620"/>
        </w:trPr>
        <w:tc>
          <w:tcPr>
            <w:tcW w:w="171" w:type="pct"/>
          </w:tcPr>
          <w:p w14:paraId="024D7513"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10</w:t>
            </w:r>
          </w:p>
        </w:tc>
        <w:tc>
          <w:tcPr>
            <w:tcW w:w="339" w:type="pct"/>
          </w:tcPr>
          <w:p w14:paraId="709104AF"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Ghana</w:t>
            </w:r>
          </w:p>
        </w:tc>
        <w:tc>
          <w:tcPr>
            <w:tcW w:w="337" w:type="pct"/>
          </w:tcPr>
          <w:p w14:paraId="066DA2EB" w14:textId="4AD07B62"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Minicuci 2014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3664E9" w:rsidRPr="00000849">
              <w:rPr>
                <w:rFonts w:ascii="Calibri" w:eastAsia="Calibri" w:hAnsi="Calibri" w:cs="Calibri"/>
                <w:color w:val="0000FF"/>
                <w:sz w:val="16"/>
              </w:rPr>
              <w:t>2</w:t>
            </w:r>
            <w:r w:rsidRPr="00000849">
              <w:rPr>
                <w:rFonts w:ascii="Calibri" w:eastAsia="Calibri" w:hAnsi="Calibri" w:cs="Calibri"/>
                <w:color w:val="000000"/>
                <w:sz w:val="16"/>
              </w:rPr>
              <w:t>]</w:t>
            </w:r>
          </w:p>
        </w:tc>
        <w:tc>
          <w:tcPr>
            <w:tcW w:w="733" w:type="pct"/>
            <w:noWrap/>
          </w:tcPr>
          <w:p w14:paraId="370FC6CC"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tcPr>
          <w:p w14:paraId="734A4723"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Normal weight (ref.): Overweight BM 25.0-29.9 kg/m2 OR = 1.72 (1.40 - 2.11); </w:t>
            </w:r>
          </w:p>
          <w:p w14:paraId="0398116A"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Obese BMI ≥30.0 kg/m2 OR 2.03 (1.53-2.71) </w:t>
            </w:r>
          </w:p>
          <w:p w14:paraId="7BE0C12F"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Underweight (BMI &lt;18.5 kg/m2) OR 0.63 (0.50-0.80)</w:t>
            </w:r>
          </w:p>
        </w:tc>
        <w:tc>
          <w:tcPr>
            <w:tcW w:w="771" w:type="pct"/>
            <w:noWrap/>
          </w:tcPr>
          <w:p w14:paraId="78601252" w14:textId="77777777" w:rsidR="00D16031" w:rsidRPr="00000849" w:rsidRDefault="00D16031" w:rsidP="00143B7E">
            <w:pPr>
              <w:spacing w:after="60" w:line="259" w:lineRule="auto"/>
              <w:jc w:val="center"/>
              <w:rPr>
                <w:rFonts w:ascii="Calibri" w:eastAsia="Times New Roman" w:hAnsi="Calibri" w:cs="Calibri"/>
                <w:color w:val="000000"/>
                <w:sz w:val="16"/>
                <w:szCs w:val="18"/>
              </w:rPr>
            </w:pPr>
          </w:p>
        </w:tc>
        <w:tc>
          <w:tcPr>
            <w:tcW w:w="1106" w:type="pct"/>
            <w:noWrap/>
          </w:tcPr>
          <w:p w14:paraId="18ABC383" w14:textId="77777777" w:rsidR="00D16031" w:rsidRPr="00000849" w:rsidRDefault="00D16031" w:rsidP="00143B7E">
            <w:pPr>
              <w:spacing w:after="60" w:line="259" w:lineRule="auto"/>
              <w:jc w:val="center"/>
              <w:rPr>
                <w:rFonts w:ascii="Calibri" w:eastAsia="Times New Roman" w:hAnsi="Calibri" w:cs="Calibri"/>
                <w:color w:val="000000"/>
                <w:sz w:val="16"/>
                <w:szCs w:val="18"/>
              </w:rPr>
            </w:pPr>
          </w:p>
        </w:tc>
        <w:tc>
          <w:tcPr>
            <w:tcW w:w="770" w:type="pct"/>
          </w:tcPr>
          <w:p w14:paraId="1078257A"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Administrative region.  Greater Accra (ref.): Ashanti OR 1.14 (0.78-1.66); Brong Ahafo, OR 0.98 (0.66-1.45); Central, OR 1.03 (0.69-1.52); Eastern, OR 1.03 (0.73-1.45); Northern, OR 0.90 (0.54-1.49); Upper East, OR 0.37 (0.24-0.58); Upper West, OR 0.24 (0.12-0.46); Volta, OR 0.99 (0.65-1.48); </w:t>
            </w:r>
            <w:r w:rsidRPr="00000849">
              <w:rPr>
                <w:rFonts w:ascii="Calibri" w:eastAsia="Times New Roman" w:hAnsi="Calibri" w:cs="Calibri"/>
                <w:color w:val="000000"/>
                <w:sz w:val="16"/>
                <w:szCs w:val="18"/>
              </w:rPr>
              <w:lastRenderedPageBreak/>
              <w:t>Western, OR 0.81 (0.54-1.21)</w:t>
            </w:r>
          </w:p>
        </w:tc>
      </w:tr>
      <w:tr w:rsidR="00D16031" w:rsidRPr="00000849" w14:paraId="52429544" w14:textId="77777777" w:rsidTr="00143B7E">
        <w:trPr>
          <w:cnfStyle w:val="000000100000" w:firstRow="0" w:lastRow="0" w:firstColumn="0" w:lastColumn="0" w:oddVBand="0" w:evenVBand="0" w:oddHBand="1" w:evenHBand="0" w:firstRowFirstColumn="0" w:firstRowLastColumn="0" w:lastRowFirstColumn="0" w:lastRowLastColumn="0"/>
          <w:trHeight w:val="620"/>
        </w:trPr>
        <w:tc>
          <w:tcPr>
            <w:tcW w:w="171" w:type="pct"/>
          </w:tcPr>
          <w:p w14:paraId="4A324CD8"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lastRenderedPageBreak/>
              <w:t>11</w:t>
            </w:r>
          </w:p>
        </w:tc>
        <w:tc>
          <w:tcPr>
            <w:tcW w:w="339" w:type="pct"/>
          </w:tcPr>
          <w:p w14:paraId="06BACE2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Ghana</w:t>
            </w:r>
          </w:p>
        </w:tc>
        <w:tc>
          <w:tcPr>
            <w:tcW w:w="337" w:type="pct"/>
          </w:tcPr>
          <w:p w14:paraId="4783F6FA" w14:textId="77811DE5"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Nuertey 2017 </w:t>
            </w:r>
            <w:r w:rsidRPr="00000849">
              <w:rPr>
                <w:rFonts w:ascii="Calibri" w:eastAsia="Calibri" w:hAnsi="Calibri" w:cs="Calibri"/>
                <w:color w:val="000000"/>
                <w:sz w:val="16"/>
              </w:rPr>
              <w:t>[</w:t>
            </w:r>
            <w:r w:rsidR="003664E9" w:rsidRPr="00000849">
              <w:rPr>
                <w:rFonts w:ascii="Calibri" w:eastAsia="Calibri" w:hAnsi="Calibri" w:cs="Calibri"/>
                <w:color w:val="0000FF"/>
                <w:sz w:val="16"/>
              </w:rPr>
              <w:t>3</w:t>
            </w:r>
            <w:r w:rsidRPr="00000849">
              <w:rPr>
                <w:rFonts w:ascii="Calibri" w:eastAsia="Calibri" w:hAnsi="Calibri" w:cs="Calibri"/>
                <w:color w:val="0000FF"/>
                <w:sz w:val="16"/>
              </w:rPr>
              <w:t>4</w:t>
            </w:r>
            <w:r w:rsidRPr="00000849">
              <w:rPr>
                <w:rFonts w:ascii="Calibri" w:eastAsia="Calibri" w:hAnsi="Calibri" w:cs="Calibri"/>
                <w:color w:val="000000"/>
                <w:sz w:val="16"/>
              </w:rPr>
              <w:t>]</w:t>
            </w:r>
          </w:p>
        </w:tc>
        <w:tc>
          <w:tcPr>
            <w:tcW w:w="733" w:type="pct"/>
            <w:noWrap/>
          </w:tcPr>
          <w:p w14:paraId="2CA6A6DE"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tcPr>
          <w:p w14:paraId="105C6885"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Adjusted OR 1.8 (1.5-2.0) compares overweight/obese in hypertensives and non-hypertensives</w:t>
            </w:r>
          </w:p>
        </w:tc>
        <w:tc>
          <w:tcPr>
            <w:tcW w:w="771" w:type="pct"/>
            <w:noWrap/>
          </w:tcPr>
          <w:p w14:paraId="44226FF0" w14:textId="77777777" w:rsidR="00D16031" w:rsidRPr="00000849" w:rsidRDefault="00D16031" w:rsidP="00143B7E">
            <w:pPr>
              <w:spacing w:after="60" w:line="259" w:lineRule="auto"/>
              <w:jc w:val="center"/>
              <w:rPr>
                <w:rFonts w:ascii="Calibri" w:eastAsia="Times New Roman" w:hAnsi="Calibri" w:cs="Calibri"/>
                <w:color w:val="000000"/>
                <w:sz w:val="16"/>
                <w:szCs w:val="18"/>
              </w:rPr>
            </w:pPr>
          </w:p>
        </w:tc>
        <w:tc>
          <w:tcPr>
            <w:tcW w:w="1106" w:type="pct"/>
            <w:noWrap/>
          </w:tcPr>
          <w:p w14:paraId="782D17CF"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Adjusted for self-reported diabetes</w:t>
            </w:r>
          </w:p>
        </w:tc>
        <w:tc>
          <w:tcPr>
            <w:tcW w:w="770" w:type="pct"/>
          </w:tcPr>
          <w:p w14:paraId="74F7674B" w14:textId="77777777" w:rsidR="00D16031" w:rsidRPr="00000849" w:rsidRDefault="00D16031" w:rsidP="00143B7E">
            <w:pPr>
              <w:spacing w:after="60" w:line="259" w:lineRule="auto"/>
              <w:rPr>
                <w:rFonts w:ascii="Calibri" w:eastAsia="Times New Roman" w:hAnsi="Calibri" w:cs="Calibri"/>
                <w:color w:val="000000"/>
                <w:sz w:val="16"/>
                <w:szCs w:val="18"/>
              </w:rPr>
            </w:pPr>
          </w:p>
        </w:tc>
      </w:tr>
      <w:tr w:rsidR="00D16031" w:rsidRPr="00000849" w14:paraId="5107F9AD" w14:textId="77777777" w:rsidTr="00143B7E">
        <w:trPr>
          <w:trHeight w:val="1440"/>
        </w:trPr>
        <w:tc>
          <w:tcPr>
            <w:tcW w:w="171" w:type="pct"/>
            <w:hideMark/>
          </w:tcPr>
          <w:p w14:paraId="5F6536A1"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12</w:t>
            </w:r>
          </w:p>
        </w:tc>
        <w:tc>
          <w:tcPr>
            <w:tcW w:w="339" w:type="pct"/>
            <w:hideMark/>
          </w:tcPr>
          <w:p w14:paraId="48EDB20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South Africa</w:t>
            </w:r>
          </w:p>
        </w:tc>
        <w:tc>
          <w:tcPr>
            <w:tcW w:w="337" w:type="pct"/>
            <w:hideMark/>
          </w:tcPr>
          <w:p w14:paraId="61D393D4" w14:textId="022F2741"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Peltzer 2013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3664E9" w:rsidRPr="00000849">
              <w:rPr>
                <w:rFonts w:ascii="Calibri" w:eastAsia="Calibri" w:hAnsi="Calibri" w:cs="Calibri"/>
                <w:color w:val="0000FF"/>
                <w:sz w:val="16"/>
              </w:rPr>
              <w:t>3</w:t>
            </w:r>
            <w:r w:rsidRPr="00000849">
              <w:rPr>
                <w:rFonts w:ascii="Calibri" w:eastAsia="Calibri" w:hAnsi="Calibri" w:cs="Calibri"/>
                <w:color w:val="000000"/>
                <w:sz w:val="16"/>
              </w:rPr>
              <w:t>]</w:t>
            </w:r>
          </w:p>
        </w:tc>
        <w:tc>
          <w:tcPr>
            <w:tcW w:w="733" w:type="pct"/>
            <w:hideMark/>
          </w:tcPr>
          <w:p w14:paraId="0CDB0B54"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hideMark/>
          </w:tcPr>
          <w:p w14:paraId="4A4E4ACA"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Normal weight (ref.): Overweight BMI ≥25 kg/m2 OR = 1.52 (1.15 - 2.01)**, p&lt;0.01</w:t>
            </w:r>
          </w:p>
          <w:p w14:paraId="389806D8"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Underweight (BMI &lt;18.5 kg/m2) OR 0.77 (0.36-1.64</w:t>
            </w:r>
          </w:p>
        </w:tc>
        <w:tc>
          <w:tcPr>
            <w:tcW w:w="771" w:type="pct"/>
            <w:hideMark/>
          </w:tcPr>
          <w:p w14:paraId="3B4B4FAE"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Alcohol use over past one month, OR = 0.64 (0.49 - 0.84)</w:t>
            </w:r>
          </w:p>
        </w:tc>
        <w:tc>
          <w:tcPr>
            <w:tcW w:w="1106" w:type="pct"/>
            <w:hideMark/>
          </w:tcPr>
          <w:p w14:paraId="533C9D6D"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Self-reported diabetes, OR 1.30 (0.86-1.98)</w:t>
            </w:r>
          </w:p>
        </w:tc>
        <w:tc>
          <w:tcPr>
            <w:tcW w:w="770" w:type="pct"/>
            <w:hideMark/>
          </w:tcPr>
          <w:p w14:paraId="577048E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Race black African (ref.): white OR 1.23 (0.66-2.30); Coloured OR 1.89 (1.04-3.44); Indian or Asian OR 0.82 (0.47-1.42)</w:t>
            </w:r>
          </w:p>
          <w:p w14:paraId="09AA55E9"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 </w:t>
            </w:r>
          </w:p>
          <w:p w14:paraId="66AE8CC1"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Self-reported stroke OR 4.48 (1.48-13.59)**, p&lt;0.01</w:t>
            </w:r>
          </w:p>
          <w:p w14:paraId="515AC265" w14:textId="77777777" w:rsidR="00D16031" w:rsidRPr="00000849" w:rsidRDefault="00D16031" w:rsidP="00143B7E">
            <w:pPr>
              <w:spacing w:after="60" w:line="259" w:lineRule="auto"/>
              <w:rPr>
                <w:rFonts w:ascii="Calibri" w:eastAsia="Times New Roman" w:hAnsi="Calibri" w:cs="Calibri"/>
                <w:color w:val="000000"/>
                <w:sz w:val="16"/>
                <w:szCs w:val="18"/>
              </w:rPr>
            </w:pPr>
          </w:p>
          <w:p w14:paraId="21E08751"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Self-reported arthritis OR 1.13 (0.75-1.69)</w:t>
            </w:r>
          </w:p>
          <w:p w14:paraId="3DB3F41C" w14:textId="77777777" w:rsidR="00D16031" w:rsidRPr="00000849" w:rsidRDefault="00D16031" w:rsidP="00143B7E">
            <w:pPr>
              <w:spacing w:after="60" w:line="259" w:lineRule="auto"/>
              <w:rPr>
                <w:rFonts w:ascii="Calibri" w:eastAsia="Times New Roman" w:hAnsi="Calibri" w:cs="Calibri"/>
                <w:color w:val="000000"/>
                <w:sz w:val="16"/>
                <w:szCs w:val="18"/>
              </w:rPr>
            </w:pPr>
          </w:p>
          <w:p w14:paraId="3BA8AD2A"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Outpatient visits in past 12 months; Nil (ref.):1-4 visits OR 1.14 (0.80-1.63); ≥ 5 visits vs. nil, OR = 1.93 (1.48 - 2.51)</w:t>
            </w:r>
          </w:p>
        </w:tc>
      </w:tr>
      <w:tr w:rsidR="00D16031" w:rsidRPr="00000849" w14:paraId="52E908B1" w14:textId="77777777" w:rsidTr="00143B7E">
        <w:trPr>
          <w:cnfStyle w:val="000000100000" w:firstRow="0" w:lastRow="0" w:firstColumn="0" w:lastColumn="0" w:oddVBand="0" w:evenVBand="0" w:oddHBand="1" w:evenHBand="0" w:firstRowFirstColumn="0" w:firstRowLastColumn="0" w:lastRowFirstColumn="0" w:lastRowLastColumn="0"/>
          <w:trHeight w:val="1160"/>
        </w:trPr>
        <w:tc>
          <w:tcPr>
            <w:tcW w:w="171" w:type="pct"/>
            <w:hideMark/>
          </w:tcPr>
          <w:p w14:paraId="3A023E63"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13</w:t>
            </w:r>
          </w:p>
        </w:tc>
        <w:tc>
          <w:tcPr>
            <w:tcW w:w="339" w:type="pct"/>
            <w:hideMark/>
          </w:tcPr>
          <w:p w14:paraId="03201BF5"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CAR, Congo</w:t>
            </w:r>
          </w:p>
        </w:tc>
        <w:tc>
          <w:tcPr>
            <w:tcW w:w="337" w:type="pct"/>
            <w:hideMark/>
          </w:tcPr>
          <w:p w14:paraId="01DD3E21" w14:textId="01530D7E"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Pilleron 2017 </w:t>
            </w:r>
            <w:r w:rsidRPr="00000849">
              <w:rPr>
                <w:rFonts w:ascii="Calibri" w:eastAsia="Calibri" w:hAnsi="Calibri" w:cs="Calibri"/>
                <w:color w:val="000000"/>
                <w:sz w:val="16"/>
              </w:rPr>
              <w:t>[</w:t>
            </w:r>
            <w:r w:rsidR="003664E9" w:rsidRPr="00000849">
              <w:rPr>
                <w:rFonts w:ascii="Calibri" w:eastAsia="Calibri" w:hAnsi="Calibri" w:cs="Calibri"/>
                <w:color w:val="0000FF"/>
                <w:sz w:val="16"/>
              </w:rPr>
              <w:t>36</w:t>
            </w:r>
            <w:r w:rsidRPr="00000849">
              <w:rPr>
                <w:rFonts w:ascii="Calibri" w:eastAsia="Calibri" w:hAnsi="Calibri" w:cs="Calibri"/>
                <w:color w:val="000000"/>
                <w:sz w:val="16"/>
              </w:rPr>
              <w:t>]</w:t>
            </w:r>
          </w:p>
        </w:tc>
        <w:tc>
          <w:tcPr>
            <w:tcW w:w="733" w:type="pct"/>
            <w:hideMark/>
          </w:tcPr>
          <w:p w14:paraId="1FA52D58"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high physical activity ≥150 min/wk vs. &lt;150 min/wk; OR = 0.75 (0.59-0.96); p=0.023</w:t>
            </w:r>
          </w:p>
        </w:tc>
        <w:tc>
          <w:tcPr>
            <w:tcW w:w="771" w:type="pct"/>
            <w:hideMark/>
          </w:tcPr>
          <w:p w14:paraId="1EC939A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BMI (continuous variable); OR = 1.09*** (1.06-1.12); p&lt;0.001</w:t>
            </w:r>
          </w:p>
        </w:tc>
        <w:tc>
          <w:tcPr>
            <w:tcW w:w="771" w:type="pct"/>
            <w:hideMark/>
          </w:tcPr>
          <w:p w14:paraId="28B629DE"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abstainers: light OR=0.99 (0.77-1.27); moderate to heavy OR = 0.89 (0.42-1.89); p=0.953</w:t>
            </w:r>
          </w:p>
        </w:tc>
        <w:tc>
          <w:tcPr>
            <w:tcW w:w="1106" w:type="pct"/>
            <w:hideMark/>
          </w:tcPr>
          <w:p w14:paraId="6F70EDD5"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Diagnosed diabetes OR 0.85 (0.56-1.28), p=0.408</w:t>
            </w:r>
          </w:p>
        </w:tc>
        <w:tc>
          <w:tcPr>
            <w:tcW w:w="770" w:type="pct"/>
            <w:hideMark/>
          </w:tcPr>
          <w:p w14:paraId="5A60E975"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tobacco nonuser: ex-user OR=0.65 (0.41-1.03); current smoker OR=0.60 (0.38-0.95); other mode of intake OR=0.81 (0.60-1.11)</w:t>
            </w:r>
            <w:r w:rsidRPr="00000849">
              <w:rPr>
                <w:rFonts w:ascii="Calibri" w:eastAsia="Times New Roman" w:hAnsi="Calibri" w:cs="Calibri"/>
                <w:color w:val="000000"/>
                <w:sz w:val="16"/>
                <w:szCs w:val="18"/>
              </w:rPr>
              <w:br w:type="page"/>
            </w:r>
            <w:r w:rsidRPr="00000849">
              <w:rPr>
                <w:rFonts w:ascii="Calibri" w:eastAsia="Times New Roman" w:hAnsi="Calibri" w:cs="Calibri"/>
                <w:color w:val="000000"/>
                <w:sz w:val="16"/>
                <w:szCs w:val="18"/>
              </w:rPr>
              <w:br w:type="page"/>
              <w:t>High cholesterol vs normal level: OR 1.33 (0.90-1.97)</w:t>
            </w:r>
          </w:p>
        </w:tc>
      </w:tr>
      <w:tr w:rsidR="00D16031" w:rsidRPr="00000849" w14:paraId="0DECE863" w14:textId="77777777" w:rsidTr="00143B7E">
        <w:trPr>
          <w:trHeight w:val="800"/>
        </w:trPr>
        <w:tc>
          <w:tcPr>
            <w:tcW w:w="171" w:type="pct"/>
          </w:tcPr>
          <w:p w14:paraId="50FF4A50"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14</w:t>
            </w:r>
          </w:p>
        </w:tc>
        <w:tc>
          <w:tcPr>
            <w:tcW w:w="339" w:type="pct"/>
          </w:tcPr>
          <w:p w14:paraId="6CD2BAFF"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Nigeria</w:t>
            </w:r>
          </w:p>
        </w:tc>
        <w:tc>
          <w:tcPr>
            <w:tcW w:w="337" w:type="pct"/>
          </w:tcPr>
          <w:p w14:paraId="6B5CC3F7" w14:textId="27C2B981"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Raji 2017 </w:t>
            </w:r>
            <w:r w:rsidRPr="00000849">
              <w:rPr>
                <w:rFonts w:ascii="Calibri" w:eastAsia="Calibri" w:hAnsi="Calibri" w:cs="Calibri"/>
                <w:color w:val="000000"/>
                <w:sz w:val="16"/>
              </w:rPr>
              <w:t>[</w:t>
            </w:r>
            <w:r w:rsidR="003664E9" w:rsidRPr="00000849">
              <w:rPr>
                <w:rFonts w:ascii="Calibri" w:eastAsia="Calibri" w:hAnsi="Calibri" w:cs="Calibri"/>
                <w:color w:val="0000FF"/>
                <w:sz w:val="16"/>
              </w:rPr>
              <w:t>37</w:t>
            </w:r>
            <w:r w:rsidRPr="00000849">
              <w:rPr>
                <w:rFonts w:ascii="Calibri" w:eastAsia="Calibri" w:hAnsi="Calibri" w:cs="Calibri"/>
                <w:color w:val="000000"/>
                <w:sz w:val="16"/>
              </w:rPr>
              <w:t>]</w:t>
            </w:r>
          </w:p>
        </w:tc>
        <w:tc>
          <w:tcPr>
            <w:tcW w:w="733" w:type="pct"/>
          </w:tcPr>
          <w:p w14:paraId="60D6DA55"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tcPr>
          <w:p w14:paraId="2D82D59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Overweight/obesity BMI ≥25 kg/m2 OR = 3.72 (1.47 - 9.40)**, p=0.007</w:t>
            </w:r>
          </w:p>
        </w:tc>
        <w:tc>
          <w:tcPr>
            <w:tcW w:w="771" w:type="pct"/>
          </w:tcPr>
          <w:p w14:paraId="0F497646"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Never drank alcohol (ref.): Drank alcohol  OR 0.84 (0.66-1.09), NS</w:t>
            </w:r>
          </w:p>
        </w:tc>
        <w:tc>
          <w:tcPr>
            <w:tcW w:w="1106" w:type="pct"/>
          </w:tcPr>
          <w:p w14:paraId="104B228A"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No history of self-reported diabetes (ref.): Self-reported diabetes OR 0.91 (0.50-1.75), p value=0.389</w:t>
            </w:r>
          </w:p>
        </w:tc>
        <w:tc>
          <w:tcPr>
            <w:tcW w:w="770" w:type="pct"/>
          </w:tcPr>
          <w:p w14:paraId="2D78CA12"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Cigarette smoking OR 0.97 (0.73-1.29), p value=0.819</w:t>
            </w:r>
          </w:p>
        </w:tc>
      </w:tr>
      <w:tr w:rsidR="00D16031" w:rsidRPr="00000849" w14:paraId="29B900FE" w14:textId="77777777" w:rsidTr="00143B7E">
        <w:trPr>
          <w:cnfStyle w:val="000000100000" w:firstRow="0" w:lastRow="0" w:firstColumn="0" w:lastColumn="0" w:oddVBand="0" w:evenVBand="0" w:oddHBand="1" w:evenHBand="0" w:firstRowFirstColumn="0" w:firstRowLastColumn="0" w:lastRowFirstColumn="0" w:lastRowLastColumn="0"/>
          <w:trHeight w:val="710"/>
        </w:trPr>
        <w:tc>
          <w:tcPr>
            <w:tcW w:w="171" w:type="pct"/>
          </w:tcPr>
          <w:p w14:paraId="549BDB41"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lastRenderedPageBreak/>
              <w:t>15</w:t>
            </w:r>
          </w:p>
        </w:tc>
        <w:tc>
          <w:tcPr>
            <w:tcW w:w="339" w:type="pct"/>
          </w:tcPr>
          <w:p w14:paraId="7A373CC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Uganda</w:t>
            </w:r>
          </w:p>
        </w:tc>
        <w:tc>
          <w:tcPr>
            <w:tcW w:w="337" w:type="pct"/>
          </w:tcPr>
          <w:p w14:paraId="34239B46" w14:textId="44E11E8A"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Scholten 2011 </w:t>
            </w:r>
            <w:r w:rsidRPr="00000849">
              <w:rPr>
                <w:rFonts w:ascii="Calibri" w:eastAsia="Calibri" w:hAnsi="Calibri" w:cs="Calibri"/>
                <w:color w:val="000000"/>
                <w:sz w:val="16"/>
              </w:rPr>
              <w:t>[</w:t>
            </w:r>
            <w:r w:rsidR="003664E9" w:rsidRPr="00000849">
              <w:rPr>
                <w:rFonts w:ascii="Calibri" w:eastAsia="Calibri" w:hAnsi="Calibri" w:cs="Calibri"/>
                <w:color w:val="0000FF"/>
                <w:sz w:val="16"/>
              </w:rPr>
              <w:t>38</w:t>
            </w:r>
            <w:r w:rsidRPr="00000849">
              <w:rPr>
                <w:rFonts w:ascii="Calibri" w:eastAsia="Calibri" w:hAnsi="Calibri" w:cs="Calibri"/>
                <w:color w:val="000000"/>
                <w:sz w:val="16"/>
              </w:rPr>
              <w:t>]</w:t>
            </w:r>
          </w:p>
        </w:tc>
        <w:tc>
          <w:tcPr>
            <w:tcW w:w="733" w:type="pct"/>
          </w:tcPr>
          <w:p w14:paraId="5508A55E"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tcPr>
          <w:p w14:paraId="47BCF84A"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1" w:type="pct"/>
          </w:tcPr>
          <w:p w14:paraId="378E135D"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1106" w:type="pct"/>
          </w:tcPr>
          <w:p w14:paraId="6089A083"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0" w:type="pct"/>
          </w:tcPr>
          <w:p w14:paraId="1ADFB79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Married (ref.): Not married, OR 0.92; NS</w:t>
            </w:r>
          </w:p>
          <w:p w14:paraId="13936C02" w14:textId="77777777" w:rsidR="00D16031" w:rsidRPr="00000849" w:rsidRDefault="00D16031" w:rsidP="00143B7E">
            <w:pPr>
              <w:spacing w:after="60" w:line="259" w:lineRule="auto"/>
              <w:rPr>
                <w:rFonts w:ascii="Calibri" w:eastAsia="Times New Roman" w:hAnsi="Calibri" w:cs="Calibri"/>
                <w:color w:val="000000"/>
                <w:sz w:val="16"/>
                <w:szCs w:val="18"/>
              </w:rPr>
            </w:pPr>
          </w:p>
          <w:p w14:paraId="19A35322"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HIV infection and treatment, No HIV (ref.): HIV on ART, OR 0.50, NS; HIV no ART, OR 0.23, p value = 0.01</w:t>
            </w:r>
          </w:p>
        </w:tc>
      </w:tr>
      <w:tr w:rsidR="00D16031" w:rsidRPr="00000849" w14:paraId="18FF9BEB" w14:textId="77777777" w:rsidTr="00143B7E">
        <w:trPr>
          <w:trHeight w:val="620"/>
        </w:trPr>
        <w:tc>
          <w:tcPr>
            <w:tcW w:w="171" w:type="pct"/>
            <w:hideMark/>
          </w:tcPr>
          <w:p w14:paraId="3967C83F"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16</w:t>
            </w:r>
          </w:p>
        </w:tc>
        <w:tc>
          <w:tcPr>
            <w:tcW w:w="339" w:type="pct"/>
            <w:hideMark/>
          </w:tcPr>
          <w:p w14:paraId="5D79E6A9"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Cameroon</w:t>
            </w:r>
          </w:p>
        </w:tc>
        <w:tc>
          <w:tcPr>
            <w:tcW w:w="337" w:type="pct"/>
            <w:hideMark/>
          </w:tcPr>
          <w:p w14:paraId="2892D011" w14:textId="2646D77D"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Tianyi 2017 </w:t>
            </w:r>
            <w:r w:rsidRPr="00000849">
              <w:rPr>
                <w:rFonts w:ascii="Calibri" w:eastAsia="Calibri" w:hAnsi="Calibri" w:cs="Calibri"/>
                <w:color w:val="000000"/>
                <w:sz w:val="16"/>
              </w:rPr>
              <w:t>[</w:t>
            </w:r>
            <w:r w:rsidR="003664E9" w:rsidRPr="00000849">
              <w:rPr>
                <w:rFonts w:ascii="Calibri" w:eastAsia="Calibri" w:hAnsi="Calibri" w:cs="Calibri"/>
                <w:color w:val="0000FF"/>
                <w:sz w:val="16"/>
              </w:rPr>
              <w:t>39</w:t>
            </w:r>
            <w:r w:rsidRPr="00000849">
              <w:rPr>
                <w:rFonts w:ascii="Calibri" w:eastAsia="Calibri" w:hAnsi="Calibri" w:cs="Calibri"/>
                <w:color w:val="000000"/>
                <w:sz w:val="16"/>
              </w:rPr>
              <w:t>]</w:t>
            </w:r>
          </w:p>
        </w:tc>
        <w:tc>
          <w:tcPr>
            <w:tcW w:w="733" w:type="pct"/>
            <w:hideMark/>
          </w:tcPr>
          <w:p w14:paraId="2344DA85"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w:t>
            </w:r>
          </w:p>
        </w:tc>
        <w:tc>
          <w:tcPr>
            <w:tcW w:w="771" w:type="pct"/>
            <w:hideMark/>
          </w:tcPr>
          <w:p w14:paraId="237FD89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Overweight/obesity vs. Others, OR = 3.46 (2.38 - 5.03)***, p&lt;0.001</w:t>
            </w:r>
          </w:p>
        </w:tc>
        <w:tc>
          <w:tcPr>
            <w:tcW w:w="771" w:type="pct"/>
            <w:hideMark/>
          </w:tcPr>
          <w:p w14:paraId="7AA4DC23"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w:t>
            </w:r>
          </w:p>
        </w:tc>
        <w:tc>
          <w:tcPr>
            <w:tcW w:w="1106" w:type="pct"/>
            <w:hideMark/>
          </w:tcPr>
          <w:p w14:paraId="219E2F44" w14:textId="77777777" w:rsidR="00D16031" w:rsidRPr="00000849" w:rsidRDefault="00D16031" w:rsidP="00143B7E">
            <w:pPr>
              <w:spacing w:after="60" w:line="259" w:lineRule="auto"/>
              <w:rPr>
                <w:rFonts w:ascii="Calibri" w:eastAsia="Times New Roman" w:hAnsi="Calibri" w:cs="Calibri"/>
                <w:color w:val="000000"/>
                <w:sz w:val="16"/>
                <w:szCs w:val="18"/>
              </w:rPr>
            </w:pPr>
          </w:p>
        </w:tc>
        <w:tc>
          <w:tcPr>
            <w:tcW w:w="770" w:type="pct"/>
            <w:hideMark/>
          </w:tcPr>
          <w:p w14:paraId="4C88039E" w14:textId="77777777" w:rsidR="00D16031" w:rsidRPr="00000849" w:rsidRDefault="00D16031" w:rsidP="00143B7E">
            <w:pPr>
              <w:spacing w:after="60" w:line="259" w:lineRule="auto"/>
              <w:rPr>
                <w:rFonts w:ascii="Times New Roman" w:eastAsia="Times New Roman" w:hAnsi="Times New Roman" w:cs="Times New Roman"/>
                <w:sz w:val="16"/>
                <w:szCs w:val="20"/>
              </w:rPr>
            </w:pPr>
          </w:p>
        </w:tc>
      </w:tr>
      <w:tr w:rsidR="00D16031" w:rsidRPr="00000849" w14:paraId="495D7755" w14:textId="77777777" w:rsidTr="00143B7E">
        <w:trPr>
          <w:cnfStyle w:val="000000100000" w:firstRow="0" w:lastRow="0" w:firstColumn="0" w:lastColumn="0" w:oddVBand="0" w:evenVBand="0" w:oddHBand="1" w:evenHBand="0" w:firstRowFirstColumn="0" w:firstRowLastColumn="0" w:lastRowFirstColumn="0" w:lastRowLastColumn="0"/>
          <w:trHeight w:val="2880"/>
        </w:trPr>
        <w:tc>
          <w:tcPr>
            <w:tcW w:w="171" w:type="pct"/>
            <w:hideMark/>
          </w:tcPr>
          <w:p w14:paraId="210D3FD8"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t>17</w:t>
            </w:r>
          </w:p>
        </w:tc>
        <w:tc>
          <w:tcPr>
            <w:tcW w:w="339" w:type="pct"/>
            <w:hideMark/>
          </w:tcPr>
          <w:p w14:paraId="14570129"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Ghana</w:t>
            </w:r>
          </w:p>
        </w:tc>
        <w:tc>
          <w:tcPr>
            <w:tcW w:w="337" w:type="pct"/>
            <w:hideMark/>
          </w:tcPr>
          <w:p w14:paraId="68D44481" w14:textId="63A396FF"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Tyrovolas 2015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3664E9" w:rsidRPr="00000849">
              <w:rPr>
                <w:rFonts w:ascii="Calibri" w:eastAsia="Calibri" w:hAnsi="Calibri" w:cs="Calibri"/>
                <w:color w:val="0000FF"/>
                <w:sz w:val="16"/>
              </w:rPr>
              <w:t>0</w:t>
            </w:r>
            <w:r w:rsidRPr="00000849">
              <w:rPr>
                <w:rFonts w:ascii="Calibri" w:eastAsia="Calibri" w:hAnsi="Calibri" w:cs="Calibri"/>
                <w:color w:val="000000"/>
                <w:sz w:val="16"/>
              </w:rPr>
              <w:t>]</w:t>
            </w:r>
          </w:p>
        </w:tc>
        <w:tc>
          <w:tcPr>
            <w:tcW w:w="733" w:type="pct"/>
            <w:hideMark/>
          </w:tcPr>
          <w:p w14:paraId="3254F510"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high level physical activity: Moderate, OR 0.96 (0.72-1.28), NS; Low, OR 1.12 (0.91-1.38), NS</w:t>
            </w:r>
          </w:p>
        </w:tc>
        <w:tc>
          <w:tcPr>
            <w:tcW w:w="771" w:type="pct"/>
            <w:hideMark/>
          </w:tcPr>
          <w:p w14:paraId="004A2562"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Compared with normal BMI: </w:t>
            </w:r>
            <w:r w:rsidRPr="00000849">
              <w:rPr>
                <w:rFonts w:ascii="Calibri" w:eastAsia="Times New Roman" w:hAnsi="Calibri" w:cs="Calibri"/>
                <w:color w:val="000000"/>
                <w:sz w:val="16"/>
                <w:szCs w:val="18"/>
              </w:rPr>
              <w:br/>
              <w:t>underweight OR 0.70 (0.55-0.90)**, p&lt;0.01;</w:t>
            </w:r>
            <w:r w:rsidRPr="00000849">
              <w:rPr>
                <w:rFonts w:ascii="Calibri" w:eastAsia="Times New Roman" w:hAnsi="Calibri" w:cs="Calibri"/>
                <w:color w:val="000000"/>
                <w:sz w:val="16"/>
                <w:szCs w:val="18"/>
              </w:rPr>
              <w:br/>
              <w:t>overweight OR 1.90 (1.54-2.35)***, p&lt;0.001; BMI 30.0-34.9 category OR 2.14 (1.51-3.04)***, p&lt;0.001; BMI ≥ 35 OR 2.78 (1.65-4.69)***, p&lt;0.001</w:t>
            </w:r>
          </w:p>
        </w:tc>
        <w:tc>
          <w:tcPr>
            <w:tcW w:w="771" w:type="pct"/>
            <w:hideMark/>
          </w:tcPr>
          <w:p w14:paraId="3788C76A"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never: Non-heavy OR 1.01 (0.86-1.19), NS; Heavy OR 1.07 (0.62-1.84), NS</w:t>
            </w:r>
          </w:p>
        </w:tc>
        <w:tc>
          <w:tcPr>
            <w:tcW w:w="1106" w:type="pct"/>
            <w:hideMark/>
          </w:tcPr>
          <w:p w14:paraId="15570ACC"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Self-reported Yes vs No: OR 2.37 (1.51-3.74)***, p&lt;0.001</w:t>
            </w:r>
          </w:p>
        </w:tc>
        <w:tc>
          <w:tcPr>
            <w:tcW w:w="770" w:type="pct"/>
            <w:hideMark/>
          </w:tcPr>
          <w:p w14:paraId="4745FB71"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History of stroke, Yes vs. No: OR 3.45 (1.70-7.01)***, p&lt;0.001.</w:t>
            </w:r>
          </w:p>
          <w:p w14:paraId="62CBF4E4" w14:textId="77777777" w:rsidR="00D16031" w:rsidRPr="00000849" w:rsidRDefault="00D16031" w:rsidP="00143B7E">
            <w:pPr>
              <w:spacing w:after="60" w:line="259" w:lineRule="auto"/>
              <w:rPr>
                <w:rFonts w:ascii="Calibri" w:eastAsia="Times New Roman" w:hAnsi="Calibri" w:cs="Calibri"/>
                <w:color w:val="000000"/>
                <w:sz w:val="16"/>
                <w:szCs w:val="18"/>
              </w:rPr>
            </w:pPr>
          </w:p>
          <w:p w14:paraId="457EBCAC"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Fruit servings/day, 0-1 (ref): 2-4 servings OR 1.05 (0.86-1.28); ≥5 servings, OR 1.64 (1.13-2.39)**, p&lt;0.01</w:t>
            </w:r>
          </w:p>
          <w:p w14:paraId="2A18F744" w14:textId="77777777" w:rsidR="00D16031" w:rsidRPr="00000849" w:rsidRDefault="00D16031" w:rsidP="00143B7E">
            <w:pPr>
              <w:spacing w:after="60" w:line="259" w:lineRule="auto"/>
              <w:rPr>
                <w:rFonts w:ascii="Calibri" w:eastAsia="Times New Roman" w:hAnsi="Calibri" w:cs="Calibri"/>
                <w:color w:val="000000"/>
                <w:sz w:val="16"/>
                <w:szCs w:val="18"/>
              </w:rPr>
            </w:pPr>
          </w:p>
          <w:p w14:paraId="1AD2AAF2"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Vegetable servings/day, 0-1 (ref): 2-4 servings OR 1.04 (0.84-1.27); ≥5 servings, OR 0.68 (0.35-1.34)</w:t>
            </w:r>
          </w:p>
          <w:p w14:paraId="1EF4C515" w14:textId="77777777" w:rsidR="00D16031" w:rsidRPr="00000849" w:rsidRDefault="00D16031" w:rsidP="00143B7E">
            <w:pPr>
              <w:spacing w:after="60" w:line="259" w:lineRule="auto"/>
              <w:rPr>
                <w:rFonts w:ascii="Calibri" w:eastAsia="Times New Roman" w:hAnsi="Calibri" w:cs="Calibri"/>
                <w:color w:val="000000"/>
                <w:sz w:val="16"/>
                <w:szCs w:val="18"/>
              </w:rPr>
            </w:pPr>
          </w:p>
          <w:p w14:paraId="2F396ED4"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never smoker: Current smoker OR 0.78 (0.60-1.01); Ex-smoker, OR 1.22 (0.96-1.54)</w:t>
            </w:r>
          </w:p>
        </w:tc>
      </w:tr>
      <w:tr w:rsidR="00D16031" w:rsidRPr="00000849" w14:paraId="336D12BE" w14:textId="77777777" w:rsidTr="00143B7E">
        <w:trPr>
          <w:trHeight w:val="2304"/>
        </w:trPr>
        <w:tc>
          <w:tcPr>
            <w:tcW w:w="171" w:type="pct"/>
            <w:hideMark/>
          </w:tcPr>
          <w:p w14:paraId="21B7DA30" w14:textId="77777777" w:rsidR="00D16031" w:rsidRPr="00000849" w:rsidRDefault="00D16031" w:rsidP="00143B7E">
            <w:pPr>
              <w:spacing w:after="60" w:line="259" w:lineRule="auto"/>
              <w:jc w:val="center"/>
              <w:rPr>
                <w:rFonts w:ascii="Calibri" w:eastAsia="Times New Roman" w:hAnsi="Calibri" w:cs="Calibri"/>
                <w:color w:val="000000"/>
                <w:sz w:val="16"/>
                <w:szCs w:val="18"/>
              </w:rPr>
            </w:pPr>
            <w:r w:rsidRPr="00000849">
              <w:rPr>
                <w:rFonts w:ascii="Calibri" w:eastAsia="Times New Roman" w:hAnsi="Calibri" w:cs="Calibri"/>
                <w:color w:val="000000"/>
                <w:sz w:val="16"/>
                <w:szCs w:val="18"/>
              </w:rPr>
              <w:lastRenderedPageBreak/>
              <w:t>18</w:t>
            </w:r>
          </w:p>
        </w:tc>
        <w:tc>
          <w:tcPr>
            <w:tcW w:w="339" w:type="pct"/>
            <w:hideMark/>
          </w:tcPr>
          <w:p w14:paraId="253A22E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South Africa</w:t>
            </w:r>
          </w:p>
        </w:tc>
        <w:tc>
          <w:tcPr>
            <w:tcW w:w="337" w:type="pct"/>
            <w:hideMark/>
          </w:tcPr>
          <w:p w14:paraId="4259CBFD" w14:textId="7F654B85"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Tyrovolas 2015 </w:t>
            </w:r>
            <w:r w:rsidRPr="00000849">
              <w:rPr>
                <w:rFonts w:ascii="Calibri" w:eastAsia="Calibri" w:hAnsi="Calibri" w:cs="Calibri"/>
                <w:color w:val="000000"/>
                <w:sz w:val="16"/>
              </w:rPr>
              <w:t>[</w:t>
            </w:r>
            <w:r w:rsidRPr="00000849">
              <w:rPr>
                <w:rFonts w:ascii="Calibri" w:eastAsia="Calibri" w:hAnsi="Calibri" w:cs="Calibri"/>
                <w:color w:val="0000FF"/>
                <w:sz w:val="16"/>
              </w:rPr>
              <w:t>2</w:t>
            </w:r>
            <w:r w:rsidR="003664E9" w:rsidRPr="00000849">
              <w:rPr>
                <w:rFonts w:ascii="Calibri" w:eastAsia="Calibri" w:hAnsi="Calibri" w:cs="Calibri"/>
                <w:color w:val="0000FF"/>
                <w:sz w:val="16"/>
              </w:rPr>
              <w:t>0</w:t>
            </w:r>
            <w:r w:rsidRPr="00000849">
              <w:rPr>
                <w:rFonts w:ascii="Calibri" w:eastAsia="Calibri" w:hAnsi="Calibri" w:cs="Calibri"/>
                <w:color w:val="000000"/>
                <w:sz w:val="16"/>
              </w:rPr>
              <w:t>]</w:t>
            </w:r>
          </w:p>
        </w:tc>
        <w:tc>
          <w:tcPr>
            <w:tcW w:w="733" w:type="pct"/>
            <w:hideMark/>
          </w:tcPr>
          <w:p w14:paraId="09F37B1C"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high level physical activity: Moderate, OR 0.76 (0.50-1.17), NS; Low, OR 0.67 (0.47-0.96)*, p&lt;0.05</w:t>
            </w:r>
          </w:p>
        </w:tc>
        <w:tc>
          <w:tcPr>
            <w:tcW w:w="771" w:type="pct"/>
            <w:hideMark/>
          </w:tcPr>
          <w:p w14:paraId="5CC69E9D"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 xml:space="preserve">Compared with normal BMI: </w:t>
            </w:r>
            <w:r w:rsidRPr="00000849">
              <w:rPr>
                <w:rFonts w:ascii="Calibri" w:eastAsia="Times New Roman" w:hAnsi="Calibri" w:cs="Calibri"/>
                <w:color w:val="000000"/>
                <w:sz w:val="16"/>
                <w:szCs w:val="18"/>
              </w:rPr>
              <w:br w:type="page"/>
              <w:t>underweight OR 0.84 (0.47-1.51);</w:t>
            </w:r>
            <w:r w:rsidRPr="00000849">
              <w:rPr>
                <w:rFonts w:ascii="Calibri" w:eastAsia="Times New Roman" w:hAnsi="Calibri" w:cs="Calibri"/>
                <w:color w:val="000000"/>
                <w:sz w:val="16"/>
                <w:szCs w:val="18"/>
              </w:rPr>
              <w:br w:type="page"/>
              <w:t xml:space="preserve"> overweight OR 1.53 (1.07-2.19), p&lt;0.05; BMI 30.0-34.9, OR 1.65 (1.06-2.58), p&lt;0.05; BMI ≥ 35 OR 1.60 (1.04-2.44), p&lt;0.05</w:t>
            </w:r>
          </w:p>
        </w:tc>
        <w:tc>
          <w:tcPr>
            <w:tcW w:w="771" w:type="pct"/>
            <w:hideMark/>
          </w:tcPr>
          <w:p w14:paraId="4ABFC4C7"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never: Non-heavy OR 0.92 (0.62-1.35), NS; Heavy OR 0.43** (0.23-0.81), p&lt;0.01</w:t>
            </w:r>
          </w:p>
        </w:tc>
        <w:tc>
          <w:tcPr>
            <w:tcW w:w="1106" w:type="pct"/>
            <w:hideMark/>
          </w:tcPr>
          <w:p w14:paraId="39ECD4AB"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Self-reported Yes vs No: OR 1.61 (0.96-2.70)</w:t>
            </w:r>
          </w:p>
        </w:tc>
        <w:tc>
          <w:tcPr>
            <w:tcW w:w="770" w:type="pct"/>
            <w:hideMark/>
          </w:tcPr>
          <w:p w14:paraId="4DA77DCF"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History of stroke, Yes vs. No: OR 3.18** (1.36-7.43), p&lt;0.01</w:t>
            </w:r>
            <w:r w:rsidRPr="00000849">
              <w:rPr>
                <w:rFonts w:ascii="Calibri" w:eastAsia="Times New Roman" w:hAnsi="Calibri" w:cs="Calibri"/>
                <w:color w:val="000000"/>
                <w:sz w:val="16"/>
                <w:szCs w:val="18"/>
              </w:rPr>
              <w:br w:type="page"/>
            </w:r>
            <w:r w:rsidRPr="00000849">
              <w:rPr>
                <w:rFonts w:ascii="Calibri" w:eastAsia="Times New Roman" w:hAnsi="Calibri" w:cs="Calibri"/>
                <w:color w:val="000000"/>
                <w:sz w:val="16"/>
                <w:szCs w:val="18"/>
              </w:rPr>
              <w:br w:type="page"/>
            </w:r>
          </w:p>
          <w:p w14:paraId="2D92584D" w14:textId="77777777" w:rsidR="00D16031" w:rsidRPr="00000849" w:rsidRDefault="00D16031" w:rsidP="00143B7E">
            <w:pPr>
              <w:spacing w:after="60" w:line="259" w:lineRule="auto"/>
              <w:rPr>
                <w:rFonts w:ascii="Calibri" w:eastAsia="Times New Roman" w:hAnsi="Calibri" w:cs="Calibri"/>
                <w:color w:val="000000"/>
                <w:sz w:val="16"/>
                <w:szCs w:val="18"/>
              </w:rPr>
            </w:pPr>
          </w:p>
          <w:p w14:paraId="62523D3D"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Fruit servings/day, 0-1 (ref): 2-4 servings OR 0.90 (0.65-1.24); ≥5 servings, OR 1.87 (0.63-5.54)</w:t>
            </w:r>
          </w:p>
          <w:p w14:paraId="08044101" w14:textId="77777777" w:rsidR="00D16031" w:rsidRPr="00000849" w:rsidRDefault="00D16031" w:rsidP="00143B7E">
            <w:pPr>
              <w:spacing w:after="60" w:line="259" w:lineRule="auto"/>
              <w:rPr>
                <w:rFonts w:ascii="Calibri" w:eastAsia="Times New Roman" w:hAnsi="Calibri" w:cs="Calibri"/>
                <w:color w:val="000000"/>
                <w:sz w:val="16"/>
                <w:szCs w:val="18"/>
              </w:rPr>
            </w:pPr>
          </w:p>
          <w:p w14:paraId="263E6FCC"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br w:type="page"/>
            </w:r>
            <w:r w:rsidRPr="00000849">
              <w:rPr>
                <w:rFonts w:ascii="Calibri" w:eastAsia="Times New Roman" w:hAnsi="Calibri" w:cs="Calibri"/>
                <w:color w:val="000000"/>
                <w:sz w:val="16"/>
                <w:szCs w:val="18"/>
              </w:rPr>
              <w:br w:type="page"/>
              <w:t>Vegetable servings/day, 0-1 (ref): 2-4 servings OR 1.55* (1.11-2.18), p&lt;0.05; ≥5 servings, OR 1.20 (0.58-2.46)</w:t>
            </w:r>
            <w:r w:rsidRPr="00000849">
              <w:rPr>
                <w:rFonts w:ascii="Calibri" w:eastAsia="Times New Roman" w:hAnsi="Calibri" w:cs="Calibri"/>
                <w:color w:val="000000"/>
                <w:sz w:val="16"/>
                <w:szCs w:val="18"/>
              </w:rPr>
              <w:br w:type="page"/>
            </w:r>
            <w:r w:rsidRPr="00000849">
              <w:rPr>
                <w:rFonts w:ascii="Calibri" w:eastAsia="Times New Roman" w:hAnsi="Calibri" w:cs="Calibri"/>
                <w:color w:val="000000"/>
                <w:sz w:val="16"/>
                <w:szCs w:val="18"/>
              </w:rPr>
              <w:br w:type="page"/>
            </w:r>
          </w:p>
          <w:p w14:paraId="4453B3EF" w14:textId="77777777" w:rsidR="00D16031" w:rsidRPr="00000849" w:rsidRDefault="00D16031" w:rsidP="00143B7E">
            <w:pPr>
              <w:spacing w:after="60" w:line="259" w:lineRule="auto"/>
              <w:rPr>
                <w:rFonts w:ascii="Calibri" w:eastAsia="Times New Roman" w:hAnsi="Calibri" w:cs="Calibri"/>
                <w:color w:val="000000"/>
                <w:sz w:val="16"/>
                <w:szCs w:val="18"/>
              </w:rPr>
            </w:pPr>
          </w:p>
          <w:p w14:paraId="5A2AB4F5" w14:textId="77777777" w:rsidR="00D16031" w:rsidRPr="00000849" w:rsidRDefault="00D16031" w:rsidP="00143B7E">
            <w:pPr>
              <w:spacing w:after="60" w:line="259" w:lineRule="auto"/>
              <w:rPr>
                <w:rFonts w:ascii="Calibri" w:eastAsia="Times New Roman" w:hAnsi="Calibri" w:cs="Calibri"/>
                <w:color w:val="000000"/>
                <w:sz w:val="16"/>
                <w:szCs w:val="18"/>
              </w:rPr>
            </w:pPr>
            <w:r w:rsidRPr="00000849">
              <w:rPr>
                <w:rFonts w:ascii="Calibri" w:eastAsia="Times New Roman" w:hAnsi="Calibri" w:cs="Calibri"/>
                <w:color w:val="000000"/>
                <w:sz w:val="16"/>
                <w:szCs w:val="18"/>
              </w:rPr>
              <w:t>Compared with never smoker: Current smoker OR 1.25 (0.87-1.78); Ex-smoker, OR 1.70* (1.01-2.85), p&lt;0.05</w:t>
            </w:r>
          </w:p>
        </w:tc>
      </w:tr>
    </w:tbl>
    <w:p w14:paraId="7A014831" w14:textId="4DC483A1" w:rsidR="00D16031" w:rsidRPr="00000849" w:rsidRDefault="003664E9" w:rsidP="00BC221F">
      <w:pPr>
        <w:spacing w:after="0" w:line="259" w:lineRule="auto"/>
        <w:ind w:left="-312" w:right="-243"/>
        <w:rPr>
          <w:sz w:val="24"/>
          <w:szCs w:val="24"/>
          <w:lang w:val="en-US"/>
        </w:rPr>
      </w:pPr>
      <w:r w:rsidRPr="00000849">
        <w:rPr>
          <w:rFonts w:ascii="Calibri"/>
          <w:w w:val="105"/>
          <w:sz w:val="16"/>
          <w:szCs w:val="24"/>
        </w:rPr>
        <w:t>ART = antiretroviral therapy; BMI = body mass index; DHTN = diastolic hypertension; HIV = human immunodeficiency virus; NS = not statistically significant; OR = odds ratio; RR = relative risk; SHTN = systolic hypertension</w:t>
      </w:r>
    </w:p>
    <w:p w14:paraId="6CA1ACFC" w14:textId="11763D21" w:rsidR="00D16031" w:rsidRPr="00000849" w:rsidRDefault="00D16031" w:rsidP="00BC221F">
      <w:pPr>
        <w:spacing w:after="0" w:line="259" w:lineRule="auto"/>
        <w:ind w:left="-312" w:right="-243"/>
      </w:pPr>
    </w:p>
    <w:p w14:paraId="0013DEF4" w14:textId="155CE074" w:rsidR="00D16031" w:rsidRPr="00000849" w:rsidRDefault="00D16031" w:rsidP="00BC221F">
      <w:pPr>
        <w:spacing w:after="0" w:line="259" w:lineRule="auto"/>
        <w:ind w:left="-312" w:right="-243"/>
      </w:pPr>
    </w:p>
    <w:p w14:paraId="271B8342" w14:textId="77777777" w:rsidR="00D16031" w:rsidRPr="00000849" w:rsidRDefault="00D16031" w:rsidP="00BC221F">
      <w:pPr>
        <w:spacing w:after="0" w:line="259" w:lineRule="auto"/>
        <w:ind w:left="-312" w:right="-243"/>
      </w:pPr>
    </w:p>
    <w:p w14:paraId="00B018A9" w14:textId="77777777" w:rsidR="00D16031" w:rsidRPr="00000849" w:rsidRDefault="00D16031" w:rsidP="00BC221F">
      <w:pPr>
        <w:spacing w:after="0" w:line="259" w:lineRule="auto"/>
        <w:ind w:left="-312" w:right="-243"/>
      </w:pPr>
    </w:p>
    <w:p w14:paraId="0FE04E12" w14:textId="77777777" w:rsidR="00D16031" w:rsidRPr="00000849" w:rsidRDefault="00D16031" w:rsidP="00BC221F">
      <w:pPr>
        <w:spacing w:after="0" w:line="259" w:lineRule="auto"/>
        <w:ind w:left="-312" w:right="-243"/>
      </w:pPr>
    </w:p>
    <w:p w14:paraId="3EF9B481" w14:textId="7EAEB846" w:rsidR="00D16031" w:rsidRPr="00000849" w:rsidRDefault="00D16031" w:rsidP="00BC221F">
      <w:pPr>
        <w:spacing w:after="0" w:line="259" w:lineRule="auto"/>
        <w:ind w:left="-312" w:right="-243"/>
        <w:sectPr w:rsidR="00D16031" w:rsidRPr="00000849" w:rsidSect="00D16031">
          <w:pgSz w:w="15817" w:h="11906" w:orient="landscape"/>
          <w:pgMar w:top="1440" w:right="1440" w:bottom="1440" w:left="1181" w:header="720" w:footer="720" w:gutter="0"/>
          <w:cols w:space="720"/>
          <w:docGrid w:linePitch="299"/>
        </w:sectPr>
      </w:pPr>
    </w:p>
    <w:p w14:paraId="5B8E4FDB" w14:textId="2D76BB3C" w:rsidR="00BC221F" w:rsidRPr="00000849" w:rsidRDefault="00BC221F" w:rsidP="00BC221F">
      <w:pPr>
        <w:spacing w:after="0" w:line="259" w:lineRule="auto"/>
        <w:ind w:left="-312" w:right="-243"/>
      </w:pPr>
    </w:p>
    <w:p w14:paraId="62AA1276" w14:textId="77777777" w:rsidR="00DE4C21" w:rsidRPr="00000849" w:rsidRDefault="00DE4C21" w:rsidP="00DE4C21">
      <w:pPr>
        <w:jc w:val="both"/>
      </w:pPr>
      <w:r w:rsidRPr="00000849">
        <w:t>Concerning dietary factors, participants who ate three or more meals daily had 85% higher adjusted odds of having hypertension than those who ate one meal daily [</w:t>
      </w:r>
      <w:r w:rsidRPr="00000849">
        <w:rPr>
          <w:color w:val="0000FF"/>
        </w:rPr>
        <w:t>36</w:t>
      </w:r>
      <w:r w:rsidRPr="00000849">
        <w:t xml:space="preserve">]. From the multi-country SAGE data analyses, higher fruit intake of </w:t>
      </w:r>
      <w:r w:rsidRPr="00000849">
        <w:rPr>
          <w:rFonts w:ascii="Calibri" w:eastAsia="Calibri" w:hAnsi="Calibri" w:cs="Calibri"/>
        </w:rPr>
        <w:t>≥</w:t>
      </w:r>
      <w:r w:rsidRPr="00000849">
        <w:t>5 daily servings was independently associated with hypertension in Ghana but not in South Africa [</w:t>
      </w:r>
      <w:r w:rsidRPr="00000849">
        <w:rPr>
          <w:color w:val="0000FF"/>
        </w:rPr>
        <w:t>20</w:t>
      </w:r>
      <w:r w:rsidRPr="00000849">
        <w:t xml:space="preserve">] (Table </w:t>
      </w:r>
      <w:r w:rsidRPr="00000849">
        <w:rPr>
          <w:color w:val="0000FF"/>
        </w:rPr>
        <w:t>5</w:t>
      </w:r>
      <w:r w:rsidRPr="00000849">
        <w:t>). Conversely, 2</w:t>
      </w:r>
      <w:r w:rsidRPr="00000849">
        <w:rPr>
          <w:rFonts w:ascii="Calibri" w:eastAsia="Calibri" w:hAnsi="Calibri" w:cs="Calibri"/>
        </w:rPr>
        <w:t>–</w:t>
      </w:r>
      <w:r w:rsidRPr="00000849">
        <w:t>4 daily vegetable servings was independently associated with hypertension in South Africa but not in Ghana [</w:t>
      </w:r>
      <w:r w:rsidRPr="00000849">
        <w:rPr>
          <w:color w:val="0000FF"/>
        </w:rPr>
        <w:t>20</w:t>
      </w:r>
      <w:r w:rsidRPr="00000849">
        <w:t>]. In a separate model, examined and self-reported hypertension was not associated with insufficient fruit and vegetable intake in South Africa [</w:t>
      </w:r>
      <w:r w:rsidRPr="00000849">
        <w:rPr>
          <w:color w:val="0000FF"/>
        </w:rPr>
        <w:t>44</w:t>
      </w:r>
      <w:r w:rsidRPr="00000849">
        <w:t>].</w:t>
      </w:r>
    </w:p>
    <w:p w14:paraId="05A84E1B" w14:textId="13A97FAA" w:rsidR="00BC221F" w:rsidRPr="00000849" w:rsidRDefault="00BC221F" w:rsidP="00DE4C21">
      <w:pPr>
        <w:jc w:val="both"/>
      </w:pPr>
      <w:r w:rsidRPr="00000849">
        <w:t>As with alcohol intake and current or former smoking, the relationship between physical activity and hypertension was erratic and somewhat contradictory. High level of physical activity was associated with a lower prevalence of hypertension in Congo and CAR [</w:t>
      </w:r>
      <w:r w:rsidRPr="00000849">
        <w:rPr>
          <w:color w:val="0000FF"/>
        </w:rPr>
        <w:t>36</w:t>
      </w:r>
      <w:r w:rsidRPr="00000849">
        <w:t>] and a higher prevalence of hypertension in South Africa [</w:t>
      </w:r>
      <w:r w:rsidRPr="00000849">
        <w:rPr>
          <w:color w:val="0000FF"/>
        </w:rPr>
        <w:t>18</w:t>
      </w:r>
      <w:r w:rsidRPr="00000849">
        <w:t xml:space="preserve">, </w:t>
      </w:r>
      <w:r w:rsidRPr="00000849">
        <w:rPr>
          <w:color w:val="0000FF"/>
        </w:rPr>
        <w:t>20</w:t>
      </w:r>
      <w:r w:rsidRPr="00000849">
        <w:t xml:space="preserve">] (Tables </w:t>
      </w:r>
      <w:r w:rsidRPr="00000849">
        <w:rPr>
          <w:color w:val="0000FF"/>
        </w:rPr>
        <w:t xml:space="preserve">4 </w:t>
      </w:r>
      <w:r w:rsidRPr="00000849">
        <w:t xml:space="preserve">and </w:t>
      </w:r>
      <w:r w:rsidRPr="00000849">
        <w:rPr>
          <w:color w:val="0000FF"/>
        </w:rPr>
        <w:t>5</w:t>
      </w:r>
      <w:r w:rsidRPr="00000849">
        <w:t>). In Ghana and Tunisia, physical activity was not significantly associated with hypertension [</w:t>
      </w:r>
      <w:r w:rsidRPr="00000849">
        <w:rPr>
          <w:color w:val="0000FF"/>
        </w:rPr>
        <w:t>18</w:t>
      </w:r>
      <w:r w:rsidRPr="00000849">
        <w:t xml:space="preserve">, </w:t>
      </w:r>
      <w:r w:rsidRPr="00000849">
        <w:rPr>
          <w:color w:val="0000FF"/>
        </w:rPr>
        <w:t>20</w:t>
      </w:r>
      <w:r w:rsidRPr="00000849">
        <w:t xml:space="preserve">, </w:t>
      </w:r>
      <w:r w:rsidRPr="00000849">
        <w:rPr>
          <w:color w:val="0000FF"/>
        </w:rPr>
        <w:t>26</w:t>
      </w:r>
      <w:r w:rsidRPr="00000849">
        <w:t>].</w:t>
      </w:r>
    </w:p>
    <w:p w14:paraId="24C92120" w14:textId="77777777" w:rsidR="00BC221F" w:rsidRPr="00000849" w:rsidRDefault="00BC221F" w:rsidP="00DE4C21">
      <w:pPr>
        <w:spacing w:after="494"/>
        <w:jc w:val="both"/>
      </w:pPr>
      <w:r w:rsidRPr="00000849">
        <w:t>The positive relationship observed between frequent outpatient visits in the preceding 12 months and hypertension in South Africa remained in the multivariate analysis with adjusted odds ratio 1.93 (95% CI 1.48</w:t>
      </w:r>
      <w:r w:rsidRPr="00000849">
        <w:rPr>
          <w:rFonts w:ascii="Calibri" w:eastAsia="Calibri" w:hAnsi="Calibri" w:cs="Calibri"/>
        </w:rPr>
        <w:t xml:space="preserve">– </w:t>
      </w:r>
      <w:r w:rsidRPr="00000849">
        <w:t xml:space="preserve">2.51) (Table </w:t>
      </w:r>
      <w:r w:rsidRPr="00000849">
        <w:rPr>
          <w:color w:val="0000FF"/>
        </w:rPr>
        <w:t>5</w:t>
      </w:r>
      <w:r w:rsidRPr="00000849">
        <w:t>) [</w:t>
      </w:r>
      <w:r w:rsidRPr="00000849">
        <w:rPr>
          <w:color w:val="0000FF"/>
        </w:rPr>
        <w:t>23</w:t>
      </w:r>
      <w:r w:rsidRPr="00000849">
        <w:t>].</w:t>
      </w:r>
    </w:p>
    <w:p w14:paraId="53088EC2" w14:textId="77777777" w:rsidR="00BC221F" w:rsidRPr="00000849" w:rsidRDefault="00BC221F" w:rsidP="00DE4C21">
      <w:pPr>
        <w:jc w:val="both"/>
      </w:pPr>
      <w:r w:rsidRPr="00000849">
        <w:rPr>
          <w:b/>
          <w:bCs/>
          <w:color w:val="0070C0"/>
        </w:rPr>
        <w:t>Comorbidity</w:t>
      </w:r>
      <w:r w:rsidRPr="00000849">
        <w:rPr>
          <w:rFonts w:ascii="Calibri" w:eastAsia="Calibri" w:hAnsi="Calibri" w:cs="Calibri"/>
          <w:sz w:val="20"/>
          <w:szCs w:val="20"/>
        </w:rPr>
        <w:t xml:space="preserve"> </w:t>
      </w:r>
      <w:r w:rsidRPr="00000849">
        <w:t>Having a history of self-reported diabetes, stroke or arthritis was associated with hypertension in Tunisia or South Africa [</w:t>
      </w:r>
      <w:r w:rsidRPr="00000849">
        <w:rPr>
          <w:color w:val="0000FF"/>
        </w:rPr>
        <w:t>23</w:t>
      </w:r>
      <w:r w:rsidRPr="00000849">
        <w:t xml:space="preserve">, </w:t>
      </w:r>
      <w:r w:rsidRPr="00000849">
        <w:rPr>
          <w:color w:val="0000FF"/>
        </w:rPr>
        <w:t>26</w:t>
      </w:r>
      <w:r w:rsidRPr="00000849">
        <w:t>] but not in Nigeria [</w:t>
      </w:r>
      <w:r w:rsidRPr="00000849">
        <w:rPr>
          <w:color w:val="0000FF"/>
        </w:rPr>
        <w:t>37</w:t>
      </w:r>
      <w:r w:rsidRPr="00000849">
        <w:t>]. Similarly, dependency, disability or activity limitation was associated with hypertension [</w:t>
      </w:r>
      <w:r w:rsidRPr="00000849">
        <w:rPr>
          <w:color w:val="0000FF"/>
        </w:rPr>
        <w:t>23</w:t>
      </w:r>
      <w:r w:rsidRPr="00000849">
        <w:t xml:space="preserve">, </w:t>
      </w:r>
      <w:r w:rsidRPr="00000849">
        <w:rPr>
          <w:color w:val="0000FF"/>
        </w:rPr>
        <w:t>26</w:t>
      </w:r>
      <w:r w:rsidRPr="00000849">
        <w:t>]. The presence of laboratory-confirmed diabetes was, however, not associated with hypertension in CAR/Congo [</w:t>
      </w:r>
      <w:r w:rsidRPr="00000849">
        <w:rPr>
          <w:color w:val="0000FF"/>
        </w:rPr>
        <w:t>36</w:t>
      </w:r>
      <w:r w:rsidRPr="00000849">
        <w:t>]. A subjective self-appraisal of being moderately well was associated with hypertension in South Africa but not having bad or very bad health [</w:t>
      </w:r>
      <w:r w:rsidRPr="00000849">
        <w:rPr>
          <w:color w:val="0000FF"/>
        </w:rPr>
        <w:t>23</w:t>
      </w:r>
      <w:r w:rsidRPr="00000849">
        <w:t>]. A diagnosis of lifetime depression was not associated with hypertension in elderly subjects in Nigeria [</w:t>
      </w:r>
      <w:r w:rsidRPr="00000849">
        <w:rPr>
          <w:color w:val="0000FF"/>
        </w:rPr>
        <w:t>37</w:t>
      </w:r>
      <w:r w:rsidRPr="00000849">
        <w:t>].</w:t>
      </w:r>
    </w:p>
    <w:p w14:paraId="0A5982EB" w14:textId="77777777" w:rsidR="00BC221F" w:rsidRPr="00000849" w:rsidRDefault="00BC221F" w:rsidP="00DE4C21">
      <w:pPr>
        <w:jc w:val="both"/>
      </w:pPr>
      <w:r w:rsidRPr="00000849">
        <w:t>In the multivariate analyses, a medical history of diabetes and a subjective status of moderate health among older adults in South Africa lost their statistically significant association with hypertension [</w:t>
      </w:r>
      <w:r w:rsidRPr="00000849">
        <w:rPr>
          <w:color w:val="0000FF"/>
        </w:rPr>
        <w:t>23</w:t>
      </w:r>
      <w:r w:rsidRPr="00000849">
        <w:t>]. Self-reported diabetes remained significantly associated with hypertension in Tunisia [</w:t>
      </w:r>
      <w:r w:rsidRPr="00000849">
        <w:rPr>
          <w:color w:val="0000FF"/>
        </w:rPr>
        <w:t>26</w:t>
      </w:r>
      <w:r w:rsidRPr="00000849">
        <w:t>] and Ghana [</w:t>
      </w:r>
      <w:r w:rsidRPr="00000849">
        <w:rPr>
          <w:color w:val="0000FF"/>
        </w:rPr>
        <w:t>20</w:t>
      </w:r>
      <w:r w:rsidRPr="00000849">
        <w:t xml:space="preserve">] (Tables </w:t>
      </w:r>
      <w:r w:rsidRPr="00000849">
        <w:rPr>
          <w:color w:val="0000FF"/>
        </w:rPr>
        <w:t xml:space="preserve">4 </w:t>
      </w:r>
      <w:r w:rsidRPr="00000849">
        <w:t xml:space="preserve">and </w:t>
      </w:r>
      <w:r w:rsidRPr="00000849">
        <w:rPr>
          <w:color w:val="0000FF"/>
        </w:rPr>
        <w:t>5</w:t>
      </w:r>
      <w:r w:rsidRPr="00000849">
        <w:t>). As in the crude analyses, it was not independently associated with hypertension in CAR/Congo [</w:t>
      </w:r>
      <w:r w:rsidRPr="00000849">
        <w:rPr>
          <w:color w:val="0000FF"/>
        </w:rPr>
        <w:t>36</w:t>
      </w:r>
      <w:r w:rsidRPr="00000849">
        <w:t>], Nigeria [</w:t>
      </w:r>
      <w:r w:rsidRPr="00000849">
        <w:rPr>
          <w:color w:val="0000FF"/>
        </w:rPr>
        <w:t>37</w:t>
      </w:r>
      <w:r w:rsidRPr="00000849">
        <w:t>] or South Africa [</w:t>
      </w:r>
      <w:r w:rsidRPr="00000849">
        <w:rPr>
          <w:color w:val="0000FF"/>
        </w:rPr>
        <w:t>20</w:t>
      </w:r>
      <w:r w:rsidRPr="00000849">
        <w:t xml:space="preserve">, </w:t>
      </w:r>
      <w:r w:rsidRPr="00000849">
        <w:rPr>
          <w:color w:val="0000FF"/>
        </w:rPr>
        <w:t>23</w:t>
      </w:r>
      <w:r w:rsidRPr="00000849">
        <w:t>]. On the other hand, history of a stroke was a very strong predictor of hypertension in both Ghana and South Africa with adjusted odds ratios of 3.45 and 3.18 respectively [</w:t>
      </w:r>
      <w:r w:rsidRPr="00000849">
        <w:rPr>
          <w:color w:val="0000FF"/>
        </w:rPr>
        <w:t>20</w:t>
      </w:r>
      <w:r w:rsidRPr="00000849">
        <w:t>].</w:t>
      </w:r>
    </w:p>
    <w:p w14:paraId="27002E11" w14:textId="77777777" w:rsidR="00BC221F" w:rsidRPr="00000849" w:rsidRDefault="00BC221F" w:rsidP="00DE4C21">
      <w:pPr>
        <w:jc w:val="both"/>
      </w:pPr>
      <w:r w:rsidRPr="00000849">
        <w:t>High cholesterol among elderly subjects in Congo and CAR [</w:t>
      </w:r>
      <w:r w:rsidRPr="00000849">
        <w:rPr>
          <w:color w:val="0000FF"/>
        </w:rPr>
        <w:t>36</w:t>
      </w:r>
      <w:r w:rsidRPr="00000849">
        <w:t xml:space="preserve">] was associated with hypertension in the crude analysis but this association disappeared in the adjusted analysis (Table </w:t>
      </w:r>
      <w:r w:rsidRPr="00000849">
        <w:rPr>
          <w:color w:val="0000FF"/>
        </w:rPr>
        <w:t>3</w:t>
      </w:r>
      <w:r w:rsidRPr="00000849">
        <w:t>). In the multivariate analyses, dependency, activity limitation or disability was significantly associated with hypertension in Tunisia [</w:t>
      </w:r>
      <w:r w:rsidRPr="00000849">
        <w:rPr>
          <w:color w:val="0000FF"/>
        </w:rPr>
        <w:t>26</w:t>
      </w:r>
      <w:r w:rsidRPr="00000849">
        <w:t>] but not in South Africa [</w:t>
      </w:r>
      <w:r w:rsidRPr="00000849">
        <w:rPr>
          <w:color w:val="0000FF"/>
        </w:rPr>
        <w:t>23</w:t>
      </w:r>
      <w:r w:rsidRPr="00000849">
        <w:t>] or Tanzania [</w:t>
      </w:r>
      <w:r w:rsidRPr="00000849">
        <w:rPr>
          <w:color w:val="0000FF"/>
        </w:rPr>
        <w:t>25</w:t>
      </w:r>
      <w:r w:rsidRPr="00000849">
        <w:t>]. Hypertension and self-reported arthritis were not associated with each other both in the crude and adjusted analyses in South Africa [</w:t>
      </w:r>
      <w:r w:rsidRPr="00000849">
        <w:rPr>
          <w:color w:val="0000FF"/>
        </w:rPr>
        <w:t>23</w:t>
      </w:r>
      <w:r w:rsidRPr="00000849">
        <w:t xml:space="preserve">, </w:t>
      </w:r>
      <w:r w:rsidRPr="00000849">
        <w:rPr>
          <w:color w:val="0000FF"/>
        </w:rPr>
        <w:t>45</w:t>
      </w:r>
      <w:r w:rsidRPr="00000849">
        <w:t>].</w:t>
      </w:r>
    </w:p>
    <w:p w14:paraId="4CF3FA99" w14:textId="77777777" w:rsidR="00BC221F" w:rsidRPr="00000849" w:rsidRDefault="00BC221F" w:rsidP="00DE4C21">
      <w:pPr>
        <w:spacing w:after="495"/>
        <w:jc w:val="both"/>
      </w:pPr>
      <w:r w:rsidRPr="00000849">
        <w:t>Compared with those who were not infected, older adults in Uganda who infected with the human immunodeficiency virus (HIV) and were on antiretroviral therapy had 77% lower odds of having hypertension after adjusting for sociodemographic variables [</w:t>
      </w:r>
      <w:r w:rsidRPr="00000849">
        <w:rPr>
          <w:color w:val="0000FF"/>
        </w:rPr>
        <w:t>38</w:t>
      </w:r>
      <w:r w:rsidRPr="00000849">
        <w:t>].</w:t>
      </w:r>
    </w:p>
    <w:p w14:paraId="698E8E64" w14:textId="77777777" w:rsidR="00265067" w:rsidRPr="00000849" w:rsidRDefault="00BC221F" w:rsidP="003664E9">
      <w:pPr>
        <w:keepNext/>
        <w:keepLines/>
        <w:jc w:val="both"/>
        <w:rPr>
          <w:rFonts w:ascii="Calibri" w:eastAsia="Calibri" w:hAnsi="Calibri" w:cs="Calibri"/>
        </w:rPr>
      </w:pPr>
      <w:r w:rsidRPr="00000849">
        <w:rPr>
          <w:b/>
          <w:bCs/>
          <w:color w:val="0070C0"/>
          <w:sz w:val="24"/>
          <w:szCs w:val="24"/>
        </w:rPr>
        <w:lastRenderedPageBreak/>
        <w:t>Summary of determinants</w:t>
      </w:r>
      <w:r w:rsidRPr="00000849">
        <w:rPr>
          <w:rFonts w:ascii="Calibri" w:eastAsia="Calibri" w:hAnsi="Calibri" w:cs="Calibri"/>
        </w:rPr>
        <w:t xml:space="preserve"> </w:t>
      </w:r>
    </w:p>
    <w:p w14:paraId="46E190CE" w14:textId="2D387288" w:rsidR="00BC221F" w:rsidRPr="00000849" w:rsidRDefault="00BC221F" w:rsidP="003664E9">
      <w:pPr>
        <w:keepNext/>
        <w:keepLines/>
        <w:jc w:val="both"/>
      </w:pPr>
      <w:r w:rsidRPr="00000849">
        <w:t>From the bivariate analyses, the positive risk factors frequently associated with hypertension in older adults included older age group, female sex, urban residence, ethnicity, self-reported diabetes or stroke, and overweight/obesity. There were no consistent protective factors. The relationship between socioeconomic factors such as occupation, education and wealth quintile with hypertension was variable as was doctor visits in the past year. Smoking and alcohol intake did not emerge as harmful risk factors for hypertension. Marital status and religion were of no import to the presence of hypertension in older adults.</w:t>
      </w:r>
    </w:p>
    <w:p w14:paraId="567D04C7" w14:textId="77777777" w:rsidR="00BC221F" w:rsidRPr="00000849" w:rsidRDefault="00BC221F" w:rsidP="00DE4C21">
      <w:pPr>
        <w:spacing w:after="237"/>
        <w:jc w:val="both"/>
      </w:pPr>
      <w:r w:rsidRPr="00000849">
        <w:t>The strongest and most robust predictors of hypertension were overweight/obesity or increasing BMI and a history of stroke. Older age and female sex were frequent predictors in the multivariate analyses. Marital status, educational attainment and not having a health insurance were mostly not associated with hypertension. The association between lifestyle variables (such as alcohol intake, current or former smoking, fruit and vegetable intake and physical activity) and most comorbid factors with hypertension was inconsistent.</w:t>
      </w:r>
    </w:p>
    <w:p w14:paraId="152D2D3F" w14:textId="77777777" w:rsidR="00BC221F" w:rsidRPr="00000849" w:rsidRDefault="00BC221F" w:rsidP="00DE4C21">
      <w:pPr>
        <w:spacing w:after="467" w:line="259" w:lineRule="auto"/>
        <w:jc w:val="both"/>
        <w:rPr>
          <w:b/>
          <w:bCs/>
          <w:sz w:val="29"/>
        </w:rPr>
      </w:pPr>
      <w:r w:rsidRPr="00000849">
        <w:rPr>
          <w:b/>
          <w:bCs/>
          <w:sz w:val="29"/>
        </w:rPr>
        <w:t>Discussion</w:t>
      </w:r>
    </w:p>
    <w:p w14:paraId="012D9365" w14:textId="77777777" w:rsidR="00BC221F" w:rsidRPr="00000849" w:rsidRDefault="00BC221F" w:rsidP="00DE4C21">
      <w:pPr>
        <w:jc w:val="both"/>
      </w:pPr>
      <w:r w:rsidRPr="00000849">
        <w:t>To our knowledge, this is the first reported comprehensive systematic review of the literature on the determinants of hypertension in older adults in Africa. The major strengths of this review are the inclusion of a wide scope of studies published in multiple languages and having varied study designs. We assessed the relationship between a wide range of demographic, socioeconomic, lifestyle and comorbid covariates with hypertension from both bivariate and multivariate analyses. Most of the studies were deemed to have low or moderate risk of bias. The review highlights the dearth of studies on determinants of hypertension in this age group in Africa with coverage of only twelve African countries.</w:t>
      </w:r>
    </w:p>
    <w:p w14:paraId="4C7C446F" w14:textId="77777777" w:rsidR="00BC221F" w:rsidRPr="00000849" w:rsidRDefault="00BC221F" w:rsidP="00DE4C21">
      <w:pPr>
        <w:jc w:val="both"/>
      </w:pPr>
      <w:r w:rsidRPr="00000849">
        <w:t>Consistent with other reviews in Africa, our review showed that older age group and overweight/obesity were independently associated with hypertension [</w:t>
      </w:r>
      <w:r w:rsidRPr="00000849">
        <w:rPr>
          <w:color w:val="0000FF"/>
        </w:rPr>
        <w:t>7</w:t>
      </w:r>
      <w:r w:rsidRPr="00000849">
        <w:t xml:space="preserve">, </w:t>
      </w:r>
      <w:r w:rsidRPr="00000849">
        <w:rPr>
          <w:color w:val="0000FF"/>
        </w:rPr>
        <w:t>11</w:t>
      </w:r>
      <w:r w:rsidRPr="00000849">
        <w:t xml:space="preserve">, </w:t>
      </w:r>
      <w:r w:rsidRPr="00000849">
        <w:rPr>
          <w:color w:val="0000FF"/>
        </w:rPr>
        <w:t>46</w:t>
      </w:r>
      <w:r w:rsidRPr="00000849">
        <w:t xml:space="preserve">, </w:t>
      </w:r>
      <w:r w:rsidRPr="00000849">
        <w:rPr>
          <w:color w:val="0000FF"/>
        </w:rPr>
        <w:t>47</w:t>
      </w:r>
      <w:r w:rsidRPr="00000849">
        <w:t>]. These same variables are also positive predictors of diabetes among older adults in Africa [</w:t>
      </w:r>
      <w:r w:rsidRPr="00000849">
        <w:rPr>
          <w:color w:val="0000FF"/>
        </w:rPr>
        <w:t>48</w:t>
      </w:r>
      <w:r w:rsidRPr="00000849">
        <w:t>]. Our findings contrast with those of a recent meta-analysis of hypertension in older people in Africa which did not find any significant difference in the prevalence across age groups [</w:t>
      </w:r>
      <w:r w:rsidRPr="00000849">
        <w:rPr>
          <w:color w:val="0000FF"/>
        </w:rPr>
        <w:t>49</w:t>
      </w:r>
      <w:r w:rsidRPr="00000849">
        <w:t>]. There is a biological basis for the increase in hypertension with age that is related to changes in the arterial structure and function, notably arterial stiffening with adverse consequences on cardiac structure and function [</w:t>
      </w:r>
      <w:r w:rsidRPr="00000849">
        <w:rPr>
          <w:color w:val="0000FF"/>
        </w:rPr>
        <w:t>50</w:t>
      </w:r>
      <w:r w:rsidRPr="00000849">
        <w:t xml:space="preserve">, </w:t>
      </w:r>
      <w:r w:rsidRPr="00000849">
        <w:rPr>
          <w:color w:val="0000FF"/>
        </w:rPr>
        <w:t>51</w:t>
      </w:r>
      <w:r w:rsidRPr="00000849">
        <w:t>]. There is also a decline in plasma renin activity, impaired renal function and homeostatic mechanisms associated with an ageing kidney. It is ironic that the older age group which suffers the highest relative burden of hypertension is often neglected in the public health agenda in Africa [</w:t>
      </w:r>
      <w:r w:rsidRPr="00000849">
        <w:rPr>
          <w:color w:val="0000FF"/>
        </w:rPr>
        <w:t>52</w:t>
      </w:r>
      <w:r w:rsidRPr="00000849">
        <w:t xml:space="preserve">, </w:t>
      </w:r>
      <w:r w:rsidRPr="00000849">
        <w:rPr>
          <w:color w:val="0000FF"/>
        </w:rPr>
        <w:t>53</w:t>
      </w:r>
      <w:r w:rsidRPr="00000849">
        <w:t>]. This situation is unacceptable considering the established evidence that cardiovascular diseases in old age can be prevented or well managed to promote a good quality of life [</w:t>
      </w:r>
      <w:r w:rsidRPr="00000849">
        <w:rPr>
          <w:color w:val="0000FF"/>
        </w:rPr>
        <w:t>50</w:t>
      </w:r>
      <w:r w:rsidRPr="00000849">
        <w:t xml:space="preserve">, </w:t>
      </w:r>
      <w:r w:rsidRPr="00000849">
        <w:rPr>
          <w:color w:val="0000FF"/>
        </w:rPr>
        <w:t>54</w:t>
      </w:r>
      <w:r w:rsidRPr="00000849">
        <w:t xml:space="preserve">, </w:t>
      </w:r>
      <w:r w:rsidRPr="00000849">
        <w:rPr>
          <w:color w:val="0000FF"/>
        </w:rPr>
        <w:t>55</w:t>
      </w:r>
      <w:r w:rsidRPr="00000849">
        <w:t>].</w:t>
      </w:r>
    </w:p>
    <w:p w14:paraId="565A3FC0" w14:textId="77777777" w:rsidR="00BC221F" w:rsidRPr="00000849" w:rsidRDefault="00BC221F" w:rsidP="00DE4C21">
      <w:pPr>
        <w:jc w:val="both"/>
      </w:pPr>
      <w:r w:rsidRPr="00000849">
        <w:t>As in the current review, we found in a previous systematic review that obesity or adiposity measures were strong predictors of hypertension among different cadres of workers in West Africa [</w:t>
      </w:r>
      <w:r w:rsidRPr="00000849">
        <w:rPr>
          <w:color w:val="0000FF"/>
        </w:rPr>
        <w:t>11</w:t>
      </w:r>
      <w:r w:rsidRPr="00000849">
        <w:t>] with, for example, adjusted odds ratio of about 3.4 among health workers in a teaching hospital in Nigeria [</w:t>
      </w:r>
      <w:r w:rsidRPr="00000849">
        <w:rPr>
          <w:color w:val="0000FF"/>
        </w:rPr>
        <w:t>56</w:t>
      </w:r>
      <w:r w:rsidRPr="00000849">
        <w:t>]. In a recent analysis of demographic and health survey results in five subSaharan countries, the adjusted odds ratios for hypertension was 2.44 (95% CI 2.19</w:t>
      </w:r>
      <w:r w:rsidRPr="00000849">
        <w:rPr>
          <w:rFonts w:ascii="Calibri" w:eastAsia="Calibri" w:hAnsi="Calibri" w:cs="Calibri"/>
        </w:rPr>
        <w:t>–</w:t>
      </w:r>
      <w:r w:rsidRPr="00000849">
        <w:t>2.72) and 5.34 (95% CI 4.75</w:t>
      </w:r>
      <w:r w:rsidRPr="00000849">
        <w:rPr>
          <w:rFonts w:ascii="Calibri" w:eastAsia="Calibri" w:hAnsi="Calibri" w:cs="Calibri"/>
        </w:rPr>
        <w:t>–</w:t>
      </w:r>
      <w:r w:rsidRPr="00000849">
        <w:t>5.99) among overweight and obese women respectively compared with women of normal BMI [</w:t>
      </w:r>
      <w:r w:rsidRPr="00000849">
        <w:rPr>
          <w:color w:val="0000FF"/>
        </w:rPr>
        <w:t>57</w:t>
      </w:r>
      <w:r w:rsidRPr="00000849">
        <w:t>].</w:t>
      </w:r>
    </w:p>
    <w:p w14:paraId="5F4C7D7E" w14:textId="77777777" w:rsidR="00BC221F" w:rsidRPr="00000849" w:rsidRDefault="00BC221F" w:rsidP="00DE4C21">
      <w:pPr>
        <w:jc w:val="both"/>
      </w:pPr>
      <w:r w:rsidRPr="00000849">
        <w:lastRenderedPageBreak/>
        <w:t>A meta-analysis of prospective studies published up to January 2017 estimated that the risk of hypertension increased by 49% for every five-unit increment in BMI, by 27% per 10 cm increase in waist circumference, and by 37 and 74% per 0.1-unit increment in waist-to-hip ratio and waist-to-height ratio respectively [</w:t>
      </w:r>
      <w:r w:rsidRPr="00000849">
        <w:rPr>
          <w:color w:val="0000FF"/>
        </w:rPr>
        <w:t>58</w:t>
      </w:r>
      <w:r w:rsidRPr="00000849">
        <w:t>]. Another meta-analysis of published articles up to January 2016 estimated that losing excess weight may reduce the risk of hypertension by 24 to 40% in people who are overweight and by 40 to 54% in people who are obese [</w:t>
      </w:r>
      <w:r w:rsidRPr="00000849">
        <w:rPr>
          <w:color w:val="0000FF"/>
        </w:rPr>
        <w:t>59</w:t>
      </w:r>
      <w:r w:rsidRPr="00000849">
        <w:t>]. As with older age, the close epidemiological and possibly causal link between obesity and hypertension is biologically plausible [</w:t>
      </w:r>
      <w:r w:rsidRPr="00000849">
        <w:rPr>
          <w:color w:val="0000FF"/>
        </w:rPr>
        <w:t>60</w:t>
      </w:r>
      <w:r w:rsidRPr="00000849">
        <w:t>].</w:t>
      </w:r>
    </w:p>
    <w:p w14:paraId="14773553" w14:textId="77777777" w:rsidR="00BC221F" w:rsidRPr="00000849" w:rsidRDefault="00BC221F" w:rsidP="00DE4C21">
      <w:pPr>
        <w:jc w:val="both"/>
      </w:pPr>
      <w:r w:rsidRPr="00000849">
        <w:t>Urbanization appears to provide the catalyst for the obesity epidemic in Africa. In West Africa, a meta-analysis revealed that the prevalence of obesity increased by 114% over a 15-year period from 1990 to 2014 whereas the much lower prevalence remained stable in the rural populations [</w:t>
      </w:r>
      <w:r w:rsidRPr="00000849">
        <w:rPr>
          <w:color w:val="0000FF"/>
        </w:rPr>
        <w:t>61</w:t>
      </w:r>
      <w:r w:rsidRPr="00000849">
        <w:t>]. There has been a rapid growth of the fast food industry in urban areas as incomes of the middle class along with increased opportunities and preferences for eating outside of home [</w:t>
      </w:r>
      <w:r w:rsidRPr="00000849">
        <w:rPr>
          <w:color w:val="0000FF"/>
        </w:rPr>
        <w:t>62</w:t>
      </w:r>
      <w:r w:rsidRPr="00000849">
        <w:t>]. It is likely that the obesogenic environment engendered by urbanization, trade liberalization, growing food and beverage food industry and changing lifestyles contribute to the development and progression of obesity from younger ages [</w:t>
      </w:r>
      <w:r w:rsidRPr="00000849">
        <w:rPr>
          <w:color w:val="0000FF"/>
        </w:rPr>
        <w:t>63</w:t>
      </w:r>
      <w:r w:rsidRPr="00000849">
        <w:t>]. Fortunately, there is now growing awareness of healthy food practices although these practices may be influenced by individual finances, physical, psychological and community factors [</w:t>
      </w:r>
      <w:r w:rsidRPr="00000849">
        <w:rPr>
          <w:color w:val="0000FF"/>
        </w:rPr>
        <w:t>64</w:t>
      </w:r>
      <w:r w:rsidRPr="00000849">
        <w:t>].</w:t>
      </w:r>
    </w:p>
    <w:p w14:paraId="3C456FDE" w14:textId="77777777" w:rsidR="00BC221F" w:rsidRPr="00000849" w:rsidRDefault="00BC221F" w:rsidP="00DE4C21">
      <w:pPr>
        <w:jc w:val="both"/>
      </w:pPr>
      <w:r w:rsidRPr="00000849">
        <w:t>The sex-differences in the prevalence of hypertension in Africa have been inconsistent. Some reviews have found minimal non-statistically significant differences [</w:t>
      </w:r>
      <w:r w:rsidRPr="00000849">
        <w:rPr>
          <w:color w:val="0000FF"/>
        </w:rPr>
        <w:t>7</w:t>
      </w:r>
      <w:r w:rsidRPr="00000849">
        <w:t xml:space="preserve">, </w:t>
      </w:r>
      <w:r w:rsidRPr="00000849">
        <w:rPr>
          <w:color w:val="0000FF"/>
        </w:rPr>
        <w:t>46</w:t>
      </w:r>
      <w:r w:rsidRPr="00000849">
        <w:t xml:space="preserve">, </w:t>
      </w:r>
      <w:r w:rsidRPr="00000849">
        <w:rPr>
          <w:color w:val="0000FF"/>
        </w:rPr>
        <w:t>47</w:t>
      </w:r>
      <w:r w:rsidRPr="00000849">
        <w:t xml:space="preserve">, </w:t>
      </w:r>
      <w:r w:rsidRPr="00000849">
        <w:rPr>
          <w:color w:val="0000FF"/>
        </w:rPr>
        <w:t>49</w:t>
      </w:r>
      <w:r w:rsidRPr="00000849">
        <w:t>] while others have found greater prevalence among men [</w:t>
      </w:r>
      <w:r w:rsidRPr="00000849">
        <w:rPr>
          <w:color w:val="0000FF"/>
        </w:rPr>
        <w:t>65</w:t>
      </w:r>
      <w:r w:rsidRPr="00000849">
        <w:t xml:space="preserve">, </w:t>
      </w:r>
      <w:r w:rsidRPr="00000849">
        <w:rPr>
          <w:color w:val="0000FF"/>
        </w:rPr>
        <w:t>66</w:t>
      </w:r>
      <w:r w:rsidRPr="00000849">
        <w:t>]. Unlike our previous review in which we identified male sex as one of the determinants of hypertension among workers in West Africa [</w:t>
      </w:r>
      <w:r w:rsidRPr="00000849">
        <w:rPr>
          <w:color w:val="0000FF"/>
        </w:rPr>
        <w:t>11</w:t>
      </w:r>
      <w:r w:rsidRPr="00000849">
        <w:t>], we found in the current review that female sex was independently associated with hypertension in most studies among older adults in Africa. A global review found a higher mean blood pressure and age-standardized prevalence of hypertension among men [</w:t>
      </w:r>
      <w:r w:rsidRPr="00000849">
        <w:rPr>
          <w:color w:val="0000FF"/>
        </w:rPr>
        <w:t>67</w:t>
      </w:r>
      <w:r w:rsidRPr="00000849">
        <w:t>]. The pattern of lower prevalence of hypertension in premenopausal women than men and the subsequent higher prevalence in postmenopausal women may be typical [</w:t>
      </w:r>
      <w:r w:rsidRPr="00000849">
        <w:rPr>
          <w:color w:val="0000FF"/>
        </w:rPr>
        <w:t>68</w:t>
      </w:r>
      <w:r w:rsidRPr="00000849">
        <w:t xml:space="preserve">, </w:t>
      </w:r>
      <w:r w:rsidRPr="00000849">
        <w:rPr>
          <w:color w:val="0000FF"/>
        </w:rPr>
        <w:t>69</w:t>
      </w:r>
      <w:r w:rsidRPr="00000849">
        <w:t>]. Multiple mechanisms such as androgen-mediated increase in angiotensinogen leading to increase in endothelinmediated vasoconstriction; oxidative stress; sympathetic nervous system activation; and increased anxiety or depression have been proposed as possible explanation for the higher prevalence in postmenopausal women [</w:t>
      </w:r>
      <w:r w:rsidRPr="00000849">
        <w:rPr>
          <w:color w:val="0000FF"/>
        </w:rPr>
        <w:t>69</w:t>
      </w:r>
      <w:r w:rsidRPr="00000849">
        <w:t>]. Besides their higher odds for hypertension, older women are also at a significantly higher risk of having multiple risk factors for NCDs [</w:t>
      </w:r>
      <w:r w:rsidRPr="00000849">
        <w:rPr>
          <w:color w:val="0000FF"/>
        </w:rPr>
        <w:t>42</w:t>
      </w:r>
      <w:r w:rsidRPr="00000849">
        <w:t>].</w:t>
      </w:r>
    </w:p>
    <w:p w14:paraId="4EE172C3" w14:textId="77777777" w:rsidR="00BC221F" w:rsidRPr="00000849" w:rsidRDefault="00BC221F" w:rsidP="00DE4C21">
      <w:pPr>
        <w:jc w:val="both"/>
      </w:pPr>
      <w:r w:rsidRPr="00000849">
        <w:t>In the bivariate analysis, the prevalence of hypertension in older adults was almost always higher in urban than in rural populations in our review. In multivariate analysis, however, the greater odds of hypertension associated with urban residence was less consistent. Other systematic reviews in Africa have made similar observations [</w:t>
      </w:r>
      <w:r w:rsidRPr="00000849">
        <w:rPr>
          <w:color w:val="0000FF"/>
        </w:rPr>
        <w:t>46</w:t>
      </w:r>
      <w:r w:rsidRPr="00000849">
        <w:t xml:space="preserve">, </w:t>
      </w:r>
      <w:r w:rsidRPr="00000849">
        <w:rPr>
          <w:color w:val="0000FF"/>
        </w:rPr>
        <w:t>47</w:t>
      </w:r>
      <w:r w:rsidRPr="00000849">
        <w:t xml:space="preserve">, </w:t>
      </w:r>
      <w:r w:rsidRPr="00000849">
        <w:rPr>
          <w:color w:val="0000FF"/>
        </w:rPr>
        <w:t>65</w:t>
      </w:r>
      <w:r w:rsidRPr="00000849">
        <w:t xml:space="preserve">, </w:t>
      </w:r>
      <w:r w:rsidRPr="00000849">
        <w:rPr>
          <w:color w:val="0000FF"/>
        </w:rPr>
        <w:t>70</w:t>
      </w:r>
      <w:r w:rsidRPr="00000849">
        <w:t>]. It appears the gap in the prevalence between urban and rural areas has been narrowing [</w:t>
      </w:r>
      <w:r w:rsidRPr="00000849">
        <w:rPr>
          <w:color w:val="0000FF"/>
        </w:rPr>
        <w:t>71</w:t>
      </w:r>
      <w:r w:rsidRPr="00000849">
        <w:rPr>
          <w:rFonts w:ascii="Calibri" w:eastAsia="Calibri" w:hAnsi="Calibri" w:cs="Calibri"/>
        </w:rPr>
        <w:t>–</w:t>
      </w:r>
      <w:r w:rsidRPr="00000849">
        <w:rPr>
          <w:color w:val="0000FF"/>
        </w:rPr>
        <w:t>73</w:t>
      </w:r>
      <w:r w:rsidRPr="00000849">
        <w:t>]. In a recent study in Zambia, the prevalence in rural populations was twice that in urban population [</w:t>
      </w:r>
      <w:r w:rsidRPr="00000849">
        <w:rPr>
          <w:color w:val="0000FF"/>
        </w:rPr>
        <w:t>74</w:t>
      </w:r>
      <w:r w:rsidRPr="00000849">
        <w:t>].</w:t>
      </w:r>
    </w:p>
    <w:p w14:paraId="39FC77E2" w14:textId="77777777" w:rsidR="00BC221F" w:rsidRPr="00000849" w:rsidRDefault="00BC221F" w:rsidP="00DE4C21">
      <w:pPr>
        <w:jc w:val="both"/>
      </w:pPr>
      <w:r w:rsidRPr="00000849">
        <w:t>Except in Nigeria where not being married was protective, marital status was not independently associated with hypertension. The reason for the protective effect of unmarried status of older adults for hypertension in Nigeria is not clear from the primary study included in the review. In a meta-analysis involving studies from western countries, being married was independently associated with a greater adjusted odds of having nocturnal dipping and lower mean night-time SBPs among subjects participating in a controlled dietary intervention [</w:t>
      </w:r>
      <w:r w:rsidRPr="00000849">
        <w:rPr>
          <w:color w:val="0000FF"/>
        </w:rPr>
        <w:t>75</w:t>
      </w:r>
      <w:r w:rsidRPr="00000849">
        <w:t>]. This may be because married people have a better satisfaction with life [</w:t>
      </w:r>
      <w:r w:rsidRPr="00000849">
        <w:rPr>
          <w:color w:val="0000FF"/>
        </w:rPr>
        <w:t>76</w:t>
      </w:r>
      <w:r w:rsidRPr="00000849">
        <w:t>] or may be due to socialcognitive factors, neuroendocrine processes, biological mediators and health behaviours [</w:t>
      </w:r>
      <w:r w:rsidRPr="00000849">
        <w:rPr>
          <w:color w:val="0000FF"/>
        </w:rPr>
        <w:t>75</w:t>
      </w:r>
      <w:r w:rsidRPr="00000849">
        <w:t>].</w:t>
      </w:r>
    </w:p>
    <w:p w14:paraId="258FF929" w14:textId="77777777" w:rsidR="00BC221F" w:rsidRPr="00000849" w:rsidRDefault="00BC221F" w:rsidP="00DE4C21">
      <w:pPr>
        <w:jc w:val="both"/>
      </w:pPr>
      <w:r w:rsidRPr="00000849">
        <w:lastRenderedPageBreak/>
        <w:t>Among the socioeconomic factors, we found that the association between education and wealth index with hypertension in older adults in Africa was inconsistent. We observed similar inconsistent results with education in the systematic review of hypertension among workers in West Africa [</w:t>
      </w:r>
      <w:r w:rsidRPr="00000849">
        <w:rPr>
          <w:color w:val="0000FF"/>
        </w:rPr>
        <w:t>11</w:t>
      </w:r>
      <w:r w:rsidRPr="00000849">
        <w:t>]. The direction of the association between education and hypertension among older adults in the two SAGE countries, Ghana and South Africa was discordant [</w:t>
      </w:r>
      <w:r w:rsidRPr="00000849">
        <w:rPr>
          <w:color w:val="0000FF"/>
        </w:rPr>
        <w:t>18</w:t>
      </w:r>
      <w:r w:rsidRPr="00000849">
        <w:t xml:space="preserve">]. In the analysis involving all the six low- and middleincome SAGE countries (China, Ghana, India, Mexico, Russia, and South Africa), education was not independently associated with hypertension in participants aged </w:t>
      </w:r>
      <w:r w:rsidRPr="00000849">
        <w:rPr>
          <w:rFonts w:ascii="Calibri" w:eastAsia="Calibri" w:hAnsi="Calibri" w:cs="Calibri"/>
        </w:rPr>
        <w:t>≥</w:t>
      </w:r>
      <w:r w:rsidRPr="00000849">
        <w:t>18 years [</w:t>
      </w:r>
      <w:r w:rsidRPr="00000849">
        <w:rPr>
          <w:color w:val="0000FF"/>
        </w:rPr>
        <w:t>77</w:t>
      </w:r>
      <w:r w:rsidRPr="00000849">
        <w:t>]. The prevalence of hypertension has been shown to increase with increasing illiteracy in some reviews [</w:t>
      </w:r>
      <w:r w:rsidRPr="00000849">
        <w:rPr>
          <w:color w:val="0000FF"/>
        </w:rPr>
        <w:t>47</w:t>
      </w:r>
      <w:r w:rsidRPr="00000849">
        <w:t>] and multi-country analyses [</w:t>
      </w:r>
      <w:r w:rsidRPr="00000849">
        <w:rPr>
          <w:color w:val="0000FF"/>
        </w:rPr>
        <w:t>57</w:t>
      </w:r>
      <w:r w:rsidRPr="00000849">
        <w:t>]. Since in low-income countries, those with higher education tend to be overweight or obese [</w:t>
      </w:r>
      <w:r w:rsidRPr="00000849">
        <w:rPr>
          <w:color w:val="0000FF"/>
        </w:rPr>
        <w:t>78</w:t>
      </w:r>
      <w:r w:rsidRPr="00000849">
        <w:t xml:space="preserve">, </w:t>
      </w:r>
      <w:r w:rsidRPr="00000849">
        <w:rPr>
          <w:color w:val="0000FF"/>
        </w:rPr>
        <w:t>79</w:t>
      </w:r>
      <w:r w:rsidRPr="00000849">
        <w:t>], it may have been expected that higher education would predict hypertension if the relationships were linear or unconfounded. Longitudinal studies could help define how the relationship between education and obesity differ over the life course [</w:t>
      </w:r>
      <w:r w:rsidRPr="00000849">
        <w:rPr>
          <w:color w:val="0000FF"/>
        </w:rPr>
        <w:t>78</w:t>
      </w:r>
      <w:r w:rsidRPr="00000849">
        <w:t>].</w:t>
      </w:r>
    </w:p>
    <w:p w14:paraId="1F566E7E" w14:textId="77777777" w:rsidR="00BC221F" w:rsidRPr="00000849" w:rsidRDefault="00BC221F" w:rsidP="00DE4C21">
      <w:pPr>
        <w:jc w:val="both"/>
      </w:pPr>
      <w:r w:rsidRPr="00000849">
        <w:t>As with education, we observed a somewhat discordant relationship between wealth and hypertension among older adults in the SAGE studies in Ghana and South Africa [</w:t>
      </w:r>
      <w:r w:rsidRPr="00000849">
        <w:rPr>
          <w:color w:val="0000FF"/>
        </w:rPr>
        <w:t>19</w:t>
      </w:r>
      <w:r w:rsidRPr="00000849">
        <w:t>]. In South Africa, as in Russia, with high average prevalence of hypertension, the socioeconomic gradient by wealth quintiles was almost flat [</w:t>
      </w:r>
      <w:r w:rsidRPr="00000849">
        <w:rPr>
          <w:color w:val="0000FF"/>
        </w:rPr>
        <w:t>19</w:t>
      </w:r>
      <w:r w:rsidRPr="00000849">
        <w:t>]. In contrast, in Ghana and India, the socioeconomic gradient relating wealth quintile with hypertension in older adults was positive with the ratio of the prevalence between the richest and poorest wealth quintile groups being in the order of 1.4</w:t>
      </w:r>
      <w:r w:rsidRPr="00000849">
        <w:rPr>
          <w:rFonts w:ascii="Calibri" w:eastAsia="Calibri" w:hAnsi="Calibri" w:cs="Calibri"/>
        </w:rPr>
        <w:t>–</w:t>
      </w:r>
      <w:r w:rsidRPr="00000849">
        <w:t>1.6. In the two other SAGE countries, China and Mexico, which had a similar average prevalence of hypertension, there was less clear pattern and the socioeconomic gradient appeared negative.</w:t>
      </w:r>
    </w:p>
    <w:p w14:paraId="51D98E05" w14:textId="77777777" w:rsidR="00BC221F" w:rsidRPr="00000849" w:rsidRDefault="00BC221F" w:rsidP="00DE4C21">
      <w:pPr>
        <w:jc w:val="both"/>
      </w:pPr>
      <w:r w:rsidRPr="00000849">
        <w:t>As we found for older adults involved in SAGE Ghana [</w:t>
      </w:r>
      <w:r w:rsidRPr="00000849">
        <w:rPr>
          <w:color w:val="0000FF"/>
        </w:rPr>
        <w:t>19</w:t>
      </w:r>
      <w:r w:rsidRPr="00000849">
        <w:t>], a recent analysis of studies among women aged 15</w:t>
      </w:r>
      <w:r w:rsidRPr="00000849">
        <w:rPr>
          <w:rFonts w:ascii="Calibri" w:eastAsia="Calibri" w:hAnsi="Calibri" w:cs="Calibri"/>
        </w:rPr>
        <w:t>–</w:t>
      </w:r>
      <w:r w:rsidRPr="00000849">
        <w:t>49 years in five sub-Saharan African countries also found that increasing wealth index was independently associated with hypertension along a dose-response gradient [</w:t>
      </w:r>
      <w:r w:rsidRPr="00000849">
        <w:rPr>
          <w:color w:val="0000FF"/>
        </w:rPr>
        <w:t>57</w:t>
      </w:r>
      <w:r w:rsidRPr="00000849">
        <w:t>]. Clearly, the relationship between wealth and hypertension is context-specific. Further studies are required to more clearly define the socioeconomic predictors of hypertension and its complications, particularly in poor households who tend to be less aware of their disease and achieving worse outcomes [</w:t>
      </w:r>
      <w:r w:rsidRPr="00000849">
        <w:rPr>
          <w:color w:val="0000FF"/>
        </w:rPr>
        <w:t>19</w:t>
      </w:r>
      <w:r w:rsidRPr="00000849">
        <w:t>].</w:t>
      </w:r>
    </w:p>
    <w:p w14:paraId="222A4324" w14:textId="77777777" w:rsidR="00BC221F" w:rsidRPr="00000849" w:rsidRDefault="00BC221F" w:rsidP="00DE4C21">
      <w:pPr>
        <w:jc w:val="both"/>
      </w:pPr>
      <w:r w:rsidRPr="00000849">
        <w:t xml:space="preserve">With regards to lifestyle factors, we found an inconsistent relationship between physical activity and alcohol intake with hypertension in the current review. The crosscountry analysis of the SAGE data of participants aged </w:t>
      </w:r>
      <w:r w:rsidRPr="00000849">
        <w:rPr>
          <w:rFonts w:ascii="Calibri" w:eastAsia="Calibri" w:hAnsi="Calibri" w:cs="Calibri"/>
        </w:rPr>
        <w:t>≥</w:t>
      </w:r>
      <w:r w:rsidRPr="00000849">
        <w:t>18 years in the six SAGE countries did not find any independent association between exercise and hypertension [</w:t>
      </w:r>
      <w:r w:rsidRPr="00000849">
        <w:rPr>
          <w:color w:val="0000FF"/>
        </w:rPr>
        <w:t>77</w:t>
      </w:r>
      <w:r w:rsidRPr="00000849">
        <w:t>]. Nevertheless, the role of physical activity in improving cardiovascular outcomes in older adults is wellrecognized [</w:t>
      </w:r>
      <w:r w:rsidRPr="00000849">
        <w:rPr>
          <w:color w:val="0000FF"/>
        </w:rPr>
        <w:t>80</w:t>
      </w:r>
      <w:r w:rsidRPr="00000849">
        <w:rPr>
          <w:rFonts w:ascii="Calibri" w:eastAsia="Calibri" w:hAnsi="Calibri" w:cs="Calibri"/>
        </w:rPr>
        <w:t>–</w:t>
      </w:r>
      <w:r w:rsidRPr="00000849">
        <w:rPr>
          <w:color w:val="0000FF"/>
        </w:rPr>
        <w:t>82</w:t>
      </w:r>
      <w:r w:rsidRPr="00000849">
        <w:t>]. The inconsistent findings may be related to methodological issues such as the study design, study population and sample size.</w:t>
      </w:r>
    </w:p>
    <w:p w14:paraId="4A5E7014" w14:textId="77777777" w:rsidR="00BC221F" w:rsidRPr="00000849" w:rsidRDefault="00BC221F" w:rsidP="007E6CC7">
      <w:pPr>
        <w:jc w:val="both"/>
      </w:pPr>
      <w:r w:rsidRPr="00000849">
        <w:t>As with physical activity, we found an inconsistent relationship between alcohol intake and hypertension in older adults in our review. This contrasts with the finding in our previous review among workers in West Africa in which we found that alcohol intake was generally associated with hypertension [</w:t>
      </w:r>
      <w:r w:rsidRPr="00000849">
        <w:rPr>
          <w:color w:val="0000FF"/>
        </w:rPr>
        <w:t>11</w:t>
      </w:r>
      <w:r w:rsidRPr="00000849">
        <w:t>]. The protective effect of moderate drinking against cardiovascular disease has been widely publicized for many years [</w:t>
      </w:r>
      <w:r w:rsidRPr="00000849">
        <w:rPr>
          <w:color w:val="0000FF"/>
        </w:rPr>
        <w:t>83</w:t>
      </w:r>
      <w:r w:rsidRPr="00000849">
        <w:t xml:space="preserve">, </w:t>
      </w:r>
      <w:r w:rsidRPr="00000849">
        <w:rPr>
          <w:color w:val="0000FF"/>
        </w:rPr>
        <w:t>84</w:t>
      </w:r>
      <w:r w:rsidRPr="00000849">
        <w:t>]. Recent evidence is emerging from cohort studies that alcohol at any level increases the risk of incident hypertension [</w:t>
      </w:r>
      <w:r w:rsidRPr="00000849">
        <w:rPr>
          <w:color w:val="0000FF"/>
        </w:rPr>
        <w:t>85</w:t>
      </w:r>
      <w:r w:rsidRPr="00000849">
        <w:t xml:space="preserve">]. A meta-analysis found that, compared with abstainers, light drinking (1 to 2 drinks/day) in men increased the risk of hypertension by 19%, with the risk increasing in a dose-response manner to 74% in those drinking </w:t>
      </w:r>
      <w:r w:rsidRPr="00000849">
        <w:rPr>
          <w:rFonts w:ascii="Calibri" w:eastAsia="Calibri" w:hAnsi="Calibri" w:cs="Calibri"/>
        </w:rPr>
        <w:t>≥</w:t>
      </w:r>
      <w:r w:rsidRPr="00000849">
        <w:t>5 drinks daily [</w:t>
      </w:r>
      <w:r w:rsidRPr="00000849">
        <w:rPr>
          <w:color w:val="0000FF"/>
        </w:rPr>
        <w:t>85</w:t>
      </w:r>
      <w:r w:rsidRPr="00000849">
        <w:t>]. In women, the increased risk was observed in those taking two or more standard drinks daily. No level of alcohol consumption was protective in men or women. Consistent with this finding, a meta-analysis found that a reduction in alcohol intake in people who drank more than two drinks per day in the UK was associated with increased blood pressure reduction [</w:t>
      </w:r>
      <w:r w:rsidRPr="00000849">
        <w:rPr>
          <w:color w:val="0000FF"/>
        </w:rPr>
        <w:t>86</w:t>
      </w:r>
      <w:r w:rsidRPr="00000849">
        <w:t xml:space="preserve">]. Existing recommendations to reduce alcohol intake </w:t>
      </w:r>
      <w:r w:rsidRPr="00000849">
        <w:lastRenderedPageBreak/>
        <w:t>among older adults and to discourage middle-aged adults from taking up regular alcohol intake may, therefore, be pertinent [</w:t>
      </w:r>
      <w:r w:rsidRPr="00000849">
        <w:rPr>
          <w:color w:val="0000FF"/>
        </w:rPr>
        <w:t>50</w:t>
      </w:r>
      <w:r w:rsidRPr="00000849">
        <w:t xml:space="preserve">, </w:t>
      </w:r>
      <w:r w:rsidRPr="00000849">
        <w:rPr>
          <w:color w:val="0000FF"/>
        </w:rPr>
        <w:t>87</w:t>
      </w:r>
      <w:r w:rsidRPr="00000849">
        <w:t xml:space="preserve">, </w:t>
      </w:r>
      <w:r w:rsidRPr="00000849">
        <w:rPr>
          <w:color w:val="0000FF"/>
        </w:rPr>
        <w:t>88</w:t>
      </w:r>
      <w:r w:rsidRPr="00000849">
        <w:t>]. In the current review, the inverse association of alcohol intake and hypertension in South Africa among older adults is inconsistent with recent findings and may be due to methodological differences in study design, study population, exposure to alcohol, and length of follow-up. Similarly, our finding of an inconsistent relationship between self-reported history of diabetes and hypertension in older adults in Africa in the current review contrasts with that in our previous review in which it was a consistent determinant of hypertension in West African workers [</w:t>
      </w:r>
      <w:r w:rsidRPr="00000849">
        <w:rPr>
          <w:color w:val="0000FF"/>
        </w:rPr>
        <w:t>11</w:t>
      </w:r>
      <w:r w:rsidRPr="00000849">
        <w:t>].</w:t>
      </w:r>
    </w:p>
    <w:p w14:paraId="23FE8B5B" w14:textId="77777777" w:rsidR="00BC221F" w:rsidRPr="00000849" w:rsidRDefault="00BC221F" w:rsidP="007E6CC7">
      <w:pPr>
        <w:spacing w:after="430"/>
        <w:jc w:val="both"/>
      </w:pPr>
      <w:r w:rsidRPr="00000849">
        <w:t>Some limitations of this review should be noted. A major limitation was the limited number of covariates, particularly lifestyle and comorbid factors, investigated in individual studies for their relationship with hypertension. It is therefore likely that some important confounders were not included in the models. Even in those where several covariates were included in the models presented, there are likely to still be unmeasured confounders. The effect sizes from the few studies which enrolled non-representative samples may be biased. The study populations were diverse and so the study findings may not be generalizable to specific groups. The differences in ability of participants to recall history of past illness or behaviour could explain differences in the relationships observed between studies. The definition of some lifestyle covariates such as alcohol consumption and physical activity differed between studies making comparisons difficult. The statistical determinants identified in this review do not imply causality, especially because most of the included studies were cross-sectional. For example, the consistent association between a history of stroke and having hypertension should not be interpreted to mean that stroke is a biological risk factor for hypertension.</w:t>
      </w:r>
    </w:p>
    <w:p w14:paraId="7734DE99" w14:textId="77777777" w:rsidR="00BC221F" w:rsidRPr="00000849" w:rsidRDefault="00BC221F" w:rsidP="007E6CC7">
      <w:pPr>
        <w:spacing w:after="467" w:line="259" w:lineRule="auto"/>
        <w:jc w:val="both"/>
        <w:rPr>
          <w:b/>
          <w:bCs/>
          <w:sz w:val="29"/>
        </w:rPr>
      </w:pPr>
      <w:r w:rsidRPr="00000849">
        <w:rPr>
          <w:b/>
          <w:bCs/>
          <w:sz w:val="29"/>
        </w:rPr>
        <w:t>Conclusions</w:t>
      </w:r>
    </w:p>
    <w:p w14:paraId="424C8ACB" w14:textId="77777777" w:rsidR="00BC221F" w:rsidRPr="00000849" w:rsidRDefault="00BC221F" w:rsidP="007E6CC7">
      <w:pPr>
        <w:spacing w:after="429"/>
        <w:jc w:val="both"/>
      </w:pPr>
      <w:r w:rsidRPr="00000849">
        <w:t>We identified older age, overweight/obesity, female sex, urban residence, history of stroke as the frequent or consistent determinants of systemic hypertension in older adults in Africa. Socioeconomic and lifestyle factors generally had variable relationships with hypertension. Further research with longitudinal studies is needed to better define the determinants of incident hypertension in this group. Future reviews could perform meta-analysis to obtain pooled estimates of the risk factors as well as explore what strategies such as weight reduction throughout the life course, including the middle and older age groups, improve cardiovascular health so that public health authorities can implement the most appropriate policies.</w:t>
      </w:r>
    </w:p>
    <w:p w14:paraId="0D75674A" w14:textId="72299478" w:rsidR="00BC221F" w:rsidRPr="00000849" w:rsidRDefault="00EF7D68" w:rsidP="007E6CC7">
      <w:pPr>
        <w:spacing w:after="467" w:line="259" w:lineRule="auto"/>
        <w:jc w:val="both"/>
        <w:rPr>
          <w:b/>
          <w:bCs/>
          <w:sz w:val="29"/>
        </w:rPr>
      </w:pPr>
      <w:r w:rsidRPr="00000849">
        <w:rPr>
          <w:rFonts w:ascii="Calibri" w:eastAsia="Calibri" w:hAnsi="Calibri" w:cs="Calibri"/>
          <w:noProof/>
          <w:color w:val="000000"/>
        </w:rPr>
        <mc:AlternateContent>
          <mc:Choice Requires="wpg">
            <w:drawing>
              <wp:anchor distT="0" distB="0" distL="114300" distR="114300" simplePos="0" relativeHeight="251674624" behindDoc="1" locked="0" layoutInCell="1" allowOverlap="1" wp14:anchorId="201F825F" wp14:editId="2628FD8B">
                <wp:simplePos x="0" y="0"/>
                <wp:positionH relativeFrom="margin">
                  <wp:align>left</wp:align>
                </wp:positionH>
                <wp:positionV relativeFrom="paragraph">
                  <wp:posOffset>488824</wp:posOffset>
                </wp:positionV>
                <wp:extent cx="6086585" cy="487209"/>
                <wp:effectExtent l="0" t="0" r="28575" b="27305"/>
                <wp:wrapNone/>
                <wp:docPr id="57839" name="Group 57839"/>
                <wp:cNvGraphicFramePr/>
                <a:graphic xmlns:a="http://schemas.openxmlformats.org/drawingml/2006/main">
                  <a:graphicData uri="http://schemas.microsoft.com/office/word/2010/wordprocessingGroup">
                    <wpg:wgp>
                      <wpg:cNvGrpSpPr/>
                      <wpg:grpSpPr>
                        <a:xfrm>
                          <a:off x="0" y="0"/>
                          <a:ext cx="6086585" cy="487209"/>
                          <a:chOff x="0" y="0"/>
                          <a:chExt cx="2969997" cy="464414"/>
                        </a:xfrm>
                      </wpg:grpSpPr>
                      <wps:wsp>
                        <wps:cNvPr id="83171" name="Shape 83171"/>
                        <wps:cNvSpPr/>
                        <wps:spPr>
                          <a:xfrm>
                            <a:off x="38164" y="0"/>
                            <a:ext cx="2893682" cy="9144"/>
                          </a:xfrm>
                          <a:custGeom>
                            <a:avLst/>
                            <a:gdLst/>
                            <a:ahLst/>
                            <a:cxnLst/>
                            <a:rect l="0" t="0" r="0" b="0"/>
                            <a:pathLst>
                              <a:path w="2893682" h="9144">
                                <a:moveTo>
                                  <a:pt x="0" y="0"/>
                                </a:moveTo>
                                <a:lnTo>
                                  <a:pt x="2893682" y="0"/>
                                </a:lnTo>
                                <a:lnTo>
                                  <a:pt x="2893682" y="9144"/>
                                </a:lnTo>
                                <a:lnTo>
                                  <a:pt x="0" y="9144"/>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6639" name="Shape 6639"/>
                        <wps:cNvSpPr/>
                        <wps:spPr>
                          <a:xfrm>
                            <a:off x="2931833" y="0"/>
                            <a:ext cx="38164" cy="38164"/>
                          </a:xfrm>
                          <a:custGeom>
                            <a:avLst/>
                            <a:gdLst/>
                            <a:ahLst/>
                            <a:cxnLst/>
                            <a:rect l="0" t="0" r="0" b="0"/>
                            <a:pathLst>
                              <a:path w="38164" h="38164">
                                <a:moveTo>
                                  <a:pt x="0" y="0"/>
                                </a:moveTo>
                                <a:lnTo>
                                  <a:pt x="6477" y="724"/>
                                </a:lnTo>
                                <a:cubicBezTo>
                                  <a:pt x="20917" y="1765"/>
                                  <a:pt x="36157" y="17310"/>
                                  <a:pt x="37440" y="31674"/>
                                </a:cubicBezTo>
                                <a:lnTo>
                                  <a:pt x="38164" y="38164"/>
                                </a:lnTo>
                                <a:lnTo>
                                  <a:pt x="35281" y="38164"/>
                                </a:lnTo>
                                <a:lnTo>
                                  <a:pt x="34557" y="32398"/>
                                </a:lnTo>
                                <a:cubicBezTo>
                                  <a:pt x="31788" y="17450"/>
                                  <a:pt x="20879" y="7556"/>
                                  <a:pt x="6477" y="3594"/>
                                </a:cubicBezTo>
                                <a:lnTo>
                                  <a:pt x="0" y="3594"/>
                                </a:lnTo>
                                <a:lnTo>
                                  <a:pt x="0" y="0"/>
                                </a:lnTo>
                                <a:close/>
                              </a:path>
                            </a:pathLst>
                          </a:custGeom>
                          <a:ln w="0" cap="rnd">
                            <a:round/>
                          </a:ln>
                        </wps:spPr>
                        <wps:style>
                          <a:lnRef idx="1">
                            <a:srgbClr val="131313"/>
                          </a:lnRef>
                          <a:fillRef idx="1">
                            <a:srgbClr val="131313"/>
                          </a:fillRef>
                          <a:effectRef idx="0">
                            <a:scrgbClr r="0" g="0" b="0"/>
                          </a:effectRef>
                          <a:fontRef idx="none"/>
                        </wps:style>
                        <wps:bodyPr/>
                      </wps:wsp>
                      <wps:wsp>
                        <wps:cNvPr id="83172" name="Shape 83172"/>
                        <wps:cNvSpPr/>
                        <wps:spPr>
                          <a:xfrm>
                            <a:off x="2967114" y="38164"/>
                            <a:ext cx="9144" cy="388074"/>
                          </a:xfrm>
                          <a:custGeom>
                            <a:avLst/>
                            <a:gdLst/>
                            <a:ahLst/>
                            <a:cxnLst/>
                            <a:rect l="0" t="0" r="0" b="0"/>
                            <a:pathLst>
                              <a:path w="9144" h="388074">
                                <a:moveTo>
                                  <a:pt x="0" y="0"/>
                                </a:moveTo>
                                <a:lnTo>
                                  <a:pt x="9144" y="0"/>
                                </a:lnTo>
                                <a:lnTo>
                                  <a:pt x="9144" y="388074"/>
                                </a:lnTo>
                                <a:lnTo>
                                  <a:pt x="0" y="388074"/>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6641" name="Shape 6641"/>
                        <wps:cNvSpPr/>
                        <wps:spPr>
                          <a:xfrm>
                            <a:off x="2931833" y="426250"/>
                            <a:ext cx="38164" cy="38164"/>
                          </a:xfrm>
                          <a:custGeom>
                            <a:avLst/>
                            <a:gdLst/>
                            <a:ahLst/>
                            <a:cxnLst/>
                            <a:rect l="0" t="0" r="0" b="0"/>
                            <a:pathLst>
                              <a:path w="38164" h="38164">
                                <a:moveTo>
                                  <a:pt x="35281" y="0"/>
                                </a:moveTo>
                                <a:lnTo>
                                  <a:pt x="38164" y="0"/>
                                </a:lnTo>
                                <a:lnTo>
                                  <a:pt x="37440" y="6477"/>
                                </a:lnTo>
                                <a:cubicBezTo>
                                  <a:pt x="35242" y="21920"/>
                                  <a:pt x="22289" y="35751"/>
                                  <a:pt x="6477" y="37440"/>
                                </a:cubicBezTo>
                                <a:lnTo>
                                  <a:pt x="0" y="38164"/>
                                </a:lnTo>
                                <a:lnTo>
                                  <a:pt x="0" y="35281"/>
                                </a:lnTo>
                                <a:lnTo>
                                  <a:pt x="6477" y="34557"/>
                                </a:lnTo>
                                <a:cubicBezTo>
                                  <a:pt x="18618" y="33172"/>
                                  <a:pt x="33808" y="18097"/>
                                  <a:pt x="34570" y="5766"/>
                                </a:cubicBezTo>
                                <a:lnTo>
                                  <a:pt x="35281" y="0"/>
                                </a:lnTo>
                                <a:close/>
                              </a:path>
                            </a:pathLst>
                          </a:custGeom>
                          <a:ln w="0" cap="rnd">
                            <a:round/>
                          </a:ln>
                        </wps:spPr>
                        <wps:style>
                          <a:lnRef idx="1">
                            <a:srgbClr val="131313"/>
                          </a:lnRef>
                          <a:fillRef idx="1">
                            <a:srgbClr val="131313"/>
                          </a:fillRef>
                          <a:effectRef idx="0">
                            <a:scrgbClr r="0" g="0" b="0"/>
                          </a:effectRef>
                          <a:fontRef idx="none"/>
                        </wps:style>
                        <wps:bodyPr/>
                      </wps:wsp>
                      <wps:wsp>
                        <wps:cNvPr id="83173" name="Shape 83173"/>
                        <wps:cNvSpPr/>
                        <wps:spPr>
                          <a:xfrm>
                            <a:off x="38151" y="461518"/>
                            <a:ext cx="2893682" cy="9144"/>
                          </a:xfrm>
                          <a:custGeom>
                            <a:avLst/>
                            <a:gdLst/>
                            <a:ahLst/>
                            <a:cxnLst/>
                            <a:rect l="0" t="0" r="0" b="0"/>
                            <a:pathLst>
                              <a:path w="2893682" h="9144">
                                <a:moveTo>
                                  <a:pt x="0" y="0"/>
                                </a:moveTo>
                                <a:lnTo>
                                  <a:pt x="2893682" y="0"/>
                                </a:lnTo>
                                <a:lnTo>
                                  <a:pt x="2893682" y="9144"/>
                                </a:lnTo>
                                <a:lnTo>
                                  <a:pt x="0" y="9144"/>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6643" name="Shape 6643"/>
                        <wps:cNvSpPr/>
                        <wps:spPr>
                          <a:xfrm>
                            <a:off x="0" y="426237"/>
                            <a:ext cx="38164" cy="38164"/>
                          </a:xfrm>
                          <a:custGeom>
                            <a:avLst/>
                            <a:gdLst/>
                            <a:ahLst/>
                            <a:cxnLst/>
                            <a:rect l="0" t="0" r="0" b="0"/>
                            <a:pathLst>
                              <a:path w="38164" h="38164">
                                <a:moveTo>
                                  <a:pt x="0" y="0"/>
                                </a:moveTo>
                                <a:lnTo>
                                  <a:pt x="2883" y="0"/>
                                </a:lnTo>
                                <a:lnTo>
                                  <a:pt x="3607" y="5766"/>
                                </a:lnTo>
                                <a:cubicBezTo>
                                  <a:pt x="4293" y="18111"/>
                                  <a:pt x="20053" y="33871"/>
                                  <a:pt x="32398" y="34569"/>
                                </a:cubicBezTo>
                                <a:lnTo>
                                  <a:pt x="38164" y="35281"/>
                                </a:lnTo>
                                <a:lnTo>
                                  <a:pt x="38164" y="38164"/>
                                </a:lnTo>
                                <a:lnTo>
                                  <a:pt x="31687" y="37440"/>
                                </a:lnTo>
                                <a:cubicBezTo>
                                  <a:pt x="16243" y="35802"/>
                                  <a:pt x="2375" y="21920"/>
                                  <a:pt x="724" y="6490"/>
                                </a:cubicBezTo>
                                <a:lnTo>
                                  <a:pt x="0" y="0"/>
                                </a:lnTo>
                                <a:close/>
                              </a:path>
                            </a:pathLst>
                          </a:custGeom>
                          <a:ln w="0" cap="rnd">
                            <a:round/>
                          </a:ln>
                        </wps:spPr>
                        <wps:style>
                          <a:lnRef idx="1">
                            <a:srgbClr val="131313"/>
                          </a:lnRef>
                          <a:fillRef idx="1">
                            <a:srgbClr val="131313"/>
                          </a:fillRef>
                          <a:effectRef idx="0">
                            <a:scrgbClr r="0" g="0" b="0"/>
                          </a:effectRef>
                          <a:fontRef idx="none"/>
                        </wps:style>
                        <wps:bodyPr/>
                      </wps:wsp>
                      <wps:wsp>
                        <wps:cNvPr id="83174" name="Shape 83174"/>
                        <wps:cNvSpPr/>
                        <wps:spPr>
                          <a:xfrm>
                            <a:off x="0" y="38176"/>
                            <a:ext cx="9144" cy="388074"/>
                          </a:xfrm>
                          <a:custGeom>
                            <a:avLst/>
                            <a:gdLst/>
                            <a:ahLst/>
                            <a:cxnLst/>
                            <a:rect l="0" t="0" r="0" b="0"/>
                            <a:pathLst>
                              <a:path w="9144" h="388074">
                                <a:moveTo>
                                  <a:pt x="0" y="0"/>
                                </a:moveTo>
                                <a:lnTo>
                                  <a:pt x="9144" y="0"/>
                                </a:lnTo>
                                <a:lnTo>
                                  <a:pt x="9144" y="388074"/>
                                </a:lnTo>
                                <a:lnTo>
                                  <a:pt x="0" y="388074"/>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6645" name="Shape 6645"/>
                        <wps:cNvSpPr/>
                        <wps:spPr>
                          <a:xfrm>
                            <a:off x="0" y="0"/>
                            <a:ext cx="38164" cy="38164"/>
                          </a:xfrm>
                          <a:custGeom>
                            <a:avLst/>
                            <a:gdLst/>
                            <a:ahLst/>
                            <a:cxnLst/>
                            <a:rect l="0" t="0" r="0" b="0"/>
                            <a:pathLst>
                              <a:path w="38164" h="38164">
                                <a:moveTo>
                                  <a:pt x="38164" y="0"/>
                                </a:moveTo>
                                <a:lnTo>
                                  <a:pt x="38164" y="3607"/>
                                </a:lnTo>
                                <a:lnTo>
                                  <a:pt x="31674" y="3607"/>
                                </a:lnTo>
                                <a:cubicBezTo>
                                  <a:pt x="17272" y="7557"/>
                                  <a:pt x="6375" y="17450"/>
                                  <a:pt x="3594" y="32398"/>
                                </a:cubicBezTo>
                                <a:lnTo>
                                  <a:pt x="2883" y="38164"/>
                                </a:lnTo>
                                <a:lnTo>
                                  <a:pt x="0" y="38164"/>
                                </a:lnTo>
                                <a:lnTo>
                                  <a:pt x="724" y="31686"/>
                                </a:lnTo>
                                <a:cubicBezTo>
                                  <a:pt x="2007" y="17310"/>
                                  <a:pt x="17247" y="1765"/>
                                  <a:pt x="31674" y="724"/>
                                </a:cubicBezTo>
                                <a:lnTo>
                                  <a:pt x="38164" y="0"/>
                                </a:lnTo>
                                <a:close/>
                              </a:path>
                            </a:pathLst>
                          </a:custGeom>
                          <a:ln w="0" cap="rnd">
                            <a:round/>
                          </a:ln>
                        </wps:spPr>
                        <wps:style>
                          <a:lnRef idx="1">
                            <a:srgbClr val="131313"/>
                          </a:lnRef>
                          <a:fillRef idx="1">
                            <a:srgbClr val="131313"/>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061DE72" id="Group 57839" o:spid="_x0000_s1026" style="position:absolute;margin-left:0;margin-top:38.5pt;width:479.25pt;height:38.35pt;z-index:-251641856;mso-position-horizontal:left;mso-position-horizontal-relative:margin;mso-width-relative:margin;mso-height-relative:margin" coordsize="29699,4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">
                <v:shape id="Shape 83171" o:spid="_x0000_s1027" style="position:absolute;left:381;width:28937;height:91;visibility:visible;mso-wrap-style:square;v-text-anchor:top" coordsize="289368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" path="m,l2893682,r,9144l,9144,,e" fillcolor="#131313" strokecolor="#131313" strokeweight="0">
                  <v:stroke endcap="round"/>
                  <v:path arrowok="t" textboxrect="0,0,2893682,9144"/>
                </v:shape>
                <v:shape id="Shape 6639" o:spid="_x0000_s1028" style="position:absolute;left:29318;width:381;height:381;visibility:visible;mso-wrap-style:square;v-text-anchor:top" coordsize="38164,3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" path="m,l6477,724c20917,1765,36157,17310,37440,31674r724,6490l35281,38164r-724,-5766c31788,17450,20879,7556,6477,3594l,3594,,xe" fillcolor="#131313" strokecolor="#131313" strokeweight="0">
                  <v:stroke endcap="round"/>
                  <v:path arrowok="t" textboxrect="0,0,38164,38164"/>
                </v:shape>
                <v:shape id="Shape 83172" o:spid="_x0000_s1029" style="position:absolute;left:29671;top:381;width:91;height:3881;visibility:visible;mso-wrap-style:square;v-text-anchor:top" coordsize="9144,388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" path="m,l9144,r,388074l,388074,,e" fillcolor="#131313" strokecolor="#131313" strokeweight="0">
                  <v:stroke endcap="round"/>
                  <v:path arrowok="t" textboxrect="0,0,9144,388074"/>
                </v:shape>
                <v:shape id="Shape 6641" o:spid="_x0000_s1030" style="position:absolute;left:29318;top:4262;width:381;height:382;visibility:visible;mso-wrap-style:square;v-text-anchor:top" coordsize="38164,3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" path="m35281,r2883,l37440,6477c35242,21920,22289,35751,6477,37440l,38164,,35281r6477,-724c18618,33172,33808,18097,34570,5766l35281,xe" fillcolor="#131313" strokecolor="#131313" strokeweight="0">
                  <v:stroke endcap="round"/>
                  <v:path arrowok="t" textboxrect="0,0,38164,38164"/>
                </v:shape>
                <v:shape id="Shape 83173" o:spid="_x0000_s1031" style="position:absolute;left:381;top:4615;width:28937;height:91;visibility:visible;mso-wrap-style:square;v-text-anchor:top" coordsize="289368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" path="m,l2893682,r,9144l,9144,,e" fillcolor="#131313" strokecolor="#131313" strokeweight="0">
                  <v:stroke endcap="round"/>
                  <v:path arrowok="t" textboxrect="0,0,2893682,9144"/>
                </v:shape>
                <v:shape id="Shape 6643" o:spid="_x0000_s1032" style="position:absolute;top:4262;width:381;height:382;visibility:visible;mso-wrap-style:square;v-text-anchor:top" coordsize="38164,3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" path="m,l2883,r724,5766c4293,18111,20053,33871,32398,34569r5766,712l38164,38164r-6477,-724c16243,35802,2375,21920,724,6490l,xe" fillcolor="#131313" strokecolor="#131313" strokeweight="0">
                  <v:stroke endcap="round"/>
                  <v:path arrowok="t" textboxrect="0,0,38164,38164"/>
                </v:shape>
                <v:shape id="Shape 83174" o:spid="_x0000_s1033" style="position:absolute;top:381;width:91;height:3881;visibility:visible;mso-wrap-style:square;v-text-anchor:top" coordsize="9144,388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" path="m,l9144,r,388074l,388074,,e" fillcolor="#131313" strokecolor="#131313" strokeweight="0">
                  <v:stroke endcap="round"/>
                  <v:path arrowok="t" textboxrect="0,0,9144,388074"/>
                </v:shape>
                <v:shape id="Shape 6645" o:spid="_x0000_s1034" style="position:absolute;width:381;height:381;visibility:visible;mso-wrap-style:square;v-text-anchor:top" coordsize="38164,3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" path="m38164,r,3607l31674,3607c17272,7557,6375,17450,3594,32398r-711,5766l,38164,724,31686c2007,17310,17247,1765,31674,724l38164,xe" fillcolor="#131313" strokecolor="#131313" strokeweight="0">
                  <v:stroke endcap="round"/>
                  <v:path arrowok="t" textboxrect="0,0,38164,38164"/>
                </v:shape>
                <w10:wrap anchorx="margin"/>
              </v:group>
            </w:pict>
          </mc:Fallback>
        </mc:AlternateContent>
      </w:r>
      <w:r w:rsidR="00BC221F" w:rsidRPr="00000849">
        <w:rPr>
          <w:b/>
          <w:bCs/>
          <w:sz w:val="29"/>
        </w:rPr>
        <w:t>Additional files</w:t>
      </w:r>
    </w:p>
    <w:p w14:paraId="6C0837AE" w14:textId="77777777" w:rsidR="00BC221F" w:rsidRPr="00000849" w:rsidRDefault="00C84E75" w:rsidP="007E6CC7">
      <w:pPr>
        <w:spacing w:after="71" w:line="247" w:lineRule="auto"/>
        <w:ind w:left="106" w:right="17"/>
        <w:jc w:val="both"/>
        <w:rPr>
          <w:sz w:val="18"/>
          <w:szCs w:val="18"/>
        </w:rPr>
      </w:pPr>
      <w:hyperlink r:id="rId401">
        <w:r w:rsidR="00BC221F" w:rsidRPr="00000849">
          <w:rPr>
            <w:rFonts w:ascii="Calibri" w:eastAsia="Calibri" w:hAnsi="Calibri" w:cs="Calibri"/>
            <w:color w:val="0000FF"/>
            <w:sz w:val="18"/>
            <w:szCs w:val="18"/>
          </w:rPr>
          <w:t>Additional file 1:</w:t>
        </w:r>
      </w:hyperlink>
      <w:r w:rsidR="00BC221F" w:rsidRPr="00000849">
        <w:rPr>
          <w:rFonts w:ascii="Calibri" w:eastAsia="Calibri" w:hAnsi="Calibri" w:cs="Calibri"/>
          <w:color w:val="0000FF"/>
          <w:sz w:val="18"/>
          <w:szCs w:val="18"/>
        </w:rPr>
        <w:t xml:space="preserve"> </w:t>
      </w:r>
      <w:r w:rsidR="00BC221F" w:rsidRPr="00000849">
        <w:rPr>
          <w:rFonts w:ascii="Calibri" w:eastAsia="Calibri" w:hAnsi="Calibri" w:cs="Calibri"/>
          <w:sz w:val="18"/>
          <w:szCs w:val="18"/>
        </w:rPr>
        <w:t>Table S1. Search strategy. (DOCX 14 kb)</w:t>
      </w:r>
    </w:p>
    <w:p w14:paraId="124CF816" w14:textId="08A30CAA" w:rsidR="00BC221F" w:rsidRPr="00000849" w:rsidRDefault="00C84E75" w:rsidP="007E6CC7">
      <w:pPr>
        <w:spacing w:after="474" w:line="247" w:lineRule="auto"/>
        <w:ind w:left="106" w:right="17"/>
        <w:jc w:val="both"/>
        <w:rPr>
          <w:sz w:val="18"/>
          <w:szCs w:val="18"/>
        </w:rPr>
      </w:pPr>
      <w:hyperlink r:id="rId402">
        <w:r w:rsidR="00BC221F" w:rsidRPr="00000849">
          <w:rPr>
            <w:rFonts w:ascii="Calibri" w:eastAsia="Calibri" w:hAnsi="Calibri" w:cs="Calibri"/>
            <w:color w:val="0000FF"/>
            <w:sz w:val="18"/>
            <w:szCs w:val="18"/>
          </w:rPr>
          <w:t>Additional file 2:</w:t>
        </w:r>
      </w:hyperlink>
      <w:r w:rsidR="00BC221F" w:rsidRPr="00000849">
        <w:rPr>
          <w:rFonts w:ascii="Calibri" w:eastAsia="Calibri" w:hAnsi="Calibri" w:cs="Calibri"/>
          <w:color w:val="0000FF"/>
          <w:sz w:val="18"/>
          <w:szCs w:val="18"/>
        </w:rPr>
        <w:t xml:space="preserve"> </w:t>
      </w:r>
      <w:r w:rsidR="00BC221F" w:rsidRPr="00000849">
        <w:rPr>
          <w:rFonts w:ascii="Calibri" w:eastAsia="Calibri" w:hAnsi="Calibri" w:cs="Calibri"/>
          <w:sz w:val="18"/>
          <w:szCs w:val="18"/>
        </w:rPr>
        <w:t>Table S2. Evaluation of risk of bias from primary studies on hypertension in older adults in Africa. (DOCX 16 kb)</w:t>
      </w:r>
    </w:p>
    <w:p w14:paraId="2DD630CC" w14:textId="77777777" w:rsidR="00BC221F" w:rsidRPr="00000849" w:rsidRDefault="00BC221F" w:rsidP="00EF7D68">
      <w:pPr>
        <w:spacing w:after="60" w:line="259" w:lineRule="auto"/>
        <w:jc w:val="both"/>
        <w:rPr>
          <w:b/>
          <w:bCs/>
          <w:sz w:val="24"/>
          <w:szCs w:val="18"/>
        </w:rPr>
      </w:pPr>
      <w:r w:rsidRPr="00000849">
        <w:rPr>
          <w:b/>
          <w:bCs/>
          <w:sz w:val="24"/>
          <w:szCs w:val="18"/>
        </w:rPr>
        <w:t>Abbreviations</w:t>
      </w:r>
    </w:p>
    <w:p w14:paraId="6F2AB20E" w14:textId="08E54E9E" w:rsidR="00EF7D68" w:rsidRPr="00000849" w:rsidRDefault="00BC221F" w:rsidP="00EF7D68">
      <w:pPr>
        <w:spacing w:after="11" w:line="247" w:lineRule="auto"/>
        <w:ind w:left="-14" w:right="17"/>
        <w:jc w:val="both"/>
        <w:rPr>
          <w:rFonts w:eastAsia="Calibri" w:cstheme="minorHAnsi"/>
          <w:sz w:val="20"/>
          <w:szCs w:val="32"/>
        </w:rPr>
      </w:pPr>
      <w:r w:rsidRPr="00000849">
        <w:rPr>
          <w:rFonts w:eastAsia="Calibri" w:cstheme="minorHAnsi"/>
          <w:color w:val="000000"/>
          <w:sz w:val="20"/>
          <w:szCs w:val="32"/>
        </w:rPr>
        <w:t xml:space="preserve">BMI: </w:t>
      </w:r>
      <w:r w:rsidRPr="00000849">
        <w:rPr>
          <w:rFonts w:eastAsia="Calibri" w:cstheme="minorHAnsi"/>
          <w:sz w:val="20"/>
          <w:szCs w:val="32"/>
        </w:rPr>
        <w:t>Body mass index; CAR: Central African Republic;; DHTN: Diastolic</w:t>
      </w:r>
      <w:r w:rsidR="00EF7D68" w:rsidRPr="00000849">
        <w:rPr>
          <w:rFonts w:eastAsia="Calibri" w:cstheme="minorHAnsi"/>
          <w:sz w:val="20"/>
          <w:szCs w:val="32"/>
        </w:rPr>
        <w:t xml:space="preserve"> </w:t>
      </w:r>
      <w:r w:rsidRPr="00000849">
        <w:rPr>
          <w:rFonts w:eastAsia="Calibri" w:cstheme="minorHAnsi"/>
          <w:sz w:val="20"/>
          <w:szCs w:val="32"/>
        </w:rPr>
        <w:t>Hypertensio</w:t>
      </w:r>
      <w:r w:rsidR="00EF7D68" w:rsidRPr="00000849">
        <w:rPr>
          <w:rFonts w:eastAsia="Calibri" w:cstheme="minorHAnsi"/>
          <w:sz w:val="20"/>
          <w:szCs w:val="32"/>
        </w:rPr>
        <w:t>n</w:t>
      </w:r>
      <w:r w:rsidRPr="00000849">
        <w:rPr>
          <w:rFonts w:eastAsia="Calibri" w:cstheme="minorHAnsi"/>
          <w:sz w:val="20"/>
          <w:szCs w:val="32"/>
        </w:rPr>
        <w:t>; HTN: Hypertension; NCD: Noncommunicable diseases;</w:t>
      </w:r>
      <w:r w:rsidR="00EF7D68" w:rsidRPr="00000849">
        <w:rPr>
          <w:rFonts w:eastAsia="Calibri" w:cstheme="minorHAnsi"/>
          <w:sz w:val="20"/>
          <w:szCs w:val="32"/>
        </w:rPr>
        <w:t xml:space="preserve"> </w:t>
      </w:r>
      <w:r w:rsidRPr="00000849">
        <w:rPr>
          <w:rFonts w:eastAsia="Calibri" w:cstheme="minorHAnsi"/>
          <w:sz w:val="20"/>
          <w:szCs w:val="32"/>
        </w:rPr>
        <w:t xml:space="preserve">PRISMA: Preferred reporting items for systematic reviews and meta-analyses; SAGE: Study on global ageing and adult health; STHN: Systolic hypertension </w:t>
      </w:r>
    </w:p>
    <w:p w14:paraId="54A7AAAA" w14:textId="77777777" w:rsidR="00EF7D68" w:rsidRPr="00000849" w:rsidRDefault="00EF7D68" w:rsidP="00EF7D68">
      <w:pPr>
        <w:spacing w:after="60" w:line="259" w:lineRule="auto"/>
        <w:jc w:val="both"/>
        <w:rPr>
          <w:sz w:val="24"/>
          <w:szCs w:val="18"/>
        </w:rPr>
      </w:pPr>
    </w:p>
    <w:p w14:paraId="505B557A" w14:textId="6005AC16" w:rsidR="00BC221F" w:rsidRPr="00000849" w:rsidRDefault="00BC221F" w:rsidP="00EF7D68">
      <w:pPr>
        <w:spacing w:after="60" w:line="259" w:lineRule="auto"/>
        <w:jc w:val="both"/>
        <w:rPr>
          <w:b/>
          <w:bCs/>
          <w:sz w:val="24"/>
          <w:szCs w:val="18"/>
        </w:rPr>
      </w:pPr>
      <w:r w:rsidRPr="00000849">
        <w:rPr>
          <w:b/>
          <w:bCs/>
          <w:sz w:val="24"/>
          <w:szCs w:val="18"/>
        </w:rPr>
        <w:lastRenderedPageBreak/>
        <w:t>Acknowledgements</w:t>
      </w:r>
    </w:p>
    <w:p w14:paraId="5AEB1A63" w14:textId="77777777" w:rsidR="00BC221F" w:rsidRPr="00000849" w:rsidRDefault="00BC221F" w:rsidP="007E6CC7">
      <w:pPr>
        <w:spacing w:after="212" w:line="247" w:lineRule="auto"/>
        <w:ind w:left="-14" w:right="17"/>
        <w:jc w:val="both"/>
        <w:rPr>
          <w:rFonts w:cstheme="minorHAnsi"/>
          <w:sz w:val="24"/>
          <w:szCs w:val="24"/>
        </w:rPr>
      </w:pPr>
      <w:r w:rsidRPr="00000849">
        <w:rPr>
          <w:rFonts w:eastAsia="Calibri" w:cstheme="minorHAnsi"/>
          <w:sz w:val="16"/>
          <w:szCs w:val="24"/>
        </w:rPr>
        <w:t>We thank our respective institutions for their general support for this review. Lancaster University kindly provided us access to some full-text articles. We thank the Covidence team for providing the software to manage the study selection.</w:t>
      </w:r>
    </w:p>
    <w:p w14:paraId="0860257B" w14:textId="77777777" w:rsidR="00BC221F" w:rsidRPr="00000849" w:rsidRDefault="00BC221F" w:rsidP="00EF7D68">
      <w:pPr>
        <w:spacing w:after="60" w:line="259" w:lineRule="auto"/>
        <w:jc w:val="both"/>
        <w:rPr>
          <w:b/>
          <w:bCs/>
          <w:sz w:val="24"/>
          <w:szCs w:val="18"/>
        </w:rPr>
      </w:pPr>
      <w:r w:rsidRPr="00000849">
        <w:rPr>
          <w:b/>
          <w:bCs/>
          <w:sz w:val="24"/>
          <w:szCs w:val="18"/>
        </w:rPr>
        <w:t>Authors’ contributions</w:t>
      </w:r>
    </w:p>
    <w:p w14:paraId="6B8A872B" w14:textId="77777777" w:rsidR="00BC221F" w:rsidRPr="00000849" w:rsidRDefault="00BC221F" w:rsidP="007E6CC7">
      <w:pPr>
        <w:spacing w:after="190" w:line="247" w:lineRule="auto"/>
        <w:ind w:left="-14" w:right="17"/>
        <w:jc w:val="both"/>
        <w:rPr>
          <w:rFonts w:cstheme="minorHAnsi"/>
          <w:sz w:val="20"/>
          <w:szCs w:val="20"/>
        </w:rPr>
      </w:pPr>
      <w:r w:rsidRPr="00000849">
        <w:rPr>
          <w:rFonts w:eastAsia="Calibri" w:cstheme="minorHAnsi"/>
          <w:sz w:val="20"/>
          <w:szCs w:val="20"/>
        </w:rPr>
        <w:t>WKB conceived, designed, analyzed the review and wrote the manuscript under the supervision of STR and EZ. JMKA was involved with study selection and quality appraisal. All authors read and approved the final version of the manuscript and to the order of authorship for this manuscript.</w:t>
      </w:r>
    </w:p>
    <w:p w14:paraId="20185953" w14:textId="77777777" w:rsidR="00EF7D68" w:rsidRPr="00000849" w:rsidRDefault="00EF7D68" w:rsidP="00EF7D68">
      <w:pPr>
        <w:spacing w:after="60" w:line="259" w:lineRule="auto"/>
        <w:jc w:val="both"/>
        <w:rPr>
          <w:b/>
          <w:bCs/>
          <w:sz w:val="24"/>
          <w:szCs w:val="18"/>
        </w:rPr>
      </w:pPr>
    </w:p>
    <w:p w14:paraId="3C707242" w14:textId="64EE2BEF" w:rsidR="00BC221F" w:rsidRPr="00000849" w:rsidRDefault="00BC221F" w:rsidP="00EF7D68">
      <w:pPr>
        <w:spacing w:after="60" w:line="259" w:lineRule="auto"/>
        <w:jc w:val="both"/>
        <w:rPr>
          <w:b/>
          <w:bCs/>
          <w:sz w:val="24"/>
          <w:szCs w:val="18"/>
        </w:rPr>
      </w:pPr>
      <w:r w:rsidRPr="00000849">
        <w:rPr>
          <w:b/>
          <w:bCs/>
          <w:sz w:val="24"/>
          <w:szCs w:val="18"/>
        </w:rPr>
        <w:t>Funding</w:t>
      </w:r>
    </w:p>
    <w:p w14:paraId="40DC2EB6" w14:textId="77777777" w:rsidR="00BC221F" w:rsidRPr="00000849" w:rsidRDefault="00BC221F" w:rsidP="007E6CC7">
      <w:pPr>
        <w:spacing w:after="190" w:line="247" w:lineRule="auto"/>
        <w:ind w:left="-14" w:right="17"/>
        <w:jc w:val="both"/>
        <w:rPr>
          <w:rFonts w:cstheme="minorHAnsi"/>
          <w:sz w:val="20"/>
          <w:szCs w:val="20"/>
        </w:rPr>
      </w:pPr>
      <w:r w:rsidRPr="00000849">
        <w:rPr>
          <w:rFonts w:eastAsia="Calibri" w:cstheme="minorHAnsi"/>
          <w:sz w:val="20"/>
          <w:szCs w:val="20"/>
        </w:rPr>
        <w:t>This research did not receive any funding. Our respective institutions have not influenced the design, data collection, analysis or content of this study.</w:t>
      </w:r>
    </w:p>
    <w:p w14:paraId="469B5880" w14:textId="77777777" w:rsidR="00EF7D68" w:rsidRPr="00000849" w:rsidRDefault="00EF7D68" w:rsidP="00EF7D68">
      <w:pPr>
        <w:spacing w:after="60" w:line="259" w:lineRule="auto"/>
        <w:jc w:val="both"/>
        <w:rPr>
          <w:b/>
          <w:bCs/>
          <w:sz w:val="24"/>
          <w:szCs w:val="18"/>
        </w:rPr>
      </w:pPr>
    </w:p>
    <w:p w14:paraId="59F8C2B3" w14:textId="61279566" w:rsidR="00BC221F" w:rsidRPr="00000849" w:rsidRDefault="00BC221F" w:rsidP="00EF7D68">
      <w:pPr>
        <w:spacing w:after="60" w:line="259" w:lineRule="auto"/>
        <w:jc w:val="both"/>
        <w:rPr>
          <w:b/>
          <w:bCs/>
          <w:sz w:val="24"/>
          <w:szCs w:val="18"/>
        </w:rPr>
      </w:pPr>
      <w:r w:rsidRPr="00000849">
        <w:rPr>
          <w:b/>
          <w:bCs/>
          <w:sz w:val="24"/>
          <w:szCs w:val="18"/>
        </w:rPr>
        <w:t>Availability of data and materials</w:t>
      </w:r>
    </w:p>
    <w:p w14:paraId="37522AEA" w14:textId="77777777" w:rsidR="00BC221F" w:rsidRPr="00000849" w:rsidRDefault="00BC221F" w:rsidP="007E6CC7">
      <w:pPr>
        <w:spacing w:after="188" w:line="247" w:lineRule="auto"/>
        <w:ind w:left="-14" w:right="17"/>
        <w:jc w:val="both"/>
        <w:rPr>
          <w:rFonts w:cstheme="minorHAnsi"/>
          <w:sz w:val="20"/>
          <w:szCs w:val="20"/>
        </w:rPr>
      </w:pPr>
      <w:r w:rsidRPr="00000849">
        <w:rPr>
          <w:rFonts w:eastAsia="Calibri" w:cstheme="minorHAnsi"/>
          <w:sz w:val="20"/>
          <w:szCs w:val="20"/>
        </w:rPr>
        <w:t>The datasets generated and/or analyzed during the current study are available in the repository</w:t>
      </w:r>
      <w:r w:rsidRPr="00000849">
        <w:rPr>
          <w:rFonts w:eastAsia="Calibri" w:cstheme="minorHAnsi"/>
          <w:sz w:val="16"/>
          <w:szCs w:val="24"/>
        </w:rPr>
        <w:t xml:space="preserve">: </w:t>
      </w:r>
      <w:hyperlink r:id="rId403">
        <w:r w:rsidRPr="00000849">
          <w:rPr>
            <w:rFonts w:eastAsia="Calibri" w:cstheme="minorHAnsi"/>
            <w:color w:val="0000FF"/>
            <w:sz w:val="20"/>
            <w:szCs w:val="20"/>
          </w:rPr>
          <w:t xml:space="preserve">https://doi.org/10.17635/lancaster/ </w:t>
        </w:r>
      </w:hyperlink>
      <w:hyperlink r:id="rId404">
        <w:r w:rsidRPr="00000849">
          <w:rPr>
            <w:rFonts w:eastAsia="Calibri" w:cstheme="minorHAnsi"/>
            <w:color w:val="0000FF"/>
            <w:sz w:val="20"/>
            <w:szCs w:val="20"/>
          </w:rPr>
          <w:t>researchdata/267</w:t>
        </w:r>
      </w:hyperlink>
      <w:hyperlink r:id="rId405">
        <w:r w:rsidRPr="00000849">
          <w:rPr>
            <w:rFonts w:eastAsia="Calibri" w:cstheme="minorHAnsi"/>
            <w:sz w:val="20"/>
            <w:szCs w:val="20"/>
          </w:rPr>
          <w:t>.</w:t>
        </w:r>
      </w:hyperlink>
    </w:p>
    <w:p w14:paraId="5F026137" w14:textId="77777777" w:rsidR="00EF7D68" w:rsidRPr="00000849" w:rsidRDefault="00EF7D68" w:rsidP="00EF7D68">
      <w:pPr>
        <w:spacing w:after="60" w:line="259" w:lineRule="auto"/>
        <w:jc w:val="both"/>
        <w:rPr>
          <w:b/>
          <w:bCs/>
          <w:sz w:val="24"/>
          <w:szCs w:val="18"/>
        </w:rPr>
      </w:pPr>
    </w:p>
    <w:p w14:paraId="4DF9DF9B" w14:textId="77777777" w:rsidR="00EF7D68" w:rsidRPr="00000849" w:rsidRDefault="00BC221F" w:rsidP="00EF7D68">
      <w:pPr>
        <w:spacing w:after="60" w:line="259" w:lineRule="auto"/>
        <w:jc w:val="both"/>
        <w:rPr>
          <w:b/>
          <w:bCs/>
          <w:sz w:val="24"/>
          <w:szCs w:val="18"/>
        </w:rPr>
      </w:pPr>
      <w:r w:rsidRPr="00000849">
        <w:rPr>
          <w:b/>
          <w:bCs/>
          <w:sz w:val="24"/>
          <w:szCs w:val="18"/>
        </w:rPr>
        <w:t xml:space="preserve">Ethics approval and consent to participate </w:t>
      </w:r>
    </w:p>
    <w:p w14:paraId="66451D56" w14:textId="79585D22" w:rsidR="00BC221F" w:rsidRPr="00000849" w:rsidRDefault="00BC221F" w:rsidP="00EF7D68">
      <w:pPr>
        <w:spacing w:after="190" w:line="247" w:lineRule="auto"/>
        <w:ind w:left="-14" w:right="17"/>
        <w:jc w:val="both"/>
        <w:rPr>
          <w:rFonts w:eastAsia="Calibri" w:cstheme="minorHAnsi"/>
          <w:sz w:val="20"/>
          <w:szCs w:val="20"/>
        </w:rPr>
      </w:pPr>
      <w:r w:rsidRPr="00000849">
        <w:rPr>
          <w:rFonts w:eastAsia="Calibri" w:cstheme="minorHAnsi"/>
          <w:sz w:val="20"/>
          <w:szCs w:val="20"/>
        </w:rPr>
        <w:t>Not applicable.</w:t>
      </w:r>
    </w:p>
    <w:p w14:paraId="665A9A14" w14:textId="77777777" w:rsidR="00EF7D68" w:rsidRPr="00000849" w:rsidRDefault="00EF7D68" w:rsidP="00EF7D68">
      <w:pPr>
        <w:spacing w:after="60" w:line="259" w:lineRule="auto"/>
        <w:jc w:val="both"/>
        <w:rPr>
          <w:b/>
          <w:bCs/>
          <w:sz w:val="24"/>
          <w:szCs w:val="18"/>
        </w:rPr>
      </w:pPr>
    </w:p>
    <w:p w14:paraId="6F8E2E13" w14:textId="77777777" w:rsidR="00EF7D68" w:rsidRPr="00000849" w:rsidRDefault="00BC221F" w:rsidP="00EF7D68">
      <w:pPr>
        <w:spacing w:after="60" w:line="259" w:lineRule="auto"/>
        <w:jc w:val="both"/>
        <w:rPr>
          <w:b/>
          <w:bCs/>
          <w:sz w:val="24"/>
          <w:szCs w:val="18"/>
        </w:rPr>
      </w:pPr>
      <w:r w:rsidRPr="00000849">
        <w:rPr>
          <w:b/>
          <w:bCs/>
          <w:sz w:val="24"/>
          <w:szCs w:val="18"/>
        </w:rPr>
        <w:t xml:space="preserve">Consent for publication </w:t>
      </w:r>
    </w:p>
    <w:p w14:paraId="04834D47" w14:textId="18181945" w:rsidR="00BC221F" w:rsidRPr="00000849" w:rsidRDefault="00BC221F" w:rsidP="00EF7D68">
      <w:pPr>
        <w:spacing w:after="190" w:line="247" w:lineRule="auto"/>
        <w:ind w:left="-14" w:right="17"/>
        <w:jc w:val="both"/>
        <w:rPr>
          <w:rFonts w:eastAsia="Calibri" w:cstheme="minorHAnsi"/>
          <w:sz w:val="20"/>
          <w:szCs w:val="20"/>
        </w:rPr>
      </w:pPr>
      <w:r w:rsidRPr="00000849">
        <w:rPr>
          <w:rFonts w:eastAsia="Calibri" w:cstheme="minorHAnsi"/>
          <w:sz w:val="20"/>
          <w:szCs w:val="20"/>
        </w:rPr>
        <w:t>Not applicable.</w:t>
      </w:r>
    </w:p>
    <w:p w14:paraId="72CC063C" w14:textId="77777777" w:rsidR="00EF7D68" w:rsidRPr="00000849" w:rsidRDefault="00EF7D68" w:rsidP="00EF7D68">
      <w:pPr>
        <w:spacing w:after="60" w:line="259" w:lineRule="auto"/>
        <w:jc w:val="both"/>
        <w:rPr>
          <w:sz w:val="24"/>
          <w:szCs w:val="18"/>
        </w:rPr>
      </w:pPr>
    </w:p>
    <w:p w14:paraId="3C3858E3" w14:textId="3CD5D7FE" w:rsidR="00BC221F" w:rsidRPr="00000849" w:rsidRDefault="00BC221F" w:rsidP="00EF7D68">
      <w:pPr>
        <w:spacing w:after="60" w:line="259" w:lineRule="auto"/>
        <w:jc w:val="both"/>
        <w:rPr>
          <w:b/>
          <w:bCs/>
          <w:sz w:val="24"/>
          <w:szCs w:val="18"/>
        </w:rPr>
      </w:pPr>
      <w:r w:rsidRPr="00000849">
        <w:rPr>
          <w:b/>
          <w:bCs/>
          <w:sz w:val="24"/>
          <w:szCs w:val="18"/>
        </w:rPr>
        <w:t>Competing interests</w:t>
      </w:r>
    </w:p>
    <w:p w14:paraId="58B6C9DD" w14:textId="77777777" w:rsidR="00BC221F" w:rsidRPr="00000849" w:rsidRDefault="00BC221F" w:rsidP="00EF7D68">
      <w:pPr>
        <w:spacing w:after="190" w:line="247" w:lineRule="auto"/>
        <w:ind w:left="-14" w:right="17"/>
        <w:jc w:val="both"/>
        <w:rPr>
          <w:rFonts w:eastAsia="Calibri" w:cstheme="minorHAnsi"/>
          <w:sz w:val="20"/>
          <w:szCs w:val="20"/>
        </w:rPr>
      </w:pPr>
      <w:r w:rsidRPr="00000849">
        <w:rPr>
          <w:rFonts w:eastAsia="Calibri" w:cstheme="minorHAnsi"/>
          <w:sz w:val="20"/>
          <w:szCs w:val="20"/>
        </w:rPr>
        <w:t>The authors declare that they have no competing interests.</w:t>
      </w:r>
    </w:p>
    <w:p w14:paraId="776B1579" w14:textId="77777777" w:rsidR="00BC221F" w:rsidRPr="00000849" w:rsidRDefault="00BC221F" w:rsidP="00EF7D68">
      <w:pPr>
        <w:spacing w:after="60" w:line="259" w:lineRule="auto"/>
        <w:jc w:val="both"/>
        <w:rPr>
          <w:b/>
          <w:bCs/>
          <w:sz w:val="24"/>
          <w:szCs w:val="18"/>
        </w:rPr>
      </w:pPr>
      <w:r w:rsidRPr="00000849">
        <w:rPr>
          <w:b/>
          <w:bCs/>
          <w:sz w:val="24"/>
          <w:szCs w:val="18"/>
        </w:rPr>
        <w:t>Author details</w:t>
      </w:r>
    </w:p>
    <w:p w14:paraId="235FC183" w14:textId="77777777" w:rsidR="003664E9" w:rsidRPr="00000849" w:rsidRDefault="00BC221F" w:rsidP="003664E9">
      <w:pPr>
        <w:spacing w:after="0" w:line="259" w:lineRule="auto"/>
        <w:ind w:left="-5" w:hanging="10"/>
        <w:jc w:val="both"/>
        <w:rPr>
          <w:rFonts w:eastAsia="Calibri" w:cstheme="minorHAnsi"/>
          <w:color w:val="000000"/>
          <w:sz w:val="20"/>
          <w:szCs w:val="20"/>
        </w:rPr>
      </w:pPr>
      <w:r w:rsidRPr="00000849">
        <w:rPr>
          <w:rFonts w:eastAsia="Calibri" w:cstheme="minorHAnsi"/>
          <w:color w:val="000000"/>
          <w:sz w:val="20"/>
          <w:szCs w:val="20"/>
        </w:rPr>
        <w:t>1Department of Public Health and Research, West African Health</w:t>
      </w:r>
      <w:r w:rsidR="003664E9" w:rsidRPr="00000849">
        <w:rPr>
          <w:rFonts w:eastAsia="Calibri" w:cstheme="minorHAnsi"/>
          <w:color w:val="000000"/>
          <w:sz w:val="20"/>
          <w:szCs w:val="20"/>
        </w:rPr>
        <w:t xml:space="preserve"> </w:t>
      </w:r>
      <w:r w:rsidRPr="00000849">
        <w:rPr>
          <w:rFonts w:eastAsia="Calibri" w:cstheme="minorHAnsi"/>
          <w:color w:val="000000"/>
          <w:sz w:val="20"/>
          <w:szCs w:val="20"/>
        </w:rPr>
        <w:t xml:space="preserve">Organisation, Bobo-Dioulasso 01 BP 153, Burkina Faso. </w:t>
      </w:r>
    </w:p>
    <w:p w14:paraId="3C876046" w14:textId="77777777" w:rsidR="003664E9" w:rsidRPr="00000849" w:rsidRDefault="00BC221F" w:rsidP="003664E9">
      <w:pPr>
        <w:spacing w:after="0" w:line="259" w:lineRule="auto"/>
        <w:ind w:left="-5" w:hanging="10"/>
        <w:jc w:val="both"/>
        <w:rPr>
          <w:rFonts w:eastAsia="Calibri" w:cstheme="minorHAnsi"/>
          <w:color w:val="000000"/>
          <w:sz w:val="20"/>
          <w:szCs w:val="20"/>
        </w:rPr>
      </w:pPr>
      <w:r w:rsidRPr="00000849">
        <w:rPr>
          <w:rFonts w:eastAsia="Calibri" w:cstheme="minorHAnsi"/>
          <w:color w:val="000000"/>
          <w:sz w:val="20"/>
          <w:szCs w:val="20"/>
          <w:vertAlign w:val="superscript"/>
        </w:rPr>
        <w:t>2</w:t>
      </w:r>
      <w:r w:rsidRPr="00000849">
        <w:rPr>
          <w:rFonts w:eastAsia="Calibri" w:cstheme="minorHAnsi"/>
          <w:color w:val="000000"/>
          <w:sz w:val="20"/>
          <w:szCs w:val="20"/>
        </w:rPr>
        <w:t>Division of Health</w:t>
      </w:r>
      <w:r w:rsidR="003664E9" w:rsidRPr="00000849">
        <w:rPr>
          <w:rFonts w:eastAsia="Calibri" w:cstheme="minorHAnsi"/>
          <w:color w:val="000000"/>
          <w:sz w:val="20"/>
          <w:szCs w:val="20"/>
        </w:rPr>
        <w:t xml:space="preserve"> </w:t>
      </w:r>
      <w:r w:rsidRPr="00000849">
        <w:rPr>
          <w:rFonts w:eastAsia="Calibri" w:cstheme="minorHAnsi"/>
          <w:color w:val="000000"/>
          <w:sz w:val="20"/>
          <w:szCs w:val="20"/>
        </w:rPr>
        <w:t>Research, Faculty of Health &amp; Medicine, Furness Building, Lancaster</w:t>
      </w:r>
      <w:r w:rsidR="003664E9" w:rsidRPr="00000849">
        <w:rPr>
          <w:rFonts w:eastAsia="Calibri" w:cstheme="minorHAnsi"/>
          <w:color w:val="000000"/>
          <w:sz w:val="20"/>
          <w:szCs w:val="20"/>
        </w:rPr>
        <w:t xml:space="preserve"> </w:t>
      </w:r>
      <w:r w:rsidRPr="00000849">
        <w:rPr>
          <w:rFonts w:eastAsia="Calibri" w:cstheme="minorHAnsi"/>
          <w:color w:val="000000"/>
          <w:sz w:val="20"/>
          <w:szCs w:val="20"/>
        </w:rPr>
        <w:t xml:space="preserve">University, Lancaster LA1 4YG, UK. </w:t>
      </w:r>
    </w:p>
    <w:p w14:paraId="162B0C6E" w14:textId="2B8F88FF" w:rsidR="00BC221F" w:rsidRPr="00000849" w:rsidRDefault="00BC221F" w:rsidP="003664E9">
      <w:pPr>
        <w:spacing w:after="0" w:line="259" w:lineRule="auto"/>
        <w:ind w:left="-5" w:hanging="10"/>
        <w:jc w:val="both"/>
        <w:rPr>
          <w:rFonts w:cstheme="minorHAnsi"/>
          <w:sz w:val="20"/>
          <w:szCs w:val="20"/>
        </w:rPr>
      </w:pPr>
      <w:r w:rsidRPr="00000849">
        <w:rPr>
          <w:rFonts w:eastAsia="Calibri" w:cstheme="minorHAnsi"/>
          <w:color w:val="000000"/>
          <w:sz w:val="20"/>
          <w:szCs w:val="20"/>
          <w:vertAlign w:val="superscript"/>
        </w:rPr>
        <w:t>3</w:t>
      </w:r>
      <w:r w:rsidRPr="00000849">
        <w:rPr>
          <w:rFonts w:eastAsia="Calibri" w:cstheme="minorHAnsi"/>
          <w:color w:val="000000"/>
          <w:sz w:val="20"/>
          <w:szCs w:val="20"/>
        </w:rPr>
        <w:t>Department of Biostatistics, School of Public Health, University of Ghana, PO Box LG 13, Legon, Accra, Ghana.</w:t>
      </w:r>
    </w:p>
    <w:p w14:paraId="6D209BF2" w14:textId="23C3CF14" w:rsidR="00BC221F" w:rsidRPr="00000849" w:rsidRDefault="00BC221F" w:rsidP="003664E9">
      <w:pPr>
        <w:spacing w:after="0" w:line="259" w:lineRule="auto"/>
        <w:ind w:left="-5" w:hanging="10"/>
        <w:jc w:val="both"/>
        <w:rPr>
          <w:rFonts w:cstheme="minorHAnsi"/>
          <w:sz w:val="20"/>
          <w:szCs w:val="20"/>
        </w:rPr>
      </w:pPr>
      <w:r w:rsidRPr="00000849">
        <w:rPr>
          <w:rFonts w:eastAsia="Calibri" w:cstheme="minorHAnsi"/>
          <w:color w:val="000000"/>
          <w:sz w:val="20"/>
          <w:szCs w:val="20"/>
        </w:rPr>
        <w:t>4Madrid Institute for Advanced Study (MIAS), Universidad Autonoma de Madrid, C/ Einstein, 13 Pabellón C 1a planta, E-28049 Madrid, Spain.</w:t>
      </w:r>
    </w:p>
    <w:p w14:paraId="2EDD72D3" w14:textId="77777777" w:rsidR="00EF7D68" w:rsidRPr="00000849" w:rsidRDefault="00EF7D68" w:rsidP="00EF7D68">
      <w:pPr>
        <w:spacing w:after="60" w:line="259" w:lineRule="auto"/>
        <w:jc w:val="both"/>
        <w:rPr>
          <w:sz w:val="24"/>
          <w:szCs w:val="18"/>
        </w:rPr>
      </w:pPr>
    </w:p>
    <w:p w14:paraId="6676E31D" w14:textId="77777777" w:rsidR="00EF7D68" w:rsidRPr="00000849" w:rsidRDefault="00EF7D68" w:rsidP="00EF7D68">
      <w:pPr>
        <w:spacing w:after="60" w:line="259" w:lineRule="auto"/>
        <w:jc w:val="both"/>
        <w:rPr>
          <w:sz w:val="24"/>
          <w:szCs w:val="18"/>
        </w:rPr>
      </w:pPr>
    </w:p>
    <w:p w14:paraId="170B7200" w14:textId="280FFCC0" w:rsidR="00BC221F" w:rsidRPr="00000849" w:rsidRDefault="00BC221F" w:rsidP="007E6CC7">
      <w:pPr>
        <w:spacing w:after="0" w:line="259" w:lineRule="auto"/>
        <w:jc w:val="both"/>
        <w:rPr>
          <w:rFonts w:eastAsia="Calibri" w:cstheme="minorHAnsi"/>
          <w:sz w:val="20"/>
          <w:szCs w:val="20"/>
        </w:rPr>
      </w:pPr>
      <w:r w:rsidRPr="00000849">
        <w:rPr>
          <w:rFonts w:eastAsia="Calibri" w:cstheme="minorHAnsi"/>
          <w:sz w:val="20"/>
          <w:szCs w:val="20"/>
        </w:rPr>
        <w:t>Received: 27 March 2019 Accepted: 4 July 2019</w:t>
      </w:r>
    </w:p>
    <w:p w14:paraId="08600CA6" w14:textId="6AF9370C" w:rsidR="00EF7D68" w:rsidRPr="00000849" w:rsidRDefault="00EF7D68" w:rsidP="007E6CC7">
      <w:pPr>
        <w:spacing w:after="0" w:line="259" w:lineRule="auto"/>
        <w:jc w:val="both"/>
        <w:rPr>
          <w:rFonts w:cstheme="minorHAnsi"/>
          <w:sz w:val="20"/>
          <w:szCs w:val="20"/>
        </w:rPr>
      </w:pPr>
      <w:r w:rsidRPr="00000849">
        <w:rPr>
          <w:rFonts w:cstheme="minorHAnsi"/>
          <w:sz w:val="20"/>
          <w:szCs w:val="20"/>
        </w:rPr>
        <w:t>Published online 22 July 2019</w:t>
      </w:r>
    </w:p>
    <w:p w14:paraId="2D2130CF" w14:textId="3A3B98A7" w:rsidR="00BC221F" w:rsidRPr="00000849" w:rsidRDefault="00BC221F" w:rsidP="00EF7D68">
      <w:pPr>
        <w:spacing w:after="60" w:line="259" w:lineRule="auto"/>
        <w:jc w:val="both"/>
        <w:rPr>
          <w:sz w:val="24"/>
          <w:szCs w:val="18"/>
        </w:rPr>
      </w:pPr>
    </w:p>
    <w:p w14:paraId="211E7234" w14:textId="77777777" w:rsidR="00EF7D68" w:rsidRPr="00000849" w:rsidRDefault="00EF7D68" w:rsidP="00EF7D68">
      <w:pPr>
        <w:spacing w:after="60" w:line="259" w:lineRule="auto"/>
        <w:jc w:val="both"/>
        <w:rPr>
          <w:sz w:val="24"/>
          <w:szCs w:val="18"/>
        </w:rPr>
      </w:pPr>
    </w:p>
    <w:p w14:paraId="6D5A41A0" w14:textId="6E7BDEC7" w:rsidR="00BC221F" w:rsidRPr="00000849" w:rsidRDefault="00BC221F" w:rsidP="00143B7E">
      <w:pPr>
        <w:keepNext/>
        <w:keepLines/>
        <w:spacing w:after="467" w:line="259" w:lineRule="auto"/>
        <w:jc w:val="both"/>
      </w:pPr>
      <w:r w:rsidRPr="00000849">
        <w:rPr>
          <w:b/>
          <w:bCs/>
          <w:sz w:val="29"/>
        </w:rPr>
        <w:lastRenderedPageBreak/>
        <w:t>References</w:t>
      </w:r>
    </w:p>
    <w:p w14:paraId="3A947B74" w14:textId="77777777" w:rsidR="00BC221F" w:rsidRPr="00000849" w:rsidRDefault="00BC221F" w:rsidP="00143B7E">
      <w:pPr>
        <w:keepNext/>
        <w:keepLines/>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Institute for Health Metrics and Evaluation (IHME). Global Burden of Disease: GBD Compare Data Visualization. Seattle, WA: IHME, University of Washington; 2018. [</w:t>
      </w:r>
      <w:hyperlink r:id="rId406">
        <w:r w:rsidRPr="00000849">
          <w:rPr>
            <w:rFonts w:ascii="Calibri" w:eastAsia="Calibri" w:hAnsi="Calibri" w:cs="Calibri"/>
            <w:color w:val="0000FF"/>
            <w:sz w:val="20"/>
            <w:szCs w:val="20"/>
          </w:rPr>
          <w:t>https://vizhub.healthdata.org/gbd-compare/</w:t>
        </w:r>
      </w:hyperlink>
      <w:r w:rsidRPr="00000849">
        <w:rPr>
          <w:rFonts w:ascii="Calibri" w:eastAsia="Calibri" w:hAnsi="Calibri" w:cs="Calibri"/>
          <w:sz w:val="20"/>
          <w:szCs w:val="20"/>
        </w:rPr>
        <w:t>]. Accessed 28 Dec 2018.</w:t>
      </w:r>
    </w:p>
    <w:p w14:paraId="6D50F35F"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Zhou B, Bentham J, Di Cesare M, Bixby H, Danaei G, Cowan MJ, Paciorek CJ, Singh G, Hajifathalian K, Bennett JE. Worldwide trends in blood pressure from 1975 to 2015: a pooled analysis of 1479 population-based measurement studies with 19· 1 million participants. Lancet. 2017;389(10064):37–55.</w:t>
      </w:r>
    </w:p>
    <w:p w14:paraId="5595625F"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Lachat C, Otchere S, Roberfroid D, Abdulai A, Seret FM, Milesevic J, Xuereb G, Candeias V, Kolsteren P. Diet and physical activity for the prevention of noncommunicable diseases in low- and middle-income countries: a systematic policy review. PLoS Med. 2013;10(6):e1001465.</w:t>
      </w:r>
    </w:p>
    <w:p w14:paraId="5EEBAEDA"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Dzudie A, Rayner B, Ojji D, Schutte AE, Twagirumukiza M, Damasceno A, Ba SA, Kane A, Kramoh E, Kacou JB, et al. Roadmap to achieve 25% hypertension control in Africa by 2025. Cardiovasc J Afr. 2017;28(4):262–72.</w:t>
      </w:r>
    </w:p>
    <w:p w14:paraId="129FC0F5"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United Nations General Assembly. Political declaration of the third high-level meeting of the General Assembly on the prevention and control of noncommunicable diseases. In: Resolution adopted by the General Assembly on 10 October 2018: 73rd Session, Agenda Item 119. New York: UN; 2018.</w:t>
      </w:r>
    </w:p>
    <w:p w14:paraId="15BA2FBA"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Dramé ML, Houehanou C, Sogbohossou P, Paré R, Ekambi A, MizéhounAdissoda C, Houinato D, Gyselinck K, Marx M, Martins MRO, et al. Determinants of high blood pressure and quality of Management in Three Regions of Benin. Open J Epidemiol. 2018;8(01):14.</w:t>
      </w:r>
    </w:p>
    <w:p w14:paraId="22C5B94E"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Bosu WK. Epidemic of hypertension in Ghana: a systematic review. BMC Public Health. 2010;10:418.</w:t>
      </w:r>
    </w:p>
    <w:p w14:paraId="1662AACC"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lang w:val="pt-PT"/>
        </w:rPr>
        <w:t xml:space="preserve">Joseph-Shehu EM, Ncama BP. </w:t>
      </w:r>
      <w:r w:rsidRPr="00000849">
        <w:rPr>
          <w:rFonts w:ascii="Calibri" w:eastAsia="Calibri" w:hAnsi="Calibri" w:cs="Calibri"/>
          <w:sz w:val="20"/>
          <w:szCs w:val="20"/>
        </w:rPr>
        <w:t>Evaluation of health status and its predictor among university staff in Nigeria. BMC Cardiovasc Disord. 2018;18(1):183.</w:t>
      </w:r>
    </w:p>
    <w:p w14:paraId="623F1632"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Mohamed SF, Mutua MK, Wamai R, Wekesah F, Haregu T, Juma P, Nyanjau L, Kyobutungi C, Ogola E. Prevalence, awareness, treatment and control of hypertension and their determinants: results from a national survey in Kenya. BMC Public Health. 2018;18(3):1219.</w:t>
      </w:r>
    </w:p>
    <w:p w14:paraId="29435DF2"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Nguyen KA, Peer N, Mills EJ, Kengne AP. Burden, determinants, and pharmacological Management of Hypertension in HIV-positive patients and populations: a systematic narrative review. AIDS Rev. 2015;17(2):83–95.</w:t>
      </w:r>
    </w:p>
    <w:p w14:paraId="1877E854"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Bosu WK. Determinants of mean blood pressure and hypertension among Workers in West Africa. Int J Hypertens. 2016;2016:3192149.</w:t>
      </w:r>
    </w:p>
    <w:p w14:paraId="4B18A912"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Bosu WK, Aheto JMK, Zucchelli E, Reilly S. Prevalence, awareness, and associated risk factors of hypertension in older adults in Africa: a systematic review and meta-analysis protocol.(Report). Syst Rev. 2017;6(1):192.</w:t>
      </w:r>
    </w:p>
    <w:p w14:paraId="0C1AE71E"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Bosu WK, Reilly ST, Aheto JMK, Zucchelli E. Hypertension in older adults in Africa: a systematic review and meta-analysis. PLoS One. 2019;14(4):e0214934.</w:t>
      </w:r>
    </w:p>
    <w:p w14:paraId="7F2119A0"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Moher D, Liberati A, Tetzlaff J, Altman DG. Preferred reporting items for systematic reviews and meta-analyses: the PRISMA statement. PLoS Med. 2009;6(7):e1000097.</w:t>
      </w:r>
    </w:p>
    <w:p w14:paraId="33E10404"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Veritas Health Innovation. Covidence systematic review software. Melbourne, Australia; 2018. [</w:t>
      </w:r>
      <w:hyperlink r:id="rId407">
        <w:r w:rsidRPr="00000849">
          <w:rPr>
            <w:rFonts w:ascii="Calibri" w:eastAsia="Calibri" w:hAnsi="Calibri" w:cs="Calibri"/>
            <w:color w:val="0000FF"/>
            <w:sz w:val="20"/>
            <w:szCs w:val="20"/>
          </w:rPr>
          <w:t>https://www.covidence.org/home</w:t>
        </w:r>
      </w:hyperlink>
      <w:r w:rsidRPr="00000849">
        <w:rPr>
          <w:rFonts w:ascii="Calibri" w:eastAsia="Calibri" w:hAnsi="Calibri" w:cs="Calibri"/>
          <w:sz w:val="20"/>
          <w:szCs w:val="20"/>
        </w:rPr>
        <w:t>]. Accessed 14 June 2018.</w:t>
      </w:r>
    </w:p>
    <w:p w14:paraId="5A63CEB7"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Hoy D, Brooks P, Woolf A, Blyth F, March L, Bain C, Baker P, Smith E, Buchbinder R. Assessing risk of bias in prevalence studies: modification of an existing tool and evidence of interrater agreement. J Clin Epidemiol. 2012;65(9):934–9.</w:t>
      </w:r>
    </w:p>
    <w:p w14:paraId="41FE2456"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Guerchet M, Aboyans V, Mbelesso P, Mouanga AM, Salazar J, Bandzouzi B, Tabo A, Clément J-P, Preux P-M, Lacroix P. Epidemiology of peripheral artery disease in elder general population of two cities of Central Africa: Bangui and Brazzaville. Eur J Vasc Endovasc Surg. 2012;44:164–9.</w:t>
      </w:r>
    </w:p>
    <w:p w14:paraId="4DC4D99F"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Lloyd-Sherlock P, Beard J, Minicuci N, Ebrahim S, Chatterji S. Hypertension among older adults in low and middle-income countries: prevalence, awareness and control. Int J Epidemiol. 2014;43(1):116–28.</w:t>
      </w:r>
    </w:p>
    <w:p w14:paraId="13DD9590"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Lloyd-Sherlock P, Minicuci N, Corso B, Beard J, Chatterji S, Ebrahim S. Diseases of the rich? The social patterning of hypertension in six low- and middle-income countries. Eur J Dev Res. 2017;29(4):827–42.</w:t>
      </w:r>
    </w:p>
    <w:p w14:paraId="36BF5EE6"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Tyrovolas S, Koyanagi A, Garin N, Olaya B, Ayuso-Mateos JL, Miret M, Chatterji S, Tobiasz-Adamczyk B, Koskinen S, Leonardi M, et al. Determinants of the components of arterial pressure among older adults – the role of anthropometric and clinical factors: a multicontinent study. Atherosclerosis. 2015;238(2):240–9.</w:t>
      </w:r>
    </w:p>
    <w:p w14:paraId="66A87020"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Boateng GO, Adams EA, Odei Boateng M, Luginaah IN, Taabazuing M-M. Obesity and the burden of health risks among the elderly in Ghana: a population study. PLoS One. 2017;12(11):1–25.</w:t>
      </w:r>
    </w:p>
    <w:p w14:paraId="66E25BE8"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lastRenderedPageBreak/>
        <w:t>Minicuci N, Biritwum RB, Mensah G, Yawson AE, Naidoo N, Chatterji S, Kowal P. Sociodemographic and socioeconomic patterns of chronic noncommunicable disease among the older adult population in Ghana. Glob Health Action. 2014;7:21292.</w:t>
      </w:r>
    </w:p>
    <w:p w14:paraId="14ECBCC9"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Peltzer K, Phaswana-Mafuya N. Hypertension and associated factors in older adults in South Africa. Cardiovasc J Afr. 2013;24(3):66–71.</w:t>
      </w:r>
    </w:p>
    <w:p w14:paraId="591314E7"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Abegunde KA, Owoaje ET. Health problems and associated risk factors in selected urban and rural elderly population groups of south-West Nigeria. Ann Afr Med. 2013;12(2):90–7.</w:t>
      </w:r>
    </w:p>
    <w:p w14:paraId="4C15D05D"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Dewhurst MJ, Dewhurst F, Gray WK, Chaote P, Orega GP, Walker RW. The high prevalence of hypertension in rural-dwelling Tanzanian older adults and the disparity between detection, treatment and control: a rule of sixths? J Hum Hypertens. 2013;27(6):374–80.</w:t>
      </w:r>
    </w:p>
    <w:p w14:paraId="7BE74F95"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Hammami S, Mehri S, Hajem S, Koubaa N, Frih MA, Kammoun S, Hammami M, Betbout F. Awareness, treatment and control of hypertension among the elderly living in their home in Tunisia. BMC Cardiovasc Disord. 2011;11:65.</w:t>
      </w:r>
    </w:p>
    <w:p w14:paraId="73E4F220"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Hien H, Berthe A, Drabo MK, Meda N, Konate B, Tou F, Badini-Kinda F, Macq J. Prevalence and patterns of multimorbidity among the elderly in Burkina Faso: cross-sectional study. Tropical Med Int Health. 2014;19(11):1328–33.</w:t>
      </w:r>
    </w:p>
    <w:p w14:paraId="31299E27"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Iribhogbe I. A community based interventional study on health status of aged people in a semi-Urban Community in south-South Nigeria. Int J Community Res. 2013;2(2):22–7.</w:t>
      </w:r>
    </w:p>
    <w:p w14:paraId="24A500A2"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Koopman JJE, van Bodegom D, Jukema JW, Westendorp RGJ. Risk of cardiovascular disease in a traditional African population with a high infectious load: a population-based study. PLoS One. 2012;7(10):1–8.</w:t>
      </w:r>
    </w:p>
    <w:p w14:paraId="6915FEBF"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Macia E, Duboz P, Gueye L. Prevalence, awareness, treatment and control of hypertension among adults 50 years and older in Dakar, Senegal.</w:t>
      </w:r>
    </w:p>
    <w:p w14:paraId="0BDAD290" w14:textId="77777777" w:rsidR="00BC221F" w:rsidRPr="00000849" w:rsidRDefault="00BC221F" w:rsidP="007E6CC7">
      <w:pPr>
        <w:spacing w:after="11" w:line="247" w:lineRule="auto"/>
        <w:ind w:left="301" w:right="17"/>
        <w:jc w:val="both"/>
        <w:rPr>
          <w:sz w:val="20"/>
          <w:szCs w:val="20"/>
        </w:rPr>
      </w:pPr>
      <w:r w:rsidRPr="00000849">
        <w:rPr>
          <w:rFonts w:ascii="Calibri" w:eastAsia="Calibri" w:hAnsi="Calibri" w:cs="Calibri"/>
          <w:sz w:val="20"/>
          <w:szCs w:val="20"/>
        </w:rPr>
        <w:t>Cardiovasc J Afr. 2012;23(5):265–9.</w:t>
      </w:r>
    </w:p>
    <w:p w14:paraId="64CC8460"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Mathenge W, Foster A, Kuper H. Urbanization, ethnicity and cardiovascular risk in a population in transition in Nakuru, Kenya: a population-based survey. BMC Public Health. 2010;10(1):569–80.</w:t>
      </w:r>
    </w:p>
    <w:p w14:paraId="14FF3B35"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Mkhize XN. Situation analysis of free-living elderly in Umlazi township. Durban: Durban University of Technology; 2011.</w:t>
      </w:r>
    </w:p>
    <w:p w14:paraId="1E8F1C0D"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Mugisha JO, Baisley K, Asiki G, Seeley J, Kuper H. Prevalence, types, risk factors and clinical correlates of Anaemia in older people in a rural Ugandan population. PLoS One. 2013;8(10):1–1.</w:t>
      </w:r>
    </w:p>
    <w:p w14:paraId="7333D03F"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Nuertey BD, Alhassan AI, Nuertey AD, Mensah IA, Adongo V, Kabutey C, Addai J, Biritwum RB. Prevalence of obesity and overweight and its associated factors among registered pensioners in Ghana; a cross sectional studies. BMC Obes. 2017;4:1–12.</w:t>
      </w:r>
    </w:p>
    <w:p w14:paraId="25C90390"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Osman A-Q. Nutrition &amp; Health Status, Quality of Life, and Associated</w:t>
      </w:r>
    </w:p>
    <w:p w14:paraId="2B9A7CC3" w14:textId="77777777" w:rsidR="00BC221F" w:rsidRPr="00000849" w:rsidRDefault="00BC221F" w:rsidP="007E6CC7">
      <w:pPr>
        <w:spacing w:after="11" w:line="247" w:lineRule="auto"/>
        <w:ind w:left="301" w:right="17"/>
        <w:jc w:val="both"/>
        <w:rPr>
          <w:sz w:val="20"/>
          <w:szCs w:val="20"/>
        </w:rPr>
      </w:pPr>
      <w:r w:rsidRPr="00000849">
        <w:rPr>
          <w:rFonts w:ascii="Calibri" w:eastAsia="Calibri" w:hAnsi="Calibri" w:cs="Calibri"/>
          <w:sz w:val="20"/>
          <w:szCs w:val="20"/>
        </w:rPr>
        <w:t>Factors among Non-Institutionalized Older Ghanaians. In: MPhil in Human Nutrition and Dietetics. Kumasi: Kwame Nkrumah University of Science and Technology; 2017.</w:t>
      </w:r>
    </w:p>
    <w:p w14:paraId="60B10953"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Pilleron S, Aboyans V, Mbelesso P, Ndamba-Bandzouzi B, Desormais I, Lacroix P, Preux P-M, Guerchet M, EPIDEMCA group. Prevalence, awareness, treatment, and control of hypertension in older people in Central Africa: the EPIDEMCA study. J Am Soc Hypertens. 2017;11(7):449–60.</w:t>
      </w:r>
    </w:p>
    <w:p w14:paraId="02BF8FBF"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Raji YR, Abiona T, Gureje O. Awareness of hypertension and its impact on blood pressure control among elderly Nigerians: report from the Ibadan study of aging. Pan Afr Med J. 2017;27:190.</w:t>
      </w:r>
    </w:p>
    <w:p w14:paraId="09FA36A8"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Scholten F, Mugisha J, Seeley J, Kinyanda E, Nakubukwa S, Kowal P, Naidoo N, Boerma T, Chatterji S, Grosskurth H. Health and functional status among older people with HIV/AIDS in Uganda. BMC Public Health. 2011;11:886.</w:t>
      </w:r>
    </w:p>
    <w:p w14:paraId="5F0F7B36"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Tianyi FL, Agbor VN, Njamnshi AKJHSR. Prevalence, awareness, treatment, and control of hypertension in Cameroonians aged 50 years and older: a community-based study. Health Sci Rep. 2018;1(5):e44.</w:t>
      </w:r>
    </w:p>
    <w:p w14:paraId="6FF6AF94"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Dewhurst MJ. The prevalence and clinical correlates of atrial fibrillation in those aged 70 and over in the Hai District of northern Tanzania. Newcastle: University of Newcastle upon Tyne; 2013.</w:t>
      </w:r>
    </w:p>
    <w:p w14:paraId="65BAC40A"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Mkhize X, Napier C, Oldewage-Theron W. The nutrition situation of free-living elderly in Umlazi township, South Africa. Health SA Gesondheid. 2013;18(1):1–8.</w:t>
      </w:r>
    </w:p>
    <w:p w14:paraId="48FF9677"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Phaswana-Mafuya N, Peltzer K, Chirinda W, Musekiwa A, Kose Z. Sociodemographic predictors of multiple non-communicable disease risk factors among older adults in South Africa. Glob Health Action. 2013;6(1):20680.</w:t>
      </w:r>
    </w:p>
    <w:p w14:paraId="103C1D1D" w14:textId="77777777" w:rsidR="00BC221F" w:rsidRPr="00000849" w:rsidRDefault="00BC221F" w:rsidP="007E6CC7">
      <w:pPr>
        <w:numPr>
          <w:ilvl w:val="0"/>
          <w:numId w:val="35"/>
        </w:numPr>
        <w:spacing w:after="11" w:line="247" w:lineRule="auto"/>
        <w:ind w:right="17" w:hanging="301"/>
        <w:jc w:val="both"/>
        <w:rPr>
          <w:sz w:val="20"/>
          <w:szCs w:val="20"/>
          <w:lang w:val="fr-FR"/>
        </w:rPr>
      </w:pPr>
      <w:r w:rsidRPr="00000849">
        <w:rPr>
          <w:rFonts w:ascii="Calibri" w:eastAsia="Calibri" w:hAnsi="Calibri" w:cs="Calibri"/>
          <w:sz w:val="20"/>
          <w:szCs w:val="20"/>
          <w:lang w:val="fr-FR"/>
        </w:rPr>
        <w:t>Duboz P, Touré M, Hane F, Macia E, Coume M, Bâ A, Boetsch G, Gueye L, Chapuis-Lucciani N. Vieillissement et pathologies chroniques au Sénégal.</w:t>
      </w:r>
    </w:p>
    <w:p w14:paraId="6D3598C1" w14:textId="77777777" w:rsidR="00BC221F" w:rsidRPr="00000849" w:rsidRDefault="00BC221F" w:rsidP="007E6CC7">
      <w:pPr>
        <w:spacing w:after="11" w:line="247" w:lineRule="auto"/>
        <w:ind w:left="301" w:right="17"/>
        <w:jc w:val="both"/>
        <w:rPr>
          <w:sz w:val="20"/>
          <w:szCs w:val="20"/>
          <w:lang w:val="fr-FR"/>
        </w:rPr>
      </w:pPr>
      <w:r w:rsidRPr="00000849">
        <w:rPr>
          <w:rFonts w:ascii="Calibri" w:eastAsia="Calibri" w:hAnsi="Calibri" w:cs="Calibri"/>
          <w:sz w:val="20"/>
          <w:szCs w:val="20"/>
          <w:lang w:val="fr-FR"/>
        </w:rPr>
        <w:t>Comparaison entre des populations vivant en milieu rural (Ferlo) et urbain</w:t>
      </w:r>
    </w:p>
    <w:p w14:paraId="3C321F4C" w14:textId="77777777" w:rsidR="00BC221F" w:rsidRPr="00000849" w:rsidRDefault="00BC221F" w:rsidP="007E6CC7">
      <w:pPr>
        <w:spacing w:after="11" w:line="247" w:lineRule="auto"/>
        <w:ind w:left="301" w:right="17"/>
        <w:jc w:val="both"/>
        <w:rPr>
          <w:sz w:val="20"/>
          <w:szCs w:val="20"/>
        </w:rPr>
      </w:pPr>
      <w:r w:rsidRPr="00000849">
        <w:rPr>
          <w:rFonts w:ascii="Calibri" w:eastAsia="Calibri" w:hAnsi="Calibri" w:cs="Calibri"/>
          <w:sz w:val="20"/>
          <w:szCs w:val="20"/>
        </w:rPr>
        <w:lastRenderedPageBreak/>
        <w:t>(Dakar) Ageing and chronic diseases in Senegal. A comparison between rural (Ferlo) and urban (Dakar) populations. Bull Soc Pathol Exot. 2015;108(1):25–31.</w:t>
      </w:r>
    </w:p>
    <w:p w14:paraId="69E771C3"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Peltzer K, Phaswana-Mafuya N. Fruit and vegetable intake and associated factors in older adults in South Africa. Glob Health Action. 2012;5(1):18668.</w:t>
      </w:r>
    </w:p>
    <w:p w14:paraId="6F0426CB"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Peltzer K, Phaswana-Mafuya N. Arthritis and associated factors in older adults in South Africa. Turk J Geriatr. 2013;16(4):389–94.</w:t>
      </w:r>
    </w:p>
    <w:p w14:paraId="0D513B9A"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Ataklte F, Erqou S, Kaptoge S, Taye B, Echouffo-Tcheugui JB, Kengne AP. Burden of undiagnosed hypertension in sub-Saharan Africa: a systematic review and meta-analysis. Hypertension. 2015;65(2):291–8.</w:t>
      </w:r>
    </w:p>
    <w:p w14:paraId="00682E2F"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Sarki AM, Nduka CU, Stranges S, Kandala N-B, Uthman OA. Prevalence of hypertension in low-and middle-income countries: a systematic review and meta-analysis. Medicine. 2015;94(50):e1959.</w:t>
      </w:r>
    </w:p>
    <w:p w14:paraId="37C06D22"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Gatimu SM, Milimo BW, Sebastian MS. Prevalence and determinants of diabetes among older adults in Ghana. BMC Public Health. 2016;16(1):1174.</w:t>
      </w:r>
    </w:p>
    <w:p w14:paraId="6C2783B2"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Kaze AD, Schutte AE, Erqou S, Kengne AP, Echouffo-Tcheugui JB. Prevalence of hypertension in older people in Africa: a systematic review and metaanalysis. J Hypertens. 2017;35(7):1345–52.</w:t>
      </w:r>
    </w:p>
    <w:p w14:paraId="42F443CB"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Aronow WS, Fleg JL, Pepine CJ, Artinian NT, Bakris G, Brown AS, Ferdinand KC, Ann Forciea M, Frishman WH, Jaigobin C, et al. ACCF/AHA 2011 expert consensus document on hypertension in the elderly: a report of the American College of Cardiology Foundation Task Force on Clinical Expert Consensus documents developed in collaboration with the American</w:t>
      </w:r>
    </w:p>
    <w:p w14:paraId="2FD98D9A" w14:textId="77777777" w:rsidR="00BC221F" w:rsidRPr="00000849" w:rsidRDefault="00BC221F" w:rsidP="007E6CC7">
      <w:pPr>
        <w:spacing w:after="11" w:line="247" w:lineRule="auto"/>
        <w:ind w:left="301" w:right="17"/>
        <w:jc w:val="both"/>
        <w:rPr>
          <w:sz w:val="20"/>
          <w:szCs w:val="20"/>
        </w:rPr>
      </w:pPr>
      <w:r w:rsidRPr="00000849">
        <w:rPr>
          <w:rFonts w:ascii="Calibri" w:eastAsia="Calibri" w:hAnsi="Calibri" w:cs="Calibri"/>
          <w:sz w:val="20"/>
          <w:szCs w:val="20"/>
        </w:rPr>
        <w:t>Academy of Neurology, American Geriatrics Society, American Society for Preventive Cardiology, American Society of Hypertension, American Society of Nephrology, Association of Black Cardiologists, and European Society of Hypertension. J Am Coll Cardiol. 2011;57(20):2037–114.</w:t>
      </w:r>
    </w:p>
    <w:p w14:paraId="481A1207"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Williams B. Vascular ageing and interventions: lessons and learnings. Ther Adv Cardiovasc Dis. 2016;10(3):126–32.</w:t>
      </w:r>
    </w:p>
    <w:p w14:paraId="2B328284"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Kimokoti RW, Hamer DH. Nutrition, health, and aging in sub-Saharan Africa.</w:t>
      </w:r>
    </w:p>
    <w:p w14:paraId="4BC5D1FA" w14:textId="77777777" w:rsidR="00BC221F" w:rsidRPr="00000849" w:rsidRDefault="00BC221F" w:rsidP="007E6CC7">
      <w:pPr>
        <w:spacing w:after="11" w:line="247" w:lineRule="auto"/>
        <w:ind w:left="301" w:right="17"/>
        <w:jc w:val="both"/>
        <w:rPr>
          <w:sz w:val="20"/>
          <w:szCs w:val="20"/>
        </w:rPr>
      </w:pPr>
      <w:r w:rsidRPr="00000849">
        <w:rPr>
          <w:rFonts w:ascii="Calibri" w:eastAsia="Calibri" w:hAnsi="Calibri" w:cs="Calibri"/>
          <w:sz w:val="20"/>
          <w:szCs w:val="20"/>
        </w:rPr>
        <w:t>Nutr Rev. 2008;66(11):611–23.</w:t>
      </w:r>
    </w:p>
    <w:p w14:paraId="7F153D5B"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World Health Organization. Active ageing: A policy framework. Geneva: WHO; 2002.</w:t>
      </w:r>
    </w:p>
    <w:p w14:paraId="6CDFCE95"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World Health Organization. Prevention of cardiovascular disease: guidelines for assessment and management of cardiovascular risk. Geneva: WHO; 2007.</w:t>
      </w:r>
    </w:p>
    <w:p w14:paraId="61051427"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lang w:val="pt-PT"/>
        </w:rPr>
        <w:t xml:space="preserve">Barry AR, O'Neill DE, Graham MM. </w:t>
      </w:r>
      <w:r w:rsidRPr="00000849">
        <w:rPr>
          <w:rFonts w:ascii="Calibri" w:eastAsia="Calibri" w:hAnsi="Calibri" w:cs="Calibri"/>
          <w:sz w:val="20"/>
          <w:szCs w:val="20"/>
        </w:rPr>
        <w:t>Primary prevention of cardiovascular disease in older adults. Can J Cardiol. 2016;32(9):1074–81.</w:t>
      </w:r>
    </w:p>
    <w:p w14:paraId="1AE2F6E9"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Funke O, Ibrahim KS. Blood pressure and body mass index among Jos University teaching hospital staff. Transnational J Sci Technol. 2013;3(9):73–83.</w:t>
      </w:r>
    </w:p>
    <w:p w14:paraId="1026FADA"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Yaya S, Ekholuenetale M, Bishwajit G. Differentials in prevalence and correlates of metabolic risk factors of non-communicable diseases among women in sub-Saharan Africa: evidence from 33 countries. BMC Public Health. 2018;18(1):1168.</w:t>
      </w:r>
    </w:p>
    <w:p w14:paraId="42722522"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Jayedi A, Rashidy-Pour A, Khorshidi M, Shab-Bidar S. Body mass index, abdominal adiposity, weight gain and risk of developing hypertension: a systematic review and dose-response meta-analysis of more than 2.3 million participants. Obes Rev. 2018;19(5):654–67.</w:t>
      </w:r>
    </w:p>
    <w:p w14:paraId="30075C13"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Poorolajal J, Hooshmand E, Bahrami M, Ameri P. How much excess weight loss can reduce the risk of hypertension? J Public Health (Oxf). 2016;39(3): e95–e102.</w:t>
      </w:r>
    </w:p>
    <w:p w14:paraId="25640CC3"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DeMarco VG, Aroor AR, Sowers JR. The pathophysiology of hypertension in patients with obesity. Nat Rev Endocrinol. 2014;10(6):364–76.</w:t>
      </w:r>
    </w:p>
    <w:p w14:paraId="0A4A4FBD"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Abubakari AR, Lauder W, Agyemang C, Jones M, Kirk A, Bhopal RS. Prevalence and time trends in obesity among adult west African populations: a meta-analysis. Obes Rev. 2008;9(4):297–311.</w:t>
      </w:r>
    </w:p>
    <w:p w14:paraId="5FE1B04B"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Veselinovic M. How Africa is giving fast food a new spin. CNN; 2015.</w:t>
      </w:r>
    </w:p>
    <w:p w14:paraId="703514A5" w14:textId="77777777" w:rsidR="00BC221F" w:rsidRPr="00000849" w:rsidRDefault="00C84E75" w:rsidP="007E6CC7">
      <w:pPr>
        <w:spacing w:after="15" w:line="243" w:lineRule="auto"/>
        <w:ind w:left="301"/>
        <w:jc w:val="both"/>
        <w:rPr>
          <w:sz w:val="20"/>
          <w:szCs w:val="20"/>
        </w:rPr>
      </w:pPr>
      <w:hyperlink r:id="rId408">
        <w:r w:rsidR="00BC221F" w:rsidRPr="00000849">
          <w:rPr>
            <w:rFonts w:ascii="Calibri" w:eastAsia="Calibri" w:hAnsi="Calibri" w:cs="Calibri"/>
            <w:sz w:val="20"/>
            <w:szCs w:val="20"/>
          </w:rPr>
          <w:t>[</w:t>
        </w:r>
      </w:hyperlink>
      <w:hyperlink r:id="rId409">
        <w:r w:rsidR="00BC221F" w:rsidRPr="00000849">
          <w:rPr>
            <w:rFonts w:ascii="Calibri" w:eastAsia="Calibri" w:hAnsi="Calibri" w:cs="Calibri"/>
            <w:color w:val="0000FF"/>
            <w:sz w:val="20"/>
            <w:szCs w:val="20"/>
          </w:rPr>
          <w:t>https://edition.cnn.com/2015/12/11/africa/fast-food-in-africa/</w:t>
        </w:r>
      </w:hyperlink>
      <w:r w:rsidR="00BC221F" w:rsidRPr="00000849">
        <w:rPr>
          <w:rFonts w:ascii="Calibri" w:eastAsia="Calibri" w:hAnsi="Calibri" w:cs="Calibri"/>
          <w:sz w:val="20"/>
          <w:szCs w:val="20"/>
        </w:rPr>
        <w:t>]. Accessed 19 Dec 2018.</w:t>
      </w:r>
    </w:p>
    <w:p w14:paraId="3F65F142"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Agyemang C, Boatemaa S, Agyemang Frempong G, de-Graft Aikins A. Obesity in Sub-Saharan Africa. In: Ahima RS, editor. Metabolic Syndrome: A Comprehensive Textbook. Cham: Springer International Publishing; 2016. p. 41–53.</w:t>
      </w:r>
    </w:p>
    <w:p w14:paraId="44E5396F"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Boatemaa S, Badasu DM, de-Graft Aikins A. Food beliefs and practices in urban poor communities in Accra: implications for health interventions. BMC Public Health. 2018;18(1):434.</w:t>
      </w:r>
    </w:p>
    <w:p w14:paraId="28D9239A"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Adeloye D, Basquill C. Estimating the prevalence and awareness rates of hypertension in Africa: a systematic analysis. PLoS One. 2014;9(8): e104300.</w:t>
      </w:r>
    </w:p>
    <w:p w14:paraId="2D37A157"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lastRenderedPageBreak/>
        <w:t>Akinlua JT, Meakin R, Umar AM, Freemantle N. Current prevalence pattern of hypertension in Nigeria: a systematic review. PLoS One. 2015;10(10):e0140021.</w:t>
      </w:r>
    </w:p>
    <w:p w14:paraId="4A354AA4"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NCD Risk Factor Collaboration (NCD-RisC). Worldwide trends in blood pressure from 1975 to 2015: a pooled analysis of 1479 population-based measurement studies with 19.1 million participants. Lancet. 2017;389(10064):37–55.</w:t>
      </w:r>
    </w:p>
    <w:p w14:paraId="797D4CB7"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Maranon R, Reckelhoff JF. Sex and gender differences in control of blood pressure. Clin Sci (Lond). 2013;125(7):311–8.</w:t>
      </w:r>
    </w:p>
    <w:p w14:paraId="56F51233"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Lima R, Wofford M, Reckelhoff JF. Hypertension in postmenopausal women. Curr Hypertens Rep. 2012;14(3):254–60.</w:t>
      </w:r>
    </w:p>
    <w:p w14:paraId="12C802FA"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Bosu WK. The prevalence, awareness, and control of hypertension among workers in West Africa: a systematic review. Glob Health Action. 2015;8:26227.</w:t>
      </w:r>
    </w:p>
    <w:p w14:paraId="1E26D922"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Fezeu L, Kengne AP, Balkau B, Awah PK, Mbanya JC. Ten-year change in blood pressure levels and prevalence of hypertension in urban and rural Cameroon. J Epidemiol Community Health. 2010;64(4):360–5.</w:t>
      </w:r>
    </w:p>
    <w:p w14:paraId="5364BC8D"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Okpechi IG, Chukwuonye II, Tiffin N, Madukwe OO, Onyeonoro UU, Umeizudike TI, Ogah OS. Blood pressure gradients and cardiovascular risk factors in urban and rural populations in Abia state south eastern Nigeria using the WHO STEPwise approach. PLoS One. 2013;8(9):e73403.</w:t>
      </w:r>
    </w:p>
    <w:p w14:paraId="5AA246D6"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Solomon I, Adjuik M, Takramah W, Axame WK, Owusu R, AttaParbey P, Takase M, Tarkang E, Kweku MJJ. Prevalence and awareness of hypertension among urban and rural adults in Hohoe municipality. Ghana. 2017;3(3):136–45.</w:t>
      </w:r>
    </w:p>
    <w:p w14:paraId="1E8462E0"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Rush KL, Goma FM, Barker JA, Ollivier RA, Ferrier MS, Singini D. Hypertension prevalence and risk factors in rural and urban Zambian adults in western province: a cross-sectional study. Pan Afr Med J. 2018;30:97.</w:t>
      </w:r>
    </w:p>
    <w:p w14:paraId="57D1EAC3"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Robles TF, Slatcher RB, Trombello JM, McGinn MM. Marital quality and health: a meta-analytic review. Psychol Bull. 2014;140(1):140.</w:t>
      </w:r>
    </w:p>
    <w:p w14:paraId="2B282E4E"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Holt-Lunstad J, Birmingham W, Jones BQ. Is there something unique about marriage? The relative impact of marital status, relationship quality, and network social support on ambulatory blood pressure and mental health. Ann Behav Med. 2008;35(2):239–44.</w:t>
      </w:r>
    </w:p>
    <w:p w14:paraId="3F853CA7"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Basu S, Millett C. Social epidemiology of hypertension in middle-income countries: determinants of prevalence, diagnosis, treatment, and control in the WHO SAGE study. Hypertension. 2013;62(1):18–26.</w:t>
      </w:r>
    </w:p>
    <w:p w14:paraId="7574B618"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Cohen AK, Rai M, Rehkopf DH, Abrams B. Educational attainment and obesity: a systematic review. Obes Rev. 2013;14(12):989–1005.</w:t>
      </w:r>
    </w:p>
    <w:p w14:paraId="197AB859"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Dinsa GD, Goryakin Y, Fumagalli E, Suhrcke M. Obesity and socioeconomic status in developing countries: a systematic review. Obes Rev. 2012;13(11):1067–79.</w:t>
      </w:r>
    </w:p>
    <w:p w14:paraId="13FEEB1A"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Hupin D, Roche F, Gremeaux V, Chatard JC, Oriol M, Gaspoz JM, Barthelemy JC, Edouard P. Even a low-dose of moderate-to-vigorous physical activity reduces mortality by 22% in adults aged &gt;/=60 years: a systematic review and meta-analysis. Br J Sports Med. 2015;49(19):1262–7.</w:t>
      </w:r>
    </w:p>
    <w:p w14:paraId="358E03D6"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 xml:space="preserve">Jefferis BJ, Parsons TJ, Sartini C, Ash S, Lennon LT, Papacosta O, Morris RW, Wannamethee SG, Lee IM, Whincup PH. Objectively measured physical activity, sedentary behaviour and all-cause mortality in older men: does volume of activity matter more than pattern of accumulation? Br J Sports Med. 2018. </w:t>
      </w:r>
      <w:hyperlink r:id="rId410">
        <w:r w:rsidRPr="00000849">
          <w:rPr>
            <w:rFonts w:ascii="Calibri" w:eastAsia="Calibri" w:hAnsi="Calibri" w:cs="Calibri"/>
            <w:color w:val="0000FF"/>
            <w:sz w:val="20"/>
            <w:szCs w:val="20"/>
          </w:rPr>
          <w:t>https://doi.org/10.1136/bjsports-2017-098733</w:t>
        </w:r>
      </w:hyperlink>
      <w:r w:rsidRPr="00000849">
        <w:rPr>
          <w:rFonts w:ascii="Calibri" w:eastAsia="Calibri" w:hAnsi="Calibri" w:cs="Calibri"/>
          <w:sz w:val="20"/>
          <w:szCs w:val="20"/>
        </w:rPr>
        <w:t>.</w:t>
      </w:r>
    </w:p>
    <w:p w14:paraId="2435F5D8"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Cheng S-J, Yu H-K, Chen Y-C, Chen C-Y, Lien W-C, Yang P-Y, Hu G-C.</w:t>
      </w:r>
    </w:p>
    <w:p w14:paraId="452535C9" w14:textId="77777777" w:rsidR="00BC221F" w:rsidRPr="00000849" w:rsidRDefault="00BC221F" w:rsidP="007E6CC7">
      <w:pPr>
        <w:spacing w:after="11" w:line="247" w:lineRule="auto"/>
        <w:ind w:left="301" w:right="17"/>
        <w:jc w:val="both"/>
        <w:rPr>
          <w:sz w:val="20"/>
          <w:szCs w:val="20"/>
        </w:rPr>
      </w:pPr>
      <w:r w:rsidRPr="00000849">
        <w:rPr>
          <w:rFonts w:ascii="Calibri" w:eastAsia="Calibri" w:hAnsi="Calibri" w:cs="Calibri"/>
          <w:sz w:val="20"/>
          <w:szCs w:val="20"/>
        </w:rPr>
        <w:t>Physical activity and risk of cardiovascular disease among older adults. Int J Gerontol. 2013;7(3):133–6.</w:t>
      </w:r>
    </w:p>
    <w:p w14:paraId="3F8D4373"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Klatsky AL. Alcohol and cardiovascular diseases: a historical overview. Ann N Y Acad Sci. 2002;957(1):7–15.</w:t>
      </w:r>
    </w:p>
    <w:p w14:paraId="29616E0B"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Brien SE, Ronksley PE, Turner BJ, Mukamal KJ, Ghali WA. Effect of alcohol consumption on biological markers associated with risk of coronary heart disease: systematic review and meta-analysis of interventional studies. BMJ. 2011;342:d636.</w:t>
      </w:r>
    </w:p>
    <w:p w14:paraId="19C7589E"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Roerecke M, Tobe SW, Kaczorowski J, Bacon SL, Vafaei A, Hasan OSM, Krishnan RJ, Raifu AO, Rehm J. Sex-specific associations between alcohol consumption and incidence of hypertension: a systematic review and metaanalysis of cohort studies. J Am Heart Assoc. 2018;7(13):e008202.</w:t>
      </w:r>
    </w:p>
    <w:p w14:paraId="0F9F56DB"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Roerecke M, Kaczorowski J, Tobe SW, Gmel G, Hasan OSM, Rehm J. The effect of a reduction in alcohol consumption on blood pressure: a systematic review and meta-analysis. Lancet Public Health. 2017;2(2):e108–20.</w:t>
      </w:r>
    </w:p>
    <w:p w14:paraId="6ED3BE89" w14:textId="77777777" w:rsidR="00BC221F" w:rsidRPr="00000849" w:rsidRDefault="00BC221F" w:rsidP="007E6CC7">
      <w:pPr>
        <w:numPr>
          <w:ilvl w:val="0"/>
          <w:numId w:val="35"/>
        </w:numPr>
        <w:spacing w:after="11" w:line="247" w:lineRule="auto"/>
        <w:ind w:right="17" w:hanging="301"/>
        <w:jc w:val="both"/>
        <w:rPr>
          <w:sz w:val="20"/>
          <w:szCs w:val="20"/>
        </w:rPr>
      </w:pPr>
      <w:r w:rsidRPr="00000849">
        <w:rPr>
          <w:rFonts w:ascii="Calibri" w:eastAsia="Calibri" w:hAnsi="Calibri" w:cs="Calibri"/>
          <w:sz w:val="20"/>
          <w:szCs w:val="20"/>
        </w:rPr>
        <w:t>Wannamethee SG, Shaper AG. Taking up regular drinking in middle age: effect on major coronary heart disease events and mortality. Heart. 2002;87(1):32–6.</w:t>
      </w:r>
    </w:p>
    <w:p w14:paraId="07F640B5" w14:textId="1E3CF1B6" w:rsidR="006759FF" w:rsidRPr="00000849" w:rsidRDefault="00BC221F" w:rsidP="00143B7E">
      <w:pPr>
        <w:numPr>
          <w:ilvl w:val="0"/>
          <w:numId w:val="35"/>
        </w:numPr>
        <w:spacing w:after="318" w:line="247" w:lineRule="auto"/>
        <w:ind w:right="17" w:hanging="301"/>
        <w:jc w:val="both"/>
      </w:pPr>
      <w:r w:rsidRPr="00000849">
        <w:rPr>
          <w:rFonts w:ascii="Calibri" w:eastAsia="Calibri" w:hAnsi="Calibri" w:cs="Calibri"/>
          <w:sz w:val="20"/>
          <w:szCs w:val="20"/>
        </w:rPr>
        <w:t>Hajat C, Selwyn A, Harris M, Yach D. Preventive interventions for the second half of life: a systematic review. Am J Health Promot. 2018;32(4):1122–39.</w:t>
      </w:r>
    </w:p>
    <w:p w14:paraId="5777A555" w14:textId="06CA3C75" w:rsidR="00BC221F" w:rsidRPr="00000849" w:rsidRDefault="00BC221F" w:rsidP="00BC221F"/>
    <w:p w14:paraId="374852E0" w14:textId="77777777" w:rsidR="0094544B" w:rsidRPr="00000849" w:rsidRDefault="0094544B" w:rsidP="00063693">
      <w:pPr>
        <w:spacing w:after="0"/>
        <w:rPr>
          <w:rFonts w:ascii="Arial Narrow"/>
          <w:sz w:val="14"/>
        </w:rPr>
        <w:sectPr w:rsidR="0094544B" w:rsidRPr="00000849" w:rsidSect="006759FF">
          <w:pgSz w:w="11910" w:h="15820"/>
          <w:pgMar w:top="540" w:right="1020" w:bottom="280" w:left="1020" w:header="720" w:footer="720" w:gutter="0"/>
          <w:cols w:space="720"/>
        </w:sectPr>
      </w:pPr>
    </w:p>
    <w:p w14:paraId="68F00911" w14:textId="5CD5A3ED" w:rsidR="002F7B95" w:rsidRPr="00000849" w:rsidRDefault="002F7B95" w:rsidP="002F7B95">
      <w:pPr>
        <w:pStyle w:val="TableSAGE1"/>
        <w:keepNext/>
        <w:ind w:left="1276" w:hanging="992"/>
        <w:rPr>
          <w:szCs w:val="24"/>
        </w:rPr>
      </w:pPr>
      <w:bookmarkStart w:id="142" w:name="Background"/>
      <w:bookmarkEnd w:id="142"/>
      <w:r w:rsidRPr="00000849">
        <w:lastRenderedPageBreak/>
        <w:t xml:space="preserve">Figure </w:t>
      </w:r>
      <w:r w:rsidR="001A258D" w:rsidRPr="00000849">
        <w:t>B1</w:t>
      </w:r>
      <w:r w:rsidRPr="00000849">
        <w:t>:</w:t>
      </w:r>
      <w:r w:rsidRPr="00000849">
        <w:tab/>
        <w:t xml:space="preserve">Flow chart of the selection of studies for the systematic review of the determinants of hypertension in older adults in Africa </w:t>
      </w:r>
    </w:p>
    <w:p w14:paraId="45D9DDAC" w14:textId="3B489C2E" w:rsidR="006759FF" w:rsidRPr="00000849" w:rsidRDefault="006759FF" w:rsidP="006037A7"/>
    <w:p w14:paraId="6B9C5EDC" w14:textId="77777777" w:rsidR="002F7B95" w:rsidRPr="00000849" w:rsidRDefault="002F7B95" w:rsidP="006037A7"/>
    <w:p w14:paraId="4732C5A9" w14:textId="3ED9208E" w:rsidR="006759FF" w:rsidRPr="00000849" w:rsidRDefault="006759FF" w:rsidP="006037A7">
      <w:r w:rsidRPr="00000849">
        <w:rPr>
          <w:noProof/>
        </w:rPr>
        <w:drawing>
          <wp:inline distT="0" distB="0" distL="0" distR="0" wp14:anchorId="48AA00F1" wp14:editId="4A7D301F">
            <wp:extent cx="5277485" cy="59270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277485" cy="5927090"/>
                    </a:xfrm>
                    <a:prstGeom prst="rect">
                      <a:avLst/>
                    </a:prstGeom>
                    <a:noFill/>
                    <a:ln>
                      <a:noFill/>
                    </a:ln>
                  </pic:spPr>
                </pic:pic>
              </a:graphicData>
            </a:graphic>
          </wp:inline>
        </w:drawing>
      </w:r>
    </w:p>
    <w:p w14:paraId="000F740D" w14:textId="6BE3C2C8" w:rsidR="006759FF" w:rsidRPr="00000849" w:rsidRDefault="006759FF" w:rsidP="006037A7"/>
    <w:p w14:paraId="1BB45C01" w14:textId="713A43BD" w:rsidR="006759FF" w:rsidRPr="00000849" w:rsidRDefault="006759FF" w:rsidP="006037A7"/>
    <w:p w14:paraId="0E38A3A8" w14:textId="77777777" w:rsidR="000231F8" w:rsidRPr="00000849" w:rsidRDefault="000231F8" w:rsidP="006037A7">
      <w:pPr>
        <w:sectPr w:rsidR="000231F8" w:rsidRPr="00000849" w:rsidSect="009E605B">
          <w:pgSz w:w="11906" w:h="16838"/>
          <w:pgMar w:top="1440" w:right="1440" w:bottom="1440" w:left="2155" w:header="708" w:footer="708" w:gutter="0"/>
          <w:cols w:space="708"/>
          <w:docGrid w:linePitch="360"/>
        </w:sectPr>
      </w:pPr>
    </w:p>
    <w:p w14:paraId="7CD41225" w14:textId="04B848B8" w:rsidR="0082545F" w:rsidRPr="00000849" w:rsidRDefault="0082545F" w:rsidP="00A61BAB">
      <w:pPr>
        <w:pStyle w:val="Heading2"/>
      </w:pPr>
      <w:bookmarkStart w:id="143" w:name="_Toc51472172"/>
      <w:r w:rsidRPr="00000849">
        <w:lastRenderedPageBreak/>
        <w:t xml:space="preserve">Appendix </w:t>
      </w:r>
      <w:r w:rsidR="009B47FF" w:rsidRPr="00000849">
        <w:t>4</w:t>
      </w:r>
      <w:r w:rsidRPr="00000849">
        <w:t>: Map of Ghana</w:t>
      </w:r>
      <w:bookmarkEnd w:id="143"/>
      <w:r w:rsidRPr="00000849">
        <w:t xml:space="preserve"> </w:t>
      </w:r>
    </w:p>
    <w:p w14:paraId="2A37701E" w14:textId="530A8F66" w:rsidR="00217EE3" w:rsidRPr="00000849" w:rsidRDefault="00217EE3" w:rsidP="00217EE3"/>
    <w:p w14:paraId="572C2328" w14:textId="10373D84" w:rsidR="00FE24FC" w:rsidRPr="00000849" w:rsidRDefault="00FE24FC" w:rsidP="00217EE3">
      <w:r w:rsidRPr="00000849">
        <w:rPr>
          <w:noProof/>
          <w:lang w:val="en-US"/>
        </w:rPr>
        <w:drawing>
          <wp:inline distT="0" distB="0" distL="0" distR="0" wp14:anchorId="323F98BE" wp14:editId="5E245EE4">
            <wp:extent cx="5277485" cy="44056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277485" cy="4405630"/>
                    </a:xfrm>
                    <a:prstGeom prst="rect">
                      <a:avLst/>
                    </a:prstGeom>
                  </pic:spPr>
                </pic:pic>
              </a:graphicData>
            </a:graphic>
          </wp:inline>
        </w:drawing>
      </w:r>
    </w:p>
    <w:p w14:paraId="235333A6" w14:textId="31F27B91" w:rsidR="00217EE3" w:rsidRPr="00000849" w:rsidRDefault="00217EE3" w:rsidP="00217EE3"/>
    <w:p w14:paraId="3E7B27DE" w14:textId="475FF5E2" w:rsidR="00FE24FC" w:rsidRPr="00000849" w:rsidRDefault="00FE24FC" w:rsidP="00217EE3">
      <w:r w:rsidRPr="00000849">
        <w:t>http://www.ghana.gov.gh/index.php/about-ghana/regions</w:t>
      </w:r>
    </w:p>
    <w:p w14:paraId="4123FA24" w14:textId="1C40078E" w:rsidR="00FE24FC" w:rsidRPr="00000849" w:rsidRDefault="00FE24FC" w:rsidP="00217EE3"/>
    <w:p w14:paraId="5F6E8935" w14:textId="55C7826E" w:rsidR="00FE24FC" w:rsidRPr="00000849" w:rsidRDefault="00FE24FC" w:rsidP="00217EE3"/>
    <w:p w14:paraId="61E38742" w14:textId="77777777" w:rsidR="00FE24FC" w:rsidRPr="00000849" w:rsidRDefault="00FE24FC" w:rsidP="00217EE3"/>
    <w:p w14:paraId="74D4B08C" w14:textId="77777777" w:rsidR="009B47FF" w:rsidRPr="00000849" w:rsidRDefault="009B47FF">
      <w:pPr>
        <w:spacing w:after="160" w:line="259" w:lineRule="auto"/>
        <w:sectPr w:rsidR="009B47FF" w:rsidRPr="00000849" w:rsidSect="009E605B">
          <w:pgSz w:w="11906" w:h="16838"/>
          <w:pgMar w:top="1440" w:right="1440" w:bottom="1440" w:left="2155" w:header="708" w:footer="708" w:gutter="0"/>
          <w:cols w:space="708"/>
          <w:docGrid w:linePitch="360"/>
        </w:sectPr>
      </w:pPr>
    </w:p>
    <w:p w14:paraId="1E85D39D" w14:textId="17891285" w:rsidR="009B47FF" w:rsidRPr="00000849" w:rsidRDefault="009B47FF" w:rsidP="00A61BAB">
      <w:pPr>
        <w:pStyle w:val="Heading2"/>
        <w:rPr>
          <w:lang w:val="en-US"/>
        </w:rPr>
      </w:pPr>
      <w:bookmarkStart w:id="144" w:name="_Toc51472173"/>
      <w:r w:rsidRPr="00000849">
        <w:rPr>
          <w:lang w:val="en-US"/>
        </w:rPr>
        <w:lastRenderedPageBreak/>
        <w:t>Appendix 5: Questionnaire type and definition of variables</w:t>
      </w:r>
      <w:bookmarkEnd w:id="144"/>
      <w:r w:rsidRPr="00000849">
        <w:rPr>
          <w:lang w:val="en-US"/>
        </w:rPr>
        <w:t xml:space="preserve"> </w:t>
      </w:r>
    </w:p>
    <w:p w14:paraId="0F13DF1E" w14:textId="77777777" w:rsidR="009B47FF" w:rsidRPr="00000849" w:rsidRDefault="009B47FF" w:rsidP="009B47FF">
      <w:pPr>
        <w:rPr>
          <w:rFonts w:ascii="Times New Roman" w:hAnsi="Times New Roman" w:cs="Times New Roman"/>
          <w:lang w:val="en-US"/>
        </w:rPr>
      </w:pPr>
    </w:p>
    <w:tbl>
      <w:tblPr>
        <w:tblStyle w:val="PlainTable21"/>
        <w:tblW w:w="5000" w:type="pct"/>
        <w:tblLook w:val="04A0" w:firstRow="1" w:lastRow="0" w:firstColumn="1" w:lastColumn="0" w:noHBand="0" w:noVBand="1"/>
      </w:tblPr>
      <w:tblGrid>
        <w:gridCol w:w="509"/>
        <w:gridCol w:w="1091"/>
        <w:gridCol w:w="1720"/>
        <w:gridCol w:w="2019"/>
        <w:gridCol w:w="8619"/>
      </w:tblGrid>
      <w:tr w:rsidR="009B47FF" w:rsidRPr="00000849" w14:paraId="76757918" w14:textId="77777777" w:rsidTr="00143B7E">
        <w:trPr>
          <w:cnfStyle w:val="100000000000" w:firstRow="1" w:lastRow="0" w:firstColumn="0" w:lastColumn="0" w:oddVBand="0" w:evenVBand="0" w:oddHBand="0" w:evenHBand="0" w:firstRowFirstColumn="0" w:firstRowLastColumn="0" w:lastRowFirstColumn="0" w:lastRowLastColumn="0"/>
          <w:trHeight w:val="375"/>
          <w:tblHeader/>
        </w:trPr>
        <w:tc>
          <w:tcPr>
            <w:cnfStyle w:val="001000000000" w:firstRow="0" w:lastRow="0" w:firstColumn="1" w:lastColumn="0" w:oddVBand="0" w:evenVBand="0" w:oddHBand="0" w:evenHBand="0" w:firstRowFirstColumn="0" w:firstRowLastColumn="0" w:lastRowFirstColumn="0" w:lastRowLastColumn="0"/>
            <w:tcW w:w="0" w:type="pct"/>
            <w:noWrap/>
            <w:hideMark/>
          </w:tcPr>
          <w:p w14:paraId="08633467" w14:textId="77777777" w:rsidR="009B47FF" w:rsidRPr="00000849" w:rsidRDefault="009B47FF" w:rsidP="00143B7E">
            <w:pPr>
              <w:spacing w:after="6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No.</w:t>
            </w:r>
          </w:p>
        </w:tc>
        <w:tc>
          <w:tcPr>
            <w:tcW w:w="0" w:type="pct"/>
            <w:noWrap/>
            <w:hideMark/>
          </w:tcPr>
          <w:p w14:paraId="60DE173A" w14:textId="77777777" w:rsidR="009B47FF" w:rsidRPr="00000849" w:rsidRDefault="009B47FF" w:rsidP="00143B7E">
            <w:pPr>
              <w:spacing w:after="60"/>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Source</w:t>
            </w:r>
          </w:p>
        </w:tc>
        <w:tc>
          <w:tcPr>
            <w:tcW w:w="0" w:type="pct"/>
            <w:noWrap/>
            <w:hideMark/>
          </w:tcPr>
          <w:p w14:paraId="432DF4AC" w14:textId="77777777" w:rsidR="009B47FF" w:rsidRPr="00000849" w:rsidRDefault="009B47FF" w:rsidP="00143B7E">
            <w:pPr>
              <w:spacing w:after="60"/>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Domain</w:t>
            </w:r>
          </w:p>
        </w:tc>
        <w:tc>
          <w:tcPr>
            <w:tcW w:w="0" w:type="pct"/>
            <w:noWrap/>
            <w:hideMark/>
          </w:tcPr>
          <w:p w14:paraId="551033D7" w14:textId="77777777" w:rsidR="009B47FF" w:rsidRPr="00000849" w:rsidRDefault="009B47FF" w:rsidP="00143B7E">
            <w:pPr>
              <w:spacing w:after="60"/>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Measures</w:t>
            </w:r>
          </w:p>
        </w:tc>
        <w:tc>
          <w:tcPr>
            <w:tcW w:w="1910" w:type="pct"/>
            <w:noWrap/>
            <w:hideMark/>
          </w:tcPr>
          <w:p w14:paraId="69A19246" w14:textId="77777777" w:rsidR="009B47FF" w:rsidRPr="00000849" w:rsidRDefault="009B47FF" w:rsidP="00143B7E">
            <w:pPr>
              <w:spacing w:after="60"/>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Categories</w:t>
            </w:r>
          </w:p>
        </w:tc>
      </w:tr>
      <w:tr w:rsidR="009B47FF" w:rsidRPr="00000849" w14:paraId="04F1491B" w14:textId="77777777" w:rsidTr="00143B7E">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0" w:type="pct"/>
            <w:noWrap/>
            <w:hideMark/>
          </w:tcPr>
          <w:p w14:paraId="13B37C9E" w14:textId="77777777" w:rsidR="009B47FF" w:rsidRPr="00000849" w:rsidRDefault="009B47FF" w:rsidP="00143B7E">
            <w:pPr>
              <w:spacing w:after="6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I</w:t>
            </w:r>
          </w:p>
        </w:tc>
        <w:tc>
          <w:tcPr>
            <w:tcW w:w="0" w:type="pct"/>
            <w:noWrap/>
            <w:hideMark/>
          </w:tcPr>
          <w:p w14:paraId="67C06647"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Household</w:t>
            </w:r>
          </w:p>
        </w:tc>
        <w:tc>
          <w:tcPr>
            <w:tcW w:w="0" w:type="pct"/>
            <w:hideMark/>
          </w:tcPr>
          <w:p w14:paraId="5B20AA6D"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1) Contact record, sampling, GPS, re-contact information</w:t>
            </w:r>
          </w:p>
        </w:tc>
        <w:tc>
          <w:tcPr>
            <w:tcW w:w="0" w:type="pct"/>
            <w:hideMark/>
          </w:tcPr>
          <w:p w14:paraId="0F370260"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Identification and contact details; structure of household; dwelling characteristics; improved water, sanitation and cooking facilities</w:t>
            </w:r>
          </w:p>
        </w:tc>
        <w:tc>
          <w:tcPr>
            <w:tcW w:w="1910" w:type="pct"/>
            <w:noWrap/>
            <w:hideMark/>
          </w:tcPr>
          <w:p w14:paraId="4C62CA22"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r>
      <w:tr w:rsidR="009B47FF" w:rsidRPr="00000849" w14:paraId="5D41FA2B" w14:textId="77777777" w:rsidTr="00143B7E">
        <w:trPr>
          <w:trHeight w:val="765"/>
        </w:trPr>
        <w:tc>
          <w:tcPr>
            <w:cnfStyle w:val="001000000000" w:firstRow="0" w:lastRow="0" w:firstColumn="1" w:lastColumn="0" w:oddVBand="0" w:evenVBand="0" w:oddHBand="0" w:evenHBand="0" w:firstRowFirstColumn="0" w:firstRowLastColumn="0" w:lastRowFirstColumn="0" w:lastRowLastColumn="0"/>
            <w:tcW w:w="0" w:type="pct"/>
            <w:noWrap/>
            <w:hideMark/>
          </w:tcPr>
          <w:p w14:paraId="378E409D" w14:textId="77777777" w:rsidR="009B47FF" w:rsidRPr="00000849" w:rsidRDefault="009B47FF" w:rsidP="00143B7E">
            <w:pPr>
              <w:spacing w:after="6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c>
          <w:tcPr>
            <w:tcW w:w="0" w:type="pct"/>
            <w:noWrap/>
            <w:hideMark/>
          </w:tcPr>
          <w:p w14:paraId="67519C87"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c>
          <w:tcPr>
            <w:tcW w:w="0" w:type="pct"/>
            <w:hideMark/>
          </w:tcPr>
          <w:p w14:paraId="40EECA8C"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2) household roster including health insurance coverage of household members</w:t>
            </w:r>
          </w:p>
        </w:tc>
        <w:tc>
          <w:tcPr>
            <w:tcW w:w="0" w:type="pct"/>
            <w:hideMark/>
          </w:tcPr>
          <w:p w14:paraId="23DD3F18"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Persons in household needing care; mandatory and voluntary health insurance coverage</w:t>
            </w:r>
          </w:p>
        </w:tc>
        <w:tc>
          <w:tcPr>
            <w:tcW w:w="1910" w:type="pct"/>
            <w:hideMark/>
          </w:tcPr>
          <w:p w14:paraId="79CA3436"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Insurance: mandatory, voluntary, both, nil</w:t>
            </w:r>
          </w:p>
        </w:tc>
      </w:tr>
      <w:tr w:rsidR="009B47FF" w:rsidRPr="00000849" w14:paraId="4496FF43" w14:textId="77777777" w:rsidTr="00143B7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0" w:type="pct"/>
            <w:noWrap/>
            <w:hideMark/>
          </w:tcPr>
          <w:p w14:paraId="47273BE2" w14:textId="77777777" w:rsidR="009B47FF" w:rsidRPr="00000849" w:rsidRDefault="009B47FF" w:rsidP="00143B7E">
            <w:pPr>
              <w:spacing w:after="6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c>
          <w:tcPr>
            <w:tcW w:w="0" w:type="pct"/>
            <w:noWrap/>
            <w:hideMark/>
          </w:tcPr>
          <w:p w14:paraId="47311508"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c>
          <w:tcPr>
            <w:tcW w:w="0" w:type="pct"/>
            <w:hideMark/>
          </w:tcPr>
          <w:p w14:paraId="4100BC22"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3) housing;</w:t>
            </w:r>
          </w:p>
        </w:tc>
        <w:tc>
          <w:tcPr>
            <w:tcW w:w="0" w:type="pct"/>
            <w:hideMark/>
          </w:tcPr>
          <w:p w14:paraId="543E313A"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w:t>
            </w:r>
          </w:p>
        </w:tc>
        <w:tc>
          <w:tcPr>
            <w:tcW w:w="1910" w:type="pct"/>
            <w:hideMark/>
          </w:tcPr>
          <w:p w14:paraId="70F365D8"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r>
      <w:tr w:rsidR="009B47FF" w:rsidRPr="00000849" w14:paraId="79C9F882" w14:textId="77777777" w:rsidTr="00143B7E">
        <w:trPr>
          <w:trHeight w:val="1020"/>
        </w:trPr>
        <w:tc>
          <w:tcPr>
            <w:cnfStyle w:val="001000000000" w:firstRow="0" w:lastRow="0" w:firstColumn="1" w:lastColumn="0" w:oddVBand="0" w:evenVBand="0" w:oddHBand="0" w:evenHBand="0" w:firstRowFirstColumn="0" w:firstRowLastColumn="0" w:lastRowFirstColumn="0" w:lastRowLastColumn="0"/>
            <w:tcW w:w="0" w:type="pct"/>
            <w:noWrap/>
            <w:hideMark/>
          </w:tcPr>
          <w:p w14:paraId="6FCB877A" w14:textId="77777777" w:rsidR="009B47FF" w:rsidRPr="00000849" w:rsidRDefault="009B47FF" w:rsidP="00143B7E">
            <w:pPr>
              <w:spacing w:after="6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c>
          <w:tcPr>
            <w:tcW w:w="0" w:type="pct"/>
            <w:noWrap/>
            <w:hideMark/>
          </w:tcPr>
          <w:p w14:paraId="6E1940DD"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c>
          <w:tcPr>
            <w:tcW w:w="0" w:type="pct"/>
            <w:hideMark/>
          </w:tcPr>
          <w:p w14:paraId="59DA4DB4"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4) household and family support/transfers</w:t>
            </w:r>
          </w:p>
        </w:tc>
        <w:tc>
          <w:tcPr>
            <w:tcW w:w="0" w:type="pct"/>
            <w:hideMark/>
          </w:tcPr>
          <w:p w14:paraId="26E3D021"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Family, community and government assistance into and out of the household; informal personal care provision/receipt</w:t>
            </w:r>
          </w:p>
        </w:tc>
        <w:tc>
          <w:tcPr>
            <w:tcW w:w="1910" w:type="pct"/>
            <w:hideMark/>
          </w:tcPr>
          <w:p w14:paraId="0CB43E62"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r>
      <w:tr w:rsidR="009B47FF" w:rsidRPr="00000849" w14:paraId="3001AB05" w14:textId="77777777" w:rsidTr="00143B7E">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pct"/>
            <w:noWrap/>
            <w:hideMark/>
          </w:tcPr>
          <w:p w14:paraId="544F9B4C" w14:textId="77777777" w:rsidR="009B47FF" w:rsidRPr="00000849" w:rsidRDefault="009B47FF" w:rsidP="00143B7E">
            <w:pPr>
              <w:spacing w:after="6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lastRenderedPageBreak/>
              <w:t> </w:t>
            </w:r>
          </w:p>
        </w:tc>
        <w:tc>
          <w:tcPr>
            <w:tcW w:w="0" w:type="pct"/>
            <w:noWrap/>
            <w:hideMark/>
          </w:tcPr>
          <w:p w14:paraId="0D05870F"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c>
          <w:tcPr>
            <w:tcW w:w="0" w:type="pct"/>
            <w:hideMark/>
          </w:tcPr>
          <w:p w14:paraId="281AF2C3"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5) assets and household income;</w:t>
            </w:r>
          </w:p>
        </w:tc>
        <w:tc>
          <w:tcPr>
            <w:tcW w:w="0" w:type="pct"/>
            <w:hideMark/>
          </w:tcPr>
          <w:p w14:paraId="2CDFF20A"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List of household assets; sources and amount of household income; improved household expenditure on food, goods and services, health care</w:t>
            </w:r>
          </w:p>
        </w:tc>
        <w:tc>
          <w:tcPr>
            <w:tcW w:w="1910" w:type="pct"/>
            <w:hideMark/>
          </w:tcPr>
          <w:p w14:paraId="26554340"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Income quintile: Q1-Q5</w:t>
            </w:r>
          </w:p>
        </w:tc>
      </w:tr>
      <w:tr w:rsidR="009B47FF" w:rsidRPr="00000849" w14:paraId="0B120691" w14:textId="77777777" w:rsidTr="00143B7E">
        <w:trPr>
          <w:trHeight w:val="645"/>
        </w:trPr>
        <w:tc>
          <w:tcPr>
            <w:cnfStyle w:val="001000000000" w:firstRow="0" w:lastRow="0" w:firstColumn="1" w:lastColumn="0" w:oddVBand="0" w:evenVBand="0" w:oddHBand="0" w:evenHBand="0" w:firstRowFirstColumn="0" w:firstRowLastColumn="0" w:lastRowFirstColumn="0" w:lastRowLastColumn="0"/>
            <w:tcW w:w="0" w:type="pct"/>
            <w:noWrap/>
            <w:hideMark/>
          </w:tcPr>
          <w:p w14:paraId="4B0A9E35" w14:textId="77777777" w:rsidR="009B47FF" w:rsidRPr="00000849" w:rsidRDefault="009B47FF" w:rsidP="00143B7E">
            <w:pPr>
              <w:spacing w:after="6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c>
          <w:tcPr>
            <w:tcW w:w="0" w:type="pct"/>
            <w:noWrap/>
            <w:hideMark/>
          </w:tcPr>
          <w:p w14:paraId="7164245A"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c>
          <w:tcPr>
            <w:tcW w:w="0" w:type="pct"/>
            <w:hideMark/>
          </w:tcPr>
          <w:p w14:paraId="29D38D61"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6) overall consumption and health expenditures</w:t>
            </w:r>
          </w:p>
        </w:tc>
        <w:tc>
          <w:tcPr>
            <w:tcW w:w="0" w:type="pct"/>
            <w:hideMark/>
          </w:tcPr>
          <w:p w14:paraId="33E37F4E"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w:t>
            </w:r>
          </w:p>
        </w:tc>
        <w:tc>
          <w:tcPr>
            <w:tcW w:w="1910" w:type="pct"/>
            <w:hideMark/>
          </w:tcPr>
          <w:p w14:paraId="3997AE99"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r>
      <w:tr w:rsidR="009B47FF" w:rsidRPr="00000849" w14:paraId="3F7C1AA3" w14:textId="77777777" w:rsidTr="00143B7E">
        <w:trPr>
          <w:cnfStyle w:val="000000100000" w:firstRow="0" w:lastRow="0" w:firstColumn="0" w:lastColumn="0" w:oddVBand="0" w:evenVBand="0" w:oddHBand="1" w:evenHBand="0"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0" w:type="pct"/>
            <w:noWrap/>
            <w:hideMark/>
          </w:tcPr>
          <w:p w14:paraId="4D929A21"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t>II</w:t>
            </w:r>
          </w:p>
        </w:tc>
        <w:tc>
          <w:tcPr>
            <w:tcW w:w="0" w:type="pct"/>
            <w:hideMark/>
          </w:tcPr>
          <w:p w14:paraId="0C2FB956"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Individual</w:t>
            </w:r>
          </w:p>
        </w:tc>
        <w:tc>
          <w:tcPr>
            <w:tcW w:w="0" w:type="pct"/>
            <w:hideMark/>
          </w:tcPr>
          <w:p w14:paraId="1DE5C773"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1) Sociodemographic characteristics</w:t>
            </w:r>
          </w:p>
        </w:tc>
        <w:tc>
          <w:tcPr>
            <w:tcW w:w="0" w:type="pct"/>
            <w:hideMark/>
          </w:tcPr>
          <w:p w14:paraId="13214AE4"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Sex; age; marital status; education; ethnicity/background; religion; language spoken; area of residence; employment and education of parents; childhood residence, migration</w:t>
            </w:r>
          </w:p>
        </w:tc>
        <w:tc>
          <w:tcPr>
            <w:tcW w:w="1910" w:type="pct"/>
            <w:hideMark/>
          </w:tcPr>
          <w:p w14:paraId="7F42C492"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Sex = Male, Female; Age: 50-59, 60-69, 70-79, 80+ years; Residence: rural, urban; Region: 10 regions of Ghana</w:t>
            </w:r>
          </w:p>
        </w:tc>
      </w:tr>
      <w:tr w:rsidR="009B47FF" w:rsidRPr="00000849" w14:paraId="07A5C955" w14:textId="77777777" w:rsidTr="00143B7E">
        <w:trPr>
          <w:trHeight w:val="1020"/>
        </w:trPr>
        <w:tc>
          <w:tcPr>
            <w:cnfStyle w:val="001000000000" w:firstRow="0" w:lastRow="0" w:firstColumn="1" w:lastColumn="0" w:oddVBand="0" w:evenVBand="0" w:oddHBand="0" w:evenHBand="0" w:firstRowFirstColumn="0" w:firstRowLastColumn="0" w:lastRowFirstColumn="0" w:lastRowLastColumn="0"/>
            <w:tcW w:w="0" w:type="pct"/>
            <w:noWrap/>
            <w:hideMark/>
          </w:tcPr>
          <w:p w14:paraId="1716B3F6"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noWrap/>
            <w:hideMark/>
          </w:tcPr>
          <w:p w14:paraId="5D02A88D"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hideMark/>
          </w:tcPr>
          <w:p w14:paraId="4A090E4D"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xml:space="preserve">2) work history and benefits; </w:t>
            </w:r>
          </w:p>
        </w:tc>
        <w:tc>
          <w:tcPr>
            <w:tcW w:w="0" w:type="pct"/>
            <w:hideMark/>
          </w:tcPr>
          <w:p w14:paraId="58767B16"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xml:space="preserve">Length of time worked; reasons for not working; type of employment; mode </w:t>
            </w:r>
            <w:r w:rsidRPr="00000849">
              <w:rPr>
                <w:rFonts w:ascii="Calibri" w:eastAsia="Times New Roman" w:hAnsi="Calibri" w:cs="Times New Roman"/>
                <w:color w:val="333333"/>
                <w:sz w:val="20"/>
                <w:szCs w:val="20"/>
                <w:lang w:val="en-US"/>
              </w:rPr>
              <w:lastRenderedPageBreak/>
              <w:t>of payment; hours worked; retirement</w:t>
            </w:r>
          </w:p>
        </w:tc>
        <w:tc>
          <w:tcPr>
            <w:tcW w:w="1910" w:type="pct"/>
            <w:hideMark/>
          </w:tcPr>
          <w:p w14:paraId="545CD009"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lastRenderedPageBreak/>
              <w:t> </w:t>
            </w:r>
          </w:p>
        </w:tc>
      </w:tr>
      <w:tr w:rsidR="009B47FF" w:rsidRPr="00000849" w14:paraId="2ED022CD" w14:textId="77777777" w:rsidTr="00143B7E">
        <w:trPr>
          <w:cnfStyle w:val="000000100000" w:firstRow="0" w:lastRow="0" w:firstColumn="0" w:lastColumn="0" w:oddVBand="0" w:evenVBand="0" w:oddHBand="1" w:evenHBand="0" w:firstRowFirstColumn="0" w:firstRowLastColumn="0" w:lastRowFirstColumn="0" w:lastRowLastColumn="0"/>
          <w:trHeight w:val="2117"/>
        </w:trPr>
        <w:tc>
          <w:tcPr>
            <w:cnfStyle w:val="001000000000" w:firstRow="0" w:lastRow="0" w:firstColumn="1" w:lastColumn="0" w:oddVBand="0" w:evenVBand="0" w:oddHBand="0" w:evenHBand="0" w:firstRowFirstColumn="0" w:firstRowLastColumn="0" w:lastRowFirstColumn="0" w:lastRowLastColumn="0"/>
            <w:tcW w:w="0" w:type="pct"/>
            <w:noWrap/>
            <w:hideMark/>
          </w:tcPr>
          <w:p w14:paraId="7E29701B"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noWrap/>
            <w:hideMark/>
          </w:tcPr>
          <w:p w14:paraId="16BEBEC9"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hideMark/>
          </w:tcPr>
          <w:p w14:paraId="2EA9EBFA"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3) health state descriptions and disability</w:t>
            </w:r>
          </w:p>
        </w:tc>
        <w:tc>
          <w:tcPr>
            <w:tcW w:w="0" w:type="pct"/>
            <w:hideMark/>
          </w:tcPr>
          <w:p w14:paraId="47CEB02F"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Overall self-rated health; eight self-rated health domains (affect, mobility, sleep/energy, cognition, interpersonal activities, vision, self-care and pain); 12-item WHO Disability Assessment Schedule, Version 2 (WHODAS-II); activities of daily living (ADLs); instrumental activities of daily living (IADLs); vignettes on health state descriptions</w:t>
            </w:r>
          </w:p>
        </w:tc>
        <w:tc>
          <w:tcPr>
            <w:tcW w:w="1910" w:type="pct"/>
            <w:hideMark/>
          </w:tcPr>
          <w:p w14:paraId="5F49D729"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r>
      <w:tr w:rsidR="009B47FF" w:rsidRPr="00000849" w14:paraId="6CFA1ABA" w14:textId="77777777" w:rsidTr="00143B7E">
        <w:trPr>
          <w:trHeight w:val="2165"/>
        </w:trPr>
        <w:tc>
          <w:tcPr>
            <w:cnfStyle w:val="001000000000" w:firstRow="0" w:lastRow="0" w:firstColumn="1" w:lastColumn="0" w:oddVBand="0" w:evenVBand="0" w:oddHBand="0" w:evenHBand="0" w:firstRowFirstColumn="0" w:firstRowLastColumn="0" w:lastRowFirstColumn="0" w:lastRowLastColumn="0"/>
            <w:tcW w:w="0" w:type="pct"/>
            <w:noWrap/>
            <w:hideMark/>
          </w:tcPr>
          <w:p w14:paraId="01D3E353"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lastRenderedPageBreak/>
              <w:t> </w:t>
            </w:r>
          </w:p>
        </w:tc>
        <w:tc>
          <w:tcPr>
            <w:tcW w:w="0" w:type="pct"/>
            <w:noWrap/>
            <w:hideMark/>
          </w:tcPr>
          <w:p w14:paraId="38C49A41"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hideMark/>
          </w:tcPr>
          <w:p w14:paraId="695E84CF"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4) anthropometrics, biomarkers, and performance tests</w:t>
            </w:r>
          </w:p>
        </w:tc>
        <w:tc>
          <w:tcPr>
            <w:tcW w:w="0" w:type="pct"/>
            <w:hideMark/>
          </w:tcPr>
          <w:p w14:paraId="6A19D7D5" w14:textId="33C8CC3F"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Measured blood pressure; self-report and measured height and weight; measured waist and hip circumference; timed walk; near- and distant vision tests; grip strength, executive functioning (verbal recall, digit span forwards and backwards, verbal fluency); spirometry; non-fasting finger</w:t>
            </w:r>
            <w:r w:rsidR="00FB6DE4" w:rsidRPr="00000849">
              <w:rPr>
                <w:rFonts w:ascii="Calibri" w:eastAsia="Times New Roman" w:hAnsi="Calibri" w:cs="Times New Roman"/>
                <w:color w:val="333333"/>
                <w:sz w:val="20"/>
                <w:szCs w:val="20"/>
                <w:lang w:val="en-US"/>
              </w:rPr>
              <w:t>-</w:t>
            </w:r>
            <w:r w:rsidRPr="00000849">
              <w:rPr>
                <w:rFonts w:ascii="Calibri" w:eastAsia="Times New Roman" w:hAnsi="Calibri" w:cs="Times New Roman"/>
                <w:color w:val="333333"/>
                <w:sz w:val="20"/>
                <w:szCs w:val="20"/>
                <w:lang w:val="en-US"/>
              </w:rPr>
              <w:t>prick blood sample (stored at -20C) as dried blood spots</w:t>
            </w:r>
          </w:p>
        </w:tc>
        <w:tc>
          <w:tcPr>
            <w:tcW w:w="1910" w:type="pct"/>
            <w:hideMark/>
          </w:tcPr>
          <w:p w14:paraId="7C79F006"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BMI (kg/ m2): &lt;18.5= underweight , 18.5 -24.9 = normal weight, 25.0-29.9 = overweight, ≥30  = obese; WHR&gt;0.90cm in men and WHR&gt;0.85cm in women = central obesity</w:t>
            </w:r>
          </w:p>
        </w:tc>
      </w:tr>
      <w:tr w:rsidR="009B47FF" w:rsidRPr="00000849" w14:paraId="6D137B0C" w14:textId="77777777" w:rsidTr="00143B7E">
        <w:trPr>
          <w:cnfStyle w:val="000000100000" w:firstRow="0" w:lastRow="0" w:firstColumn="0" w:lastColumn="0" w:oddVBand="0" w:evenVBand="0" w:oddHBand="1" w:evenHBand="0" w:firstRowFirstColumn="0" w:firstRowLastColumn="0" w:lastRowFirstColumn="0" w:lastRowLastColumn="0"/>
          <w:trHeight w:val="5269"/>
        </w:trPr>
        <w:tc>
          <w:tcPr>
            <w:cnfStyle w:val="001000000000" w:firstRow="0" w:lastRow="0" w:firstColumn="1" w:lastColumn="0" w:oddVBand="0" w:evenVBand="0" w:oddHBand="0" w:evenHBand="0" w:firstRowFirstColumn="0" w:firstRowLastColumn="0" w:lastRowFirstColumn="0" w:lastRowLastColumn="0"/>
            <w:tcW w:w="0" w:type="pct"/>
            <w:noWrap/>
            <w:hideMark/>
          </w:tcPr>
          <w:p w14:paraId="51E037D9"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lastRenderedPageBreak/>
              <w:t> </w:t>
            </w:r>
          </w:p>
        </w:tc>
        <w:tc>
          <w:tcPr>
            <w:tcW w:w="0" w:type="pct"/>
            <w:noWrap/>
            <w:hideMark/>
          </w:tcPr>
          <w:p w14:paraId="21CB576D"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hideMark/>
          </w:tcPr>
          <w:p w14:paraId="10E5B10A"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5) risk factors and preventive health</w:t>
            </w:r>
            <w:r w:rsidRPr="00000849">
              <w:rPr>
                <w:rFonts w:ascii="Calibri" w:eastAsia="Times New Roman" w:hAnsi="Calibri" w:cs="Times New Roman"/>
                <w:color w:val="333333"/>
                <w:sz w:val="20"/>
                <w:szCs w:val="20"/>
              </w:rPr>
              <w:t xml:space="preserve"> behaviours</w:t>
            </w:r>
          </w:p>
        </w:tc>
        <w:tc>
          <w:tcPr>
            <w:tcW w:w="0" w:type="pct"/>
            <w:hideMark/>
          </w:tcPr>
          <w:p w14:paraId="56C58833"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Smoking; alcohol consumption; fruit and vegetable intake; physical activity (GPAQ)</w:t>
            </w:r>
          </w:p>
        </w:tc>
        <w:tc>
          <w:tcPr>
            <w:tcW w:w="1910" w:type="pct"/>
            <w:hideMark/>
          </w:tcPr>
          <w:p w14:paraId="7306F5E0"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xml:space="preserve">Tobacco: current smoker, former smoker, never smoker.  Alcohol: non-heavy drinker (social drinkers, consumed alcohol in the last 30 days); infrequent heavy drinker (binge drinkers, 1–2 days per week with ≥5 standard drinks for men and ≥4 standard drinks for women in the last 7 days); and frequent heavy drinker (3 or more days per week with ≥5 standard drinks for men and ≥4 standard drinks for women in last 7 days).  Fruit and vegetable servings: inadequate is &lt;5 servings (80 g per serving) on a typical day, adequate is ≥5 daily servings.  Physical activity: high physical activity [vigorous intensity activity on at ≥3 days achieving a minimum of ≥1,500 MET (metabolic equivalent)-minutes per week or ≥7 days of any combination of walking, moderate or vigorous intensity activities achieving a minimum of ≥ 3,000 MET-minutes per week], moderate physical activity (≥3 days of vigorous intensity activity of ≥ 20 minutes per day; ≥5 days of moderate-intensity activity or walking of ≥ 30 minutes per day; or ≥5 days of any combination of walking, moderate or vigorous intensity activities achieving a minimum of ≥ 600 MET-minutes per week), and low physical activity (if a person does not meet any of the above criteria) </w:t>
            </w:r>
          </w:p>
        </w:tc>
      </w:tr>
      <w:tr w:rsidR="009B47FF" w:rsidRPr="00000849" w14:paraId="284C027A" w14:textId="77777777" w:rsidTr="00143B7E">
        <w:trPr>
          <w:trHeight w:val="2040"/>
        </w:trPr>
        <w:tc>
          <w:tcPr>
            <w:cnfStyle w:val="001000000000" w:firstRow="0" w:lastRow="0" w:firstColumn="1" w:lastColumn="0" w:oddVBand="0" w:evenVBand="0" w:oddHBand="0" w:evenHBand="0" w:firstRowFirstColumn="0" w:firstRowLastColumn="0" w:lastRowFirstColumn="0" w:lastRowLastColumn="0"/>
            <w:tcW w:w="0" w:type="pct"/>
            <w:noWrap/>
            <w:hideMark/>
          </w:tcPr>
          <w:p w14:paraId="1F64721F"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noWrap/>
            <w:hideMark/>
          </w:tcPr>
          <w:p w14:paraId="6B7AE55A"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hideMark/>
          </w:tcPr>
          <w:p w14:paraId="64BDA295"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6) chronic conditions and health services coverage</w:t>
            </w:r>
          </w:p>
        </w:tc>
        <w:tc>
          <w:tcPr>
            <w:tcW w:w="0" w:type="pct"/>
            <w:hideMark/>
          </w:tcPr>
          <w:p w14:paraId="5A1315C1"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xml:space="preserve">Self-reported and symptomatic reporting of arthritis; stroke; angina (Rose Questionnaire); asthma; and, depression (ICD-10, DSM-IV). Self-reporting of diabetes; </w:t>
            </w:r>
            <w:r w:rsidRPr="00000849">
              <w:rPr>
                <w:rFonts w:ascii="Calibri" w:eastAsia="Times New Roman" w:hAnsi="Calibri" w:cs="Times New Roman"/>
                <w:color w:val="333333"/>
                <w:sz w:val="20"/>
                <w:szCs w:val="20"/>
                <w:lang w:val="en-US"/>
              </w:rPr>
              <w:lastRenderedPageBreak/>
              <w:t>chronic lung disease; hypertension; cataracts; oral health (</w:t>
            </w:r>
            <w:r w:rsidRPr="00000849">
              <w:rPr>
                <w:rFonts w:ascii="Calibri" w:eastAsia="Times New Roman" w:hAnsi="Calibri" w:cs="Times New Roman"/>
                <w:color w:val="333333"/>
                <w:sz w:val="20"/>
                <w:szCs w:val="20"/>
              </w:rPr>
              <w:t>edentulism</w:t>
            </w:r>
            <w:r w:rsidRPr="00000849">
              <w:rPr>
                <w:rFonts w:ascii="Calibri" w:eastAsia="Times New Roman" w:hAnsi="Calibri" w:cs="Times New Roman"/>
                <w:color w:val="333333"/>
                <w:sz w:val="20"/>
                <w:szCs w:val="20"/>
                <w:lang w:val="en-US"/>
              </w:rPr>
              <w:t>); injuries; cervical and breast cancer screening</w:t>
            </w:r>
          </w:p>
        </w:tc>
        <w:tc>
          <w:tcPr>
            <w:tcW w:w="1910" w:type="pct"/>
            <w:hideMark/>
          </w:tcPr>
          <w:p w14:paraId="29366EF9"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lastRenderedPageBreak/>
              <w:t>Hypertension ≥140 mmHg (systolic BP) or ≥90 mmHg (diastolic BP), or if the subject taking anti-hypertensive medications in past 2 weeks.  Aware = hypertensive subjects who has previously been diagnosed by a health professional.  Under control = hypertensive subjects on treatment in the last 2 weeks and BP &lt; 140/90 mmHg; else = uncontrolled hypertension.</w:t>
            </w:r>
          </w:p>
        </w:tc>
      </w:tr>
      <w:tr w:rsidR="009B47FF" w:rsidRPr="00000849" w14:paraId="72B93231" w14:textId="77777777" w:rsidTr="00143B7E">
        <w:trPr>
          <w:cnfStyle w:val="000000100000" w:firstRow="0" w:lastRow="0" w:firstColumn="0" w:lastColumn="0" w:oddVBand="0" w:evenVBand="0" w:oddHBand="1" w:evenHBand="0" w:firstRowFirstColumn="0" w:firstRowLastColumn="0" w:lastRowFirstColumn="0" w:lastRowLastColumn="0"/>
          <w:trHeight w:val="3002"/>
        </w:trPr>
        <w:tc>
          <w:tcPr>
            <w:cnfStyle w:val="001000000000" w:firstRow="0" w:lastRow="0" w:firstColumn="1" w:lastColumn="0" w:oddVBand="0" w:evenVBand="0" w:oddHBand="0" w:evenHBand="0" w:firstRowFirstColumn="0" w:firstRowLastColumn="0" w:lastRowFirstColumn="0" w:lastRowLastColumn="0"/>
            <w:tcW w:w="0" w:type="pct"/>
            <w:noWrap/>
            <w:hideMark/>
          </w:tcPr>
          <w:p w14:paraId="0707C8C2"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noWrap/>
            <w:hideMark/>
          </w:tcPr>
          <w:p w14:paraId="50AD6410"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hideMark/>
          </w:tcPr>
          <w:p w14:paraId="26E48C63"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7) health care utilization and health system responsiveness</w:t>
            </w:r>
          </w:p>
        </w:tc>
        <w:tc>
          <w:tcPr>
            <w:tcW w:w="0" w:type="pct"/>
            <w:hideMark/>
          </w:tcPr>
          <w:p w14:paraId="28EA6BE3"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xml:space="preserve">Past need for health care; reasons for health care or for not receiving health care; inpatient and outpatient health care: number of admissions/visits within the past 3 years (inpatient) or 1 year (outpatient); reasons for admission/visit; details of hospital or provider; costs of hospitalization or health care visit; satisfaction with treatment; health system </w:t>
            </w:r>
            <w:r w:rsidRPr="00000849">
              <w:rPr>
                <w:rFonts w:ascii="Calibri" w:eastAsia="Times New Roman" w:hAnsi="Calibri" w:cs="Times New Roman"/>
                <w:color w:val="333333"/>
                <w:sz w:val="20"/>
                <w:szCs w:val="20"/>
                <w:lang w:val="en-US"/>
              </w:rPr>
              <w:lastRenderedPageBreak/>
              <w:t>responsiveness; vignettes for responsiveness of health services</w:t>
            </w:r>
          </w:p>
        </w:tc>
        <w:tc>
          <w:tcPr>
            <w:tcW w:w="1910" w:type="pct"/>
            <w:hideMark/>
          </w:tcPr>
          <w:p w14:paraId="4439A69A"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lastRenderedPageBreak/>
              <w:t> </w:t>
            </w:r>
          </w:p>
        </w:tc>
      </w:tr>
      <w:tr w:rsidR="009B47FF" w:rsidRPr="00000849" w14:paraId="1ECBC9D8" w14:textId="77777777" w:rsidTr="00143B7E">
        <w:trPr>
          <w:trHeight w:val="1530"/>
        </w:trPr>
        <w:tc>
          <w:tcPr>
            <w:cnfStyle w:val="001000000000" w:firstRow="0" w:lastRow="0" w:firstColumn="1" w:lastColumn="0" w:oddVBand="0" w:evenVBand="0" w:oddHBand="0" w:evenHBand="0" w:firstRowFirstColumn="0" w:firstRowLastColumn="0" w:lastRowFirstColumn="0" w:lastRowLastColumn="0"/>
            <w:tcW w:w="0" w:type="pct"/>
            <w:noWrap/>
            <w:hideMark/>
          </w:tcPr>
          <w:p w14:paraId="45C7703F"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noWrap/>
            <w:hideMark/>
          </w:tcPr>
          <w:p w14:paraId="0F29F0D7"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hideMark/>
          </w:tcPr>
          <w:p w14:paraId="57091450"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8) social cohesion</w:t>
            </w:r>
          </w:p>
        </w:tc>
        <w:tc>
          <w:tcPr>
            <w:tcW w:w="0" w:type="pct"/>
            <w:hideMark/>
          </w:tcPr>
          <w:p w14:paraId="125D2159"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Community involvement and social networks; perceptions of other people and institutions; safety in local area; stress; interest in politics and perceptions of government</w:t>
            </w:r>
          </w:p>
        </w:tc>
        <w:tc>
          <w:tcPr>
            <w:tcW w:w="1910" w:type="pct"/>
            <w:hideMark/>
          </w:tcPr>
          <w:p w14:paraId="19D51678"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r>
      <w:tr w:rsidR="009B47FF" w:rsidRPr="00000849" w14:paraId="0BD2AA30" w14:textId="77777777" w:rsidTr="00143B7E">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0" w:type="pct"/>
            <w:noWrap/>
            <w:hideMark/>
          </w:tcPr>
          <w:p w14:paraId="0B0B2B8E"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noWrap/>
            <w:hideMark/>
          </w:tcPr>
          <w:p w14:paraId="46929005"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hideMark/>
          </w:tcPr>
          <w:p w14:paraId="7FABFACF"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9) subjective well-being and quality of life</w:t>
            </w:r>
          </w:p>
        </w:tc>
        <w:tc>
          <w:tcPr>
            <w:tcW w:w="0" w:type="pct"/>
            <w:hideMark/>
          </w:tcPr>
          <w:p w14:paraId="03C1E617"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xml:space="preserve">Perceptions about quality of life and well-being; 8-item WHO Quality of Life measure (WHOQoL); </w:t>
            </w:r>
            <w:r w:rsidRPr="00000849">
              <w:rPr>
                <w:rFonts w:ascii="Calibri" w:eastAsia="Times New Roman" w:hAnsi="Calibri" w:cs="Times New Roman"/>
                <w:color w:val="333333"/>
                <w:sz w:val="20"/>
                <w:szCs w:val="20"/>
                <w:lang w:val="en-US"/>
              </w:rPr>
              <w:lastRenderedPageBreak/>
              <w:t>Day Reconstruction Method (DRM)</w:t>
            </w:r>
          </w:p>
        </w:tc>
        <w:tc>
          <w:tcPr>
            <w:tcW w:w="1910" w:type="pct"/>
            <w:hideMark/>
          </w:tcPr>
          <w:p w14:paraId="40A4C2D1" w14:textId="77777777" w:rsidR="009B47FF" w:rsidRPr="00000849" w:rsidRDefault="009B47FF" w:rsidP="00143B7E">
            <w:pPr>
              <w:spacing w:after="60"/>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lastRenderedPageBreak/>
              <w:t> </w:t>
            </w:r>
          </w:p>
        </w:tc>
      </w:tr>
      <w:tr w:rsidR="009B47FF" w:rsidRPr="00000849" w14:paraId="26B0C180" w14:textId="77777777" w:rsidTr="00143B7E">
        <w:trPr>
          <w:trHeight w:val="1275"/>
        </w:trPr>
        <w:tc>
          <w:tcPr>
            <w:cnfStyle w:val="001000000000" w:firstRow="0" w:lastRow="0" w:firstColumn="1" w:lastColumn="0" w:oddVBand="0" w:evenVBand="0" w:oddHBand="0" w:evenHBand="0" w:firstRowFirstColumn="0" w:firstRowLastColumn="0" w:lastRowFirstColumn="0" w:lastRowLastColumn="0"/>
            <w:tcW w:w="0" w:type="pct"/>
            <w:noWrap/>
            <w:hideMark/>
          </w:tcPr>
          <w:p w14:paraId="2BD7BA3F" w14:textId="77777777" w:rsidR="009B47FF" w:rsidRPr="00000849" w:rsidRDefault="009B47FF" w:rsidP="00143B7E">
            <w:pPr>
              <w:spacing w:after="6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noWrap/>
            <w:hideMark/>
          </w:tcPr>
          <w:p w14:paraId="0E10CF51"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val="en-US"/>
              </w:rPr>
            </w:pPr>
            <w:r w:rsidRPr="00000849">
              <w:rPr>
                <w:rFonts w:ascii="Calibri" w:eastAsia="Times New Roman" w:hAnsi="Calibri" w:cs="Times New Roman"/>
                <w:color w:val="000000"/>
                <w:lang w:val="en-US"/>
              </w:rPr>
              <w:t> </w:t>
            </w:r>
          </w:p>
        </w:tc>
        <w:tc>
          <w:tcPr>
            <w:tcW w:w="0" w:type="pct"/>
            <w:hideMark/>
          </w:tcPr>
          <w:p w14:paraId="35EE1464"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 10) impact of caregiving.</w:t>
            </w:r>
          </w:p>
        </w:tc>
        <w:tc>
          <w:tcPr>
            <w:tcW w:w="0" w:type="pct"/>
            <w:hideMark/>
          </w:tcPr>
          <w:p w14:paraId="0991227D"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333333"/>
                <w:sz w:val="20"/>
                <w:szCs w:val="20"/>
                <w:lang w:val="en-US"/>
              </w:rPr>
            </w:pPr>
            <w:r w:rsidRPr="00000849">
              <w:rPr>
                <w:rFonts w:ascii="Calibri" w:eastAsia="Times New Roman" w:hAnsi="Calibri" w:cs="Times New Roman"/>
                <w:color w:val="333333"/>
                <w:sz w:val="20"/>
                <w:szCs w:val="20"/>
                <w:lang w:val="en-US"/>
              </w:rPr>
              <w:t>Household members needing care; type of care required; length of time spent on care; costs of care; impact of providing care on career well-being</w:t>
            </w:r>
          </w:p>
        </w:tc>
        <w:tc>
          <w:tcPr>
            <w:tcW w:w="1910" w:type="pct"/>
            <w:hideMark/>
          </w:tcPr>
          <w:p w14:paraId="1FE4C6F1" w14:textId="77777777" w:rsidR="009B47FF" w:rsidRPr="00000849" w:rsidRDefault="009B47FF" w:rsidP="00143B7E">
            <w:pPr>
              <w:spacing w:after="60"/>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val="en-US"/>
              </w:rPr>
            </w:pPr>
            <w:r w:rsidRPr="00000849">
              <w:rPr>
                <w:rFonts w:ascii="Calibri" w:eastAsia="Times New Roman" w:hAnsi="Calibri" w:cs="Times New Roman"/>
                <w:color w:val="000000"/>
                <w:sz w:val="20"/>
                <w:szCs w:val="20"/>
                <w:lang w:val="en-US"/>
              </w:rPr>
              <w:t> </w:t>
            </w:r>
          </w:p>
        </w:tc>
      </w:tr>
    </w:tbl>
    <w:p w14:paraId="65FC1CF2" w14:textId="60C1CA3C" w:rsidR="009B47FF" w:rsidRPr="00000849" w:rsidRDefault="009B47FF" w:rsidP="009B47FF">
      <w:pPr>
        <w:rPr>
          <w:rFonts w:ascii="Times New Roman" w:hAnsi="Times New Roman" w:cs="Times New Roman"/>
          <w:sz w:val="20"/>
          <w:szCs w:val="20"/>
          <w:lang w:val="en-US"/>
        </w:rPr>
      </w:pPr>
      <w:r w:rsidRPr="00000849">
        <w:rPr>
          <w:rFonts w:ascii="Times New Roman" w:hAnsi="Times New Roman" w:cs="Times New Roman"/>
          <w:sz w:val="20"/>
          <w:szCs w:val="20"/>
          <w:lang w:val="en-US"/>
        </w:rPr>
        <w:t xml:space="preserve">Source: Adapted from </w:t>
      </w:r>
      <w:r w:rsidRPr="00000849">
        <w:rPr>
          <w:rFonts w:ascii="Times New Roman" w:hAnsi="Times New Roman" w:cs="Times New Roman"/>
          <w:sz w:val="20"/>
          <w:szCs w:val="20"/>
          <w:lang w:val="en-US"/>
        </w:rPr>
        <w:fldChar w:fldCharType="begin"/>
      </w:r>
      <w:r w:rsidR="001740AB" w:rsidRPr="00000849">
        <w:rPr>
          <w:rFonts w:ascii="Times New Roman" w:hAnsi="Times New Roman" w:cs="Times New Roman"/>
          <w:sz w:val="20"/>
          <w:szCs w:val="20"/>
          <w:lang w:val="en-US"/>
        </w:rPr>
        <w:instrText xml:space="preserve"> ADDIN EN.CITE &lt;EndNote&gt;&lt;Cite AuthorYear="1"&gt;&lt;Author&gt;Biritwum&lt;/Author&gt;&lt;Year&gt;2013&lt;/Year&gt;&lt;RecNum&gt;6&lt;/RecNum&gt;&lt;DisplayText&gt;Biritwum et al. (2013)&lt;/DisplayText&gt;&lt;record&gt;&lt;rec-number&gt;6&lt;/rec-number&gt;&lt;foreign-keys&gt;&lt;key app="EN" db-id="9tzf2rda8re2a9es5tuxart3swzx2zws2s02" timestamp="1463391711"&gt;6&lt;/key&gt;&lt;/foreign-keys&gt;&lt;ref-type name="Journal Article"&gt;17&lt;/ref-type&gt;&lt;contributors&gt;&lt;authors&gt;&lt;author&gt;Biritwum, Richard B&lt;/author&gt;&lt;author&gt;Mensah, George&lt;/author&gt;&lt;author&gt;Minicuci, Nadia&lt;/author&gt;&lt;author&gt;Yawson, Alfred E&lt;/author&gt;&lt;author&gt;Naidoo, Nirmala&lt;/author&gt;&lt;author&gt;Chatterji, Somnath&lt;/author&gt;&lt;author&gt;Kowal, Paul&lt;/author&gt;&lt;/authors&gt;&lt;/contributors&gt;&lt;titles&gt;&lt;title&gt;Household characteristics for older adults and study background from SAGE Ghana Wave 1&lt;/title&gt;&lt;secondary-title&gt;Global Health Action&lt;/secondary-title&gt;&lt;/titles&gt;&lt;periodical&gt;&lt;full-title&gt;Global Health Action&lt;/full-title&gt;&lt;abbr-1&gt;Glob Health Action&lt;/abbr-1&gt;&lt;/periodical&gt;&lt;pages&gt;20096&lt;/pages&gt;&lt;volume&gt;6&lt;/volume&gt;&lt;dates&gt;&lt;year&gt;2013&lt;/year&gt;&lt;/dates&gt;&lt;isbn&gt;1654-9880&lt;/isbn&gt;&lt;urls&gt;&lt;/urls&gt;&lt;electronic-resource-num&gt;20096 - http://dx.doi.org/10.3402/gha.v6i0.20096&lt;/electronic-resource-num&gt;&lt;/record&gt;&lt;/Cite&gt;&lt;/EndNote&gt;</w:instrText>
      </w:r>
      <w:r w:rsidRPr="00000849">
        <w:rPr>
          <w:rFonts w:ascii="Times New Roman" w:hAnsi="Times New Roman" w:cs="Times New Roman"/>
          <w:sz w:val="20"/>
          <w:szCs w:val="20"/>
          <w:lang w:val="en-US"/>
        </w:rPr>
        <w:fldChar w:fldCharType="separate"/>
      </w:r>
      <w:r w:rsidR="001740AB" w:rsidRPr="00000849">
        <w:rPr>
          <w:rFonts w:ascii="Times New Roman" w:hAnsi="Times New Roman" w:cs="Times New Roman"/>
          <w:noProof/>
          <w:sz w:val="20"/>
          <w:szCs w:val="20"/>
          <w:lang w:val="en-US"/>
        </w:rPr>
        <w:t>Biritwum et al. (2013)</w:t>
      </w:r>
      <w:r w:rsidRPr="00000849">
        <w:rPr>
          <w:rFonts w:ascii="Times New Roman" w:hAnsi="Times New Roman" w:cs="Times New Roman"/>
          <w:sz w:val="20"/>
          <w:szCs w:val="20"/>
          <w:lang w:val="en-US"/>
        </w:rPr>
        <w:fldChar w:fldCharType="end"/>
      </w:r>
      <w:r w:rsidRPr="00000849">
        <w:rPr>
          <w:rFonts w:ascii="Times New Roman" w:hAnsi="Times New Roman" w:cs="Times New Roman"/>
          <w:sz w:val="20"/>
          <w:szCs w:val="20"/>
          <w:lang w:val="en-US"/>
        </w:rPr>
        <w:t xml:space="preserve">  and </w:t>
      </w:r>
      <w:r w:rsidRPr="00000849">
        <w:rPr>
          <w:rFonts w:ascii="Times New Roman" w:hAnsi="Times New Roman" w:cs="Times New Roman"/>
          <w:sz w:val="20"/>
          <w:szCs w:val="20"/>
          <w:lang w:val="en-US"/>
        </w:rPr>
        <w:fldChar w:fldCharType="begin"/>
      </w:r>
      <w:r w:rsidR="00ED7F82" w:rsidRPr="00000849">
        <w:rPr>
          <w:rFonts w:ascii="Times New Roman" w:hAnsi="Times New Roman" w:cs="Times New Roman"/>
          <w:sz w:val="20"/>
          <w:szCs w:val="20"/>
          <w:lang w:val="en-US"/>
        </w:rPr>
        <w:instrText xml:space="preserve"> ADDIN EN.CITE &lt;EndNote&gt;&lt;Cite AuthorYear="1"&gt;&lt;Author&gt;Minicuci&lt;/Author&gt;&lt;Year&gt;2014&lt;/Year&gt;&lt;RecNum&gt;14&lt;/RecNum&gt;&lt;DisplayText&gt;Minicuci et al. (2014)&lt;/DisplayText&gt;&lt;record&gt;&lt;rec-number&gt;14&lt;/rec-number&gt;&lt;foreign-keys&gt;&lt;key app="EN" db-id="9tzf2rda8re2a9es5tuxart3swzx2zws2s02" timestamp="1463396583"&gt;14&lt;/key&gt;&lt;/foreign-keys&gt;&lt;ref-type name="Journal Article"&gt;17&lt;/ref-type&gt;&lt;contributors&gt;&lt;authors&gt;&lt;author&gt;Minicuci, Nadia&lt;/author&gt;&lt;author&gt;Biritwum, Richard B&lt;/author&gt;&lt;author&gt;Mensah, George&lt;/author&gt;&lt;author&gt;Yawson, Alfred E&lt;/author&gt;&lt;author&gt;Naidoo, Nirmala&lt;/author&gt;&lt;author&gt;Chatterji, Somnath&lt;/author&gt;&lt;author&gt;Kowal, Paul&lt;/author&gt;&lt;/authors&gt;&lt;/contributors&gt;&lt;titles&gt;&lt;title&gt;Sociodemographic and socioeconomic patterns of chronic non-communicable disease among the older adult population in Ghana&lt;/title&gt;&lt;secondary-title&gt;Global Health Action&lt;/secondary-title&gt;&lt;/titles&gt;&lt;periodical&gt;&lt;full-title&gt;Global Health Action&lt;/full-title&gt;&lt;abbr-1&gt;Glob Health Action&lt;/abbr-1&gt;&lt;/periodical&gt;&lt;pages&gt;21292&lt;/pages&gt;&lt;volume&gt;7&lt;/volume&gt;&lt;dates&gt;&lt;year&gt;2014&lt;/year&gt;&lt;/dates&gt;&lt;isbn&gt;1654-9880&lt;/isbn&gt;&lt;urls&gt;&lt;/urls&gt;&lt;electronic-resource-num&gt;http://dx.doi.org/10.3402/gha.v7.21292&lt;/electronic-resource-num&gt;&lt;/record&gt;&lt;/Cite&gt;&lt;/EndNote&gt;</w:instrText>
      </w:r>
      <w:r w:rsidRPr="00000849">
        <w:rPr>
          <w:rFonts w:ascii="Times New Roman" w:hAnsi="Times New Roman" w:cs="Times New Roman"/>
          <w:sz w:val="20"/>
          <w:szCs w:val="20"/>
          <w:lang w:val="en-US"/>
        </w:rPr>
        <w:fldChar w:fldCharType="separate"/>
      </w:r>
      <w:r w:rsidR="00ED7F82" w:rsidRPr="00000849">
        <w:rPr>
          <w:rFonts w:ascii="Times New Roman" w:hAnsi="Times New Roman" w:cs="Times New Roman"/>
          <w:noProof/>
          <w:sz w:val="20"/>
          <w:szCs w:val="20"/>
          <w:lang w:val="en-US"/>
        </w:rPr>
        <w:t>Minicuci et al. (2014)</w:t>
      </w:r>
      <w:r w:rsidRPr="00000849">
        <w:rPr>
          <w:rFonts w:ascii="Times New Roman" w:hAnsi="Times New Roman" w:cs="Times New Roman"/>
          <w:sz w:val="20"/>
          <w:szCs w:val="20"/>
          <w:lang w:val="en-US"/>
        </w:rPr>
        <w:fldChar w:fldCharType="end"/>
      </w:r>
      <w:r w:rsidRPr="00000849">
        <w:rPr>
          <w:rFonts w:ascii="Times New Roman" w:hAnsi="Times New Roman" w:cs="Times New Roman"/>
          <w:sz w:val="20"/>
          <w:szCs w:val="20"/>
          <w:lang w:val="en-US"/>
        </w:rPr>
        <w:t xml:space="preserve"> </w:t>
      </w:r>
    </w:p>
    <w:p w14:paraId="595A232E" w14:textId="77777777" w:rsidR="009B47FF" w:rsidRPr="00000849" w:rsidRDefault="009B47FF" w:rsidP="009B47FF">
      <w:pPr>
        <w:rPr>
          <w:rFonts w:ascii="Times New Roman" w:hAnsi="Times New Roman" w:cs="Times New Roman"/>
          <w:lang w:val="en-US"/>
        </w:rPr>
      </w:pPr>
    </w:p>
    <w:p w14:paraId="13EF5AC4" w14:textId="4BDE1392" w:rsidR="009B47FF" w:rsidRPr="00000849" w:rsidRDefault="009B47FF" w:rsidP="009B47FF">
      <w:pPr>
        <w:rPr>
          <w:rFonts w:ascii="Times New Roman" w:hAnsi="Times New Roman" w:cs="Times New Roman"/>
          <w:lang w:val="en-US"/>
        </w:rPr>
      </w:pPr>
    </w:p>
    <w:p w14:paraId="7F123590" w14:textId="77777777" w:rsidR="009B47FF" w:rsidRPr="00000849" w:rsidRDefault="009B47FF" w:rsidP="009B47FF">
      <w:pPr>
        <w:rPr>
          <w:rFonts w:ascii="Times New Roman" w:hAnsi="Times New Roman" w:cs="Times New Roman"/>
          <w:lang w:val="en-US"/>
        </w:rPr>
        <w:sectPr w:rsidR="009B47FF" w:rsidRPr="00000849" w:rsidSect="009B47FF">
          <w:pgSz w:w="16838" w:h="11906" w:orient="landscape"/>
          <w:pgMar w:top="2155" w:right="1440" w:bottom="1440" w:left="1440" w:header="708" w:footer="708" w:gutter="0"/>
          <w:cols w:space="708"/>
          <w:docGrid w:linePitch="360"/>
        </w:sectPr>
      </w:pPr>
    </w:p>
    <w:p w14:paraId="0BAB96DC" w14:textId="6ED26ABB" w:rsidR="009A56DE" w:rsidRPr="00000849" w:rsidRDefault="009A56DE" w:rsidP="00A61BAB">
      <w:pPr>
        <w:pStyle w:val="Heading2"/>
      </w:pPr>
      <w:bookmarkStart w:id="145" w:name="_Toc51472174"/>
      <w:r w:rsidRPr="00000849">
        <w:lastRenderedPageBreak/>
        <w:t xml:space="preserve">Appendix 6: </w:t>
      </w:r>
      <w:r w:rsidR="00A77C07" w:rsidRPr="00000849">
        <w:t>P</w:t>
      </w:r>
      <w:r w:rsidRPr="00000849">
        <w:t xml:space="preserve">rincipal component </w:t>
      </w:r>
      <w:r w:rsidR="00227DFC" w:rsidRPr="00000849">
        <w:t>analysis to compute wealth index</w:t>
      </w:r>
      <w:bookmarkEnd w:id="145"/>
      <w:r w:rsidRPr="00000849">
        <w:t xml:space="preserve"> </w:t>
      </w:r>
    </w:p>
    <w:p w14:paraId="5E6FF524" w14:textId="390D9509" w:rsidR="00FE24FC" w:rsidRPr="00000849" w:rsidRDefault="00A77C07" w:rsidP="00143B7E">
      <w:pPr>
        <w:pStyle w:val="Heading3"/>
        <w:rPr>
          <w:b w:val="0"/>
          <w:lang w:val="en-US"/>
        </w:rPr>
      </w:pPr>
      <w:bookmarkStart w:id="146" w:name="_Toc51472175"/>
      <w:r w:rsidRPr="00000849">
        <w:rPr>
          <w:lang w:val="en-US"/>
        </w:rPr>
        <w:t xml:space="preserve">Table </w:t>
      </w:r>
      <w:r w:rsidR="00290D25" w:rsidRPr="00000849">
        <w:rPr>
          <w:lang w:val="en-US"/>
        </w:rPr>
        <w:t xml:space="preserve">A5  </w:t>
      </w:r>
      <w:r w:rsidRPr="00000849">
        <w:rPr>
          <w:lang w:val="en-US"/>
        </w:rPr>
        <w:t>Assessment of data suitability for principal component analysis</w:t>
      </w:r>
      <w:bookmarkEnd w:id="146"/>
    </w:p>
    <w:tbl>
      <w:tblPr>
        <w:tblStyle w:val="PlainTable1"/>
        <w:tblW w:w="5000" w:type="pct"/>
        <w:tblInd w:w="0" w:type="dxa"/>
        <w:tblLook w:val="04A0" w:firstRow="1" w:lastRow="0" w:firstColumn="1" w:lastColumn="0" w:noHBand="0" w:noVBand="1"/>
      </w:tblPr>
      <w:tblGrid>
        <w:gridCol w:w="3002"/>
        <w:gridCol w:w="1346"/>
        <w:gridCol w:w="1991"/>
        <w:gridCol w:w="1962"/>
      </w:tblGrid>
      <w:tr w:rsidR="009A56DE" w:rsidRPr="00000849" w14:paraId="2A9218FC" w14:textId="77777777" w:rsidTr="009A56DE">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808" w:type="pct"/>
            <w:hideMark/>
          </w:tcPr>
          <w:p w14:paraId="77263F4B" w14:textId="77777777" w:rsidR="009A56DE" w:rsidRPr="00000849" w:rsidRDefault="009A56DE" w:rsidP="009A56DE">
            <w:pPr>
              <w:spacing w:after="0" w:line="240" w:lineRule="auto"/>
              <w:jc w:val="center"/>
              <w:rPr>
                <w:rFonts w:ascii="Arial Bold" w:eastAsia="Times New Roman" w:hAnsi="Arial Bold" w:cs="Calibri"/>
                <w:color w:val="993300"/>
                <w:sz w:val="20"/>
                <w:szCs w:val="20"/>
              </w:rPr>
            </w:pPr>
            <w:r w:rsidRPr="00000849">
              <w:rPr>
                <w:rFonts w:ascii="Arial Bold" w:eastAsia="Times New Roman" w:hAnsi="Arial Bold" w:cs="Calibri"/>
                <w:color w:val="993300"/>
                <w:sz w:val="20"/>
                <w:szCs w:val="20"/>
              </w:rPr>
              <w:t>Characteristic</w:t>
            </w:r>
          </w:p>
        </w:tc>
        <w:tc>
          <w:tcPr>
            <w:tcW w:w="811" w:type="pct"/>
            <w:hideMark/>
          </w:tcPr>
          <w:p w14:paraId="11571463" w14:textId="77777777" w:rsidR="009A56DE" w:rsidRPr="00000849" w:rsidRDefault="009A56DE" w:rsidP="009A56D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Bold" w:eastAsia="Times New Roman" w:hAnsi="Arial Bold" w:cs="Calibri"/>
                <w:color w:val="993300"/>
                <w:sz w:val="20"/>
                <w:szCs w:val="20"/>
              </w:rPr>
            </w:pPr>
          </w:p>
        </w:tc>
        <w:tc>
          <w:tcPr>
            <w:tcW w:w="1199" w:type="pct"/>
            <w:hideMark/>
          </w:tcPr>
          <w:p w14:paraId="54B5E26B" w14:textId="77777777" w:rsidR="009A56DE" w:rsidRPr="00000849" w:rsidRDefault="009A56DE" w:rsidP="00D65CD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Bold" w:eastAsia="Times New Roman" w:hAnsi="Arial Bold" w:cs="Calibri"/>
                <w:color w:val="993300"/>
                <w:sz w:val="20"/>
                <w:szCs w:val="20"/>
              </w:rPr>
            </w:pPr>
            <w:r w:rsidRPr="00000849">
              <w:rPr>
                <w:rFonts w:ascii="Arial Bold" w:eastAsia="Times New Roman" w:hAnsi="Arial Bold" w:cs="Calibri"/>
                <w:color w:val="993300"/>
                <w:sz w:val="20"/>
                <w:szCs w:val="20"/>
              </w:rPr>
              <w:t>Wave 1</w:t>
            </w:r>
          </w:p>
        </w:tc>
        <w:tc>
          <w:tcPr>
            <w:tcW w:w="1182" w:type="pct"/>
            <w:hideMark/>
          </w:tcPr>
          <w:p w14:paraId="60BC1582" w14:textId="77777777" w:rsidR="009A56DE" w:rsidRPr="00000849" w:rsidRDefault="009A56DE" w:rsidP="00D65CD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Bold" w:eastAsia="Times New Roman" w:hAnsi="Arial Bold" w:cs="Calibri"/>
                <w:color w:val="993300"/>
                <w:sz w:val="20"/>
                <w:szCs w:val="20"/>
              </w:rPr>
            </w:pPr>
            <w:r w:rsidRPr="00000849">
              <w:rPr>
                <w:rFonts w:ascii="Arial Bold" w:eastAsia="Times New Roman" w:hAnsi="Arial Bold" w:cs="Calibri"/>
                <w:color w:val="993300"/>
                <w:sz w:val="20"/>
                <w:szCs w:val="20"/>
              </w:rPr>
              <w:t>Wave 2</w:t>
            </w:r>
          </w:p>
        </w:tc>
      </w:tr>
      <w:tr w:rsidR="009A56DE" w:rsidRPr="00000849" w14:paraId="51E50925" w14:textId="77777777" w:rsidTr="009A56DE">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1808" w:type="pct"/>
            <w:hideMark/>
          </w:tcPr>
          <w:p w14:paraId="41D53F95" w14:textId="77777777" w:rsidR="009A56DE" w:rsidRPr="00000849" w:rsidRDefault="009A56DE" w:rsidP="009A56DE">
            <w:pPr>
              <w:spacing w:after="0" w:line="240" w:lineRule="auto"/>
              <w:rPr>
                <w:rFonts w:ascii="Arial" w:eastAsia="Times New Roman" w:hAnsi="Arial" w:cs="Arial"/>
                <w:sz w:val="20"/>
                <w:szCs w:val="20"/>
              </w:rPr>
            </w:pPr>
            <w:r w:rsidRPr="00000849">
              <w:rPr>
                <w:rFonts w:ascii="Arial" w:eastAsia="Times New Roman" w:hAnsi="Arial" w:cs="Arial"/>
                <w:sz w:val="20"/>
                <w:szCs w:val="20"/>
              </w:rPr>
              <w:t>Kaiser-Meyer-Olkin Measure of Sampling Adequacy.</w:t>
            </w:r>
          </w:p>
        </w:tc>
        <w:tc>
          <w:tcPr>
            <w:tcW w:w="811" w:type="pct"/>
            <w:hideMark/>
          </w:tcPr>
          <w:p w14:paraId="2CF50E46" w14:textId="77777777" w:rsidR="009A56DE" w:rsidRPr="00000849" w:rsidRDefault="009A56DE" w:rsidP="009A56DE">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00849">
              <w:rPr>
                <w:rFonts w:ascii="Arial" w:eastAsia="Times New Roman" w:hAnsi="Arial" w:cs="Arial"/>
                <w:sz w:val="20"/>
                <w:szCs w:val="20"/>
              </w:rPr>
              <w:t> </w:t>
            </w:r>
          </w:p>
        </w:tc>
        <w:tc>
          <w:tcPr>
            <w:tcW w:w="1199" w:type="pct"/>
            <w:noWrap/>
            <w:hideMark/>
          </w:tcPr>
          <w:p w14:paraId="5031506C" w14:textId="77777777" w:rsidR="009A56DE" w:rsidRPr="00000849" w:rsidRDefault="009A56DE" w:rsidP="00D65CD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00849">
              <w:rPr>
                <w:rFonts w:ascii="Arial" w:eastAsia="Times New Roman" w:hAnsi="Arial" w:cs="Arial"/>
                <w:sz w:val="20"/>
                <w:szCs w:val="20"/>
              </w:rPr>
              <w:t>0.837</w:t>
            </w:r>
          </w:p>
        </w:tc>
        <w:tc>
          <w:tcPr>
            <w:tcW w:w="1182" w:type="pct"/>
            <w:noWrap/>
            <w:hideMark/>
          </w:tcPr>
          <w:p w14:paraId="0EE71388" w14:textId="77777777" w:rsidR="009A56DE" w:rsidRPr="00000849" w:rsidRDefault="009A56DE" w:rsidP="00D65CD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993300"/>
                <w:sz w:val="20"/>
                <w:szCs w:val="20"/>
              </w:rPr>
            </w:pPr>
            <w:r w:rsidRPr="00000849">
              <w:rPr>
                <w:rFonts w:ascii="Arial" w:eastAsia="Times New Roman" w:hAnsi="Arial" w:cs="Arial"/>
                <w:color w:val="993300"/>
                <w:sz w:val="20"/>
                <w:szCs w:val="20"/>
              </w:rPr>
              <w:t>0.817</w:t>
            </w:r>
          </w:p>
        </w:tc>
      </w:tr>
      <w:tr w:rsidR="00D65CD9" w:rsidRPr="00000849" w14:paraId="7BA35FAB" w14:textId="77777777" w:rsidTr="009A56DE">
        <w:trPr>
          <w:trHeight w:val="705"/>
        </w:trPr>
        <w:tc>
          <w:tcPr>
            <w:cnfStyle w:val="001000000000" w:firstRow="0" w:lastRow="0" w:firstColumn="1" w:lastColumn="0" w:oddVBand="0" w:evenVBand="0" w:oddHBand="0" w:evenHBand="0" w:firstRowFirstColumn="0" w:firstRowLastColumn="0" w:lastRowFirstColumn="0" w:lastRowLastColumn="0"/>
            <w:tcW w:w="1808" w:type="pct"/>
            <w:vMerge w:val="restart"/>
            <w:hideMark/>
          </w:tcPr>
          <w:p w14:paraId="1A6A0B1D" w14:textId="406E7085" w:rsidR="00D65CD9" w:rsidRPr="00000849" w:rsidRDefault="00D65CD9" w:rsidP="009A56DE">
            <w:pPr>
              <w:spacing w:after="0" w:line="240" w:lineRule="auto"/>
              <w:rPr>
                <w:rFonts w:ascii="Arial" w:eastAsia="Times New Roman" w:hAnsi="Arial" w:cs="Arial"/>
                <w:b w:val="0"/>
                <w:bCs w:val="0"/>
                <w:sz w:val="20"/>
                <w:szCs w:val="20"/>
              </w:rPr>
            </w:pPr>
            <w:r w:rsidRPr="00000849">
              <w:rPr>
                <w:rFonts w:ascii="Arial" w:eastAsia="Times New Roman" w:hAnsi="Arial" w:cs="Arial"/>
                <w:sz w:val="20"/>
                <w:szCs w:val="20"/>
              </w:rPr>
              <w:t>Bartlett's Test of Sphericity</w:t>
            </w:r>
          </w:p>
          <w:p w14:paraId="5A9CA7E2" w14:textId="71391918" w:rsidR="00D65CD9" w:rsidRPr="00000849" w:rsidRDefault="00D65CD9" w:rsidP="009A56DE">
            <w:pPr>
              <w:spacing w:after="0" w:line="240" w:lineRule="auto"/>
              <w:rPr>
                <w:rFonts w:ascii="Arial" w:eastAsia="Times New Roman" w:hAnsi="Arial" w:cs="Arial"/>
                <w:sz w:val="20"/>
                <w:szCs w:val="20"/>
              </w:rPr>
            </w:pPr>
            <w:r w:rsidRPr="00000849">
              <w:rPr>
                <w:rFonts w:ascii="Arial" w:eastAsia="Times New Roman" w:hAnsi="Arial" w:cs="Arial"/>
                <w:sz w:val="20"/>
                <w:szCs w:val="20"/>
              </w:rPr>
              <w:t> </w:t>
            </w:r>
          </w:p>
        </w:tc>
        <w:tc>
          <w:tcPr>
            <w:tcW w:w="811" w:type="pct"/>
            <w:hideMark/>
          </w:tcPr>
          <w:p w14:paraId="46E161F7" w14:textId="77777777" w:rsidR="00D65CD9" w:rsidRPr="00000849" w:rsidRDefault="00D65CD9" w:rsidP="009A56DE">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000849">
              <w:rPr>
                <w:rFonts w:ascii="Arial" w:eastAsia="Times New Roman" w:hAnsi="Arial" w:cs="Arial"/>
                <w:sz w:val="20"/>
                <w:szCs w:val="20"/>
              </w:rPr>
              <w:t>Approx. Chi-Square</w:t>
            </w:r>
          </w:p>
        </w:tc>
        <w:tc>
          <w:tcPr>
            <w:tcW w:w="1199" w:type="pct"/>
            <w:noWrap/>
            <w:hideMark/>
          </w:tcPr>
          <w:p w14:paraId="4F782AE7" w14:textId="77777777" w:rsidR="00D65CD9" w:rsidRPr="00000849" w:rsidRDefault="00D65CD9" w:rsidP="00D65CD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000849">
              <w:rPr>
                <w:rFonts w:ascii="Arial" w:eastAsia="Times New Roman" w:hAnsi="Arial" w:cs="Arial"/>
                <w:sz w:val="20"/>
                <w:szCs w:val="20"/>
              </w:rPr>
              <w:t>53761.528</w:t>
            </w:r>
          </w:p>
        </w:tc>
        <w:tc>
          <w:tcPr>
            <w:tcW w:w="1182" w:type="pct"/>
            <w:noWrap/>
            <w:hideMark/>
          </w:tcPr>
          <w:p w14:paraId="5012C884" w14:textId="77777777" w:rsidR="00D65CD9" w:rsidRPr="00000849" w:rsidRDefault="00D65CD9" w:rsidP="00D65CD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993300"/>
                <w:sz w:val="20"/>
                <w:szCs w:val="20"/>
              </w:rPr>
            </w:pPr>
            <w:r w:rsidRPr="00000849">
              <w:rPr>
                <w:rFonts w:ascii="Arial" w:eastAsia="Times New Roman" w:hAnsi="Arial" w:cs="Arial"/>
                <w:color w:val="993300"/>
                <w:sz w:val="20"/>
                <w:szCs w:val="20"/>
              </w:rPr>
              <w:t>51440.511</w:t>
            </w:r>
          </w:p>
        </w:tc>
      </w:tr>
      <w:tr w:rsidR="00D65CD9" w:rsidRPr="00000849" w14:paraId="0BEF4B1A" w14:textId="77777777" w:rsidTr="009A56DE">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808" w:type="pct"/>
            <w:vMerge/>
            <w:hideMark/>
          </w:tcPr>
          <w:p w14:paraId="459A1CA8" w14:textId="5E8283C6" w:rsidR="00D65CD9" w:rsidRPr="00000849" w:rsidRDefault="00D65CD9" w:rsidP="009A56DE">
            <w:pPr>
              <w:spacing w:after="0" w:line="240" w:lineRule="auto"/>
              <w:rPr>
                <w:rFonts w:ascii="Arial" w:eastAsia="Times New Roman" w:hAnsi="Arial" w:cs="Arial"/>
                <w:sz w:val="20"/>
                <w:szCs w:val="20"/>
              </w:rPr>
            </w:pPr>
          </w:p>
        </w:tc>
        <w:tc>
          <w:tcPr>
            <w:tcW w:w="811" w:type="pct"/>
            <w:hideMark/>
          </w:tcPr>
          <w:p w14:paraId="444A247C" w14:textId="77777777" w:rsidR="00D65CD9" w:rsidRPr="00000849" w:rsidRDefault="00D65CD9" w:rsidP="009A56DE">
            <w:pPr>
              <w:spacing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00849">
              <w:rPr>
                <w:rFonts w:ascii="Arial" w:eastAsia="Times New Roman" w:hAnsi="Arial" w:cs="Arial"/>
                <w:sz w:val="20"/>
                <w:szCs w:val="20"/>
              </w:rPr>
              <w:t>df</w:t>
            </w:r>
          </w:p>
        </w:tc>
        <w:tc>
          <w:tcPr>
            <w:tcW w:w="1199" w:type="pct"/>
            <w:noWrap/>
            <w:hideMark/>
          </w:tcPr>
          <w:p w14:paraId="6B667F83" w14:textId="77777777" w:rsidR="00D65CD9" w:rsidRPr="00000849" w:rsidRDefault="00D65CD9" w:rsidP="00D65CD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000849">
              <w:rPr>
                <w:rFonts w:ascii="Arial" w:eastAsia="Times New Roman" w:hAnsi="Arial" w:cs="Arial"/>
                <w:sz w:val="20"/>
                <w:szCs w:val="20"/>
              </w:rPr>
              <w:t>465</w:t>
            </w:r>
          </w:p>
        </w:tc>
        <w:tc>
          <w:tcPr>
            <w:tcW w:w="1182" w:type="pct"/>
            <w:noWrap/>
            <w:hideMark/>
          </w:tcPr>
          <w:p w14:paraId="5636B5F5" w14:textId="77777777" w:rsidR="00D65CD9" w:rsidRPr="00000849" w:rsidRDefault="00D65CD9" w:rsidP="00D65CD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993300"/>
                <w:sz w:val="20"/>
                <w:szCs w:val="20"/>
              </w:rPr>
            </w:pPr>
            <w:r w:rsidRPr="00000849">
              <w:rPr>
                <w:rFonts w:ascii="Arial" w:eastAsia="Times New Roman" w:hAnsi="Arial" w:cs="Arial"/>
                <w:color w:val="993300"/>
                <w:sz w:val="20"/>
                <w:szCs w:val="20"/>
              </w:rPr>
              <w:t>435</w:t>
            </w:r>
          </w:p>
        </w:tc>
      </w:tr>
      <w:tr w:rsidR="00D65CD9" w:rsidRPr="00000849" w14:paraId="1D283E70" w14:textId="77777777" w:rsidTr="009A56DE">
        <w:trPr>
          <w:trHeight w:val="295"/>
        </w:trPr>
        <w:tc>
          <w:tcPr>
            <w:cnfStyle w:val="001000000000" w:firstRow="0" w:lastRow="0" w:firstColumn="1" w:lastColumn="0" w:oddVBand="0" w:evenVBand="0" w:oddHBand="0" w:evenHBand="0" w:firstRowFirstColumn="0" w:firstRowLastColumn="0" w:lastRowFirstColumn="0" w:lastRowLastColumn="0"/>
            <w:tcW w:w="1808" w:type="pct"/>
            <w:vMerge/>
            <w:hideMark/>
          </w:tcPr>
          <w:p w14:paraId="7620E8C7" w14:textId="3F4B9697" w:rsidR="00D65CD9" w:rsidRPr="00000849" w:rsidRDefault="00D65CD9" w:rsidP="009A56DE">
            <w:pPr>
              <w:spacing w:after="0" w:line="240" w:lineRule="auto"/>
              <w:rPr>
                <w:rFonts w:ascii="Arial" w:eastAsia="Times New Roman" w:hAnsi="Arial" w:cs="Arial"/>
                <w:sz w:val="20"/>
                <w:szCs w:val="20"/>
              </w:rPr>
            </w:pPr>
          </w:p>
        </w:tc>
        <w:tc>
          <w:tcPr>
            <w:tcW w:w="811" w:type="pct"/>
            <w:hideMark/>
          </w:tcPr>
          <w:p w14:paraId="678F0D4E" w14:textId="77777777" w:rsidR="00D65CD9" w:rsidRPr="00000849" w:rsidRDefault="00D65CD9" w:rsidP="009A56DE">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000849">
              <w:rPr>
                <w:rFonts w:ascii="Arial" w:eastAsia="Times New Roman" w:hAnsi="Arial" w:cs="Arial"/>
                <w:sz w:val="20"/>
                <w:szCs w:val="20"/>
              </w:rPr>
              <w:t>Sig.</w:t>
            </w:r>
          </w:p>
        </w:tc>
        <w:tc>
          <w:tcPr>
            <w:tcW w:w="1199" w:type="pct"/>
            <w:noWrap/>
            <w:hideMark/>
          </w:tcPr>
          <w:p w14:paraId="75FE62A4" w14:textId="77777777" w:rsidR="00D65CD9" w:rsidRPr="00000849" w:rsidRDefault="00D65CD9" w:rsidP="00D65CD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000849">
              <w:rPr>
                <w:rFonts w:ascii="Arial" w:eastAsia="Times New Roman" w:hAnsi="Arial" w:cs="Arial"/>
                <w:sz w:val="20"/>
                <w:szCs w:val="20"/>
              </w:rPr>
              <w:t>0.000</w:t>
            </w:r>
          </w:p>
        </w:tc>
        <w:tc>
          <w:tcPr>
            <w:tcW w:w="1182" w:type="pct"/>
            <w:noWrap/>
            <w:hideMark/>
          </w:tcPr>
          <w:p w14:paraId="3B1B30B4" w14:textId="77777777" w:rsidR="00D65CD9" w:rsidRPr="00000849" w:rsidRDefault="00D65CD9" w:rsidP="00D65CD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993300"/>
                <w:sz w:val="20"/>
                <w:szCs w:val="20"/>
              </w:rPr>
            </w:pPr>
            <w:r w:rsidRPr="00000849">
              <w:rPr>
                <w:rFonts w:ascii="Arial" w:eastAsia="Times New Roman" w:hAnsi="Arial" w:cs="Arial"/>
                <w:color w:val="993300"/>
                <w:sz w:val="20"/>
                <w:szCs w:val="20"/>
              </w:rPr>
              <w:t>0.000</w:t>
            </w:r>
          </w:p>
        </w:tc>
      </w:tr>
      <w:tr w:rsidR="009A56DE" w:rsidRPr="00000849" w14:paraId="3D3EE7EA" w14:textId="77777777" w:rsidTr="009A56DE">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808" w:type="pct"/>
            <w:noWrap/>
            <w:hideMark/>
          </w:tcPr>
          <w:p w14:paraId="67D87F1F" w14:textId="77777777" w:rsidR="009A56DE" w:rsidRPr="00000849" w:rsidRDefault="009A56DE" w:rsidP="009A56DE">
            <w:pPr>
              <w:spacing w:after="0" w:line="240" w:lineRule="auto"/>
              <w:rPr>
                <w:rFonts w:ascii="Calibri" w:eastAsia="Times New Roman" w:hAnsi="Calibri" w:cs="Calibri"/>
                <w:color w:val="000000"/>
                <w:sz w:val="20"/>
                <w:szCs w:val="20"/>
              </w:rPr>
            </w:pPr>
            <w:r w:rsidRPr="00000849">
              <w:rPr>
                <w:rFonts w:ascii="Calibri" w:eastAsia="Times New Roman" w:hAnsi="Calibri" w:cs="Calibri"/>
                <w:color w:val="000000"/>
                <w:sz w:val="20"/>
                <w:szCs w:val="20"/>
              </w:rPr>
              <w:t>Determinant</w:t>
            </w:r>
          </w:p>
        </w:tc>
        <w:tc>
          <w:tcPr>
            <w:tcW w:w="811" w:type="pct"/>
            <w:noWrap/>
            <w:hideMark/>
          </w:tcPr>
          <w:p w14:paraId="7791AB2A" w14:textId="77777777" w:rsidR="009A56DE" w:rsidRPr="00000849" w:rsidRDefault="009A56DE" w:rsidP="009A56DE">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p>
        </w:tc>
        <w:tc>
          <w:tcPr>
            <w:tcW w:w="1199" w:type="pct"/>
            <w:noWrap/>
            <w:hideMark/>
          </w:tcPr>
          <w:p w14:paraId="2A606CEF" w14:textId="77777777" w:rsidR="009A56DE" w:rsidRPr="00000849" w:rsidRDefault="009A56DE" w:rsidP="00D65CD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3.62E-05</w:t>
            </w:r>
          </w:p>
        </w:tc>
        <w:tc>
          <w:tcPr>
            <w:tcW w:w="1182" w:type="pct"/>
            <w:noWrap/>
            <w:hideMark/>
          </w:tcPr>
          <w:p w14:paraId="503FDE45" w14:textId="77777777" w:rsidR="009A56DE" w:rsidRPr="00000849" w:rsidRDefault="009A56DE" w:rsidP="00D65CD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4.21E-05</w:t>
            </w:r>
          </w:p>
        </w:tc>
      </w:tr>
      <w:tr w:rsidR="009A56DE" w:rsidRPr="00000849" w14:paraId="62BB7D6B" w14:textId="77777777" w:rsidTr="00D65CD9">
        <w:trPr>
          <w:trHeight w:val="485"/>
        </w:trPr>
        <w:tc>
          <w:tcPr>
            <w:cnfStyle w:val="001000000000" w:firstRow="0" w:lastRow="0" w:firstColumn="1" w:lastColumn="0" w:oddVBand="0" w:evenVBand="0" w:oddHBand="0" w:evenHBand="0" w:firstRowFirstColumn="0" w:firstRowLastColumn="0" w:lastRowFirstColumn="0" w:lastRowLastColumn="0"/>
            <w:tcW w:w="1808" w:type="pct"/>
            <w:noWrap/>
            <w:hideMark/>
          </w:tcPr>
          <w:p w14:paraId="3153D699" w14:textId="77777777" w:rsidR="009A56DE" w:rsidRPr="00000849" w:rsidRDefault="009A56DE" w:rsidP="009A56DE">
            <w:pPr>
              <w:spacing w:after="0" w:line="240" w:lineRule="auto"/>
              <w:rPr>
                <w:rFonts w:ascii="Calibri" w:eastAsia="Times New Roman" w:hAnsi="Calibri" w:cs="Calibri"/>
                <w:color w:val="000000"/>
                <w:sz w:val="20"/>
                <w:szCs w:val="20"/>
              </w:rPr>
            </w:pPr>
            <w:r w:rsidRPr="00000849">
              <w:rPr>
                <w:rFonts w:ascii="Calibri" w:eastAsia="Times New Roman" w:hAnsi="Calibri" w:cs="Calibri"/>
                <w:color w:val="000000"/>
                <w:sz w:val="20"/>
                <w:szCs w:val="20"/>
              </w:rPr>
              <w:t>Number of items</w:t>
            </w:r>
          </w:p>
        </w:tc>
        <w:tc>
          <w:tcPr>
            <w:tcW w:w="811" w:type="pct"/>
            <w:noWrap/>
            <w:hideMark/>
          </w:tcPr>
          <w:p w14:paraId="785C7635" w14:textId="77777777" w:rsidR="009A56DE" w:rsidRPr="00000849" w:rsidRDefault="009A56DE" w:rsidP="009A56DE">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p>
        </w:tc>
        <w:tc>
          <w:tcPr>
            <w:tcW w:w="1199" w:type="pct"/>
            <w:noWrap/>
            <w:hideMark/>
          </w:tcPr>
          <w:p w14:paraId="0E2FCC2A" w14:textId="77777777" w:rsidR="009A56DE" w:rsidRPr="00000849" w:rsidRDefault="009A56DE" w:rsidP="00D65CD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31</w:t>
            </w:r>
          </w:p>
        </w:tc>
        <w:tc>
          <w:tcPr>
            <w:tcW w:w="1182" w:type="pct"/>
            <w:noWrap/>
            <w:hideMark/>
          </w:tcPr>
          <w:p w14:paraId="5AB812F1" w14:textId="77777777" w:rsidR="009A56DE" w:rsidRPr="00000849" w:rsidRDefault="009A56DE" w:rsidP="00D65CD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00849">
              <w:rPr>
                <w:rFonts w:ascii="Calibri" w:eastAsia="Times New Roman" w:hAnsi="Calibri" w:cs="Calibri"/>
                <w:color w:val="000000"/>
                <w:sz w:val="20"/>
                <w:szCs w:val="20"/>
              </w:rPr>
              <w:t>30</w:t>
            </w:r>
          </w:p>
        </w:tc>
      </w:tr>
    </w:tbl>
    <w:p w14:paraId="551509CB" w14:textId="1D213B4B" w:rsidR="009B47FF" w:rsidRPr="00000849" w:rsidRDefault="009B47FF">
      <w:pPr>
        <w:spacing w:after="160" w:line="259" w:lineRule="auto"/>
      </w:pPr>
    </w:p>
    <w:p w14:paraId="1EEC6DF6" w14:textId="3498680C" w:rsidR="00A77C07" w:rsidRPr="00000849" w:rsidRDefault="00A77C07" w:rsidP="00143B7E">
      <w:pPr>
        <w:pStyle w:val="Heading3"/>
        <w:rPr>
          <w:lang w:val="en-US"/>
        </w:rPr>
      </w:pPr>
      <w:bookmarkStart w:id="147" w:name="_Toc51472176"/>
      <w:r w:rsidRPr="00000849">
        <w:rPr>
          <w:lang w:val="en-US"/>
        </w:rPr>
        <w:t xml:space="preserve">Table </w:t>
      </w:r>
      <w:r w:rsidR="00290D25" w:rsidRPr="00000849">
        <w:rPr>
          <w:lang w:val="en-US"/>
        </w:rPr>
        <w:t xml:space="preserve">A6  </w:t>
      </w:r>
      <w:r w:rsidRPr="00000849">
        <w:t>Total variance explained in principal component analysis to compute wealth index in SAGE Ghana Study Waves</w:t>
      </w:r>
      <w:bookmarkEnd w:id="147"/>
    </w:p>
    <w:tbl>
      <w:tblPr>
        <w:tblStyle w:val="PlainTable1"/>
        <w:tblW w:w="5000" w:type="pct"/>
        <w:tblInd w:w="0" w:type="dxa"/>
        <w:tblLook w:val="06A0" w:firstRow="1" w:lastRow="0" w:firstColumn="1" w:lastColumn="0" w:noHBand="1" w:noVBand="1"/>
      </w:tblPr>
      <w:tblGrid>
        <w:gridCol w:w="997"/>
        <w:gridCol w:w="546"/>
        <w:gridCol w:w="784"/>
        <w:gridCol w:w="1066"/>
        <w:gridCol w:w="546"/>
        <w:gridCol w:w="784"/>
        <w:gridCol w:w="1219"/>
        <w:gridCol w:w="546"/>
        <w:gridCol w:w="784"/>
        <w:gridCol w:w="1029"/>
      </w:tblGrid>
      <w:tr w:rsidR="00A77C07" w:rsidRPr="00000849" w14:paraId="4F149704" w14:textId="77777777" w:rsidTr="00000849">
        <w:trPr>
          <w:cnfStyle w:val="100000000000" w:firstRow="1" w:lastRow="0" w:firstColumn="0" w:lastColumn="0" w:oddVBand="0" w:evenVBand="0" w:oddHBand="0" w:evenHBand="0" w:firstRowFirstColumn="0" w:firstRowLastColumn="0" w:lastRowFirstColumn="0" w:lastRowLastColumn="0"/>
          <w:divId w:val="623388224"/>
          <w:trHeight w:val="566"/>
        </w:trPr>
        <w:tc>
          <w:tcPr>
            <w:cnfStyle w:val="001000000000" w:firstRow="0" w:lastRow="0" w:firstColumn="1" w:lastColumn="0" w:oddVBand="0" w:evenVBand="0" w:oddHBand="0" w:evenHBand="0" w:firstRowFirstColumn="0" w:firstRowLastColumn="0" w:lastRowFirstColumn="0" w:lastRowLastColumn="0"/>
            <w:tcW w:w="161" w:type="pct"/>
            <w:hideMark/>
          </w:tcPr>
          <w:p w14:paraId="78689F77" w14:textId="77777777" w:rsidR="00A77C07" w:rsidRPr="00000849" w:rsidRDefault="00A77C07" w:rsidP="00FB6DE4">
            <w:pPr>
              <w:spacing w:after="0" w:line="240" w:lineRule="auto"/>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Component</w:t>
            </w:r>
          </w:p>
        </w:tc>
        <w:tc>
          <w:tcPr>
            <w:tcW w:w="1590" w:type="pct"/>
            <w:gridSpan w:val="3"/>
            <w:hideMark/>
          </w:tcPr>
          <w:p w14:paraId="60BA8C25" w14:textId="77777777" w:rsidR="00A77C07" w:rsidRPr="00000849" w:rsidRDefault="00A77C07" w:rsidP="00FB6DE4">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Initial Eigenvalues</w:t>
            </w:r>
          </w:p>
        </w:tc>
        <w:tc>
          <w:tcPr>
            <w:tcW w:w="1682" w:type="pct"/>
            <w:gridSpan w:val="3"/>
            <w:hideMark/>
          </w:tcPr>
          <w:p w14:paraId="29C8F68E" w14:textId="4891EFFF" w:rsidR="00A77C07" w:rsidRPr="00000849" w:rsidRDefault="00A77C07" w:rsidP="004E23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Extraction Sums of Squared Loadings </w:t>
            </w:r>
          </w:p>
        </w:tc>
        <w:tc>
          <w:tcPr>
            <w:tcW w:w="1566" w:type="pct"/>
            <w:gridSpan w:val="3"/>
            <w:hideMark/>
          </w:tcPr>
          <w:p w14:paraId="5544E511" w14:textId="2EA11A1C" w:rsidR="00A77C07" w:rsidRPr="00000849" w:rsidRDefault="00A77C07" w:rsidP="004E235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Rotation Sums of Squared Loadings</w:t>
            </w:r>
          </w:p>
        </w:tc>
      </w:tr>
      <w:tr w:rsidR="00A77C07" w:rsidRPr="00000849" w14:paraId="4401B2EE"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hideMark/>
          </w:tcPr>
          <w:p w14:paraId="63F24620" w14:textId="77777777" w:rsidR="00FB6DE4" w:rsidRPr="00000849" w:rsidRDefault="00FB6DE4" w:rsidP="00FB6DE4">
            <w:pPr>
              <w:spacing w:after="0" w:line="240" w:lineRule="auto"/>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 </w:t>
            </w:r>
          </w:p>
        </w:tc>
        <w:tc>
          <w:tcPr>
            <w:tcW w:w="142" w:type="pct"/>
            <w:hideMark/>
          </w:tcPr>
          <w:p w14:paraId="60791303"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Total</w:t>
            </w:r>
          </w:p>
        </w:tc>
        <w:tc>
          <w:tcPr>
            <w:tcW w:w="142" w:type="pct"/>
            <w:hideMark/>
          </w:tcPr>
          <w:p w14:paraId="1FDB4EA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 of Variance</w:t>
            </w:r>
          </w:p>
        </w:tc>
        <w:tc>
          <w:tcPr>
            <w:tcW w:w="1306" w:type="pct"/>
            <w:hideMark/>
          </w:tcPr>
          <w:p w14:paraId="3B6634F7"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Cumulative %</w:t>
            </w:r>
          </w:p>
        </w:tc>
        <w:tc>
          <w:tcPr>
            <w:tcW w:w="142" w:type="pct"/>
            <w:hideMark/>
          </w:tcPr>
          <w:p w14:paraId="5B0AB3B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Total</w:t>
            </w:r>
          </w:p>
        </w:tc>
        <w:tc>
          <w:tcPr>
            <w:tcW w:w="142" w:type="pct"/>
            <w:hideMark/>
          </w:tcPr>
          <w:p w14:paraId="449D07A3"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 of Variance</w:t>
            </w:r>
          </w:p>
        </w:tc>
        <w:tc>
          <w:tcPr>
            <w:tcW w:w="1398" w:type="pct"/>
            <w:hideMark/>
          </w:tcPr>
          <w:p w14:paraId="573ACCBC"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Cumulative %</w:t>
            </w:r>
          </w:p>
        </w:tc>
        <w:tc>
          <w:tcPr>
            <w:tcW w:w="142" w:type="pct"/>
            <w:hideMark/>
          </w:tcPr>
          <w:p w14:paraId="05CD1DF2"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Total</w:t>
            </w:r>
          </w:p>
        </w:tc>
        <w:tc>
          <w:tcPr>
            <w:tcW w:w="142" w:type="pct"/>
            <w:hideMark/>
          </w:tcPr>
          <w:p w14:paraId="290271A1"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 of Variance</w:t>
            </w:r>
          </w:p>
        </w:tc>
        <w:tc>
          <w:tcPr>
            <w:tcW w:w="1282" w:type="pct"/>
            <w:hideMark/>
          </w:tcPr>
          <w:p w14:paraId="5DCE077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Cumulative %</w:t>
            </w:r>
          </w:p>
        </w:tc>
      </w:tr>
      <w:tr w:rsidR="00FB6DE4" w:rsidRPr="00000849" w14:paraId="21C1A0A6"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5000" w:type="pct"/>
            <w:gridSpan w:val="10"/>
            <w:shd w:val="clear" w:color="auto" w:fill="auto"/>
            <w:hideMark/>
          </w:tcPr>
          <w:p w14:paraId="103A259D"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Wave 1</w:t>
            </w:r>
          </w:p>
        </w:tc>
      </w:tr>
      <w:tr w:rsidR="00A77C07" w:rsidRPr="00000849" w14:paraId="753B5796"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1C3CC504"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w:t>
            </w:r>
          </w:p>
        </w:tc>
        <w:tc>
          <w:tcPr>
            <w:tcW w:w="142" w:type="pct"/>
            <w:noWrap/>
            <w:hideMark/>
          </w:tcPr>
          <w:p w14:paraId="625EF39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6.30</w:t>
            </w:r>
          </w:p>
        </w:tc>
        <w:tc>
          <w:tcPr>
            <w:tcW w:w="142" w:type="pct"/>
            <w:noWrap/>
            <w:hideMark/>
          </w:tcPr>
          <w:p w14:paraId="6FB37FC1"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20.32</w:t>
            </w:r>
          </w:p>
        </w:tc>
        <w:tc>
          <w:tcPr>
            <w:tcW w:w="1306" w:type="pct"/>
            <w:noWrap/>
            <w:hideMark/>
          </w:tcPr>
          <w:p w14:paraId="54390D24"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20.32</w:t>
            </w:r>
          </w:p>
        </w:tc>
        <w:tc>
          <w:tcPr>
            <w:tcW w:w="142" w:type="pct"/>
            <w:noWrap/>
            <w:hideMark/>
          </w:tcPr>
          <w:p w14:paraId="2BBA0C00"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6.30</w:t>
            </w:r>
          </w:p>
        </w:tc>
        <w:tc>
          <w:tcPr>
            <w:tcW w:w="142" w:type="pct"/>
            <w:noWrap/>
            <w:hideMark/>
          </w:tcPr>
          <w:p w14:paraId="1B6B2163"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20.32</w:t>
            </w:r>
          </w:p>
        </w:tc>
        <w:tc>
          <w:tcPr>
            <w:tcW w:w="1398" w:type="pct"/>
            <w:noWrap/>
            <w:hideMark/>
          </w:tcPr>
          <w:p w14:paraId="77EC8E1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20.32</w:t>
            </w:r>
          </w:p>
        </w:tc>
        <w:tc>
          <w:tcPr>
            <w:tcW w:w="142" w:type="pct"/>
            <w:noWrap/>
            <w:hideMark/>
          </w:tcPr>
          <w:p w14:paraId="4913A188"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3.59</w:t>
            </w:r>
          </w:p>
        </w:tc>
        <w:tc>
          <w:tcPr>
            <w:tcW w:w="142" w:type="pct"/>
            <w:noWrap/>
            <w:hideMark/>
          </w:tcPr>
          <w:p w14:paraId="1128B973"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11.58</w:t>
            </w:r>
          </w:p>
        </w:tc>
        <w:tc>
          <w:tcPr>
            <w:tcW w:w="1282" w:type="pct"/>
            <w:noWrap/>
            <w:hideMark/>
          </w:tcPr>
          <w:p w14:paraId="625F187D"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11.58</w:t>
            </w:r>
          </w:p>
        </w:tc>
      </w:tr>
      <w:tr w:rsidR="00A77C07" w:rsidRPr="00000849" w14:paraId="1058D949"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009C1014"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w:t>
            </w:r>
          </w:p>
        </w:tc>
        <w:tc>
          <w:tcPr>
            <w:tcW w:w="142" w:type="pct"/>
            <w:noWrap/>
            <w:hideMark/>
          </w:tcPr>
          <w:p w14:paraId="7E218908"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2.97</w:t>
            </w:r>
          </w:p>
        </w:tc>
        <w:tc>
          <w:tcPr>
            <w:tcW w:w="142" w:type="pct"/>
            <w:noWrap/>
            <w:hideMark/>
          </w:tcPr>
          <w:p w14:paraId="6792F9D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9.58</w:t>
            </w:r>
          </w:p>
        </w:tc>
        <w:tc>
          <w:tcPr>
            <w:tcW w:w="1306" w:type="pct"/>
            <w:noWrap/>
            <w:hideMark/>
          </w:tcPr>
          <w:p w14:paraId="0C87446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29.89</w:t>
            </w:r>
          </w:p>
        </w:tc>
        <w:tc>
          <w:tcPr>
            <w:tcW w:w="142" w:type="pct"/>
            <w:noWrap/>
            <w:hideMark/>
          </w:tcPr>
          <w:p w14:paraId="3C58366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2.97</w:t>
            </w:r>
          </w:p>
        </w:tc>
        <w:tc>
          <w:tcPr>
            <w:tcW w:w="142" w:type="pct"/>
            <w:noWrap/>
            <w:hideMark/>
          </w:tcPr>
          <w:p w14:paraId="1F2CDBF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9.58</w:t>
            </w:r>
          </w:p>
        </w:tc>
        <w:tc>
          <w:tcPr>
            <w:tcW w:w="1398" w:type="pct"/>
            <w:noWrap/>
            <w:hideMark/>
          </w:tcPr>
          <w:p w14:paraId="16FFBA46"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29.89</w:t>
            </w:r>
          </w:p>
        </w:tc>
        <w:tc>
          <w:tcPr>
            <w:tcW w:w="142" w:type="pct"/>
            <w:noWrap/>
            <w:hideMark/>
          </w:tcPr>
          <w:p w14:paraId="6B99C89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2.35</w:t>
            </w:r>
          </w:p>
        </w:tc>
        <w:tc>
          <w:tcPr>
            <w:tcW w:w="142" w:type="pct"/>
            <w:noWrap/>
            <w:hideMark/>
          </w:tcPr>
          <w:p w14:paraId="05B18621"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7.60</w:t>
            </w:r>
          </w:p>
        </w:tc>
        <w:tc>
          <w:tcPr>
            <w:tcW w:w="1282" w:type="pct"/>
            <w:noWrap/>
            <w:hideMark/>
          </w:tcPr>
          <w:p w14:paraId="06734CE0"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19.18</w:t>
            </w:r>
          </w:p>
        </w:tc>
      </w:tr>
      <w:tr w:rsidR="00A77C07" w:rsidRPr="00000849" w14:paraId="7A6BDC04"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3B9489EE"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w:t>
            </w:r>
          </w:p>
        </w:tc>
        <w:tc>
          <w:tcPr>
            <w:tcW w:w="142" w:type="pct"/>
            <w:noWrap/>
            <w:hideMark/>
          </w:tcPr>
          <w:p w14:paraId="4C7C431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2.03</w:t>
            </w:r>
          </w:p>
        </w:tc>
        <w:tc>
          <w:tcPr>
            <w:tcW w:w="142" w:type="pct"/>
            <w:noWrap/>
            <w:hideMark/>
          </w:tcPr>
          <w:p w14:paraId="56264B61"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6.56</w:t>
            </w:r>
          </w:p>
        </w:tc>
        <w:tc>
          <w:tcPr>
            <w:tcW w:w="1306" w:type="pct"/>
            <w:noWrap/>
            <w:hideMark/>
          </w:tcPr>
          <w:p w14:paraId="16269E6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36.45</w:t>
            </w:r>
          </w:p>
        </w:tc>
        <w:tc>
          <w:tcPr>
            <w:tcW w:w="142" w:type="pct"/>
            <w:noWrap/>
            <w:hideMark/>
          </w:tcPr>
          <w:p w14:paraId="6297D146"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2.03</w:t>
            </w:r>
          </w:p>
        </w:tc>
        <w:tc>
          <w:tcPr>
            <w:tcW w:w="142" w:type="pct"/>
            <w:noWrap/>
            <w:hideMark/>
          </w:tcPr>
          <w:p w14:paraId="75444DE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6.56</w:t>
            </w:r>
          </w:p>
        </w:tc>
        <w:tc>
          <w:tcPr>
            <w:tcW w:w="1398" w:type="pct"/>
            <w:noWrap/>
            <w:hideMark/>
          </w:tcPr>
          <w:p w14:paraId="586EAC0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36.45</w:t>
            </w:r>
          </w:p>
        </w:tc>
        <w:tc>
          <w:tcPr>
            <w:tcW w:w="142" w:type="pct"/>
            <w:noWrap/>
            <w:hideMark/>
          </w:tcPr>
          <w:p w14:paraId="28CB7406"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2.33</w:t>
            </w:r>
          </w:p>
        </w:tc>
        <w:tc>
          <w:tcPr>
            <w:tcW w:w="142" w:type="pct"/>
            <w:noWrap/>
            <w:hideMark/>
          </w:tcPr>
          <w:p w14:paraId="202EC2F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7.51</w:t>
            </w:r>
          </w:p>
        </w:tc>
        <w:tc>
          <w:tcPr>
            <w:tcW w:w="1282" w:type="pct"/>
            <w:noWrap/>
            <w:hideMark/>
          </w:tcPr>
          <w:p w14:paraId="3CFABE8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26.68</w:t>
            </w:r>
          </w:p>
        </w:tc>
      </w:tr>
      <w:tr w:rsidR="00A77C07" w:rsidRPr="00000849" w14:paraId="02E79E9F"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16E46E48"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w:t>
            </w:r>
          </w:p>
        </w:tc>
        <w:tc>
          <w:tcPr>
            <w:tcW w:w="142" w:type="pct"/>
            <w:noWrap/>
            <w:hideMark/>
          </w:tcPr>
          <w:p w14:paraId="54677820"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1.49</w:t>
            </w:r>
          </w:p>
        </w:tc>
        <w:tc>
          <w:tcPr>
            <w:tcW w:w="142" w:type="pct"/>
            <w:noWrap/>
            <w:hideMark/>
          </w:tcPr>
          <w:p w14:paraId="207857C4"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4.82</w:t>
            </w:r>
          </w:p>
        </w:tc>
        <w:tc>
          <w:tcPr>
            <w:tcW w:w="1306" w:type="pct"/>
            <w:noWrap/>
            <w:hideMark/>
          </w:tcPr>
          <w:p w14:paraId="43CBC282"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41.27</w:t>
            </w:r>
          </w:p>
        </w:tc>
        <w:tc>
          <w:tcPr>
            <w:tcW w:w="142" w:type="pct"/>
            <w:noWrap/>
            <w:hideMark/>
          </w:tcPr>
          <w:p w14:paraId="7AF1D9ED"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1.49</w:t>
            </w:r>
          </w:p>
        </w:tc>
        <w:tc>
          <w:tcPr>
            <w:tcW w:w="142" w:type="pct"/>
            <w:noWrap/>
            <w:hideMark/>
          </w:tcPr>
          <w:p w14:paraId="2B425E1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4.82</w:t>
            </w:r>
          </w:p>
        </w:tc>
        <w:tc>
          <w:tcPr>
            <w:tcW w:w="1398" w:type="pct"/>
            <w:noWrap/>
            <w:hideMark/>
          </w:tcPr>
          <w:p w14:paraId="2C20A872"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41.27</w:t>
            </w:r>
          </w:p>
        </w:tc>
        <w:tc>
          <w:tcPr>
            <w:tcW w:w="142" w:type="pct"/>
            <w:noWrap/>
            <w:hideMark/>
          </w:tcPr>
          <w:p w14:paraId="7BEADC33"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2.26</w:t>
            </w:r>
          </w:p>
        </w:tc>
        <w:tc>
          <w:tcPr>
            <w:tcW w:w="142" w:type="pct"/>
            <w:noWrap/>
            <w:hideMark/>
          </w:tcPr>
          <w:p w14:paraId="7C0E98F8"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7.30</w:t>
            </w:r>
          </w:p>
        </w:tc>
        <w:tc>
          <w:tcPr>
            <w:tcW w:w="1282" w:type="pct"/>
            <w:noWrap/>
            <w:hideMark/>
          </w:tcPr>
          <w:p w14:paraId="570F5974"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33.99</w:t>
            </w:r>
          </w:p>
        </w:tc>
      </w:tr>
      <w:tr w:rsidR="00A77C07" w:rsidRPr="00000849" w14:paraId="5B6F9799"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0ABCE752"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w:t>
            </w:r>
          </w:p>
        </w:tc>
        <w:tc>
          <w:tcPr>
            <w:tcW w:w="142" w:type="pct"/>
            <w:noWrap/>
            <w:hideMark/>
          </w:tcPr>
          <w:p w14:paraId="0C02F90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1.25</w:t>
            </w:r>
          </w:p>
        </w:tc>
        <w:tc>
          <w:tcPr>
            <w:tcW w:w="142" w:type="pct"/>
            <w:noWrap/>
            <w:hideMark/>
          </w:tcPr>
          <w:p w14:paraId="69194466"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4.03</w:t>
            </w:r>
          </w:p>
        </w:tc>
        <w:tc>
          <w:tcPr>
            <w:tcW w:w="1306" w:type="pct"/>
            <w:noWrap/>
            <w:hideMark/>
          </w:tcPr>
          <w:p w14:paraId="0961E217"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45.30</w:t>
            </w:r>
          </w:p>
        </w:tc>
        <w:tc>
          <w:tcPr>
            <w:tcW w:w="142" w:type="pct"/>
            <w:noWrap/>
            <w:hideMark/>
          </w:tcPr>
          <w:p w14:paraId="0B2B418F"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1.25</w:t>
            </w:r>
          </w:p>
        </w:tc>
        <w:tc>
          <w:tcPr>
            <w:tcW w:w="142" w:type="pct"/>
            <w:noWrap/>
            <w:hideMark/>
          </w:tcPr>
          <w:p w14:paraId="157EBD14"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4.03</w:t>
            </w:r>
          </w:p>
        </w:tc>
        <w:tc>
          <w:tcPr>
            <w:tcW w:w="1398" w:type="pct"/>
            <w:noWrap/>
            <w:hideMark/>
          </w:tcPr>
          <w:p w14:paraId="3A286F9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45.30</w:t>
            </w:r>
          </w:p>
        </w:tc>
        <w:tc>
          <w:tcPr>
            <w:tcW w:w="142" w:type="pct"/>
            <w:noWrap/>
            <w:hideMark/>
          </w:tcPr>
          <w:p w14:paraId="3C4E176D"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2.04</w:t>
            </w:r>
          </w:p>
        </w:tc>
        <w:tc>
          <w:tcPr>
            <w:tcW w:w="142" w:type="pct"/>
            <w:noWrap/>
            <w:hideMark/>
          </w:tcPr>
          <w:p w14:paraId="1AE5781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6.59</w:t>
            </w:r>
          </w:p>
        </w:tc>
        <w:tc>
          <w:tcPr>
            <w:tcW w:w="1282" w:type="pct"/>
            <w:noWrap/>
            <w:hideMark/>
          </w:tcPr>
          <w:p w14:paraId="703C7C0B"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40.58</w:t>
            </w:r>
          </w:p>
        </w:tc>
      </w:tr>
      <w:tr w:rsidR="00A77C07" w:rsidRPr="00000849" w14:paraId="77EBAA17"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6317AE1C"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6</w:t>
            </w:r>
          </w:p>
        </w:tc>
        <w:tc>
          <w:tcPr>
            <w:tcW w:w="142" w:type="pct"/>
            <w:noWrap/>
            <w:hideMark/>
          </w:tcPr>
          <w:p w14:paraId="1E7F46BC"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1.10</w:t>
            </w:r>
          </w:p>
        </w:tc>
        <w:tc>
          <w:tcPr>
            <w:tcW w:w="142" w:type="pct"/>
            <w:noWrap/>
            <w:hideMark/>
          </w:tcPr>
          <w:p w14:paraId="13C9569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3.54</w:t>
            </w:r>
          </w:p>
        </w:tc>
        <w:tc>
          <w:tcPr>
            <w:tcW w:w="1306" w:type="pct"/>
            <w:noWrap/>
            <w:hideMark/>
          </w:tcPr>
          <w:p w14:paraId="2E0CA758"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48.84</w:t>
            </w:r>
          </w:p>
        </w:tc>
        <w:tc>
          <w:tcPr>
            <w:tcW w:w="142" w:type="pct"/>
            <w:noWrap/>
            <w:hideMark/>
          </w:tcPr>
          <w:p w14:paraId="367C9A6F"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1.10</w:t>
            </w:r>
          </w:p>
        </w:tc>
        <w:tc>
          <w:tcPr>
            <w:tcW w:w="142" w:type="pct"/>
            <w:noWrap/>
            <w:hideMark/>
          </w:tcPr>
          <w:p w14:paraId="653D6864"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3.54</w:t>
            </w:r>
          </w:p>
        </w:tc>
        <w:tc>
          <w:tcPr>
            <w:tcW w:w="1398" w:type="pct"/>
            <w:noWrap/>
            <w:hideMark/>
          </w:tcPr>
          <w:p w14:paraId="7FDABCE2"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48.84</w:t>
            </w:r>
          </w:p>
        </w:tc>
        <w:tc>
          <w:tcPr>
            <w:tcW w:w="142" w:type="pct"/>
            <w:noWrap/>
            <w:hideMark/>
          </w:tcPr>
          <w:p w14:paraId="058D3446"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1.75</w:t>
            </w:r>
          </w:p>
        </w:tc>
        <w:tc>
          <w:tcPr>
            <w:tcW w:w="142" w:type="pct"/>
            <w:noWrap/>
            <w:hideMark/>
          </w:tcPr>
          <w:p w14:paraId="151B12CF"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5.65</w:t>
            </w:r>
          </w:p>
        </w:tc>
        <w:tc>
          <w:tcPr>
            <w:tcW w:w="1282" w:type="pct"/>
            <w:noWrap/>
            <w:hideMark/>
          </w:tcPr>
          <w:p w14:paraId="4AAD5D93"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46.23</w:t>
            </w:r>
          </w:p>
        </w:tc>
      </w:tr>
      <w:tr w:rsidR="00A77C07" w:rsidRPr="00000849" w14:paraId="5EE10C30"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26E91E75"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7</w:t>
            </w:r>
          </w:p>
        </w:tc>
        <w:tc>
          <w:tcPr>
            <w:tcW w:w="142" w:type="pct"/>
            <w:noWrap/>
            <w:hideMark/>
          </w:tcPr>
          <w:p w14:paraId="584229C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1.07</w:t>
            </w:r>
          </w:p>
        </w:tc>
        <w:tc>
          <w:tcPr>
            <w:tcW w:w="142" w:type="pct"/>
            <w:noWrap/>
            <w:hideMark/>
          </w:tcPr>
          <w:p w14:paraId="7D495E67"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3.44</w:t>
            </w:r>
          </w:p>
        </w:tc>
        <w:tc>
          <w:tcPr>
            <w:tcW w:w="1306" w:type="pct"/>
            <w:noWrap/>
            <w:hideMark/>
          </w:tcPr>
          <w:p w14:paraId="02B78E9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52.28</w:t>
            </w:r>
          </w:p>
        </w:tc>
        <w:tc>
          <w:tcPr>
            <w:tcW w:w="142" w:type="pct"/>
            <w:noWrap/>
            <w:hideMark/>
          </w:tcPr>
          <w:p w14:paraId="56E592A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1.07</w:t>
            </w:r>
          </w:p>
        </w:tc>
        <w:tc>
          <w:tcPr>
            <w:tcW w:w="142" w:type="pct"/>
            <w:noWrap/>
            <w:hideMark/>
          </w:tcPr>
          <w:p w14:paraId="403867DD"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3.44</w:t>
            </w:r>
          </w:p>
        </w:tc>
        <w:tc>
          <w:tcPr>
            <w:tcW w:w="1398" w:type="pct"/>
            <w:noWrap/>
            <w:hideMark/>
          </w:tcPr>
          <w:p w14:paraId="4EF56D8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52.28</w:t>
            </w:r>
          </w:p>
        </w:tc>
        <w:tc>
          <w:tcPr>
            <w:tcW w:w="142" w:type="pct"/>
            <w:noWrap/>
            <w:hideMark/>
          </w:tcPr>
          <w:p w14:paraId="38782252"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1.56</w:t>
            </w:r>
          </w:p>
        </w:tc>
        <w:tc>
          <w:tcPr>
            <w:tcW w:w="142" w:type="pct"/>
            <w:noWrap/>
            <w:hideMark/>
          </w:tcPr>
          <w:p w14:paraId="73C97FCC"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5.02</w:t>
            </w:r>
          </w:p>
        </w:tc>
        <w:tc>
          <w:tcPr>
            <w:tcW w:w="1282" w:type="pct"/>
            <w:noWrap/>
            <w:hideMark/>
          </w:tcPr>
          <w:p w14:paraId="1438B76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51.25</w:t>
            </w:r>
          </w:p>
        </w:tc>
      </w:tr>
      <w:tr w:rsidR="00A77C07" w:rsidRPr="00000849" w14:paraId="4408098B"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7A9D6D7E"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8</w:t>
            </w:r>
          </w:p>
        </w:tc>
        <w:tc>
          <w:tcPr>
            <w:tcW w:w="142" w:type="pct"/>
            <w:noWrap/>
            <w:hideMark/>
          </w:tcPr>
          <w:p w14:paraId="047E75BC"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1.01</w:t>
            </w:r>
          </w:p>
        </w:tc>
        <w:tc>
          <w:tcPr>
            <w:tcW w:w="142" w:type="pct"/>
            <w:noWrap/>
            <w:hideMark/>
          </w:tcPr>
          <w:p w14:paraId="027763A0"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3.26</w:t>
            </w:r>
          </w:p>
        </w:tc>
        <w:tc>
          <w:tcPr>
            <w:tcW w:w="1306" w:type="pct"/>
            <w:noWrap/>
            <w:hideMark/>
          </w:tcPr>
          <w:p w14:paraId="393598B0"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55.54</w:t>
            </w:r>
          </w:p>
        </w:tc>
        <w:tc>
          <w:tcPr>
            <w:tcW w:w="142" w:type="pct"/>
            <w:noWrap/>
            <w:hideMark/>
          </w:tcPr>
          <w:p w14:paraId="582F6E2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1.01</w:t>
            </w:r>
          </w:p>
        </w:tc>
        <w:tc>
          <w:tcPr>
            <w:tcW w:w="142" w:type="pct"/>
            <w:noWrap/>
            <w:hideMark/>
          </w:tcPr>
          <w:p w14:paraId="2EA2CE2D"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3.26</w:t>
            </w:r>
          </w:p>
        </w:tc>
        <w:tc>
          <w:tcPr>
            <w:tcW w:w="1398" w:type="pct"/>
            <w:noWrap/>
            <w:hideMark/>
          </w:tcPr>
          <w:p w14:paraId="36CC6AA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55.54</w:t>
            </w:r>
          </w:p>
        </w:tc>
        <w:tc>
          <w:tcPr>
            <w:tcW w:w="142" w:type="pct"/>
            <w:noWrap/>
            <w:hideMark/>
          </w:tcPr>
          <w:p w14:paraId="5B24DF30"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1.33</w:t>
            </w:r>
          </w:p>
        </w:tc>
        <w:tc>
          <w:tcPr>
            <w:tcW w:w="142" w:type="pct"/>
            <w:noWrap/>
            <w:hideMark/>
          </w:tcPr>
          <w:p w14:paraId="30930FB4"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4.29</w:t>
            </w:r>
          </w:p>
        </w:tc>
        <w:tc>
          <w:tcPr>
            <w:tcW w:w="1282" w:type="pct"/>
            <w:noWrap/>
            <w:hideMark/>
          </w:tcPr>
          <w:p w14:paraId="14CE2903"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55.54</w:t>
            </w:r>
          </w:p>
        </w:tc>
      </w:tr>
      <w:tr w:rsidR="00FB6DE4" w:rsidRPr="00000849" w14:paraId="057183AD"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5000" w:type="pct"/>
            <w:gridSpan w:val="10"/>
            <w:shd w:val="clear" w:color="auto" w:fill="auto"/>
            <w:noWrap/>
            <w:hideMark/>
          </w:tcPr>
          <w:p w14:paraId="0362EED8"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Wave 2</w:t>
            </w:r>
          </w:p>
        </w:tc>
      </w:tr>
      <w:tr w:rsidR="00A77C07" w:rsidRPr="00000849" w14:paraId="1F538A6E"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6ED547F4"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w:t>
            </w:r>
          </w:p>
        </w:tc>
        <w:tc>
          <w:tcPr>
            <w:tcW w:w="142" w:type="pct"/>
            <w:noWrap/>
            <w:hideMark/>
          </w:tcPr>
          <w:p w14:paraId="0736601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5.97</w:t>
            </w:r>
          </w:p>
        </w:tc>
        <w:tc>
          <w:tcPr>
            <w:tcW w:w="142" w:type="pct"/>
            <w:noWrap/>
            <w:hideMark/>
          </w:tcPr>
          <w:p w14:paraId="4C1217C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19.91</w:t>
            </w:r>
          </w:p>
        </w:tc>
        <w:tc>
          <w:tcPr>
            <w:tcW w:w="1306" w:type="pct"/>
            <w:noWrap/>
            <w:hideMark/>
          </w:tcPr>
          <w:p w14:paraId="6D26B53C"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19.91</w:t>
            </w:r>
          </w:p>
        </w:tc>
        <w:tc>
          <w:tcPr>
            <w:tcW w:w="142" w:type="pct"/>
            <w:noWrap/>
            <w:hideMark/>
          </w:tcPr>
          <w:p w14:paraId="0103A261"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5.97</w:t>
            </w:r>
          </w:p>
        </w:tc>
        <w:tc>
          <w:tcPr>
            <w:tcW w:w="142" w:type="pct"/>
            <w:noWrap/>
            <w:hideMark/>
          </w:tcPr>
          <w:p w14:paraId="03792627"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19.91</w:t>
            </w:r>
          </w:p>
        </w:tc>
        <w:tc>
          <w:tcPr>
            <w:tcW w:w="1398" w:type="pct"/>
            <w:noWrap/>
            <w:hideMark/>
          </w:tcPr>
          <w:p w14:paraId="59B96183"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19.91</w:t>
            </w:r>
          </w:p>
        </w:tc>
        <w:tc>
          <w:tcPr>
            <w:tcW w:w="142" w:type="pct"/>
            <w:noWrap/>
            <w:hideMark/>
          </w:tcPr>
          <w:p w14:paraId="37DEBE88"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4.37</w:t>
            </w:r>
          </w:p>
        </w:tc>
        <w:tc>
          <w:tcPr>
            <w:tcW w:w="142" w:type="pct"/>
            <w:noWrap/>
            <w:hideMark/>
          </w:tcPr>
          <w:p w14:paraId="77403D1F"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14.56</w:t>
            </w:r>
          </w:p>
        </w:tc>
        <w:tc>
          <w:tcPr>
            <w:tcW w:w="1282" w:type="pct"/>
            <w:noWrap/>
            <w:hideMark/>
          </w:tcPr>
          <w:p w14:paraId="7675C6AB"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14.56</w:t>
            </w:r>
          </w:p>
        </w:tc>
      </w:tr>
      <w:tr w:rsidR="00A77C07" w:rsidRPr="00000849" w14:paraId="566D9A0F"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62F25E9F"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w:t>
            </w:r>
          </w:p>
        </w:tc>
        <w:tc>
          <w:tcPr>
            <w:tcW w:w="142" w:type="pct"/>
            <w:noWrap/>
            <w:hideMark/>
          </w:tcPr>
          <w:p w14:paraId="0724F09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3.12</w:t>
            </w:r>
          </w:p>
        </w:tc>
        <w:tc>
          <w:tcPr>
            <w:tcW w:w="142" w:type="pct"/>
            <w:noWrap/>
            <w:hideMark/>
          </w:tcPr>
          <w:p w14:paraId="2F2EFA92"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10.39</w:t>
            </w:r>
          </w:p>
        </w:tc>
        <w:tc>
          <w:tcPr>
            <w:tcW w:w="1306" w:type="pct"/>
            <w:noWrap/>
            <w:hideMark/>
          </w:tcPr>
          <w:p w14:paraId="384F767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30.29</w:t>
            </w:r>
          </w:p>
        </w:tc>
        <w:tc>
          <w:tcPr>
            <w:tcW w:w="142" w:type="pct"/>
            <w:noWrap/>
            <w:hideMark/>
          </w:tcPr>
          <w:p w14:paraId="5B80EC14"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3.12</w:t>
            </w:r>
          </w:p>
        </w:tc>
        <w:tc>
          <w:tcPr>
            <w:tcW w:w="142" w:type="pct"/>
            <w:noWrap/>
            <w:hideMark/>
          </w:tcPr>
          <w:p w14:paraId="7BED993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10.39</w:t>
            </w:r>
          </w:p>
        </w:tc>
        <w:tc>
          <w:tcPr>
            <w:tcW w:w="1398" w:type="pct"/>
            <w:noWrap/>
            <w:hideMark/>
          </w:tcPr>
          <w:p w14:paraId="651C175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30.29</w:t>
            </w:r>
          </w:p>
        </w:tc>
        <w:tc>
          <w:tcPr>
            <w:tcW w:w="142" w:type="pct"/>
            <w:noWrap/>
            <w:hideMark/>
          </w:tcPr>
          <w:p w14:paraId="01B94E23"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3.37</w:t>
            </w:r>
          </w:p>
        </w:tc>
        <w:tc>
          <w:tcPr>
            <w:tcW w:w="142" w:type="pct"/>
            <w:noWrap/>
            <w:hideMark/>
          </w:tcPr>
          <w:p w14:paraId="3CF75827"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11.24</w:t>
            </w:r>
          </w:p>
        </w:tc>
        <w:tc>
          <w:tcPr>
            <w:tcW w:w="1282" w:type="pct"/>
            <w:noWrap/>
            <w:hideMark/>
          </w:tcPr>
          <w:p w14:paraId="77FD95ED"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25.79</w:t>
            </w:r>
          </w:p>
        </w:tc>
      </w:tr>
      <w:tr w:rsidR="00A77C07" w:rsidRPr="00000849" w14:paraId="699414CD"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45BC201E"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w:t>
            </w:r>
          </w:p>
        </w:tc>
        <w:tc>
          <w:tcPr>
            <w:tcW w:w="142" w:type="pct"/>
            <w:noWrap/>
            <w:hideMark/>
          </w:tcPr>
          <w:p w14:paraId="5D29039A"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2.55</w:t>
            </w:r>
          </w:p>
        </w:tc>
        <w:tc>
          <w:tcPr>
            <w:tcW w:w="142" w:type="pct"/>
            <w:noWrap/>
            <w:hideMark/>
          </w:tcPr>
          <w:p w14:paraId="097C099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8.51</w:t>
            </w:r>
          </w:p>
        </w:tc>
        <w:tc>
          <w:tcPr>
            <w:tcW w:w="1306" w:type="pct"/>
            <w:noWrap/>
            <w:hideMark/>
          </w:tcPr>
          <w:p w14:paraId="76885C6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38.81</w:t>
            </w:r>
          </w:p>
        </w:tc>
        <w:tc>
          <w:tcPr>
            <w:tcW w:w="142" w:type="pct"/>
            <w:noWrap/>
            <w:hideMark/>
          </w:tcPr>
          <w:p w14:paraId="684E2CB1"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2.55</w:t>
            </w:r>
          </w:p>
        </w:tc>
        <w:tc>
          <w:tcPr>
            <w:tcW w:w="142" w:type="pct"/>
            <w:noWrap/>
            <w:hideMark/>
          </w:tcPr>
          <w:p w14:paraId="1A15689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8.51</w:t>
            </w:r>
          </w:p>
        </w:tc>
        <w:tc>
          <w:tcPr>
            <w:tcW w:w="1398" w:type="pct"/>
            <w:noWrap/>
            <w:hideMark/>
          </w:tcPr>
          <w:p w14:paraId="4259CD48"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38.81</w:t>
            </w:r>
          </w:p>
        </w:tc>
        <w:tc>
          <w:tcPr>
            <w:tcW w:w="142" w:type="pct"/>
            <w:noWrap/>
            <w:hideMark/>
          </w:tcPr>
          <w:p w14:paraId="0A2522F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2.79</w:t>
            </w:r>
          </w:p>
        </w:tc>
        <w:tc>
          <w:tcPr>
            <w:tcW w:w="142" w:type="pct"/>
            <w:noWrap/>
            <w:hideMark/>
          </w:tcPr>
          <w:p w14:paraId="4DBC29F6"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9.30</w:t>
            </w:r>
          </w:p>
        </w:tc>
        <w:tc>
          <w:tcPr>
            <w:tcW w:w="1282" w:type="pct"/>
            <w:noWrap/>
            <w:hideMark/>
          </w:tcPr>
          <w:p w14:paraId="46A2AB57"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35.09</w:t>
            </w:r>
          </w:p>
        </w:tc>
      </w:tr>
      <w:tr w:rsidR="00A77C07" w:rsidRPr="00000849" w14:paraId="7656A50F"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70EEE166"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w:t>
            </w:r>
          </w:p>
        </w:tc>
        <w:tc>
          <w:tcPr>
            <w:tcW w:w="142" w:type="pct"/>
            <w:noWrap/>
            <w:hideMark/>
          </w:tcPr>
          <w:p w14:paraId="1749F99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1.47</w:t>
            </w:r>
          </w:p>
        </w:tc>
        <w:tc>
          <w:tcPr>
            <w:tcW w:w="142" w:type="pct"/>
            <w:noWrap/>
            <w:hideMark/>
          </w:tcPr>
          <w:p w14:paraId="0BF919A8"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4.91</w:t>
            </w:r>
          </w:p>
        </w:tc>
        <w:tc>
          <w:tcPr>
            <w:tcW w:w="1306" w:type="pct"/>
            <w:noWrap/>
            <w:hideMark/>
          </w:tcPr>
          <w:p w14:paraId="6E5A08E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43.72</w:t>
            </w:r>
          </w:p>
        </w:tc>
        <w:tc>
          <w:tcPr>
            <w:tcW w:w="142" w:type="pct"/>
            <w:noWrap/>
            <w:hideMark/>
          </w:tcPr>
          <w:p w14:paraId="0F14CC68"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1.47</w:t>
            </w:r>
          </w:p>
        </w:tc>
        <w:tc>
          <w:tcPr>
            <w:tcW w:w="142" w:type="pct"/>
            <w:noWrap/>
            <w:hideMark/>
          </w:tcPr>
          <w:p w14:paraId="2BF26BB4"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4.91</w:t>
            </w:r>
          </w:p>
        </w:tc>
        <w:tc>
          <w:tcPr>
            <w:tcW w:w="1398" w:type="pct"/>
            <w:noWrap/>
            <w:hideMark/>
          </w:tcPr>
          <w:p w14:paraId="0E1A9B88"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43.72</w:t>
            </w:r>
          </w:p>
        </w:tc>
        <w:tc>
          <w:tcPr>
            <w:tcW w:w="142" w:type="pct"/>
            <w:noWrap/>
            <w:hideMark/>
          </w:tcPr>
          <w:p w14:paraId="2DCD5A4B"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1.88</w:t>
            </w:r>
          </w:p>
        </w:tc>
        <w:tc>
          <w:tcPr>
            <w:tcW w:w="142" w:type="pct"/>
            <w:noWrap/>
            <w:hideMark/>
          </w:tcPr>
          <w:p w14:paraId="3A0DB754"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6.25</w:t>
            </w:r>
          </w:p>
        </w:tc>
        <w:tc>
          <w:tcPr>
            <w:tcW w:w="1282" w:type="pct"/>
            <w:noWrap/>
            <w:hideMark/>
          </w:tcPr>
          <w:p w14:paraId="3B3EE151"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41.35</w:t>
            </w:r>
          </w:p>
        </w:tc>
      </w:tr>
      <w:tr w:rsidR="00A77C07" w:rsidRPr="00000849" w14:paraId="42ED1920"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750718F9"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w:t>
            </w:r>
          </w:p>
        </w:tc>
        <w:tc>
          <w:tcPr>
            <w:tcW w:w="142" w:type="pct"/>
            <w:noWrap/>
            <w:hideMark/>
          </w:tcPr>
          <w:p w14:paraId="2C55F14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1.24</w:t>
            </w:r>
          </w:p>
        </w:tc>
        <w:tc>
          <w:tcPr>
            <w:tcW w:w="142" w:type="pct"/>
            <w:noWrap/>
            <w:hideMark/>
          </w:tcPr>
          <w:p w14:paraId="7816357D"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4.14</w:t>
            </w:r>
          </w:p>
        </w:tc>
        <w:tc>
          <w:tcPr>
            <w:tcW w:w="1306" w:type="pct"/>
            <w:noWrap/>
            <w:hideMark/>
          </w:tcPr>
          <w:p w14:paraId="070EF08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47.86</w:t>
            </w:r>
          </w:p>
        </w:tc>
        <w:tc>
          <w:tcPr>
            <w:tcW w:w="142" w:type="pct"/>
            <w:noWrap/>
            <w:hideMark/>
          </w:tcPr>
          <w:p w14:paraId="632F19AD"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1.24</w:t>
            </w:r>
          </w:p>
        </w:tc>
        <w:tc>
          <w:tcPr>
            <w:tcW w:w="142" w:type="pct"/>
            <w:noWrap/>
            <w:hideMark/>
          </w:tcPr>
          <w:p w14:paraId="20F8F47D"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4.14</w:t>
            </w:r>
          </w:p>
        </w:tc>
        <w:tc>
          <w:tcPr>
            <w:tcW w:w="1398" w:type="pct"/>
            <w:noWrap/>
            <w:hideMark/>
          </w:tcPr>
          <w:p w14:paraId="09C835C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47.86</w:t>
            </w:r>
          </w:p>
        </w:tc>
        <w:tc>
          <w:tcPr>
            <w:tcW w:w="142" w:type="pct"/>
            <w:noWrap/>
            <w:hideMark/>
          </w:tcPr>
          <w:p w14:paraId="60C4E3DF"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1.70</w:t>
            </w:r>
          </w:p>
        </w:tc>
        <w:tc>
          <w:tcPr>
            <w:tcW w:w="142" w:type="pct"/>
            <w:noWrap/>
            <w:hideMark/>
          </w:tcPr>
          <w:p w14:paraId="7C66B926"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5.67</w:t>
            </w:r>
          </w:p>
        </w:tc>
        <w:tc>
          <w:tcPr>
            <w:tcW w:w="1282" w:type="pct"/>
            <w:noWrap/>
            <w:hideMark/>
          </w:tcPr>
          <w:p w14:paraId="0BD9F087"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47.01</w:t>
            </w:r>
          </w:p>
        </w:tc>
      </w:tr>
      <w:tr w:rsidR="00A77C07" w:rsidRPr="00000849" w14:paraId="798E367D" w14:textId="77777777" w:rsidTr="00000849">
        <w:trPr>
          <w:divId w:val="623388224"/>
          <w:trHeight w:val="295"/>
        </w:trPr>
        <w:tc>
          <w:tcPr>
            <w:cnfStyle w:val="001000000000" w:firstRow="0" w:lastRow="0" w:firstColumn="1" w:lastColumn="0" w:oddVBand="0" w:evenVBand="0" w:oddHBand="0" w:evenHBand="0" w:firstRowFirstColumn="0" w:firstRowLastColumn="0" w:lastRowFirstColumn="0" w:lastRowLastColumn="0"/>
            <w:tcW w:w="161" w:type="pct"/>
            <w:noWrap/>
            <w:hideMark/>
          </w:tcPr>
          <w:p w14:paraId="1CE9AF4D" w14:textId="77777777" w:rsidR="00FB6DE4" w:rsidRPr="00000849" w:rsidRDefault="00FB6DE4" w:rsidP="00FB6DE4">
            <w:pPr>
              <w:spacing w:after="0" w:line="240" w:lineRule="auto"/>
              <w:jc w:val="center"/>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6</w:t>
            </w:r>
          </w:p>
        </w:tc>
        <w:tc>
          <w:tcPr>
            <w:tcW w:w="142" w:type="pct"/>
            <w:noWrap/>
            <w:hideMark/>
          </w:tcPr>
          <w:p w14:paraId="4BF6EC2C"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1.20</w:t>
            </w:r>
          </w:p>
        </w:tc>
        <w:tc>
          <w:tcPr>
            <w:tcW w:w="142" w:type="pct"/>
            <w:noWrap/>
            <w:hideMark/>
          </w:tcPr>
          <w:p w14:paraId="5ACF2D9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4.01</w:t>
            </w:r>
          </w:p>
        </w:tc>
        <w:tc>
          <w:tcPr>
            <w:tcW w:w="1306" w:type="pct"/>
            <w:noWrap/>
            <w:hideMark/>
          </w:tcPr>
          <w:p w14:paraId="591529B6"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51.87</w:t>
            </w:r>
          </w:p>
        </w:tc>
        <w:tc>
          <w:tcPr>
            <w:tcW w:w="142" w:type="pct"/>
            <w:noWrap/>
            <w:hideMark/>
          </w:tcPr>
          <w:p w14:paraId="1BEE10DF"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1.20</w:t>
            </w:r>
          </w:p>
        </w:tc>
        <w:tc>
          <w:tcPr>
            <w:tcW w:w="142" w:type="pct"/>
            <w:noWrap/>
            <w:hideMark/>
          </w:tcPr>
          <w:p w14:paraId="170A081E"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4.01</w:t>
            </w:r>
          </w:p>
        </w:tc>
        <w:tc>
          <w:tcPr>
            <w:tcW w:w="1398" w:type="pct"/>
            <w:noWrap/>
            <w:hideMark/>
          </w:tcPr>
          <w:p w14:paraId="76E616D9"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51.87</w:t>
            </w:r>
          </w:p>
        </w:tc>
        <w:tc>
          <w:tcPr>
            <w:tcW w:w="142" w:type="pct"/>
            <w:noWrap/>
            <w:hideMark/>
          </w:tcPr>
          <w:p w14:paraId="74078C9F"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1.46</w:t>
            </w:r>
          </w:p>
        </w:tc>
        <w:tc>
          <w:tcPr>
            <w:tcW w:w="142" w:type="pct"/>
            <w:noWrap/>
            <w:hideMark/>
          </w:tcPr>
          <w:p w14:paraId="60AAB176"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4.86</w:t>
            </w:r>
          </w:p>
        </w:tc>
        <w:tc>
          <w:tcPr>
            <w:tcW w:w="1282" w:type="pct"/>
            <w:noWrap/>
            <w:hideMark/>
          </w:tcPr>
          <w:p w14:paraId="0F66E5E5" w14:textId="77777777" w:rsidR="00FB6DE4" w:rsidRPr="00000849" w:rsidRDefault="00FB6DE4" w:rsidP="00FB6DE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16"/>
                <w:szCs w:val="16"/>
                <w:lang w:eastAsia="en-GB"/>
              </w:rPr>
            </w:pPr>
            <w:r w:rsidRPr="00000849">
              <w:rPr>
                <w:rFonts w:ascii="Calibri" w:eastAsia="Times New Roman" w:hAnsi="Calibri" w:cs="Calibri"/>
                <w:sz w:val="16"/>
                <w:szCs w:val="16"/>
                <w:lang w:eastAsia="en-GB"/>
              </w:rPr>
              <w:t>51.87</w:t>
            </w:r>
          </w:p>
        </w:tc>
      </w:tr>
    </w:tbl>
    <w:p w14:paraId="3AC7E7DF" w14:textId="2217334D" w:rsidR="002639EB" w:rsidRPr="00000849" w:rsidRDefault="002639EB">
      <w:pPr>
        <w:spacing w:after="160" w:line="259" w:lineRule="auto"/>
      </w:pPr>
    </w:p>
    <w:p w14:paraId="6F17C9EA" w14:textId="77777777" w:rsidR="002639EB" w:rsidRPr="00000849" w:rsidRDefault="002639EB">
      <w:pPr>
        <w:spacing w:after="160" w:line="259" w:lineRule="auto"/>
      </w:pPr>
    </w:p>
    <w:p w14:paraId="21F0C493" w14:textId="77777777" w:rsidR="002639EB" w:rsidRPr="00000849" w:rsidRDefault="002639EB">
      <w:pPr>
        <w:spacing w:after="160" w:line="259" w:lineRule="auto"/>
        <w:sectPr w:rsidR="002639EB" w:rsidRPr="00000849" w:rsidSect="00143B7E">
          <w:pgSz w:w="11906" w:h="16838"/>
          <w:pgMar w:top="1440" w:right="1440" w:bottom="1440" w:left="2155" w:header="708" w:footer="708" w:gutter="0"/>
          <w:cols w:space="708"/>
          <w:docGrid w:linePitch="360"/>
        </w:sectPr>
      </w:pPr>
    </w:p>
    <w:p w14:paraId="6EC9187D" w14:textId="433D1BFE" w:rsidR="0082545F" w:rsidRPr="00000849" w:rsidRDefault="0082545F" w:rsidP="00A61BAB">
      <w:pPr>
        <w:pStyle w:val="Heading2"/>
      </w:pPr>
      <w:bookmarkStart w:id="148" w:name="_Toc51472177"/>
      <w:r w:rsidRPr="00000849">
        <w:lastRenderedPageBreak/>
        <w:t xml:space="preserve">Appendix </w:t>
      </w:r>
      <w:r w:rsidR="009A56DE" w:rsidRPr="00000849">
        <w:t>7</w:t>
      </w:r>
      <w:r w:rsidRPr="00000849">
        <w:t>: Ethical Approval for Secondary Analysis</w:t>
      </w:r>
      <w:bookmarkEnd w:id="148"/>
    </w:p>
    <w:p w14:paraId="5806646B" w14:textId="084743E7" w:rsidR="00217EE3" w:rsidRPr="00000849" w:rsidRDefault="00217EE3" w:rsidP="00217EE3"/>
    <w:p w14:paraId="31049F07" w14:textId="546BF15A" w:rsidR="00217EE3" w:rsidRPr="00000849" w:rsidRDefault="002C3F25" w:rsidP="00217EE3">
      <w:r w:rsidRPr="00000849">
        <w:rPr>
          <w:noProof/>
          <w:lang w:val="en-US"/>
        </w:rPr>
        <w:drawing>
          <wp:inline distT="0" distB="0" distL="0" distR="0" wp14:anchorId="4C16F152" wp14:editId="159B9B90">
            <wp:extent cx="4964430" cy="7532734"/>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lliam Bosu (FHMREC16038) ethics approval[47].tif"/>
                    <pic:cNvPicPr/>
                  </pic:nvPicPr>
                  <pic:blipFill>
                    <a:blip r:embed="rId413"/>
                    <a:stretch>
                      <a:fillRect/>
                    </a:stretch>
                  </pic:blipFill>
                  <pic:spPr>
                    <a:xfrm>
                      <a:off x="0" y="0"/>
                      <a:ext cx="4966194" cy="7535410"/>
                    </a:xfrm>
                    <a:prstGeom prst="rect">
                      <a:avLst/>
                    </a:prstGeom>
                  </pic:spPr>
                </pic:pic>
              </a:graphicData>
            </a:graphic>
          </wp:inline>
        </w:drawing>
      </w:r>
    </w:p>
    <w:p w14:paraId="2C976423" w14:textId="77777777" w:rsidR="00807B42" w:rsidRPr="00000849" w:rsidRDefault="00807B42">
      <w:pPr>
        <w:spacing w:after="160" w:line="259" w:lineRule="auto"/>
        <w:rPr>
          <w:rFonts w:cstheme="minorHAnsi"/>
          <w:sz w:val="24"/>
          <w:szCs w:val="24"/>
        </w:rPr>
        <w:sectPr w:rsidR="00807B42" w:rsidRPr="00000849" w:rsidSect="009E605B">
          <w:pgSz w:w="11906" w:h="16838"/>
          <w:pgMar w:top="1440" w:right="1440" w:bottom="1440" w:left="2155" w:header="708" w:footer="708" w:gutter="0"/>
          <w:cols w:space="708"/>
          <w:docGrid w:linePitch="360"/>
        </w:sectPr>
      </w:pPr>
    </w:p>
    <w:p w14:paraId="54B30E5E" w14:textId="1ABC221C" w:rsidR="00807B42" w:rsidRPr="00000849" w:rsidRDefault="00807B42" w:rsidP="00A61BAB">
      <w:pPr>
        <w:pStyle w:val="Heading2"/>
        <w:rPr>
          <w:lang w:val="en-US"/>
        </w:rPr>
      </w:pPr>
      <w:bookmarkStart w:id="149" w:name="_Toc51472178"/>
      <w:r w:rsidRPr="00000849">
        <w:rPr>
          <w:lang w:val="en-US"/>
        </w:rPr>
        <w:lastRenderedPageBreak/>
        <w:t xml:space="preserve">Appendix </w:t>
      </w:r>
      <w:r w:rsidR="009A56DE" w:rsidRPr="00000849">
        <w:rPr>
          <w:lang w:val="en-US"/>
        </w:rPr>
        <w:t>8</w:t>
      </w:r>
      <w:r w:rsidRPr="00000849">
        <w:rPr>
          <w:lang w:val="en-US"/>
        </w:rPr>
        <w:t xml:space="preserve">: </w:t>
      </w:r>
      <w:r w:rsidR="000C1794" w:rsidRPr="00000849">
        <w:rPr>
          <w:lang w:val="en-US"/>
        </w:rPr>
        <w:t>Single level l</w:t>
      </w:r>
      <w:r w:rsidRPr="00000849">
        <w:rPr>
          <w:lang w:val="en-US"/>
        </w:rPr>
        <w:t>ogistic regression tables</w:t>
      </w:r>
      <w:bookmarkEnd w:id="149"/>
    </w:p>
    <w:p w14:paraId="2FAFBF0B" w14:textId="47EF14ED" w:rsidR="00807B42" w:rsidRPr="00000849" w:rsidRDefault="00807B42">
      <w:pPr>
        <w:spacing w:after="160" w:line="259" w:lineRule="auto"/>
        <w:rPr>
          <w:rFonts w:cstheme="minorHAnsi"/>
          <w:sz w:val="24"/>
          <w:szCs w:val="24"/>
          <w:lang w:val="en-US"/>
        </w:rPr>
      </w:pPr>
    </w:p>
    <w:p w14:paraId="4500C34E" w14:textId="57E04E09" w:rsidR="00807B42" w:rsidRPr="00000849" w:rsidRDefault="00807B42" w:rsidP="004E2350">
      <w:pPr>
        <w:pStyle w:val="Heading3"/>
        <w:rPr>
          <w:lang w:val="en-US"/>
        </w:rPr>
      </w:pPr>
      <w:bookmarkStart w:id="150" w:name="_Toc51472179"/>
      <w:r w:rsidRPr="00000849">
        <w:rPr>
          <w:lang w:val="en-US"/>
        </w:rPr>
        <w:t xml:space="preserve">Table </w:t>
      </w:r>
      <w:r w:rsidR="00290D25" w:rsidRPr="00000849">
        <w:rPr>
          <w:lang w:val="en-US"/>
        </w:rPr>
        <w:t>A7</w:t>
      </w:r>
      <w:r w:rsidRPr="00000849">
        <w:rPr>
          <w:lang w:val="en-US"/>
        </w:rPr>
        <w:t>:</w:t>
      </w:r>
      <w:r w:rsidRPr="00000849">
        <w:rPr>
          <w:lang w:val="en-US"/>
        </w:rPr>
        <w:tab/>
        <w:t>Model build up for multivariable logistic regression in each study wave</w:t>
      </w:r>
      <w:bookmarkEnd w:id="150"/>
    </w:p>
    <w:p w14:paraId="5CD84B69" w14:textId="06025E17" w:rsidR="00807B42" w:rsidRPr="00000849" w:rsidRDefault="00807B42">
      <w:pPr>
        <w:spacing w:after="160" w:line="259" w:lineRule="auto"/>
        <w:rPr>
          <w:rFonts w:cstheme="minorHAnsi"/>
          <w:sz w:val="24"/>
          <w:szCs w:val="24"/>
          <w:lang w:val="en-US"/>
        </w:rPr>
      </w:pPr>
    </w:p>
    <w:tbl>
      <w:tblPr>
        <w:tblStyle w:val="PlainTable2"/>
        <w:tblW w:w="5000" w:type="pct"/>
        <w:tblLook w:val="06A0" w:firstRow="1" w:lastRow="0" w:firstColumn="1" w:lastColumn="0" w:noHBand="1" w:noVBand="1"/>
      </w:tblPr>
      <w:tblGrid>
        <w:gridCol w:w="2070"/>
        <w:gridCol w:w="1484"/>
        <w:gridCol w:w="1485"/>
        <w:gridCol w:w="1487"/>
        <w:gridCol w:w="1485"/>
        <w:gridCol w:w="1485"/>
        <w:gridCol w:w="1487"/>
        <w:gridCol w:w="1485"/>
        <w:gridCol w:w="1485"/>
      </w:tblGrid>
      <w:tr w:rsidR="005F31C4" w:rsidRPr="00000849" w14:paraId="4213E0C1" w14:textId="77777777" w:rsidTr="00821131">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742" w:type="pct"/>
            <w:tcBorders>
              <w:top w:val="single" w:sz="4" w:space="0" w:color="7F7F7F" w:themeColor="text1" w:themeTint="80"/>
              <w:right w:val="single" w:sz="4" w:space="0" w:color="auto"/>
            </w:tcBorders>
            <w:noWrap/>
            <w:hideMark/>
          </w:tcPr>
          <w:p w14:paraId="4379A27F" w14:textId="77777777" w:rsidR="005F31C4" w:rsidRPr="00000849" w:rsidRDefault="005F31C4" w:rsidP="00807B42">
            <w:pPr>
              <w:spacing w:after="0" w:line="240" w:lineRule="auto"/>
              <w:rPr>
                <w:rFonts w:ascii="Times New Roman" w:eastAsia="Times New Roman" w:hAnsi="Times New Roman" w:cs="Times New Roman"/>
                <w:b w:val="0"/>
                <w:bCs w:val="0"/>
                <w:sz w:val="17"/>
                <w:szCs w:val="17"/>
              </w:rPr>
            </w:pPr>
          </w:p>
        </w:tc>
        <w:tc>
          <w:tcPr>
            <w:tcW w:w="1064" w:type="pct"/>
            <w:gridSpan w:val="2"/>
            <w:tcBorders>
              <w:left w:val="single" w:sz="4" w:space="0" w:color="auto"/>
            </w:tcBorders>
            <w:noWrap/>
            <w:hideMark/>
          </w:tcPr>
          <w:p w14:paraId="2C5BAB0B" w14:textId="77777777" w:rsidR="005F31C4" w:rsidRPr="00000849" w:rsidRDefault="005F31C4" w:rsidP="00807B42">
            <w:pPr>
              <w:spacing w:after="0" w:line="24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1065" w:type="pct"/>
            <w:gridSpan w:val="2"/>
            <w:tcBorders>
              <w:top w:val="single" w:sz="4" w:space="0" w:color="7F7F7F" w:themeColor="text1" w:themeTint="80"/>
              <w:right w:val="single" w:sz="4" w:space="0" w:color="auto"/>
            </w:tcBorders>
            <w:noWrap/>
            <w:hideMark/>
          </w:tcPr>
          <w:p w14:paraId="53BD94B8" w14:textId="77777777" w:rsidR="005F31C4" w:rsidRPr="00000849" w:rsidRDefault="005F31C4" w:rsidP="00807B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7"/>
                <w:szCs w:val="17"/>
              </w:rPr>
            </w:pPr>
            <w:r w:rsidRPr="00000849">
              <w:rPr>
                <w:rFonts w:ascii="Calibri" w:eastAsia="Times New Roman" w:hAnsi="Calibri" w:cs="Calibri"/>
                <w:color w:val="000000"/>
                <w:sz w:val="17"/>
                <w:szCs w:val="17"/>
              </w:rPr>
              <w:t>Wave 1</w:t>
            </w:r>
          </w:p>
        </w:tc>
        <w:tc>
          <w:tcPr>
            <w:tcW w:w="1065" w:type="pct"/>
            <w:gridSpan w:val="2"/>
            <w:tcBorders>
              <w:left w:val="single" w:sz="4" w:space="0" w:color="auto"/>
            </w:tcBorders>
            <w:noWrap/>
            <w:hideMark/>
          </w:tcPr>
          <w:p w14:paraId="2AFF3AE0" w14:textId="77777777" w:rsidR="005F31C4" w:rsidRPr="00000849" w:rsidRDefault="005F31C4" w:rsidP="00807B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7"/>
                <w:szCs w:val="17"/>
              </w:rPr>
            </w:pPr>
          </w:p>
        </w:tc>
        <w:tc>
          <w:tcPr>
            <w:tcW w:w="1065" w:type="pct"/>
            <w:gridSpan w:val="2"/>
            <w:tcBorders>
              <w:top w:val="single" w:sz="4" w:space="0" w:color="7F7F7F" w:themeColor="text1" w:themeTint="80"/>
              <w:right w:val="single" w:sz="4" w:space="0" w:color="auto"/>
            </w:tcBorders>
            <w:noWrap/>
            <w:hideMark/>
          </w:tcPr>
          <w:p w14:paraId="1C8269A9" w14:textId="7E233AF8" w:rsidR="005F31C4" w:rsidRPr="00000849" w:rsidRDefault="005F31C4" w:rsidP="00807B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17"/>
                <w:szCs w:val="17"/>
              </w:rPr>
            </w:pPr>
            <w:r w:rsidRPr="00000849">
              <w:rPr>
                <w:rFonts w:ascii="Calibri" w:eastAsia="Times New Roman" w:hAnsi="Calibri" w:cs="Calibri"/>
                <w:color w:val="000000"/>
                <w:sz w:val="17"/>
                <w:szCs w:val="17"/>
              </w:rPr>
              <w:t xml:space="preserve">Wave 2 </w:t>
            </w:r>
          </w:p>
        </w:tc>
      </w:tr>
      <w:tr w:rsidR="005F31C4" w:rsidRPr="00000849" w14:paraId="0CB1EE28" w14:textId="77777777" w:rsidTr="00821131">
        <w:trPr>
          <w:trHeight w:val="5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0FA2164C"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V</w:t>
            </w:r>
            <w:r w:rsidRPr="00000849">
              <w:rPr>
                <w:rFonts w:ascii="Calibri" w:eastAsia="Times New Roman" w:hAnsi="Calibri" w:cs="Calibri"/>
                <w:color w:val="000000"/>
                <w:sz w:val="17"/>
                <w:szCs w:val="17"/>
              </w:rPr>
              <w:t>ariable</w:t>
            </w:r>
          </w:p>
        </w:tc>
        <w:tc>
          <w:tcPr>
            <w:tcW w:w="532" w:type="pct"/>
            <w:tcBorders>
              <w:left w:val="single" w:sz="4" w:space="0" w:color="auto"/>
            </w:tcBorders>
            <w:noWrap/>
            <w:hideMark/>
          </w:tcPr>
          <w:p w14:paraId="583E0E57"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7"/>
                <w:szCs w:val="17"/>
              </w:rPr>
            </w:pPr>
            <w:r w:rsidRPr="00000849">
              <w:rPr>
                <w:rFonts w:ascii="Calibri" w:eastAsia="Times New Roman" w:hAnsi="Calibri" w:cs="Calibri"/>
                <w:b/>
                <w:bCs/>
                <w:color w:val="000000"/>
                <w:sz w:val="17"/>
                <w:szCs w:val="17"/>
              </w:rPr>
              <w:t>Null</w:t>
            </w:r>
          </w:p>
        </w:tc>
        <w:tc>
          <w:tcPr>
            <w:tcW w:w="532" w:type="pct"/>
            <w:hideMark/>
          </w:tcPr>
          <w:p w14:paraId="5FB90A4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7"/>
                <w:szCs w:val="17"/>
              </w:rPr>
            </w:pPr>
            <w:r w:rsidRPr="00000849">
              <w:rPr>
                <w:rFonts w:ascii="Calibri" w:eastAsia="Times New Roman" w:hAnsi="Calibri" w:cs="Calibri"/>
                <w:b/>
                <w:bCs/>
                <w:color w:val="000000"/>
                <w:sz w:val="17"/>
                <w:szCs w:val="17"/>
              </w:rPr>
              <w:t>Model 1, OR (95% CI)</w:t>
            </w:r>
          </w:p>
        </w:tc>
        <w:tc>
          <w:tcPr>
            <w:tcW w:w="533" w:type="pct"/>
            <w:hideMark/>
          </w:tcPr>
          <w:p w14:paraId="58CD1EF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7"/>
                <w:szCs w:val="17"/>
              </w:rPr>
            </w:pPr>
            <w:r w:rsidRPr="00000849">
              <w:rPr>
                <w:rFonts w:ascii="Calibri" w:eastAsia="Times New Roman" w:hAnsi="Calibri" w:cs="Calibri"/>
                <w:b/>
                <w:bCs/>
                <w:color w:val="000000"/>
                <w:sz w:val="17"/>
                <w:szCs w:val="17"/>
              </w:rPr>
              <w:t>Model 2, OR (95% CI)</w:t>
            </w:r>
          </w:p>
        </w:tc>
        <w:tc>
          <w:tcPr>
            <w:tcW w:w="532" w:type="pct"/>
            <w:tcBorders>
              <w:right w:val="single" w:sz="4" w:space="0" w:color="auto"/>
            </w:tcBorders>
            <w:hideMark/>
          </w:tcPr>
          <w:p w14:paraId="502AA2C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7"/>
                <w:szCs w:val="17"/>
              </w:rPr>
            </w:pPr>
            <w:r w:rsidRPr="00000849">
              <w:rPr>
                <w:rFonts w:ascii="Calibri" w:eastAsia="Times New Roman" w:hAnsi="Calibri" w:cs="Calibri"/>
                <w:b/>
                <w:bCs/>
                <w:color w:val="000000"/>
                <w:sz w:val="17"/>
                <w:szCs w:val="17"/>
              </w:rPr>
              <w:t>Model 3, OR (95% CI)</w:t>
            </w:r>
          </w:p>
        </w:tc>
        <w:tc>
          <w:tcPr>
            <w:tcW w:w="532" w:type="pct"/>
            <w:tcBorders>
              <w:left w:val="single" w:sz="4" w:space="0" w:color="auto"/>
            </w:tcBorders>
            <w:hideMark/>
          </w:tcPr>
          <w:p w14:paraId="0EB3A87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7"/>
                <w:szCs w:val="17"/>
              </w:rPr>
            </w:pPr>
            <w:r w:rsidRPr="00000849">
              <w:rPr>
                <w:rFonts w:ascii="Calibri" w:eastAsia="Times New Roman" w:hAnsi="Calibri" w:cs="Calibri"/>
                <w:b/>
                <w:bCs/>
                <w:color w:val="000000"/>
                <w:sz w:val="17"/>
                <w:szCs w:val="17"/>
              </w:rPr>
              <w:t>Null</w:t>
            </w:r>
          </w:p>
        </w:tc>
        <w:tc>
          <w:tcPr>
            <w:tcW w:w="533" w:type="pct"/>
            <w:hideMark/>
          </w:tcPr>
          <w:p w14:paraId="1D521CC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7"/>
                <w:szCs w:val="17"/>
              </w:rPr>
            </w:pPr>
            <w:r w:rsidRPr="00000849">
              <w:rPr>
                <w:rFonts w:ascii="Calibri" w:eastAsia="Times New Roman" w:hAnsi="Calibri" w:cs="Calibri"/>
                <w:b/>
                <w:bCs/>
                <w:color w:val="000000"/>
                <w:sz w:val="17"/>
                <w:szCs w:val="17"/>
              </w:rPr>
              <w:t>Model 1, OR (95% CI)</w:t>
            </w:r>
          </w:p>
        </w:tc>
        <w:tc>
          <w:tcPr>
            <w:tcW w:w="532" w:type="pct"/>
            <w:hideMark/>
          </w:tcPr>
          <w:p w14:paraId="7227697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7"/>
                <w:szCs w:val="17"/>
              </w:rPr>
            </w:pPr>
            <w:r w:rsidRPr="00000849">
              <w:rPr>
                <w:rFonts w:ascii="Calibri" w:eastAsia="Times New Roman" w:hAnsi="Calibri" w:cs="Calibri"/>
                <w:b/>
                <w:bCs/>
                <w:color w:val="000000"/>
                <w:sz w:val="17"/>
                <w:szCs w:val="17"/>
              </w:rPr>
              <w:t>Model 2, OR (95% CI)</w:t>
            </w:r>
          </w:p>
        </w:tc>
        <w:tc>
          <w:tcPr>
            <w:tcW w:w="533" w:type="pct"/>
            <w:tcBorders>
              <w:right w:val="single" w:sz="4" w:space="0" w:color="auto"/>
            </w:tcBorders>
            <w:hideMark/>
          </w:tcPr>
          <w:p w14:paraId="6D06E72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7"/>
                <w:szCs w:val="17"/>
              </w:rPr>
            </w:pPr>
            <w:r w:rsidRPr="00000849">
              <w:rPr>
                <w:rFonts w:ascii="Calibri" w:eastAsia="Times New Roman" w:hAnsi="Calibri" w:cs="Calibri"/>
                <w:b/>
                <w:bCs/>
                <w:color w:val="000000"/>
                <w:sz w:val="17"/>
                <w:szCs w:val="17"/>
              </w:rPr>
              <w:t>Model 3, OR (95% CI)</w:t>
            </w:r>
          </w:p>
        </w:tc>
      </w:tr>
      <w:tr w:rsidR="005F31C4" w:rsidRPr="00000849" w14:paraId="1528A159"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210A3233"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Sex of respondent</w:t>
            </w:r>
          </w:p>
        </w:tc>
        <w:tc>
          <w:tcPr>
            <w:tcW w:w="532" w:type="pct"/>
            <w:tcBorders>
              <w:left w:val="single" w:sz="4" w:space="0" w:color="auto"/>
            </w:tcBorders>
            <w:hideMark/>
          </w:tcPr>
          <w:p w14:paraId="1F3494D0"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F3DB193"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3CD22F3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666A308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12D4022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A62A57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571F11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5F3BB22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0345471B"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52C29D96"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Males</w:t>
            </w:r>
          </w:p>
        </w:tc>
        <w:tc>
          <w:tcPr>
            <w:tcW w:w="532" w:type="pct"/>
            <w:tcBorders>
              <w:left w:val="single" w:sz="4" w:space="0" w:color="auto"/>
            </w:tcBorders>
            <w:noWrap/>
            <w:hideMark/>
          </w:tcPr>
          <w:p w14:paraId="0F245D8F"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0125F72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hideMark/>
          </w:tcPr>
          <w:p w14:paraId="2887D34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7DC166D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7F9445B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642CD9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hideMark/>
          </w:tcPr>
          <w:p w14:paraId="7BD6643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6AD0432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587ECB45"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13C585F1"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Females</w:t>
            </w:r>
          </w:p>
        </w:tc>
        <w:tc>
          <w:tcPr>
            <w:tcW w:w="532" w:type="pct"/>
            <w:tcBorders>
              <w:left w:val="single" w:sz="4" w:space="0" w:color="auto"/>
            </w:tcBorders>
            <w:noWrap/>
            <w:hideMark/>
          </w:tcPr>
          <w:p w14:paraId="1BB02BB2"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50891E8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1.11 (0.93-1.33)</w:t>
            </w:r>
          </w:p>
        </w:tc>
        <w:tc>
          <w:tcPr>
            <w:tcW w:w="533" w:type="pct"/>
            <w:hideMark/>
          </w:tcPr>
          <w:p w14:paraId="3765439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1.07 (0.89-1.29)</w:t>
            </w:r>
          </w:p>
        </w:tc>
        <w:tc>
          <w:tcPr>
            <w:tcW w:w="532" w:type="pct"/>
            <w:tcBorders>
              <w:right w:val="single" w:sz="4" w:space="0" w:color="auto"/>
            </w:tcBorders>
            <w:hideMark/>
          </w:tcPr>
          <w:p w14:paraId="42DDC45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0.99 (0.80-1.22)</w:t>
            </w:r>
          </w:p>
        </w:tc>
        <w:tc>
          <w:tcPr>
            <w:tcW w:w="532" w:type="pct"/>
            <w:tcBorders>
              <w:left w:val="single" w:sz="4" w:space="0" w:color="auto"/>
            </w:tcBorders>
            <w:hideMark/>
          </w:tcPr>
          <w:p w14:paraId="50C19C4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E9496B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0.97 (0.79-1.20)</w:t>
            </w:r>
          </w:p>
        </w:tc>
        <w:tc>
          <w:tcPr>
            <w:tcW w:w="532" w:type="pct"/>
            <w:hideMark/>
          </w:tcPr>
          <w:p w14:paraId="15661B2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0.96 (0.75-1.22)</w:t>
            </w:r>
          </w:p>
        </w:tc>
        <w:tc>
          <w:tcPr>
            <w:tcW w:w="533" w:type="pct"/>
            <w:tcBorders>
              <w:right w:val="single" w:sz="4" w:space="0" w:color="auto"/>
            </w:tcBorders>
            <w:hideMark/>
          </w:tcPr>
          <w:p w14:paraId="092BB37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0.83 (0.63-1.10)</w:t>
            </w:r>
          </w:p>
        </w:tc>
      </w:tr>
      <w:tr w:rsidR="005F31C4" w:rsidRPr="00000849" w14:paraId="4502DDD6"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348FA2C"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Age groups</w:t>
            </w:r>
          </w:p>
        </w:tc>
        <w:tc>
          <w:tcPr>
            <w:tcW w:w="532" w:type="pct"/>
            <w:tcBorders>
              <w:left w:val="single" w:sz="4" w:space="0" w:color="auto"/>
            </w:tcBorders>
            <w:hideMark/>
          </w:tcPr>
          <w:p w14:paraId="71B2373C"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5CFDDD0D"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1216171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747F846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5B0710C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91A6B8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459C8C8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21C74F5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5DEC0B8B"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1A053183"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50 - 64</w:t>
            </w:r>
          </w:p>
        </w:tc>
        <w:tc>
          <w:tcPr>
            <w:tcW w:w="532" w:type="pct"/>
            <w:tcBorders>
              <w:left w:val="single" w:sz="4" w:space="0" w:color="auto"/>
            </w:tcBorders>
            <w:noWrap/>
            <w:hideMark/>
          </w:tcPr>
          <w:p w14:paraId="54492F1A"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16A0E15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hideMark/>
          </w:tcPr>
          <w:p w14:paraId="34F1D23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3C19B13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40B057C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4824747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hideMark/>
          </w:tcPr>
          <w:p w14:paraId="3994C6C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1B9AC06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06016EB0"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4383AE62"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65 - 74</w:t>
            </w:r>
          </w:p>
        </w:tc>
        <w:tc>
          <w:tcPr>
            <w:tcW w:w="532" w:type="pct"/>
            <w:tcBorders>
              <w:left w:val="single" w:sz="4" w:space="0" w:color="auto"/>
            </w:tcBorders>
            <w:noWrap/>
            <w:hideMark/>
          </w:tcPr>
          <w:p w14:paraId="2DC5CC1B"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1833EDD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1.15 (0.97-1.36)</w:t>
            </w:r>
          </w:p>
        </w:tc>
        <w:tc>
          <w:tcPr>
            <w:tcW w:w="533" w:type="pct"/>
            <w:hideMark/>
          </w:tcPr>
          <w:p w14:paraId="1B39311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1.06 (0.88-1.26)</w:t>
            </w:r>
          </w:p>
        </w:tc>
        <w:tc>
          <w:tcPr>
            <w:tcW w:w="532" w:type="pct"/>
            <w:tcBorders>
              <w:right w:val="single" w:sz="4" w:space="0" w:color="auto"/>
            </w:tcBorders>
            <w:hideMark/>
          </w:tcPr>
          <w:p w14:paraId="7C1E331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1.14 (0.94-1.38)</w:t>
            </w:r>
          </w:p>
        </w:tc>
        <w:tc>
          <w:tcPr>
            <w:tcW w:w="532" w:type="pct"/>
            <w:tcBorders>
              <w:left w:val="single" w:sz="4" w:space="0" w:color="auto"/>
            </w:tcBorders>
            <w:hideMark/>
          </w:tcPr>
          <w:p w14:paraId="2D9A3E5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115557C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1.62*** (1.32-2.00)</w:t>
            </w:r>
          </w:p>
        </w:tc>
        <w:tc>
          <w:tcPr>
            <w:tcW w:w="532" w:type="pct"/>
            <w:hideMark/>
          </w:tcPr>
          <w:p w14:paraId="1216646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1.54*** (1.24-1.93)</w:t>
            </w:r>
          </w:p>
        </w:tc>
        <w:tc>
          <w:tcPr>
            <w:tcW w:w="533" w:type="pct"/>
            <w:tcBorders>
              <w:right w:val="single" w:sz="4" w:space="0" w:color="auto"/>
            </w:tcBorders>
            <w:hideMark/>
          </w:tcPr>
          <w:p w14:paraId="0015E8A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1.53*** (1.21-1.93)</w:t>
            </w:r>
          </w:p>
        </w:tc>
      </w:tr>
      <w:tr w:rsidR="005F31C4" w:rsidRPr="00000849" w14:paraId="2B51C065"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0000145B"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75-plus</w:t>
            </w:r>
          </w:p>
        </w:tc>
        <w:tc>
          <w:tcPr>
            <w:tcW w:w="532" w:type="pct"/>
            <w:tcBorders>
              <w:left w:val="single" w:sz="4" w:space="0" w:color="auto"/>
            </w:tcBorders>
            <w:noWrap/>
            <w:hideMark/>
          </w:tcPr>
          <w:p w14:paraId="1E19A64D"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590D972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0.93 (0.76-1.15)</w:t>
            </w:r>
          </w:p>
        </w:tc>
        <w:tc>
          <w:tcPr>
            <w:tcW w:w="533" w:type="pct"/>
            <w:hideMark/>
          </w:tcPr>
          <w:p w14:paraId="796C060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0.82 (0.65-1.04)</w:t>
            </w:r>
          </w:p>
        </w:tc>
        <w:tc>
          <w:tcPr>
            <w:tcW w:w="532" w:type="pct"/>
            <w:tcBorders>
              <w:right w:val="single" w:sz="4" w:space="0" w:color="auto"/>
            </w:tcBorders>
            <w:hideMark/>
          </w:tcPr>
          <w:p w14:paraId="4031605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0.96 (0.75-1.22)</w:t>
            </w:r>
          </w:p>
        </w:tc>
        <w:tc>
          <w:tcPr>
            <w:tcW w:w="532" w:type="pct"/>
            <w:tcBorders>
              <w:left w:val="single" w:sz="4" w:space="0" w:color="auto"/>
            </w:tcBorders>
            <w:hideMark/>
          </w:tcPr>
          <w:p w14:paraId="4148C86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03E2F5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1.51*** (1.21-1.89)</w:t>
            </w:r>
          </w:p>
        </w:tc>
        <w:tc>
          <w:tcPr>
            <w:tcW w:w="532" w:type="pct"/>
            <w:hideMark/>
          </w:tcPr>
          <w:p w14:paraId="0CAA7DA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1.36* (1.04-1.78)</w:t>
            </w:r>
          </w:p>
        </w:tc>
        <w:tc>
          <w:tcPr>
            <w:tcW w:w="533" w:type="pct"/>
            <w:tcBorders>
              <w:right w:val="single" w:sz="4" w:space="0" w:color="auto"/>
            </w:tcBorders>
            <w:hideMark/>
          </w:tcPr>
          <w:p w14:paraId="03A3959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1.40* (1.05-1.88)</w:t>
            </w:r>
          </w:p>
        </w:tc>
      </w:tr>
      <w:tr w:rsidR="005F31C4" w:rsidRPr="00000849" w14:paraId="5B61A099"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7A4EB2B6"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Type of residence</w:t>
            </w:r>
          </w:p>
        </w:tc>
        <w:tc>
          <w:tcPr>
            <w:tcW w:w="532" w:type="pct"/>
            <w:tcBorders>
              <w:left w:val="single" w:sz="4" w:space="0" w:color="auto"/>
            </w:tcBorders>
            <w:hideMark/>
          </w:tcPr>
          <w:p w14:paraId="382AF005"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6246CC0D"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510EFF9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476F264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0E1C726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45C74A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19F4628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4F753EB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7F32697B"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4B5AE4E0"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Rural</w:t>
            </w:r>
          </w:p>
        </w:tc>
        <w:tc>
          <w:tcPr>
            <w:tcW w:w="532" w:type="pct"/>
            <w:tcBorders>
              <w:left w:val="single" w:sz="4" w:space="0" w:color="auto"/>
            </w:tcBorders>
            <w:noWrap/>
            <w:hideMark/>
          </w:tcPr>
          <w:p w14:paraId="790B304D"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D48EC6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hideMark/>
          </w:tcPr>
          <w:p w14:paraId="31A179E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1ACDF73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6A910B0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59622CB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hideMark/>
          </w:tcPr>
          <w:p w14:paraId="265B5D4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1A152D2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2E36A008"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4C0589D8"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Urban</w:t>
            </w:r>
          </w:p>
        </w:tc>
        <w:tc>
          <w:tcPr>
            <w:tcW w:w="532" w:type="pct"/>
            <w:tcBorders>
              <w:left w:val="single" w:sz="4" w:space="0" w:color="auto"/>
            </w:tcBorders>
            <w:noWrap/>
            <w:hideMark/>
          </w:tcPr>
          <w:p w14:paraId="0B860E8B"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0E8B3A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1.50*** (1.28-1.77)</w:t>
            </w:r>
          </w:p>
        </w:tc>
        <w:tc>
          <w:tcPr>
            <w:tcW w:w="533" w:type="pct"/>
            <w:hideMark/>
          </w:tcPr>
          <w:p w14:paraId="6A3FE5C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 (0.99-1.44)</w:t>
            </w:r>
          </w:p>
        </w:tc>
        <w:tc>
          <w:tcPr>
            <w:tcW w:w="532" w:type="pct"/>
            <w:tcBorders>
              <w:right w:val="single" w:sz="4" w:space="0" w:color="auto"/>
            </w:tcBorders>
            <w:hideMark/>
          </w:tcPr>
          <w:p w14:paraId="305DF4C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1.19 (0.98-1.45)</w:t>
            </w:r>
          </w:p>
        </w:tc>
        <w:tc>
          <w:tcPr>
            <w:tcW w:w="532" w:type="pct"/>
            <w:tcBorders>
              <w:left w:val="single" w:sz="4" w:space="0" w:color="auto"/>
            </w:tcBorders>
            <w:hideMark/>
          </w:tcPr>
          <w:p w14:paraId="1F84641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4FF97A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1.46*** (1.19-1.78)</w:t>
            </w:r>
          </w:p>
        </w:tc>
        <w:tc>
          <w:tcPr>
            <w:tcW w:w="532" w:type="pct"/>
            <w:hideMark/>
          </w:tcPr>
          <w:p w14:paraId="4C68987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1.38** (1.08-1.76)</w:t>
            </w:r>
          </w:p>
        </w:tc>
        <w:tc>
          <w:tcPr>
            <w:tcW w:w="533" w:type="pct"/>
            <w:tcBorders>
              <w:right w:val="single" w:sz="4" w:space="0" w:color="auto"/>
            </w:tcBorders>
            <w:hideMark/>
          </w:tcPr>
          <w:p w14:paraId="63AEB23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1.29 (0.99-1.69)</w:t>
            </w:r>
          </w:p>
        </w:tc>
      </w:tr>
      <w:tr w:rsidR="005F31C4" w:rsidRPr="00000849" w14:paraId="3FC957C2" w14:textId="77777777" w:rsidTr="00821131">
        <w:trPr>
          <w:trHeight w:val="324"/>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0A61BBE"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Regional Groups</w:t>
            </w:r>
          </w:p>
        </w:tc>
        <w:tc>
          <w:tcPr>
            <w:tcW w:w="532" w:type="pct"/>
            <w:tcBorders>
              <w:left w:val="single" w:sz="4" w:space="0" w:color="auto"/>
            </w:tcBorders>
            <w:hideMark/>
          </w:tcPr>
          <w:p w14:paraId="7F82EA69"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5C67CCA8"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152340D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047B62F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0C90053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0C25731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13BC035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2ED98C0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711A0416"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2A38897D"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Northern regions</w:t>
            </w:r>
          </w:p>
        </w:tc>
        <w:tc>
          <w:tcPr>
            <w:tcW w:w="532" w:type="pct"/>
            <w:tcBorders>
              <w:left w:val="single" w:sz="4" w:space="0" w:color="auto"/>
            </w:tcBorders>
            <w:noWrap/>
            <w:hideMark/>
          </w:tcPr>
          <w:p w14:paraId="55FF5C59"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4086974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hideMark/>
          </w:tcPr>
          <w:p w14:paraId="06673E1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41C4C48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34B44B4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03B8D3A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hideMark/>
          </w:tcPr>
          <w:p w14:paraId="649BDCD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4A733E8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15D75C7D" w14:textId="77777777" w:rsidTr="00821131">
        <w:trPr>
          <w:trHeight w:val="46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0E1BAA3E"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Other regions</w:t>
            </w:r>
          </w:p>
        </w:tc>
        <w:tc>
          <w:tcPr>
            <w:tcW w:w="532" w:type="pct"/>
            <w:tcBorders>
              <w:left w:val="single" w:sz="4" w:space="0" w:color="auto"/>
            </w:tcBorders>
            <w:noWrap/>
            <w:hideMark/>
          </w:tcPr>
          <w:p w14:paraId="565ED5E1"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0F3FEBE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1.97*** (1.54-2.52)</w:t>
            </w:r>
          </w:p>
        </w:tc>
        <w:tc>
          <w:tcPr>
            <w:tcW w:w="533" w:type="pct"/>
            <w:hideMark/>
          </w:tcPr>
          <w:p w14:paraId="224A14F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1.84*** (1.38-2.44)</w:t>
            </w:r>
          </w:p>
        </w:tc>
        <w:tc>
          <w:tcPr>
            <w:tcW w:w="532" w:type="pct"/>
            <w:tcBorders>
              <w:right w:val="single" w:sz="4" w:space="0" w:color="auto"/>
            </w:tcBorders>
            <w:hideMark/>
          </w:tcPr>
          <w:p w14:paraId="0F1276D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1.96*** (1.46-2.63)</w:t>
            </w:r>
          </w:p>
        </w:tc>
        <w:tc>
          <w:tcPr>
            <w:tcW w:w="532" w:type="pct"/>
            <w:tcBorders>
              <w:left w:val="single" w:sz="4" w:space="0" w:color="auto"/>
            </w:tcBorders>
            <w:hideMark/>
          </w:tcPr>
          <w:p w14:paraId="5264B67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CB805A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1.29 (0.93-1.79)</w:t>
            </w:r>
          </w:p>
        </w:tc>
        <w:tc>
          <w:tcPr>
            <w:tcW w:w="532" w:type="pct"/>
            <w:hideMark/>
          </w:tcPr>
          <w:p w14:paraId="3ABEF55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1.19 (0.84-1.70)</w:t>
            </w:r>
          </w:p>
        </w:tc>
        <w:tc>
          <w:tcPr>
            <w:tcW w:w="533" w:type="pct"/>
            <w:tcBorders>
              <w:right w:val="single" w:sz="4" w:space="0" w:color="auto"/>
            </w:tcBorders>
            <w:hideMark/>
          </w:tcPr>
          <w:p w14:paraId="4AD72B0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1.11 (0.76-1.62)</w:t>
            </w:r>
          </w:p>
        </w:tc>
      </w:tr>
      <w:tr w:rsidR="005F31C4" w:rsidRPr="00000849" w14:paraId="1970FC55"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0203E8C0"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Greater Accra Region</w:t>
            </w:r>
          </w:p>
        </w:tc>
        <w:tc>
          <w:tcPr>
            <w:tcW w:w="532" w:type="pct"/>
            <w:tcBorders>
              <w:left w:val="single" w:sz="4" w:space="0" w:color="auto"/>
            </w:tcBorders>
            <w:noWrap/>
            <w:hideMark/>
          </w:tcPr>
          <w:p w14:paraId="6B04D036"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2B485E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2.29*** (1.63-3.24)</w:t>
            </w:r>
          </w:p>
        </w:tc>
        <w:tc>
          <w:tcPr>
            <w:tcW w:w="533" w:type="pct"/>
            <w:hideMark/>
          </w:tcPr>
          <w:p w14:paraId="5280E69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1.88** (1.29-2.75)</w:t>
            </w:r>
          </w:p>
        </w:tc>
        <w:tc>
          <w:tcPr>
            <w:tcW w:w="532" w:type="pct"/>
            <w:tcBorders>
              <w:right w:val="single" w:sz="4" w:space="0" w:color="auto"/>
            </w:tcBorders>
            <w:hideMark/>
          </w:tcPr>
          <w:p w14:paraId="361C527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1.96*** (1.32-2.92)</w:t>
            </w:r>
          </w:p>
        </w:tc>
        <w:tc>
          <w:tcPr>
            <w:tcW w:w="532" w:type="pct"/>
            <w:tcBorders>
              <w:left w:val="single" w:sz="4" w:space="0" w:color="auto"/>
            </w:tcBorders>
            <w:hideMark/>
          </w:tcPr>
          <w:p w14:paraId="77940D2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05CA337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3.12*** (1.89-5.13)</w:t>
            </w:r>
          </w:p>
        </w:tc>
        <w:tc>
          <w:tcPr>
            <w:tcW w:w="532" w:type="pct"/>
            <w:hideMark/>
          </w:tcPr>
          <w:p w14:paraId="3924439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2.87*** (1.68-4.91)</w:t>
            </w:r>
          </w:p>
        </w:tc>
        <w:tc>
          <w:tcPr>
            <w:tcW w:w="533" w:type="pct"/>
            <w:tcBorders>
              <w:right w:val="single" w:sz="4" w:space="0" w:color="auto"/>
            </w:tcBorders>
            <w:hideMark/>
          </w:tcPr>
          <w:p w14:paraId="3F4244B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2.56*** (1.47-4.48)</w:t>
            </w:r>
          </w:p>
        </w:tc>
      </w:tr>
      <w:tr w:rsidR="005F31C4" w:rsidRPr="00000849" w14:paraId="08C09CDA"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E8D0F77"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lastRenderedPageBreak/>
              <w:t xml:space="preserve">Marital status </w:t>
            </w:r>
          </w:p>
        </w:tc>
        <w:tc>
          <w:tcPr>
            <w:tcW w:w="532" w:type="pct"/>
            <w:tcBorders>
              <w:left w:val="single" w:sz="4" w:space="0" w:color="auto"/>
            </w:tcBorders>
            <w:hideMark/>
          </w:tcPr>
          <w:p w14:paraId="2496FFC1"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4FDE5971"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201A251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260D791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6DEB0E6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D94048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27E354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1ECE282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01A456D9" w14:textId="77777777" w:rsidTr="00821131">
        <w:trPr>
          <w:trHeight w:val="480"/>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604E0FEA"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Currently married or cohabiting</w:t>
            </w:r>
          </w:p>
        </w:tc>
        <w:tc>
          <w:tcPr>
            <w:tcW w:w="532" w:type="pct"/>
            <w:tcBorders>
              <w:left w:val="single" w:sz="4" w:space="0" w:color="auto"/>
            </w:tcBorders>
            <w:hideMark/>
          </w:tcPr>
          <w:p w14:paraId="2DC5711B"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0A90DE4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hideMark/>
          </w:tcPr>
          <w:p w14:paraId="72ABBF2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41D11CF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0E5071C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F293DB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hideMark/>
          </w:tcPr>
          <w:p w14:paraId="2C31D40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0E9FC0A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176D6B42" w14:textId="77777777" w:rsidTr="00821131">
        <w:trPr>
          <w:trHeight w:val="46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8A475C9"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Previously or never married</w:t>
            </w:r>
          </w:p>
        </w:tc>
        <w:tc>
          <w:tcPr>
            <w:tcW w:w="532" w:type="pct"/>
            <w:tcBorders>
              <w:left w:val="single" w:sz="4" w:space="0" w:color="auto"/>
            </w:tcBorders>
            <w:hideMark/>
          </w:tcPr>
          <w:p w14:paraId="78476746"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6651EA2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1.08 (0.90-1.30)</w:t>
            </w:r>
          </w:p>
        </w:tc>
        <w:tc>
          <w:tcPr>
            <w:tcW w:w="533" w:type="pct"/>
            <w:hideMark/>
          </w:tcPr>
          <w:p w14:paraId="6F914DE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1.11 (0.92-1.34)</w:t>
            </w:r>
          </w:p>
        </w:tc>
        <w:tc>
          <w:tcPr>
            <w:tcW w:w="532" w:type="pct"/>
            <w:tcBorders>
              <w:right w:val="single" w:sz="4" w:space="0" w:color="auto"/>
            </w:tcBorders>
            <w:hideMark/>
          </w:tcPr>
          <w:p w14:paraId="3466B8C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1.18 (0.97-1.44)</w:t>
            </w:r>
          </w:p>
        </w:tc>
        <w:tc>
          <w:tcPr>
            <w:tcW w:w="532" w:type="pct"/>
            <w:tcBorders>
              <w:left w:val="single" w:sz="4" w:space="0" w:color="auto"/>
            </w:tcBorders>
            <w:hideMark/>
          </w:tcPr>
          <w:p w14:paraId="63CAF7D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C93D01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1.43*** (1.17-1.73)</w:t>
            </w:r>
          </w:p>
        </w:tc>
        <w:tc>
          <w:tcPr>
            <w:tcW w:w="532" w:type="pct"/>
            <w:hideMark/>
          </w:tcPr>
          <w:p w14:paraId="4DA4123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1.38** (1.12-1.70)</w:t>
            </w:r>
          </w:p>
        </w:tc>
        <w:tc>
          <w:tcPr>
            <w:tcW w:w="533" w:type="pct"/>
            <w:tcBorders>
              <w:right w:val="single" w:sz="4" w:space="0" w:color="auto"/>
            </w:tcBorders>
            <w:hideMark/>
          </w:tcPr>
          <w:p w14:paraId="2A5CE4C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1.57*** (1.25-1.96)</w:t>
            </w:r>
          </w:p>
        </w:tc>
      </w:tr>
      <w:tr w:rsidR="005F31C4" w:rsidRPr="00000849" w14:paraId="017B7899"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5BB86F68"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Ethnicity</w:t>
            </w:r>
          </w:p>
        </w:tc>
        <w:tc>
          <w:tcPr>
            <w:tcW w:w="532" w:type="pct"/>
            <w:tcBorders>
              <w:left w:val="single" w:sz="4" w:space="0" w:color="auto"/>
            </w:tcBorders>
            <w:hideMark/>
          </w:tcPr>
          <w:p w14:paraId="4D96DDF8"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FCE503B"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18E8B8C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33069AB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1F6A3D3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49BA4B0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0ADE322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0936C26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35AE8CD6"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noWrap/>
            <w:hideMark/>
          </w:tcPr>
          <w:p w14:paraId="78CE4365"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Northern groups</w:t>
            </w:r>
          </w:p>
        </w:tc>
        <w:tc>
          <w:tcPr>
            <w:tcW w:w="532" w:type="pct"/>
            <w:tcBorders>
              <w:left w:val="single" w:sz="4" w:space="0" w:color="auto"/>
            </w:tcBorders>
            <w:noWrap/>
            <w:hideMark/>
          </w:tcPr>
          <w:p w14:paraId="1BFC7447"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F058D1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hideMark/>
          </w:tcPr>
          <w:p w14:paraId="5302F8F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3415B90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40681C3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50EEED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hideMark/>
          </w:tcPr>
          <w:p w14:paraId="58EDF39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3BA7C6B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020A0CCE"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45DACC3"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Akan</w:t>
            </w:r>
          </w:p>
        </w:tc>
        <w:tc>
          <w:tcPr>
            <w:tcW w:w="532" w:type="pct"/>
            <w:tcBorders>
              <w:left w:val="single" w:sz="4" w:space="0" w:color="auto"/>
            </w:tcBorders>
            <w:hideMark/>
          </w:tcPr>
          <w:p w14:paraId="18B95F1A"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1A822D0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0.89 (0.68-1.16)</w:t>
            </w:r>
          </w:p>
        </w:tc>
        <w:tc>
          <w:tcPr>
            <w:tcW w:w="533" w:type="pct"/>
            <w:hideMark/>
          </w:tcPr>
          <w:p w14:paraId="0F0560E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0.85 (0.65-1.13)</w:t>
            </w:r>
          </w:p>
        </w:tc>
        <w:tc>
          <w:tcPr>
            <w:tcW w:w="532" w:type="pct"/>
            <w:tcBorders>
              <w:right w:val="single" w:sz="4" w:space="0" w:color="auto"/>
            </w:tcBorders>
            <w:hideMark/>
          </w:tcPr>
          <w:p w14:paraId="5C64043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0.92 (0.69-1.22)</w:t>
            </w:r>
          </w:p>
        </w:tc>
        <w:tc>
          <w:tcPr>
            <w:tcW w:w="532" w:type="pct"/>
            <w:tcBorders>
              <w:left w:val="single" w:sz="4" w:space="0" w:color="auto"/>
            </w:tcBorders>
            <w:hideMark/>
          </w:tcPr>
          <w:p w14:paraId="0403957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1888DE8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 (0.79-1.52)</w:t>
            </w:r>
          </w:p>
        </w:tc>
        <w:tc>
          <w:tcPr>
            <w:tcW w:w="532" w:type="pct"/>
            <w:hideMark/>
          </w:tcPr>
          <w:p w14:paraId="55CCB52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1.14 (0.82-1.59)</w:t>
            </w:r>
          </w:p>
        </w:tc>
        <w:tc>
          <w:tcPr>
            <w:tcW w:w="533" w:type="pct"/>
            <w:tcBorders>
              <w:right w:val="single" w:sz="4" w:space="0" w:color="auto"/>
            </w:tcBorders>
            <w:hideMark/>
          </w:tcPr>
          <w:p w14:paraId="294EA58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1.17 (0.84-1.65)</w:t>
            </w:r>
          </w:p>
        </w:tc>
      </w:tr>
      <w:tr w:rsidR="005F31C4" w:rsidRPr="00000849" w14:paraId="2880A2CF"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5699D9EE"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Ga-Adangme</w:t>
            </w:r>
          </w:p>
        </w:tc>
        <w:tc>
          <w:tcPr>
            <w:tcW w:w="532" w:type="pct"/>
            <w:tcBorders>
              <w:left w:val="single" w:sz="4" w:space="0" w:color="auto"/>
            </w:tcBorders>
            <w:hideMark/>
          </w:tcPr>
          <w:p w14:paraId="674A67E9"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C814E6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0.79 (0.57-1.10)</w:t>
            </w:r>
          </w:p>
        </w:tc>
        <w:tc>
          <w:tcPr>
            <w:tcW w:w="533" w:type="pct"/>
            <w:hideMark/>
          </w:tcPr>
          <w:p w14:paraId="77AAA44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0.75 (0.54-1.04)</w:t>
            </w:r>
          </w:p>
        </w:tc>
        <w:tc>
          <w:tcPr>
            <w:tcW w:w="532" w:type="pct"/>
            <w:tcBorders>
              <w:right w:val="single" w:sz="4" w:space="0" w:color="auto"/>
            </w:tcBorders>
            <w:hideMark/>
          </w:tcPr>
          <w:p w14:paraId="686E361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0.8 (0.57-1.13)</w:t>
            </w:r>
          </w:p>
        </w:tc>
        <w:tc>
          <w:tcPr>
            <w:tcW w:w="532" w:type="pct"/>
            <w:tcBorders>
              <w:left w:val="single" w:sz="4" w:space="0" w:color="auto"/>
            </w:tcBorders>
            <w:hideMark/>
          </w:tcPr>
          <w:p w14:paraId="671D6CE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EE82A1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1.31 (0.89-1.93)</w:t>
            </w:r>
          </w:p>
        </w:tc>
        <w:tc>
          <w:tcPr>
            <w:tcW w:w="532" w:type="pct"/>
            <w:hideMark/>
          </w:tcPr>
          <w:p w14:paraId="5BA2BEF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1.35 (0.90-2.01)</w:t>
            </w:r>
          </w:p>
        </w:tc>
        <w:tc>
          <w:tcPr>
            <w:tcW w:w="533" w:type="pct"/>
            <w:tcBorders>
              <w:right w:val="single" w:sz="4" w:space="0" w:color="auto"/>
            </w:tcBorders>
            <w:hideMark/>
          </w:tcPr>
          <w:p w14:paraId="0D840BA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1.29 (0.85-1.95)</w:t>
            </w:r>
          </w:p>
        </w:tc>
      </w:tr>
      <w:tr w:rsidR="005F31C4" w:rsidRPr="00000849" w14:paraId="43AB2F85"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69F2A45B"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Others</w:t>
            </w:r>
          </w:p>
        </w:tc>
        <w:tc>
          <w:tcPr>
            <w:tcW w:w="532" w:type="pct"/>
            <w:tcBorders>
              <w:left w:val="single" w:sz="4" w:space="0" w:color="auto"/>
            </w:tcBorders>
            <w:hideMark/>
          </w:tcPr>
          <w:p w14:paraId="1C982A00"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14900DE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0.71* (0.54-0.93)</w:t>
            </w:r>
          </w:p>
        </w:tc>
        <w:tc>
          <w:tcPr>
            <w:tcW w:w="533" w:type="pct"/>
            <w:hideMark/>
          </w:tcPr>
          <w:p w14:paraId="757230D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0.68** (0.51-0.89)</w:t>
            </w:r>
          </w:p>
        </w:tc>
        <w:tc>
          <w:tcPr>
            <w:tcW w:w="532" w:type="pct"/>
            <w:tcBorders>
              <w:right w:val="single" w:sz="4" w:space="0" w:color="auto"/>
            </w:tcBorders>
            <w:hideMark/>
          </w:tcPr>
          <w:p w14:paraId="38C8340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0.71* (0.53-0.95)</w:t>
            </w:r>
          </w:p>
        </w:tc>
        <w:tc>
          <w:tcPr>
            <w:tcW w:w="532" w:type="pct"/>
            <w:tcBorders>
              <w:left w:val="single" w:sz="4" w:space="0" w:color="auto"/>
            </w:tcBorders>
            <w:hideMark/>
          </w:tcPr>
          <w:p w14:paraId="7380792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2B4EF7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1.37 (0.90-2.09)</w:t>
            </w:r>
          </w:p>
        </w:tc>
        <w:tc>
          <w:tcPr>
            <w:tcW w:w="532" w:type="pct"/>
            <w:hideMark/>
          </w:tcPr>
          <w:p w14:paraId="12536C7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1.42 (0.93-2.15)</w:t>
            </w:r>
          </w:p>
        </w:tc>
        <w:tc>
          <w:tcPr>
            <w:tcW w:w="533" w:type="pct"/>
            <w:tcBorders>
              <w:right w:val="single" w:sz="4" w:space="0" w:color="auto"/>
            </w:tcBorders>
            <w:hideMark/>
          </w:tcPr>
          <w:p w14:paraId="2575E37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 (0.83-2.03)</w:t>
            </w:r>
          </w:p>
        </w:tc>
      </w:tr>
      <w:tr w:rsidR="005F31C4" w:rsidRPr="00000849" w14:paraId="6FDDB987"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94ADD08"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Religious group</w:t>
            </w:r>
          </w:p>
        </w:tc>
        <w:tc>
          <w:tcPr>
            <w:tcW w:w="532" w:type="pct"/>
            <w:tcBorders>
              <w:left w:val="single" w:sz="4" w:space="0" w:color="auto"/>
            </w:tcBorders>
            <w:hideMark/>
          </w:tcPr>
          <w:p w14:paraId="680E3BF8"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051F7E8D"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2446987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43535A9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6FC6C1B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701B30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573D62E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6908894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3505AB45"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28235A4B"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Christian</w:t>
            </w:r>
          </w:p>
        </w:tc>
        <w:tc>
          <w:tcPr>
            <w:tcW w:w="532" w:type="pct"/>
            <w:tcBorders>
              <w:left w:val="single" w:sz="4" w:space="0" w:color="auto"/>
            </w:tcBorders>
            <w:hideMark/>
          </w:tcPr>
          <w:p w14:paraId="6F4BB899"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46F5BF1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hideMark/>
          </w:tcPr>
          <w:p w14:paraId="5CB1AD5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27542C2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632F124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1FDC675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hideMark/>
          </w:tcPr>
          <w:p w14:paraId="6576182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7E8960F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34C3DC74"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35885766"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Islam</w:t>
            </w:r>
          </w:p>
        </w:tc>
        <w:tc>
          <w:tcPr>
            <w:tcW w:w="532" w:type="pct"/>
            <w:tcBorders>
              <w:left w:val="single" w:sz="4" w:space="0" w:color="auto"/>
            </w:tcBorders>
            <w:hideMark/>
          </w:tcPr>
          <w:p w14:paraId="4A8DBC05"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A72EF1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1.27 (0.99-1.62)</w:t>
            </w:r>
          </w:p>
        </w:tc>
        <w:tc>
          <w:tcPr>
            <w:tcW w:w="533" w:type="pct"/>
            <w:hideMark/>
          </w:tcPr>
          <w:p w14:paraId="664B5F6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1.30* (1.00-1.68)</w:t>
            </w:r>
          </w:p>
        </w:tc>
        <w:tc>
          <w:tcPr>
            <w:tcW w:w="532" w:type="pct"/>
            <w:tcBorders>
              <w:right w:val="single" w:sz="4" w:space="0" w:color="auto"/>
            </w:tcBorders>
            <w:hideMark/>
          </w:tcPr>
          <w:p w14:paraId="7498040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1.24 (0.93-1.65)</w:t>
            </w:r>
          </w:p>
        </w:tc>
        <w:tc>
          <w:tcPr>
            <w:tcW w:w="532" w:type="pct"/>
            <w:tcBorders>
              <w:left w:val="single" w:sz="4" w:space="0" w:color="auto"/>
            </w:tcBorders>
            <w:hideMark/>
          </w:tcPr>
          <w:p w14:paraId="06DE716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1EB2658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1.50* (1.09-2.06)</w:t>
            </w:r>
          </w:p>
        </w:tc>
        <w:tc>
          <w:tcPr>
            <w:tcW w:w="532" w:type="pct"/>
            <w:hideMark/>
          </w:tcPr>
          <w:p w14:paraId="3CEC9F7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1.55** (1.12-2.17)</w:t>
            </w:r>
          </w:p>
        </w:tc>
        <w:tc>
          <w:tcPr>
            <w:tcW w:w="533" w:type="pct"/>
            <w:tcBorders>
              <w:right w:val="single" w:sz="4" w:space="0" w:color="auto"/>
            </w:tcBorders>
            <w:hideMark/>
          </w:tcPr>
          <w:p w14:paraId="5CAF5CE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1.60** (1.14-2.24)</w:t>
            </w:r>
          </w:p>
        </w:tc>
      </w:tr>
      <w:tr w:rsidR="005F31C4" w:rsidRPr="00000849" w14:paraId="2D9D70E8"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58ED3012"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Other</w:t>
            </w:r>
          </w:p>
        </w:tc>
        <w:tc>
          <w:tcPr>
            <w:tcW w:w="532" w:type="pct"/>
            <w:tcBorders>
              <w:left w:val="single" w:sz="4" w:space="0" w:color="auto"/>
            </w:tcBorders>
            <w:hideMark/>
          </w:tcPr>
          <w:p w14:paraId="1E5A0BE4"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F86EC2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 (0.72-1.13)</w:t>
            </w:r>
          </w:p>
        </w:tc>
        <w:tc>
          <w:tcPr>
            <w:tcW w:w="533" w:type="pct"/>
            <w:hideMark/>
          </w:tcPr>
          <w:p w14:paraId="761DF16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0.95 (0.75-1.19)</w:t>
            </w:r>
          </w:p>
        </w:tc>
        <w:tc>
          <w:tcPr>
            <w:tcW w:w="532" w:type="pct"/>
            <w:tcBorders>
              <w:right w:val="single" w:sz="4" w:space="0" w:color="auto"/>
            </w:tcBorders>
            <w:hideMark/>
          </w:tcPr>
          <w:p w14:paraId="75C2CB7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1.06 (0.83-1.36)</w:t>
            </w:r>
          </w:p>
        </w:tc>
        <w:tc>
          <w:tcPr>
            <w:tcW w:w="532" w:type="pct"/>
            <w:tcBorders>
              <w:left w:val="single" w:sz="4" w:space="0" w:color="auto"/>
            </w:tcBorders>
            <w:hideMark/>
          </w:tcPr>
          <w:p w14:paraId="4D04865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41A2D06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1.27 (0.90-1.78)</w:t>
            </w:r>
          </w:p>
        </w:tc>
        <w:tc>
          <w:tcPr>
            <w:tcW w:w="532" w:type="pct"/>
            <w:hideMark/>
          </w:tcPr>
          <w:p w14:paraId="1E21277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1.38 (0.95-2.00)</w:t>
            </w:r>
          </w:p>
        </w:tc>
        <w:tc>
          <w:tcPr>
            <w:tcW w:w="533" w:type="pct"/>
            <w:tcBorders>
              <w:right w:val="single" w:sz="4" w:space="0" w:color="auto"/>
            </w:tcBorders>
            <w:hideMark/>
          </w:tcPr>
          <w:p w14:paraId="78F35D8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1.36 (0.93-2.01)</w:t>
            </w:r>
          </w:p>
        </w:tc>
      </w:tr>
      <w:tr w:rsidR="005F31C4" w:rsidRPr="00000849" w14:paraId="78A05D80"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C01473B"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Educational level</w:t>
            </w:r>
          </w:p>
        </w:tc>
        <w:tc>
          <w:tcPr>
            <w:tcW w:w="532" w:type="pct"/>
            <w:tcBorders>
              <w:left w:val="single" w:sz="4" w:space="0" w:color="auto"/>
            </w:tcBorders>
            <w:hideMark/>
          </w:tcPr>
          <w:p w14:paraId="281658D5"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C5AB845"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3F5C278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4D66290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6342004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612CB0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4A05020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3D2B788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67BD732D"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3B2FFFA5"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Nil</w:t>
            </w:r>
          </w:p>
        </w:tc>
        <w:tc>
          <w:tcPr>
            <w:tcW w:w="532" w:type="pct"/>
            <w:tcBorders>
              <w:left w:val="single" w:sz="4" w:space="0" w:color="auto"/>
            </w:tcBorders>
            <w:hideMark/>
          </w:tcPr>
          <w:p w14:paraId="3B6F386E"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4D4A57C"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5CDD518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318C71F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73FD021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4C464C1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3FE2652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6B50401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51306704"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69F87BE2"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Primary or less</w:t>
            </w:r>
          </w:p>
        </w:tc>
        <w:tc>
          <w:tcPr>
            <w:tcW w:w="532" w:type="pct"/>
            <w:tcBorders>
              <w:left w:val="single" w:sz="4" w:space="0" w:color="auto"/>
            </w:tcBorders>
            <w:hideMark/>
          </w:tcPr>
          <w:p w14:paraId="7CB57493"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584625AF"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1620953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0.98 (0.80-1.22)</w:t>
            </w:r>
          </w:p>
        </w:tc>
        <w:tc>
          <w:tcPr>
            <w:tcW w:w="532" w:type="pct"/>
            <w:tcBorders>
              <w:right w:val="single" w:sz="4" w:space="0" w:color="auto"/>
            </w:tcBorders>
            <w:hideMark/>
          </w:tcPr>
          <w:p w14:paraId="7B088B3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0.99 (0.80-1.22)</w:t>
            </w:r>
          </w:p>
        </w:tc>
        <w:tc>
          <w:tcPr>
            <w:tcW w:w="532" w:type="pct"/>
            <w:tcBorders>
              <w:left w:val="single" w:sz="4" w:space="0" w:color="auto"/>
            </w:tcBorders>
            <w:hideMark/>
          </w:tcPr>
          <w:p w14:paraId="11D16D9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A66CF2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452661C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1.31* (1.01-1.71)</w:t>
            </w:r>
          </w:p>
        </w:tc>
        <w:tc>
          <w:tcPr>
            <w:tcW w:w="533" w:type="pct"/>
            <w:tcBorders>
              <w:right w:val="single" w:sz="4" w:space="0" w:color="auto"/>
            </w:tcBorders>
            <w:hideMark/>
          </w:tcPr>
          <w:p w14:paraId="6C81581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1.27 (0.96-1.68)</w:t>
            </w:r>
          </w:p>
        </w:tc>
      </w:tr>
      <w:tr w:rsidR="005F31C4" w:rsidRPr="00000849" w14:paraId="7DEA419C"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48ECF046"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Secondary or higher</w:t>
            </w:r>
          </w:p>
        </w:tc>
        <w:tc>
          <w:tcPr>
            <w:tcW w:w="532" w:type="pct"/>
            <w:tcBorders>
              <w:left w:val="single" w:sz="4" w:space="0" w:color="auto"/>
            </w:tcBorders>
            <w:hideMark/>
          </w:tcPr>
          <w:p w14:paraId="44CA95E1"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AE4BA85"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23D45BB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0.88 (0.69-1.12)</w:t>
            </w:r>
          </w:p>
        </w:tc>
        <w:tc>
          <w:tcPr>
            <w:tcW w:w="532" w:type="pct"/>
            <w:tcBorders>
              <w:right w:val="single" w:sz="4" w:space="0" w:color="auto"/>
            </w:tcBorders>
            <w:hideMark/>
          </w:tcPr>
          <w:p w14:paraId="24CFDF7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0.88 (0.69-1.12)</w:t>
            </w:r>
          </w:p>
        </w:tc>
        <w:tc>
          <w:tcPr>
            <w:tcW w:w="532" w:type="pct"/>
            <w:tcBorders>
              <w:left w:val="single" w:sz="4" w:space="0" w:color="auto"/>
            </w:tcBorders>
            <w:hideMark/>
          </w:tcPr>
          <w:p w14:paraId="55BD8DF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3FCD2A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7529AC1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1.11 (0.81-1.51)</w:t>
            </w:r>
          </w:p>
        </w:tc>
        <w:tc>
          <w:tcPr>
            <w:tcW w:w="533" w:type="pct"/>
            <w:tcBorders>
              <w:right w:val="single" w:sz="4" w:space="0" w:color="auto"/>
            </w:tcBorders>
            <w:hideMark/>
          </w:tcPr>
          <w:p w14:paraId="5ABC491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1.04 (0.75-1.43)</w:t>
            </w:r>
          </w:p>
        </w:tc>
      </w:tr>
      <w:tr w:rsidR="005F31C4" w:rsidRPr="00000849" w14:paraId="469E8AF3" w14:textId="77777777" w:rsidTr="00821131">
        <w:trPr>
          <w:trHeight w:val="450"/>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EE3EB98"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Employer in current or most recent job</w:t>
            </w:r>
          </w:p>
        </w:tc>
        <w:tc>
          <w:tcPr>
            <w:tcW w:w="532" w:type="pct"/>
            <w:tcBorders>
              <w:left w:val="single" w:sz="4" w:space="0" w:color="auto"/>
            </w:tcBorders>
            <w:hideMark/>
          </w:tcPr>
          <w:p w14:paraId="28D1EBAE"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184B344D"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1822296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719ABCB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58478F9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4C5BF06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7E22EF9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1D4D7E7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72F8D7A7"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4B45564E"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Informal</w:t>
            </w:r>
          </w:p>
        </w:tc>
        <w:tc>
          <w:tcPr>
            <w:tcW w:w="532" w:type="pct"/>
            <w:tcBorders>
              <w:left w:val="single" w:sz="4" w:space="0" w:color="auto"/>
            </w:tcBorders>
            <w:hideMark/>
          </w:tcPr>
          <w:p w14:paraId="3E0CD9DC"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0E0E9981"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61238F6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2C413C5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5DB4618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C0E009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7039491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60B5E60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27FF706F"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4F7603F9"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Self-employed</w:t>
            </w:r>
          </w:p>
        </w:tc>
        <w:tc>
          <w:tcPr>
            <w:tcW w:w="532" w:type="pct"/>
            <w:tcBorders>
              <w:left w:val="single" w:sz="4" w:space="0" w:color="auto"/>
            </w:tcBorders>
            <w:hideMark/>
          </w:tcPr>
          <w:p w14:paraId="7D834D48"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138BD97"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68CE1C3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0.95 (0.71-1.27)</w:t>
            </w:r>
          </w:p>
        </w:tc>
        <w:tc>
          <w:tcPr>
            <w:tcW w:w="532" w:type="pct"/>
            <w:tcBorders>
              <w:right w:val="single" w:sz="4" w:space="0" w:color="auto"/>
            </w:tcBorders>
            <w:hideMark/>
          </w:tcPr>
          <w:p w14:paraId="461CC24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0.95 (0.71-1.26)</w:t>
            </w:r>
          </w:p>
        </w:tc>
        <w:tc>
          <w:tcPr>
            <w:tcW w:w="532" w:type="pct"/>
            <w:tcBorders>
              <w:left w:val="single" w:sz="4" w:space="0" w:color="auto"/>
            </w:tcBorders>
            <w:hideMark/>
          </w:tcPr>
          <w:p w14:paraId="5855A09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7FDA9C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0967F01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 (0.86-1.39)</w:t>
            </w:r>
          </w:p>
        </w:tc>
        <w:tc>
          <w:tcPr>
            <w:tcW w:w="533" w:type="pct"/>
            <w:tcBorders>
              <w:right w:val="single" w:sz="4" w:space="0" w:color="auto"/>
            </w:tcBorders>
            <w:hideMark/>
          </w:tcPr>
          <w:p w14:paraId="7373962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1.07 (0.82-1.38)</w:t>
            </w:r>
          </w:p>
        </w:tc>
      </w:tr>
      <w:tr w:rsidR="005F31C4" w:rsidRPr="00000849" w14:paraId="5A473A59"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D8925B9"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Public sector</w:t>
            </w:r>
          </w:p>
        </w:tc>
        <w:tc>
          <w:tcPr>
            <w:tcW w:w="532" w:type="pct"/>
            <w:tcBorders>
              <w:left w:val="single" w:sz="4" w:space="0" w:color="auto"/>
            </w:tcBorders>
            <w:hideMark/>
          </w:tcPr>
          <w:p w14:paraId="6178E40D"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5D1A940"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0756F6F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1.13 (0.76-1.69)</w:t>
            </w:r>
          </w:p>
        </w:tc>
        <w:tc>
          <w:tcPr>
            <w:tcW w:w="532" w:type="pct"/>
            <w:tcBorders>
              <w:right w:val="single" w:sz="4" w:space="0" w:color="auto"/>
            </w:tcBorders>
            <w:hideMark/>
          </w:tcPr>
          <w:p w14:paraId="2E4DE96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1.14 (0.77-1.70)</w:t>
            </w:r>
          </w:p>
        </w:tc>
        <w:tc>
          <w:tcPr>
            <w:tcW w:w="532" w:type="pct"/>
            <w:tcBorders>
              <w:left w:val="single" w:sz="4" w:space="0" w:color="auto"/>
            </w:tcBorders>
            <w:hideMark/>
          </w:tcPr>
          <w:p w14:paraId="7DFFF5A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5F80BED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9264BF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 (0.54-1.48)</w:t>
            </w:r>
          </w:p>
        </w:tc>
        <w:tc>
          <w:tcPr>
            <w:tcW w:w="533" w:type="pct"/>
            <w:tcBorders>
              <w:right w:val="single" w:sz="4" w:space="0" w:color="auto"/>
            </w:tcBorders>
            <w:hideMark/>
          </w:tcPr>
          <w:p w14:paraId="7D3C56D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0.75 (0.43-1.30)</w:t>
            </w:r>
          </w:p>
        </w:tc>
      </w:tr>
      <w:tr w:rsidR="005F31C4" w:rsidRPr="00000849" w14:paraId="3024FF2D"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79965221"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Private sector</w:t>
            </w:r>
          </w:p>
        </w:tc>
        <w:tc>
          <w:tcPr>
            <w:tcW w:w="532" w:type="pct"/>
            <w:tcBorders>
              <w:left w:val="single" w:sz="4" w:space="0" w:color="auto"/>
            </w:tcBorders>
            <w:hideMark/>
          </w:tcPr>
          <w:p w14:paraId="16D9A81D"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7131835"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7294818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1.41 (0.87-2.28)</w:t>
            </w:r>
          </w:p>
        </w:tc>
        <w:tc>
          <w:tcPr>
            <w:tcW w:w="532" w:type="pct"/>
            <w:tcBorders>
              <w:right w:val="single" w:sz="4" w:space="0" w:color="auto"/>
            </w:tcBorders>
            <w:hideMark/>
          </w:tcPr>
          <w:p w14:paraId="4639A41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1.41 (0.87-2.28)</w:t>
            </w:r>
          </w:p>
        </w:tc>
        <w:tc>
          <w:tcPr>
            <w:tcW w:w="532" w:type="pct"/>
            <w:tcBorders>
              <w:left w:val="single" w:sz="4" w:space="0" w:color="auto"/>
            </w:tcBorders>
            <w:hideMark/>
          </w:tcPr>
          <w:p w14:paraId="2C59831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0106D6B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7E66BC6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1.09 (0.59-2.00)</w:t>
            </w:r>
          </w:p>
        </w:tc>
        <w:tc>
          <w:tcPr>
            <w:tcW w:w="533" w:type="pct"/>
            <w:tcBorders>
              <w:right w:val="single" w:sz="4" w:space="0" w:color="auto"/>
            </w:tcBorders>
            <w:hideMark/>
          </w:tcPr>
          <w:p w14:paraId="4657C56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0.97 (0.51-1.84)</w:t>
            </w:r>
          </w:p>
        </w:tc>
      </w:tr>
      <w:tr w:rsidR="005F31C4" w:rsidRPr="00000849" w14:paraId="711291A9"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65E2E4D"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Work history past 7 days</w:t>
            </w:r>
          </w:p>
        </w:tc>
        <w:tc>
          <w:tcPr>
            <w:tcW w:w="532" w:type="pct"/>
            <w:tcBorders>
              <w:left w:val="single" w:sz="4" w:space="0" w:color="auto"/>
            </w:tcBorders>
            <w:hideMark/>
          </w:tcPr>
          <w:p w14:paraId="3623085B"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904505D"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358C00A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57023D6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0BFB0C8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91CB55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1D66A99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0684186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380DC67E"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706AE5C5"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Not currently working</w:t>
            </w:r>
          </w:p>
        </w:tc>
        <w:tc>
          <w:tcPr>
            <w:tcW w:w="532" w:type="pct"/>
            <w:tcBorders>
              <w:left w:val="single" w:sz="4" w:space="0" w:color="auto"/>
            </w:tcBorders>
            <w:hideMark/>
          </w:tcPr>
          <w:p w14:paraId="4FFDADA0"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51FAC517"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1C67E7C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5932E69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10C575B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0241CA2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30F5A18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5A434E1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15D93835"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384A7AB"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Currently working</w:t>
            </w:r>
          </w:p>
        </w:tc>
        <w:tc>
          <w:tcPr>
            <w:tcW w:w="532" w:type="pct"/>
            <w:tcBorders>
              <w:left w:val="single" w:sz="4" w:space="0" w:color="auto"/>
            </w:tcBorders>
            <w:hideMark/>
          </w:tcPr>
          <w:p w14:paraId="13210113"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432E0FC"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5EEE0E6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0.75** (0.63-0.91)</w:t>
            </w:r>
          </w:p>
        </w:tc>
        <w:tc>
          <w:tcPr>
            <w:tcW w:w="532" w:type="pct"/>
            <w:tcBorders>
              <w:right w:val="single" w:sz="4" w:space="0" w:color="auto"/>
            </w:tcBorders>
            <w:hideMark/>
          </w:tcPr>
          <w:p w14:paraId="6DAB136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0.71*** (0.58-0.87)</w:t>
            </w:r>
          </w:p>
        </w:tc>
        <w:tc>
          <w:tcPr>
            <w:tcW w:w="532" w:type="pct"/>
            <w:tcBorders>
              <w:left w:val="single" w:sz="4" w:space="0" w:color="auto"/>
            </w:tcBorders>
            <w:hideMark/>
          </w:tcPr>
          <w:p w14:paraId="57153B8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499787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EB05A6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0.64*** (0.51-0.81)</w:t>
            </w:r>
          </w:p>
        </w:tc>
        <w:tc>
          <w:tcPr>
            <w:tcW w:w="533" w:type="pct"/>
            <w:tcBorders>
              <w:right w:val="single" w:sz="4" w:space="0" w:color="auto"/>
            </w:tcBorders>
            <w:hideMark/>
          </w:tcPr>
          <w:p w14:paraId="7E8A13E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0.72* (0.56-0.92)</w:t>
            </w:r>
          </w:p>
        </w:tc>
      </w:tr>
      <w:tr w:rsidR="005F31C4" w:rsidRPr="00000849" w14:paraId="751476A4"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494E0E90"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 xml:space="preserve">Wealth quintile </w:t>
            </w:r>
          </w:p>
        </w:tc>
        <w:tc>
          <w:tcPr>
            <w:tcW w:w="532" w:type="pct"/>
            <w:tcBorders>
              <w:left w:val="single" w:sz="4" w:space="0" w:color="auto"/>
            </w:tcBorders>
            <w:hideMark/>
          </w:tcPr>
          <w:p w14:paraId="529184D3"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3A17CAD"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5538D38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00171A3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115475D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03A4B4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07666F1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7FC1026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35CF8292"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2D186305"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Q1 Poorest</w:t>
            </w:r>
          </w:p>
        </w:tc>
        <w:tc>
          <w:tcPr>
            <w:tcW w:w="532" w:type="pct"/>
            <w:tcBorders>
              <w:left w:val="single" w:sz="4" w:space="0" w:color="auto"/>
            </w:tcBorders>
            <w:hideMark/>
          </w:tcPr>
          <w:p w14:paraId="1B9B90F5"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A14CE30"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4B36D05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right w:val="single" w:sz="4" w:space="0" w:color="auto"/>
            </w:tcBorders>
            <w:hideMark/>
          </w:tcPr>
          <w:p w14:paraId="10E38FB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050C5D5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46654C2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3727A94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3" w:type="pct"/>
            <w:tcBorders>
              <w:right w:val="single" w:sz="4" w:space="0" w:color="auto"/>
            </w:tcBorders>
            <w:hideMark/>
          </w:tcPr>
          <w:p w14:paraId="079596E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7C2601B0"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74D0EDE8"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lastRenderedPageBreak/>
              <w:t>Q2 Poor</w:t>
            </w:r>
          </w:p>
        </w:tc>
        <w:tc>
          <w:tcPr>
            <w:tcW w:w="532" w:type="pct"/>
            <w:tcBorders>
              <w:left w:val="single" w:sz="4" w:space="0" w:color="auto"/>
            </w:tcBorders>
            <w:hideMark/>
          </w:tcPr>
          <w:p w14:paraId="0E43D971"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5BF976C7"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0C4E890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1.12 (0.88-1.44)</w:t>
            </w:r>
          </w:p>
        </w:tc>
        <w:tc>
          <w:tcPr>
            <w:tcW w:w="532" w:type="pct"/>
            <w:tcBorders>
              <w:right w:val="single" w:sz="4" w:space="0" w:color="auto"/>
            </w:tcBorders>
            <w:hideMark/>
          </w:tcPr>
          <w:p w14:paraId="3BEAEDF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0.99 (0.76-1.28)</w:t>
            </w:r>
          </w:p>
        </w:tc>
        <w:tc>
          <w:tcPr>
            <w:tcW w:w="532" w:type="pct"/>
            <w:tcBorders>
              <w:left w:val="single" w:sz="4" w:space="0" w:color="auto"/>
            </w:tcBorders>
            <w:hideMark/>
          </w:tcPr>
          <w:p w14:paraId="3EB7E73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02DCB3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7DA23E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1.14 (0.86-1.53)</w:t>
            </w:r>
          </w:p>
        </w:tc>
        <w:tc>
          <w:tcPr>
            <w:tcW w:w="533" w:type="pct"/>
            <w:tcBorders>
              <w:right w:val="single" w:sz="4" w:space="0" w:color="auto"/>
            </w:tcBorders>
            <w:hideMark/>
          </w:tcPr>
          <w:p w14:paraId="36A0E2E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1.07 (0.78-1.45)</w:t>
            </w:r>
          </w:p>
        </w:tc>
      </w:tr>
      <w:tr w:rsidR="005F31C4" w:rsidRPr="00000849" w14:paraId="2EEE5261"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591BAC81"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Q3 Mod poor</w:t>
            </w:r>
          </w:p>
        </w:tc>
        <w:tc>
          <w:tcPr>
            <w:tcW w:w="532" w:type="pct"/>
            <w:tcBorders>
              <w:left w:val="single" w:sz="4" w:space="0" w:color="auto"/>
            </w:tcBorders>
            <w:hideMark/>
          </w:tcPr>
          <w:p w14:paraId="15B5BC8A"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80EAE48"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6640EA2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1.25 (0.96-1.64)</w:t>
            </w:r>
          </w:p>
        </w:tc>
        <w:tc>
          <w:tcPr>
            <w:tcW w:w="532" w:type="pct"/>
            <w:tcBorders>
              <w:right w:val="single" w:sz="4" w:space="0" w:color="auto"/>
            </w:tcBorders>
            <w:hideMark/>
          </w:tcPr>
          <w:p w14:paraId="6364C17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1.09 (0.82-1.44)</w:t>
            </w:r>
          </w:p>
        </w:tc>
        <w:tc>
          <w:tcPr>
            <w:tcW w:w="532" w:type="pct"/>
            <w:tcBorders>
              <w:left w:val="single" w:sz="4" w:space="0" w:color="auto"/>
            </w:tcBorders>
            <w:hideMark/>
          </w:tcPr>
          <w:p w14:paraId="2B5E315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5797CB4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755DE8C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 (0.86-1.67)</w:t>
            </w:r>
          </w:p>
        </w:tc>
        <w:tc>
          <w:tcPr>
            <w:tcW w:w="533" w:type="pct"/>
            <w:tcBorders>
              <w:right w:val="single" w:sz="4" w:space="0" w:color="auto"/>
            </w:tcBorders>
            <w:hideMark/>
          </w:tcPr>
          <w:p w14:paraId="2EB8553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 (0.84-1.73)</w:t>
            </w:r>
          </w:p>
        </w:tc>
      </w:tr>
      <w:tr w:rsidR="005F31C4" w:rsidRPr="00000849" w14:paraId="698C4368"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7DB2B0F"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Q4 Rich</w:t>
            </w:r>
          </w:p>
        </w:tc>
        <w:tc>
          <w:tcPr>
            <w:tcW w:w="532" w:type="pct"/>
            <w:tcBorders>
              <w:left w:val="single" w:sz="4" w:space="0" w:color="auto"/>
            </w:tcBorders>
            <w:hideMark/>
          </w:tcPr>
          <w:p w14:paraId="7E0F8D6D"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5B18A88"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771C47A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1.46* (1.08-1.97)</w:t>
            </w:r>
          </w:p>
        </w:tc>
        <w:tc>
          <w:tcPr>
            <w:tcW w:w="532" w:type="pct"/>
            <w:tcBorders>
              <w:right w:val="single" w:sz="4" w:space="0" w:color="auto"/>
            </w:tcBorders>
            <w:hideMark/>
          </w:tcPr>
          <w:p w14:paraId="12F630C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1.11 (0.81-1.52)</w:t>
            </w:r>
          </w:p>
        </w:tc>
        <w:tc>
          <w:tcPr>
            <w:tcW w:w="532" w:type="pct"/>
            <w:tcBorders>
              <w:left w:val="single" w:sz="4" w:space="0" w:color="auto"/>
            </w:tcBorders>
            <w:hideMark/>
          </w:tcPr>
          <w:p w14:paraId="09BB25F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BACCB2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5EFB51A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1.04 (0.73-1.48)</w:t>
            </w:r>
          </w:p>
        </w:tc>
        <w:tc>
          <w:tcPr>
            <w:tcW w:w="533" w:type="pct"/>
            <w:tcBorders>
              <w:right w:val="single" w:sz="4" w:space="0" w:color="auto"/>
            </w:tcBorders>
            <w:hideMark/>
          </w:tcPr>
          <w:p w14:paraId="6A77E7C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0.97 (0.65-1.44)</w:t>
            </w:r>
          </w:p>
        </w:tc>
      </w:tr>
      <w:tr w:rsidR="005F31C4" w:rsidRPr="00000849" w14:paraId="35221E48"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4502E830"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Q5 Richest</w:t>
            </w:r>
          </w:p>
        </w:tc>
        <w:tc>
          <w:tcPr>
            <w:tcW w:w="532" w:type="pct"/>
            <w:tcBorders>
              <w:left w:val="single" w:sz="4" w:space="0" w:color="auto"/>
            </w:tcBorders>
            <w:hideMark/>
          </w:tcPr>
          <w:p w14:paraId="1B925980"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588031BB"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4900AF8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1.73** (1.22-2.46)</w:t>
            </w:r>
          </w:p>
        </w:tc>
        <w:tc>
          <w:tcPr>
            <w:tcW w:w="532" w:type="pct"/>
            <w:tcBorders>
              <w:right w:val="single" w:sz="4" w:space="0" w:color="auto"/>
            </w:tcBorders>
            <w:hideMark/>
          </w:tcPr>
          <w:p w14:paraId="3A5B54D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1.16 (0.79-1.69)</w:t>
            </w:r>
          </w:p>
        </w:tc>
        <w:tc>
          <w:tcPr>
            <w:tcW w:w="532" w:type="pct"/>
            <w:tcBorders>
              <w:left w:val="single" w:sz="4" w:space="0" w:color="auto"/>
            </w:tcBorders>
            <w:hideMark/>
          </w:tcPr>
          <w:p w14:paraId="5CD1B04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364E2F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0064270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1.04 (0.67-1.62)</w:t>
            </w:r>
          </w:p>
        </w:tc>
        <w:tc>
          <w:tcPr>
            <w:tcW w:w="533" w:type="pct"/>
            <w:tcBorders>
              <w:right w:val="single" w:sz="4" w:space="0" w:color="auto"/>
            </w:tcBorders>
            <w:hideMark/>
          </w:tcPr>
          <w:p w14:paraId="1D38FBD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 (0.55-1.47)</w:t>
            </w:r>
          </w:p>
        </w:tc>
      </w:tr>
      <w:tr w:rsidR="005F31C4" w:rsidRPr="00000849" w14:paraId="405A6E51"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78F0856C"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Physical activity level</w:t>
            </w:r>
          </w:p>
        </w:tc>
        <w:tc>
          <w:tcPr>
            <w:tcW w:w="532" w:type="pct"/>
            <w:tcBorders>
              <w:left w:val="single" w:sz="4" w:space="0" w:color="auto"/>
            </w:tcBorders>
            <w:hideMark/>
          </w:tcPr>
          <w:p w14:paraId="3E3B7533"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0A0BEDD6"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06AFE91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258DA94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46A358F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0399C01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3C6B3EE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7959B44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76E6C6CB"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6846E075"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Low physical activity</w:t>
            </w:r>
          </w:p>
        </w:tc>
        <w:tc>
          <w:tcPr>
            <w:tcW w:w="532" w:type="pct"/>
            <w:tcBorders>
              <w:left w:val="single" w:sz="4" w:space="0" w:color="auto"/>
            </w:tcBorders>
            <w:hideMark/>
          </w:tcPr>
          <w:p w14:paraId="021DC9D7"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4BD4EEB5"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42D6790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38EE329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2517F9B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3D49F8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2EF9C08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3E5C193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410C16D9" w14:textId="77777777" w:rsidTr="00821131">
        <w:trPr>
          <w:trHeight w:val="46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E654F63"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Moderate physical activity</w:t>
            </w:r>
          </w:p>
        </w:tc>
        <w:tc>
          <w:tcPr>
            <w:tcW w:w="532" w:type="pct"/>
            <w:tcBorders>
              <w:left w:val="single" w:sz="4" w:space="0" w:color="auto"/>
            </w:tcBorders>
            <w:hideMark/>
          </w:tcPr>
          <w:p w14:paraId="5FA34355"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155B00D4"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5F3B7C8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0825847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0.91 (0.73-1.13)</w:t>
            </w:r>
          </w:p>
        </w:tc>
        <w:tc>
          <w:tcPr>
            <w:tcW w:w="532" w:type="pct"/>
            <w:tcBorders>
              <w:left w:val="single" w:sz="4" w:space="0" w:color="auto"/>
            </w:tcBorders>
            <w:hideMark/>
          </w:tcPr>
          <w:p w14:paraId="225783E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126BF10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5209CD7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5D1D269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0.95 (0.74-1.22)</w:t>
            </w:r>
          </w:p>
        </w:tc>
      </w:tr>
      <w:tr w:rsidR="005F31C4" w:rsidRPr="00000849" w14:paraId="5E59C49C"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7D55EB3"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High physical activity</w:t>
            </w:r>
          </w:p>
        </w:tc>
        <w:tc>
          <w:tcPr>
            <w:tcW w:w="532" w:type="pct"/>
            <w:tcBorders>
              <w:left w:val="single" w:sz="4" w:space="0" w:color="auto"/>
            </w:tcBorders>
            <w:hideMark/>
          </w:tcPr>
          <w:p w14:paraId="1F9EA0AB"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38676F8"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788EE06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1C44E21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1.34* (1.07-1.67)</w:t>
            </w:r>
          </w:p>
        </w:tc>
        <w:tc>
          <w:tcPr>
            <w:tcW w:w="532" w:type="pct"/>
            <w:tcBorders>
              <w:left w:val="single" w:sz="4" w:space="0" w:color="auto"/>
            </w:tcBorders>
            <w:hideMark/>
          </w:tcPr>
          <w:p w14:paraId="19A21ED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B86D8F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7F3DEC3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059C099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0.79 (0.57-1.08)</w:t>
            </w:r>
          </w:p>
        </w:tc>
      </w:tr>
      <w:tr w:rsidR="005F31C4" w:rsidRPr="00000849" w14:paraId="3115547A" w14:textId="77777777" w:rsidTr="00821131">
        <w:trPr>
          <w:trHeight w:val="450"/>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34D88990"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BMI category</w:t>
            </w:r>
          </w:p>
        </w:tc>
        <w:tc>
          <w:tcPr>
            <w:tcW w:w="532" w:type="pct"/>
            <w:tcBorders>
              <w:left w:val="single" w:sz="4" w:space="0" w:color="auto"/>
            </w:tcBorders>
            <w:hideMark/>
          </w:tcPr>
          <w:p w14:paraId="72221A93"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1625B43"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5553D58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0C32B09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0FADA54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13AADB3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1CA8332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7BBE5FA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534F0539"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A5690BC"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Underweight</w:t>
            </w:r>
          </w:p>
        </w:tc>
        <w:tc>
          <w:tcPr>
            <w:tcW w:w="532" w:type="pct"/>
            <w:tcBorders>
              <w:left w:val="single" w:sz="4" w:space="0" w:color="auto"/>
            </w:tcBorders>
            <w:hideMark/>
          </w:tcPr>
          <w:p w14:paraId="05FB298F"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0F75FB57"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3C37E86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47DBD9A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583925B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368E61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0A4F45C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1E34220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3DFAF625"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98840B7"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Normal weight</w:t>
            </w:r>
          </w:p>
        </w:tc>
        <w:tc>
          <w:tcPr>
            <w:tcW w:w="532" w:type="pct"/>
            <w:tcBorders>
              <w:left w:val="single" w:sz="4" w:space="0" w:color="auto"/>
            </w:tcBorders>
            <w:hideMark/>
          </w:tcPr>
          <w:p w14:paraId="1B275A44"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4FBE9581"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5D7A558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3930B3F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1.52*** (1.20-1.94)</w:t>
            </w:r>
          </w:p>
        </w:tc>
        <w:tc>
          <w:tcPr>
            <w:tcW w:w="532" w:type="pct"/>
            <w:tcBorders>
              <w:left w:val="single" w:sz="4" w:space="0" w:color="auto"/>
            </w:tcBorders>
            <w:hideMark/>
          </w:tcPr>
          <w:p w14:paraId="1C7548A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5A71D9E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5CC26B6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29A0515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0.95 (0.70-1.30)</w:t>
            </w:r>
          </w:p>
        </w:tc>
      </w:tr>
      <w:tr w:rsidR="005F31C4" w:rsidRPr="00000849" w14:paraId="4D6E7A69"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5FC1BB1D"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Overweight</w:t>
            </w:r>
          </w:p>
        </w:tc>
        <w:tc>
          <w:tcPr>
            <w:tcW w:w="532" w:type="pct"/>
            <w:tcBorders>
              <w:left w:val="single" w:sz="4" w:space="0" w:color="auto"/>
            </w:tcBorders>
            <w:hideMark/>
          </w:tcPr>
          <w:p w14:paraId="263420ED"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8DFF253"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026025E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3D9B014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2.65*** (1.91-3.67)</w:t>
            </w:r>
          </w:p>
        </w:tc>
        <w:tc>
          <w:tcPr>
            <w:tcW w:w="532" w:type="pct"/>
            <w:tcBorders>
              <w:left w:val="single" w:sz="4" w:space="0" w:color="auto"/>
            </w:tcBorders>
            <w:hideMark/>
          </w:tcPr>
          <w:p w14:paraId="7E8C21D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0FBE07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39DE421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1E99590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1.34 (0.86-2.08)</w:t>
            </w:r>
          </w:p>
        </w:tc>
      </w:tr>
      <w:tr w:rsidR="005F31C4" w:rsidRPr="00000849" w14:paraId="2172F767"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225ADA46"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Obese</w:t>
            </w:r>
          </w:p>
        </w:tc>
        <w:tc>
          <w:tcPr>
            <w:tcW w:w="532" w:type="pct"/>
            <w:tcBorders>
              <w:left w:val="single" w:sz="4" w:space="0" w:color="auto"/>
            </w:tcBorders>
            <w:hideMark/>
          </w:tcPr>
          <w:p w14:paraId="127477E3"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19280BBF"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30574E6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206822E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3.02*** (1.98-4.59)</w:t>
            </w:r>
          </w:p>
        </w:tc>
        <w:tc>
          <w:tcPr>
            <w:tcW w:w="532" w:type="pct"/>
            <w:tcBorders>
              <w:left w:val="single" w:sz="4" w:space="0" w:color="auto"/>
            </w:tcBorders>
            <w:hideMark/>
          </w:tcPr>
          <w:p w14:paraId="560FF56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D47139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AC75C2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7D2704E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1.16 (0.69-1.94)</w:t>
            </w:r>
          </w:p>
        </w:tc>
      </w:tr>
      <w:tr w:rsidR="005F31C4" w:rsidRPr="00000849" w14:paraId="00290EE3" w14:textId="77777777" w:rsidTr="00821131">
        <w:trPr>
          <w:trHeight w:val="426"/>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5289FA11"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 xml:space="preserve">Waist circumference </w:t>
            </w:r>
          </w:p>
        </w:tc>
        <w:tc>
          <w:tcPr>
            <w:tcW w:w="532" w:type="pct"/>
            <w:tcBorders>
              <w:left w:val="single" w:sz="4" w:space="0" w:color="auto"/>
            </w:tcBorders>
            <w:hideMark/>
          </w:tcPr>
          <w:p w14:paraId="124B3B3D"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6B2C5D90"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200E455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5E85EC6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52CAD2D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4A06FDA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093F074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52070D6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610ED5BB"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422CDA27"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&lt;80 cm</w:t>
            </w:r>
          </w:p>
        </w:tc>
        <w:tc>
          <w:tcPr>
            <w:tcW w:w="532" w:type="pct"/>
            <w:tcBorders>
              <w:left w:val="single" w:sz="4" w:space="0" w:color="auto"/>
            </w:tcBorders>
            <w:hideMark/>
          </w:tcPr>
          <w:p w14:paraId="4DB9F325"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1B1A6A8"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4753818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699CF3A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453D39A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58DA3EB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47A409E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7B1BE70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7E6CFEC1"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12A5DA0"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&gt;=80 to &lt;90 cm</w:t>
            </w:r>
          </w:p>
        </w:tc>
        <w:tc>
          <w:tcPr>
            <w:tcW w:w="532" w:type="pct"/>
            <w:tcBorders>
              <w:left w:val="single" w:sz="4" w:space="0" w:color="auto"/>
            </w:tcBorders>
            <w:hideMark/>
          </w:tcPr>
          <w:p w14:paraId="21566BD0"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0B72D63E"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4F91CD8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2786BF6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0.98 (0.79-1.22)</w:t>
            </w:r>
          </w:p>
        </w:tc>
        <w:tc>
          <w:tcPr>
            <w:tcW w:w="532" w:type="pct"/>
            <w:tcBorders>
              <w:left w:val="single" w:sz="4" w:space="0" w:color="auto"/>
            </w:tcBorders>
            <w:hideMark/>
          </w:tcPr>
          <w:p w14:paraId="7769F34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6A7370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47F7A73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02D5E8D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1.18 (0.85-1.62)</w:t>
            </w:r>
          </w:p>
        </w:tc>
      </w:tr>
      <w:tr w:rsidR="005F31C4" w:rsidRPr="00000849" w14:paraId="644C7A51"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36762F9E"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&gt;=90 cm</w:t>
            </w:r>
          </w:p>
        </w:tc>
        <w:tc>
          <w:tcPr>
            <w:tcW w:w="532" w:type="pct"/>
            <w:tcBorders>
              <w:left w:val="single" w:sz="4" w:space="0" w:color="auto"/>
            </w:tcBorders>
            <w:hideMark/>
          </w:tcPr>
          <w:p w14:paraId="6F0DA3D3"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952D746"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7A19A1E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4465C09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1.04 (0.75-1.44)</w:t>
            </w:r>
          </w:p>
        </w:tc>
        <w:tc>
          <w:tcPr>
            <w:tcW w:w="532" w:type="pct"/>
            <w:tcBorders>
              <w:left w:val="single" w:sz="4" w:space="0" w:color="auto"/>
            </w:tcBorders>
            <w:hideMark/>
          </w:tcPr>
          <w:p w14:paraId="0E99287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4B1E9A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585E24C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2EB6CAF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1.33 (0.85-2.09)</w:t>
            </w:r>
          </w:p>
        </w:tc>
      </w:tr>
      <w:tr w:rsidR="005F31C4" w:rsidRPr="00000849" w14:paraId="47C95871"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64FD5196"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Hip circumference</w:t>
            </w:r>
          </w:p>
        </w:tc>
        <w:tc>
          <w:tcPr>
            <w:tcW w:w="532" w:type="pct"/>
            <w:tcBorders>
              <w:left w:val="single" w:sz="4" w:space="0" w:color="auto"/>
            </w:tcBorders>
            <w:hideMark/>
          </w:tcPr>
          <w:p w14:paraId="652FD15D"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67FCFDF"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20569E3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360075B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4AB140E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0D14B49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E5FEAC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70BFA94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6CE5EAB0"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252C996"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&lt;90 cm</w:t>
            </w:r>
          </w:p>
        </w:tc>
        <w:tc>
          <w:tcPr>
            <w:tcW w:w="532" w:type="pct"/>
            <w:tcBorders>
              <w:left w:val="single" w:sz="4" w:space="0" w:color="auto"/>
            </w:tcBorders>
            <w:hideMark/>
          </w:tcPr>
          <w:p w14:paraId="0D0C2D80"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73A4F35"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02FD779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50E11BA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66EE493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5E7C476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0CD2F7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3AA390C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2C2F9A5B"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4B6945E4"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&gt;=90 to &lt;100 cm</w:t>
            </w:r>
          </w:p>
        </w:tc>
        <w:tc>
          <w:tcPr>
            <w:tcW w:w="532" w:type="pct"/>
            <w:tcBorders>
              <w:left w:val="single" w:sz="4" w:space="0" w:color="auto"/>
            </w:tcBorders>
            <w:hideMark/>
          </w:tcPr>
          <w:p w14:paraId="20AB21A8"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6036FE19"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38BEFDA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1215606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1.17 (0.93-1.47)</w:t>
            </w:r>
          </w:p>
        </w:tc>
        <w:tc>
          <w:tcPr>
            <w:tcW w:w="532" w:type="pct"/>
            <w:tcBorders>
              <w:left w:val="single" w:sz="4" w:space="0" w:color="auto"/>
            </w:tcBorders>
            <w:hideMark/>
          </w:tcPr>
          <w:p w14:paraId="591F675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4CC695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50F22EA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75F4CD2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1.13 (0.83-1.54)</w:t>
            </w:r>
          </w:p>
        </w:tc>
      </w:tr>
      <w:tr w:rsidR="005F31C4" w:rsidRPr="00000849" w14:paraId="75ACC5B5"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394162E9"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&gt;=100 cm</w:t>
            </w:r>
          </w:p>
        </w:tc>
        <w:tc>
          <w:tcPr>
            <w:tcW w:w="532" w:type="pct"/>
            <w:tcBorders>
              <w:left w:val="single" w:sz="4" w:space="0" w:color="auto"/>
            </w:tcBorders>
            <w:hideMark/>
          </w:tcPr>
          <w:p w14:paraId="1C7C53EC"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68AC3EF4"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32F7F5A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6D97C76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1.12 (0.78-1.63)</w:t>
            </w:r>
          </w:p>
        </w:tc>
        <w:tc>
          <w:tcPr>
            <w:tcW w:w="532" w:type="pct"/>
            <w:tcBorders>
              <w:left w:val="single" w:sz="4" w:space="0" w:color="auto"/>
            </w:tcBorders>
            <w:hideMark/>
          </w:tcPr>
          <w:p w14:paraId="72CAB6E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65D7A42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1CC0EC6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3039A71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1.07 (0.67-1.70)</w:t>
            </w:r>
          </w:p>
        </w:tc>
      </w:tr>
      <w:tr w:rsidR="005F31C4" w:rsidRPr="00000849" w14:paraId="3B1628AA"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029A98B"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Smoke behaviour</w:t>
            </w:r>
          </w:p>
        </w:tc>
        <w:tc>
          <w:tcPr>
            <w:tcW w:w="532" w:type="pct"/>
            <w:tcBorders>
              <w:left w:val="single" w:sz="4" w:space="0" w:color="auto"/>
            </w:tcBorders>
            <w:hideMark/>
          </w:tcPr>
          <w:p w14:paraId="5959E57A"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68C56B10"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78A922B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0BA4F75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52B23F1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1B2B37D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408F3F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4684168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49F7E846"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5C22DD9E"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never smoker</w:t>
            </w:r>
          </w:p>
        </w:tc>
        <w:tc>
          <w:tcPr>
            <w:tcW w:w="532" w:type="pct"/>
            <w:tcBorders>
              <w:left w:val="single" w:sz="4" w:space="0" w:color="auto"/>
            </w:tcBorders>
            <w:hideMark/>
          </w:tcPr>
          <w:p w14:paraId="409CEAC3"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5EE7180D"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6292831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29BADC9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00ACAC2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B540E5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62B7A4E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3A3D3FC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7FFC0657"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4696A9C2"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former smoker</w:t>
            </w:r>
          </w:p>
        </w:tc>
        <w:tc>
          <w:tcPr>
            <w:tcW w:w="532" w:type="pct"/>
            <w:tcBorders>
              <w:left w:val="single" w:sz="4" w:space="0" w:color="auto"/>
            </w:tcBorders>
            <w:hideMark/>
          </w:tcPr>
          <w:p w14:paraId="1CFB59A3"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1AA73BD"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33271C5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7E76E0B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1.11 (0.86-1.42)</w:t>
            </w:r>
          </w:p>
        </w:tc>
        <w:tc>
          <w:tcPr>
            <w:tcW w:w="532" w:type="pct"/>
            <w:tcBorders>
              <w:left w:val="single" w:sz="4" w:space="0" w:color="auto"/>
            </w:tcBorders>
            <w:hideMark/>
          </w:tcPr>
          <w:p w14:paraId="3196AAC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7C22BBC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5B89DA0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527EA67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1.63 (0.83-3.18)</w:t>
            </w:r>
          </w:p>
        </w:tc>
      </w:tr>
      <w:tr w:rsidR="005F31C4" w:rsidRPr="00000849" w14:paraId="64C77DC9"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028C2EAC"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current smoker</w:t>
            </w:r>
          </w:p>
        </w:tc>
        <w:tc>
          <w:tcPr>
            <w:tcW w:w="532" w:type="pct"/>
            <w:tcBorders>
              <w:left w:val="single" w:sz="4" w:space="0" w:color="auto"/>
            </w:tcBorders>
            <w:hideMark/>
          </w:tcPr>
          <w:p w14:paraId="56E721B9"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C059A9C"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7E0952C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46BA4D5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(0.78-1.28)</w:t>
            </w:r>
          </w:p>
        </w:tc>
        <w:tc>
          <w:tcPr>
            <w:tcW w:w="532" w:type="pct"/>
            <w:tcBorders>
              <w:left w:val="single" w:sz="4" w:space="0" w:color="auto"/>
            </w:tcBorders>
            <w:hideMark/>
          </w:tcPr>
          <w:p w14:paraId="743554A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CFE3D6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00874AA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6147AA2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1.29 (0.71-2.34)</w:t>
            </w:r>
          </w:p>
        </w:tc>
      </w:tr>
      <w:tr w:rsidR="005F31C4" w:rsidRPr="00000849" w14:paraId="5B48E98A"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54316C33"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lastRenderedPageBreak/>
              <w:t>Alcohol consumption</w:t>
            </w:r>
          </w:p>
        </w:tc>
        <w:tc>
          <w:tcPr>
            <w:tcW w:w="532" w:type="pct"/>
            <w:tcBorders>
              <w:left w:val="single" w:sz="4" w:space="0" w:color="auto"/>
            </w:tcBorders>
            <w:hideMark/>
          </w:tcPr>
          <w:p w14:paraId="0710B4C0"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6F2E386"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4F0F40E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1738D03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79992EC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04A3EC0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1FA34FE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573DAFC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7517FF4C"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734275B"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Lifetime abstainer</w:t>
            </w:r>
          </w:p>
        </w:tc>
        <w:tc>
          <w:tcPr>
            <w:tcW w:w="532" w:type="pct"/>
            <w:tcBorders>
              <w:left w:val="single" w:sz="4" w:space="0" w:color="auto"/>
            </w:tcBorders>
            <w:hideMark/>
          </w:tcPr>
          <w:p w14:paraId="46D687D4"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F25AB94"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5334254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12861C5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3DF8D98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0EBE70F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3B010B9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3226D23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3EAA736D"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34AA010B"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Non-heavy drinker</w:t>
            </w:r>
          </w:p>
        </w:tc>
        <w:tc>
          <w:tcPr>
            <w:tcW w:w="532" w:type="pct"/>
            <w:tcBorders>
              <w:left w:val="single" w:sz="4" w:space="0" w:color="auto"/>
            </w:tcBorders>
            <w:hideMark/>
          </w:tcPr>
          <w:p w14:paraId="78F6D557"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30635C59"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6EDA91F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521F273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0.93 (0.78-1.12)</w:t>
            </w:r>
          </w:p>
        </w:tc>
        <w:tc>
          <w:tcPr>
            <w:tcW w:w="532" w:type="pct"/>
            <w:tcBorders>
              <w:left w:val="single" w:sz="4" w:space="0" w:color="auto"/>
            </w:tcBorders>
            <w:hideMark/>
          </w:tcPr>
          <w:p w14:paraId="1031667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5233CCA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283DEC3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6A9BEED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1.1 (0.84-1.44)</w:t>
            </w:r>
          </w:p>
        </w:tc>
      </w:tr>
      <w:tr w:rsidR="005F31C4" w:rsidRPr="00000849" w14:paraId="15814169"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2C1AEFEB"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Heavy drinker</w:t>
            </w:r>
          </w:p>
        </w:tc>
        <w:tc>
          <w:tcPr>
            <w:tcW w:w="532" w:type="pct"/>
            <w:tcBorders>
              <w:left w:val="single" w:sz="4" w:space="0" w:color="auto"/>
            </w:tcBorders>
            <w:hideMark/>
          </w:tcPr>
          <w:p w14:paraId="2072E39D"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292BE52"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029C4A2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40D55F1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1.06 (0.61-1.85)</w:t>
            </w:r>
          </w:p>
        </w:tc>
        <w:tc>
          <w:tcPr>
            <w:tcW w:w="532" w:type="pct"/>
            <w:tcBorders>
              <w:left w:val="single" w:sz="4" w:space="0" w:color="auto"/>
            </w:tcBorders>
            <w:hideMark/>
          </w:tcPr>
          <w:p w14:paraId="54AE7DB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45194CA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769DF8C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255DFC4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0.31* (0.12-0.78)</w:t>
            </w:r>
          </w:p>
        </w:tc>
      </w:tr>
      <w:tr w:rsidR="005F31C4" w:rsidRPr="00000849" w14:paraId="25CF43BE"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AB70342"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Daily fruit/veg serving</w:t>
            </w:r>
          </w:p>
        </w:tc>
        <w:tc>
          <w:tcPr>
            <w:tcW w:w="532" w:type="pct"/>
            <w:tcBorders>
              <w:left w:val="single" w:sz="4" w:space="0" w:color="auto"/>
            </w:tcBorders>
            <w:hideMark/>
          </w:tcPr>
          <w:p w14:paraId="7A04B199"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11E2462"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1C66895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24B06C6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left w:val="single" w:sz="4" w:space="0" w:color="auto"/>
            </w:tcBorders>
            <w:hideMark/>
          </w:tcPr>
          <w:p w14:paraId="1F3ABCE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B6DA07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27B1D81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6CBAA7B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r>
      <w:tr w:rsidR="005F31C4" w:rsidRPr="00000849" w14:paraId="1BFC2372" w14:textId="77777777" w:rsidTr="00821131">
        <w:trPr>
          <w:trHeight w:val="521"/>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B669E07"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&gt;=5 daily fruit-veg serving</w:t>
            </w:r>
          </w:p>
        </w:tc>
        <w:tc>
          <w:tcPr>
            <w:tcW w:w="532" w:type="pct"/>
            <w:tcBorders>
              <w:left w:val="single" w:sz="4" w:space="0" w:color="auto"/>
            </w:tcBorders>
            <w:hideMark/>
          </w:tcPr>
          <w:p w14:paraId="4AC92964"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2245B9AC"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hideMark/>
          </w:tcPr>
          <w:p w14:paraId="67F0B4E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tcBorders>
              <w:right w:val="single" w:sz="4" w:space="0" w:color="auto"/>
            </w:tcBorders>
            <w:hideMark/>
          </w:tcPr>
          <w:p w14:paraId="1857FAD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c>
          <w:tcPr>
            <w:tcW w:w="532" w:type="pct"/>
            <w:tcBorders>
              <w:left w:val="single" w:sz="4" w:space="0" w:color="auto"/>
            </w:tcBorders>
            <w:hideMark/>
          </w:tcPr>
          <w:p w14:paraId="023E376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27DF966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2" w:type="pct"/>
            <w:hideMark/>
          </w:tcPr>
          <w:p w14:paraId="479A95B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rPr>
            </w:pPr>
          </w:p>
        </w:tc>
        <w:tc>
          <w:tcPr>
            <w:tcW w:w="533" w:type="pct"/>
            <w:tcBorders>
              <w:right w:val="single" w:sz="4" w:space="0" w:color="auto"/>
            </w:tcBorders>
            <w:hideMark/>
          </w:tcPr>
          <w:p w14:paraId="106D535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 (1.00-1.00)</w:t>
            </w:r>
          </w:p>
        </w:tc>
      </w:tr>
      <w:tr w:rsidR="005F31C4" w:rsidRPr="00000849" w14:paraId="16DE361B" w14:textId="77777777" w:rsidTr="00821131">
        <w:trPr>
          <w:trHeight w:val="630"/>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32E89026" w14:textId="77777777" w:rsidR="005F31C4" w:rsidRPr="00000849" w:rsidRDefault="005F31C4" w:rsidP="00807B42">
            <w:pPr>
              <w:spacing w:after="0" w:line="240" w:lineRule="auto"/>
              <w:ind w:firstLineChars="100" w:firstLine="170"/>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&lt;5 daily fruit-veg servings</w:t>
            </w:r>
          </w:p>
        </w:tc>
        <w:tc>
          <w:tcPr>
            <w:tcW w:w="532" w:type="pct"/>
            <w:tcBorders>
              <w:left w:val="single" w:sz="4" w:space="0" w:color="auto"/>
            </w:tcBorders>
            <w:hideMark/>
          </w:tcPr>
          <w:p w14:paraId="1EEEE370" w14:textId="77777777" w:rsidR="005F31C4" w:rsidRPr="00000849" w:rsidRDefault="005F31C4" w:rsidP="00807B42">
            <w:pPr>
              <w:spacing w:after="0" w:line="240" w:lineRule="auto"/>
              <w:ind w:firstLineChars="100" w:firstLine="17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hideMark/>
          </w:tcPr>
          <w:p w14:paraId="4D980D2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3" w:type="pct"/>
            <w:hideMark/>
          </w:tcPr>
          <w:p w14:paraId="5D3DD70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tcBorders>
              <w:right w:val="single" w:sz="4" w:space="0" w:color="auto"/>
            </w:tcBorders>
            <w:hideMark/>
          </w:tcPr>
          <w:p w14:paraId="287002E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0.95 (0.80-1.13)</w:t>
            </w:r>
          </w:p>
        </w:tc>
        <w:tc>
          <w:tcPr>
            <w:tcW w:w="532" w:type="pct"/>
            <w:tcBorders>
              <w:left w:val="single" w:sz="4" w:space="0" w:color="auto"/>
            </w:tcBorders>
            <w:hideMark/>
          </w:tcPr>
          <w:p w14:paraId="6C2C81C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3" w:type="pct"/>
            <w:hideMark/>
          </w:tcPr>
          <w:p w14:paraId="027BA70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2" w:type="pct"/>
            <w:hideMark/>
          </w:tcPr>
          <w:p w14:paraId="5CC39B9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w:t>
            </w:r>
          </w:p>
        </w:tc>
        <w:tc>
          <w:tcPr>
            <w:tcW w:w="533" w:type="pct"/>
            <w:tcBorders>
              <w:right w:val="single" w:sz="4" w:space="0" w:color="auto"/>
            </w:tcBorders>
            <w:hideMark/>
          </w:tcPr>
          <w:p w14:paraId="57341CB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0.80* (0.65-0.99)</w:t>
            </w:r>
          </w:p>
        </w:tc>
      </w:tr>
      <w:tr w:rsidR="005F31C4" w:rsidRPr="00000849" w14:paraId="5FEFE4DA" w14:textId="77777777" w:rsidTr="00821131">
        <w:trPr>
          <w:trHeight w:val="294"/>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65CE7243"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 xml:space="preserve">Pseudo </w:t>
            </w:r>
            <w:r w:rsidRPr="00000849">
              <w:rPr>
                <w:rFonts w:ascii="Calibri" w:eastAsia="Times New Roman" w:hAnsi="Calibri" w:cs="Calibri"/>
                <w:b w:val="0"/>
                <w:bCs w:val="0"/>
                <w:i/>
                <w:iCs/>
                <w:color w:val="000000"/>
                <w:sz w:val="17"/>
                <w:szCs w:val="17"/>
              </w:rPr>
              <w:t>R</w:t>
            </w:r>
            <w:r w:rsidRPr="00000849">
              <w:rPr>
                <w:rFonts w:ascii="Calibri" w:eastAsia="Times New Roman" w:hAnsi="Calibri" w:cs="Calibri"/>
                <w:b w:val="0"/>
                <w:bCs w:val="0"/>
                <w:color w:val="000000"/>
                <w:sz w:val="17"/>
                <w:szCs w:val="17"/>
                <w:vertAlign w:val="superscript"/>
              </w:rPr>
              <w:t>2</w:t>
            </w:r>
          </w:p>
        </w:tc>
        <w:tc>
          <w:tcPr>
            <w:tcW w:w="532" w:type="pct"/>
            <w:tcBorders>
              <w:left w:val="single" w:sz="4" w:space="0" w:color="auto"/>
            </w:tcBorders>
            <w:hideMark/>
          </w:tcPr>
          <w:p w14:paraId="3C0266F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3.33E-16</w:t>
            </w:r>
          </w:p>
        </w:tc>
        <w:tc>
          <w:tcPr>
            <w:tcW w:w="532" w:type="pct"/>
            <w:hideMark/>
          </w:tcPr>
          <w:p w14:paraId="4335819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0.0337361 </w:t>
            </w:r>
          </w:p>
        </w:tc>
        <w:tc>
          <w:tcPr>
            <w:tcW w:w="533" w:type="pct"/>
            <w:hideMark/>
          </w:tcPr>
          <w:p w14:paraId="76B8CEC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0.0402655 </w:t>
            </w:r>
          </w:p>
        </w:tc>
        <w:tc>
          <w:tcPr>
            <w:tcW w:w="532" w:type="pct"/>
            <w:tcBorders>
              <w:right w:val="single" w:sz="4" w:space="0" w:color="auto"/>
            </w:tcBorders>
            <w:hideMark/>
          </w:tcPr>
          <w:p w14:paraId="2AE2659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0.0642355 </w:t>
            </w:r>
          </w:p>
        </w:tc>
        <w:tc>
          <w:tcPr>
            <w:tcW w:w="532" w:type="pct"/>
            <w:tcBorders>
              <w:left w:val="single" w:sz="4" w:space="0" w:color="auto"/>
            </w:tcBorders>
            <w:hideMark/>
          </w:tcPr>
          <w:p w14:paraId="4A611B7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-2.22E-16</w:t>
            </w:r>
          </w:p>
        </w:tc>
        <w:tc>
          <w:tcPr>
            <w:tcW w:w="533" w:type="pct"/>
            <w:hideMark/>
          </w:tcPr>
          <w:p w14:paraId="0A677F7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0.0531767 </w:t>
            </w:r>
          </w:p>
        </w:tc>
        <w:tc>
          <w:tcPr>
            <w:tcW w:w="532" w:type="pct"/>
            <w:hideMark/>
          </w:tcPr>
          <w:p w14:paraId="3F92E7C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0.0610681 </w:t>
            </w:r>
          </w:p>
        </w:tc>
        <w:tc>
          <w:tcPr>
            <w:tcW w:w="533" w:type="pct"/>
            <w:tcBorders>
              <w:right w:val="single" w:sz="4" w:space="0" w:color="auto"/>
            </w:tcBorders>
            <w:hideMark/>
          </w:tcPr>
          <w:p w14:paraId="01D1AEEF"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0.0780303 </w:t>
            </w:r>
          </w:p>
        </w:tc>
      </w:tr>
      <w:tr w:rsidR="005F31C4" w:rsidRPr="00000849" w14:paraId="3E4951CB"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12B7A28" w14:textId="77777777" w:rsidR="005F31C4" w:rsidRPr="00000849" w:rsidRDefault="005F31C4" w:rsidP="00807B42">
            <w:pPr>
              <w:spacing w:after="0" w:line="240" w:lineRule="auto"/>
              <w:rPr>
                <w:rFonts w:ascii="Calibri" w:eastAsia="Times New Roman" w:hAnsi="Calibri" w:cs="Calibri"/>
                <w:b w:val="0"/>
                <w:bCs w:val="0"/>
                <w:i/>
                <w:iCs/>
                <w:color w:val="000000"/>
                <w:sz w:val="17"/>
                <w:szCs w:val="17"/>
              </w:rPr>
            </w:pPr>
            <w:r w:rsidRPr="00000849">
              <w:rPr>
                <w:rFonts w:ascii="Calibri" w:eastAsia="Times New Roman" w:hAnsi="Calibri" w:cs="Calibri"/>
                <w:b w:val="0"/>
                <w:bCs w:val="0"/>
                <w:i/>
                <w:iCs/>
                <w:color w:val="000000"/>
                <w:sz w:val="17"/>
                <w:szCs w:val="17"/>
              </w:rPr>
              <w:t>AIC</w:t>
            </w:r>
          </w:p>
        </w:tc>
        <w:tc>
          <w:tcPr>
            <w:tcW w:w="532" w:type="pct"/>
            <w:tcBorders>
              <w:left w:val="single" w:sz="4" w:space="0" w:color="auto"/>
            </w:tcBorders>
            <w:hideMark/>
          </w:tcPr>
          <w:p w14:paraId="4BFA06C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3,887,906</w:t>
            </w:r>
          </w:p>
        </w:tc>
        <w:tc>
          <w:tcPr>
            <w:tcW w:w="532" w:type="pct"/>
            <w:hideMark/>
          </w:tcPr>
          <w:p w14:paraId="51E2ED9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3,654,012</w:t>
            </w:r>
          </w:p>
        </w:tc>
        <w:tc>
          <w:tcPr>
            <w:tcW w:w="533" w:type="pct"/>
            <w:hideMark/>
          </w:tcPr>
          <w:p w14:paraId="09C27A6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3,525,982</w:t>
            </w:r>
          </w:p>
        </w:tc>
        <w:tc>
          <w:tcPr>
            <w:tcW w:w="532" w:type="pct"/>
            <w:tcBorders>
              <w:right w:val="single" w:sz="4" w:space="0" w:color="auto"/>
            </w:tcBorders>
            <w:hideMark/>
          </w:tcPr>
          <w:p w14:paraId="04DE772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3,305,987</w:t>
            </w:r>
          </w:p>
        </w:tc>
        <w:tc>
          <w:tcPr>
            <w:tcW w:w="532" w:type="pct"/>
            <w:tcBorders>
              <w:left w:val="single" w:sz="4" w:space="0" w:color="auto"/>
            </w:tcBorders>
            <w:hideMark/>
          </w:tcPr>
          <w:p w14:paraId="658D82FB"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4,465,816</w:t>
            </w:r>
          </w:p>
        </w:tc>
        <w:tc>
          <w:tcPr>
            <w:tcW w:w="533" w:type="pct"/>
            <w:hideMark/>
          </w:tcPr>
          <w:p w14:paraId="00E6CE6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4,228,363</w:t>
            </w:r>
          </w:p>
        </w:tc>
        <w:tc>
          <w:tcPr>
            <w:tcW w:w="532" w:type="pct"/>
            <w:hideMark/>
          </w:tcPr>
          <w:p w14:paraId="3188D22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3,843,052</w:t>
            </w:r>
          </w:p>
        </w:tc>
        <w:tc>
          <w:tcPr>
            <w:tcW w:w="533" w:type="pct"/>
            <w:tcBorders>
              <w:right w:val="single" w:sz="4" w:space="0" w:color="auto"/>
            </w:tcBorders>
            <w:hideMark/>
          </w:tcPr>
          <w:p w14:paraId="68F31DB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3,343,091</w:t>
            </w:r>
          </w:p>
        </w:tc>
      </w:tr>
      <w:tr w:rsidR="005F31C4" w:rsidRPr="00000849" w14:paraId="53FE6CD1"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1DD3BC7A" w14:textId="77777777" w:rsidR="005F31C4" w:rsidRPr="00000849" w:rsidRDefault="005F31C4" w:rsidP="00807B42">
            <w:pPr>
              <w:spacing w:after="0" w:line="240" w:lineRule="auto"/>
              <w:rPr>
                <w:rFonts w:ascii="Calibri" w:eastAsia="Times New Roman" w:hAnsi="Calibri" w:cs="Calibri"/>
                <w:b w:val="0"/>
                <w:bCs w:val="0"/>
                <w:i/>
                <w:iCs/>
                <w:color w:val="000000"/>
                <w:sz w:val="17"/>
                <w:szCs w:val="17"/>
              </w:rPr>
            </w:pPr>
            <w:r w:rsidRPr="00000849">
              <w:rPr>
                <w:rFonts w:ascii="Calibri" w:eastAsia="Times New Roman" w:hAnsi="Calibri" w:cs="Calibri"/>
                <w:b w:val="0"/>
                <w:bCs w:val="0"/>
                <w:i/>
                <w:iCs/>
                <w:color w:val="000000"/>
                <w:sz w:val="17"/>
                <w:szCs w:val="17"/>
              </w:rPr>
              <w:t>BIC</w:t>
            </w:r>
          </w:p>
        </w:tc>
        <w:tc>
          <w:tcPr>
            <w:tcW w:w="532" w:type="pct"/>
            <w:tcBorders>
              <w:left w:val="single" w:sz="4" w:space="0" w:color="auto"/>
            </w:tcBorders>
            <w:hideMark/>
          </w:tcPr>
          <w:p w14:paraId="5EF2651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3,887,913</w:t>
            </w:r>
          </w:p>
        </w:tc>
        <w:tc>
          <w:tcPr>
            <w:tcW w:w="532" w:type="pct"/>
            <w:hideMark/>
          </w:tcPr>
          <w:p w14:paraId="141D1C3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3,654,094</w:t>
            </w:r>
          </w:p>
        </w:tc>
        <w:tc>
          <w:tcPr>
            <w:tcW w:w="533" w:type="pct"/>
            <w:hideMark/>
          </w:tcPr>
          <w:p w14:paraId="3BD0434C"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3,526,127</w:t>
            </w:r>
          </w:p>
        </w:tc>
        <w:tc>
          <w:tcPr>
            <w:tcW w:w="532" w:type="pct"/>
            <w:tcBorders>
              <w:right w:val="single" w:sz="4" w:space="0" w:color="auto"/>
            </w:tcBorders>
            <w:hideMark/>
          </w:tcPr>
          <w:p w14:paraId="3FB281D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3,306,218</w:t>
            </w:r>
          </w:p>
        </w:tc>
        <w:tc>
          <w:tcPr>
            <w:tcW w:w="532" w:type="pct"/>
            <w:tcBorders>
              <w:left w:val="single" w:sz="4" w:space="0" w:color="auto"/>
            </w:tcBorders>
            <w:hideMark/>
          </w:tcPr>
          <w:p w14:paraId="3E2CF18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4,465,822</w:t>
            </w:r>
          </w:p>
        </w:tc>
        <w:tc>
          <w:tcPr>
            <w:tcW w:w="533" w:type="pct"/>
            <w:hideMark/>
          </w:tcPr>
          <w:p w14:paraId="5D3A6D4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4,228,443</w:t>
            </w:r>
          </w:p>
        </w:tc>
        <w:tc>
          <w:tcPr>
            <w:tcW w:w="532" w:type="pct"/>
            <w:hideMark/>
          </w:tcPr>
          <w:p w14:paraId="257F4790"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3,843,192</w:t>
            </w:r>
          </w:p>
        </w:tc>
        <w:tc>
          <w:tcPr>
            <w:tcW w:w="533" w:type="pct"/>
            <w:tcBorders>
              <w:right w:val="single" w:sz="4" w:space="0" w:color="auto"/>
            </w:tcBorders>
            <w:hideMark/>
          </w:tcPr>
          <w:p w14:paraId="1EE9221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3,341,312</w:t>
            </w:r>
          </w:p>
        </w:tc>
      </w:tr>
      <w:tr w:rsidR="005F31C4" w:rsidRPr="00000849" w14:paraId="4410C252"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62A16DAF"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df_r</w:t>
            </w:r>
          </w:p>
        </w:tc>
        <w:tc>
          <w:tcPr>
            <w:tcW w:w="532" w:type="pct"/>
            <w:tcBorders>
              <w:left w:val="single" w:sz="4" w:space="0" w:color="auto"/>
            </w:tcBorders>
            <w:hideMark/>
          </w:tcPr>
          <w:p w14:paraId="65F9B1A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w:t>
            </w:r>
          </w:p>
        </w:tc>
        <w:tc>
          <w:tcPr>
            <w:tcW w:w="532" w:type="pct"/>
            <w:hideMark/>
          </w:tcPr>
          <w:p w14:paraId="3721672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12</w:t>
            </w:r>
          </w:p>
        </w:tc>
        <w:tc>
          <w:tcPr>
            <w:tcW w:w="533" w:type="pct"/>
            <w:hideMark/>
          </w:tcPr>
          <w:p w14:paraId="177E2273"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22</w:t>
            </w:r>
          </w:p>
        </w:tc>
        <w:tc>
          <w:tcPr>
            <w:tcW w:w="532" w:type="pct"/>
            <w:tcBorders>
              <w:right w:val="single" w:sz="4" w:space="0" w:color="auto"/>
            </w:tcBorders>
            <w:hideMark/>
          </w:tcPr>
          <w:p w14:paraId="5CFC57D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36</w:t>
            </w:r>
          </w:p>
        </w:tc>
        <w:tc>
          <w:tcPr>
            <w:tcW w:w="532" w:type="pct"/>
            <w:tcBorders>
              <w:left w:val="single" w:sz="4" w:space="0" w:color="auto"/>
            </w:tcBorders>
            <w:hideMark/>
          </w:tcPr>
          <w:p w14:paraId="57C39B1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0</w:t>
            </w:r>
          </w:p>
        </w:tc>
        <w:tc>
          <w:tcPr>
            <w:tcW w:w="533" w:type="pct"/>
            <w:hideMark/>
          </w:tcPr>
          <w:p w14:paraId="0620B69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12 </w:t>
            </w:r>
          </w:p>
        </w:tc>
        <w:tc>
          <w:tcPr>
            <w:tcW w:w="532" w:type="pct"/>
            <w:hideMark/>
          </w:tcPr>
          <w:p w14:paraId="30098969"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22 </w:t>
            </w:r>
          </w:p>
        </w:tc>
        <w:tc>
          <w:tcPr>
            <w:tcW w:w="533" w:type="pct"/>
            <w:tcBorders>
              <w:right w:val="single" w:sz="4" w:space="0" w:color="auto"/>
            </w:tcBorders>
            <w:hideMark/>
          </w:tcPr>
          <w:p w14:paraId="78E950B7"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36 </w:t>
            </w:r>
          </w:p>
        </w:tc>
      </w:tr>
      <w:tr w:rsidR="005F31C4" w:rsidRPr="00000849" w14:paraId="7F10133C" w14:textId="77777777" w:rsidTr="00821131">
        <w:trPr>
          <w:trHeight w:val="288"/>
        </w:trPr>
        <w:tc>
          <w:tcPr>
            <w:cnfStyle w:val="001000000000" w:firstRow="0" w:lastRow="0" w:firstColumn="1" w:lastColumn="0" w:oddVBand="0" w:evenVBand="0" w:oddHBand="0" w:evenHBand="0" w:firstRowFirstColumn="0" w:firstRowLastColumn="0" w:lastRowFirstColumn="0" w:lastRowLastColumn="0"/>
            <w:tcW w:w="742" w:type="pct"/>
            <w:tcBorders>
              <w:right w:val="single" w:sz="4" w:space="0" w:color="auto"/>
            </w:tcBorders>
            <w:hideMark/>
          </w:tcPr>
          <w:p w14:paraId="51FBAD10"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p</w:t>
            </w:r>
          </w:p>
        </w:tc>
        <w:tc>
          <w:tcPr>
            <w:tcW w:w="532" w:type="pct"/>
            <w:tcBorders>
              <w:left w:val="single" w:sz="4" w:space="0" w:color="auto"/>
            </w:tcBorders>
            <w:hideMark/>
          </w:tcPr>
          <w:p w14:paraId="3F2B2085" w14:textId="77777777" w:rsidR="005F31C4" w:rsidRPr="00000849" w:rsidRDefault="005F31C4" w:rsidP="00807B42">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2" w:type="pct"/>
            <w:hideMark/>
          </w:tcPr>
          <w:p w14:paraId="748B62C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 </w:t>
            </w:r>
          </w:p>
        </w:tc>
        <w:tc>
          <w:tcPr>
            <w:tcW w:w="533" w:type="pct"/>
            <w:hideMark/>
          </w:tcPr>
          <w:p w14:paraId="2258A184"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 </w:t>
            </w:r>
          </w:p>
        </w:tc>
        <w:tc>
          <w:tcPr>
            <w:tcW w:w="532" w:type="pct"/>
            <w:tcBorders>
              <w:right w:val="single" w:sz="4" w:space="0" w:color="auto"/>
            </w:tcBorders>
            <w:hideMark/>
          </w:tcPr>
          <w:p w14:paraId="3D39144D"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 </w:t>
            </w:r>
          </w:p>
        </w:tc>
        <w:tc>
          <w:tcPr>
            <w:tcW w:w="532" w:type="pct"/>
            <w:tcBorders>
              <w:left w:val="single" w:sz="4" w:space="0" w:color="auto"/>
            </w:tcBorders>
            <w:hideMark/>
          </w:tcPr>
          <w:p w14:paraId="51CCB58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p>
        </w:tc>
        <w:tc>
          <w:tcPr>
            <w:tcW w:w="533" w:type="pct"/>
            <w:hideMark/>
          </w:tcPr>
          <w:p w14:paraId="355CB092"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 </w:t>
            </w:r>
          </w:p>
        </w:tc>
        <w:tc>
          <w:tcPr>
            <w:tcW w:w="532" w:type="pct"/>
            <w:hideMark/>
          </w:tcPr>
          <w:p w14:paraId="3FEE912E"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 </w:t>
            </w:r>
          </w:p>
        </w:tc>
        <w:tc>
          <w:tcPr>
            <w:tcW w:w="533" w:type="pct"/>
            <w:tcBorders>
              <w:right w:val="single" w:sz="4" w:space="0" w:color="auto"/>
            </w:tcBorders>
            <w:hideMark/>
          </w:tcPr>
          <w:p w14:paraId="3E4457C5"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0 </w:t>
            </w:r>
          </w:p>
        </w:tc>
      </w:tr>
      <w:tr w:rsidR="005F31C4" w:rsidRPr="00000849" w14:paraId="1D21C5D2" w14:textId="77777777" w:rsidTr="00821131">
        <w:trPr>
          <w:trHeight w:val="294"/>
        </w:trPr>
        <w:tc>
          <w:tcPr>
            <w:cnfStyle w:val="001000000000" w:firstRow="0" w:lastRow="0" w:firstColumn="1" w:lastColumn="0" w:oddVBand="0" w:evenVBand="0" w:oddHBand="0" w:evenHBand="0" w:firstRowFirstColumn="0" w:firstRowLastColumn="0" w:lastRowFirstColumn="0" w:lastRowLastColumn="0"/>
            <w:tcW w:w="742" w:type="pct"/>
            <w:tcBorders>
              <w:bottom w:val="single" w:sz="4" w:space="0" w:color="7F7F7F" w:themeColor="text1" w:themeTint="80"/>
              <w:right w:val="single" w:sz="4" w:space="0" w:color="auto"/>
            </w:tcBorders>
            <w:hideMark/>
          </w:tcPr>
          <w:p w14:paraId="26BEF03E" w14:textId="77777777" w:rsidR="005F31C4" w:rsidRPr="00000849" w:rsidRDefault="005F31C4" w:rsidP="00807B42">
            <w:pPr>
              <w:spacing w:after="0" w:line="240" w:lineRule="auto"/>
              <w:rPr>
                <w:rFonts w:ascii="Calibri" w:eastAsia="Times New Roman" w:hAnsi="Calibri" w:cs="Calibri"/>
                <w:b w:val="0"/>
                <w:bCs w:val="0"/>
                <w:color w:val="000000"/>
                <w:sz w:val="17"/>
                <w:szCs w:val="17"/>
              </w:rPr>
            </w:pPr>
            <w:r w:rsidRPr="00000849">
              <w:rPr>
                <w:rFonts w:ascii="Calibri" w:eastAsia="Times New Roman" w:hAnsi="Calibri" w:cs="Calibri"/>
                <w:b w:val="0"/>
                <w:bCs w:val="0"/>
                <w:color w:val="000000"/>
                <w:sz w:val="17"/>
                <w:szCs w:val="17"/>
              </w:rPr>
              <w:t>Observations</w:t>
            </w:r>
          </w:p>
        </w:tc>
        <w:tc>
          <w:tcPr>
            <w:tcW w:w="532" w:type="pct"/>
            <w:tcBorders>
              <w:left w:val="single" w:sz="4" w:space="0" w:color="auto"/>
            </w:tcBorders>
            <w:hideMark/>
          </w:tcPr>
          <w:p w14:paraId="06132F5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4254</w:t>
            </w:r>
          </w:p>
        </w:tc>
        <w:tc>
          <w:tcPr>
            <w:tcW w:w="532" w:type="pct"/>
            <w:hideMark/>
          </w:tcPr>
          <w:p w14:paraId="290C455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4144 </w:t>
            </w:r>
          </w:p>
        </w:tc>
        <w:tc>
          <w:tcPr>
            <w:tcW w:w="533" w:type="pct"/>
            <w:hideMark/>
          </w:tcPr>
          <w:p w14:paraId="56CD1CE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4032 </w:t>
            </w:r>
          </w:p>
        </w:tc>
        <w:tc>
          <w:tcPr>
            <w:tcW w:w="532" w:type="pct"/>
            <w:tcBorders>
              <w:bottom w:val="single" w:sz="4" w:space="0" w:color="7F7F7F" w:themeColor="text1" w:themeTint="80"/>
              <w:right w:val="single" w:sz="4" w:space="0" w:color="auto"/>
            </w:tcBorders>
            <w:hideMark/>
          </w:tcPr>
          <w:p w14:paraId="15DAC54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3873 </w:t>
            </w:r>
          </w:p>
        </w:tc>
        <w:tc>
          <w:tcPr>
            <w:tcW w:w="532" w:type="pct"/>
            <w:tcBorders>
              <w:left w:val="single" w:sz="4" w:space="0" w:color="auto"/>
            </w:tcBorders>
            <w:hideMark/>
          </w:tcPr>
          <w:p w14:paraId="04CE0158"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3542</w:t>
            </w:r>
          </w:p>
        </w:tc>
        <w:tc>
          <w:tcPr>
            <w:tcW w:w="533" w:type="pct"/>
            <w:hideMark/>
          </w:tcPr>
          <w:p w14:paraId="6E163F51"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3520 </w:t>
            </w:r>
          </w:p>
        </w:tc>
        <w:tc>
          <w:tcPr>
            <w:tcW w:w="532" w:type="pct"/>
            <w:hideMark/>
          </w:tcPr>
          <w:p w14:paraId="66880906"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3234 </w:t>
            </w:r>
          </w:p>
        </w:tc>
        <w:tc>
          <w:tcPr>
            <w:tcW w:w="533" w:type="pct"/>
            <w:tcBorders>
              <w:bottom w:val="single" w:sz="4" w:space="0" w:color="7F7F7F" w:themeColor="text1" w:themeTint="80"/>
              <w:right w:val="single" w:sz="4" w:space="0" w:color="auto"/>
            </w:tcBorders>
            <w:hideMark/>
          </w:tcPr>
          <w:p w14:paraId="0BCF1C1A" w14:textId="77777777" w:rsidR="005F31C4" w:rsidRPr="00000849" w:rsidRDefault="005F31C4" w:rsidP="00807B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7"/>
                <w:szCs w:val="17"/>
              </w:rPr>
            </w:pPr>
            <w:r w:rsidRPr="00000849">
              <w:rPr>
                <w:rFonts w:ascii="Calibri" w:eastAsia="Times New Roman" w:hAnsi="Calibri" w:cs="Calibri"/>
                <w:color w:val="000000"/>
                <w:sz w:val="17"/>
                <w:szCs w:val="17"/>
              </w:rPr>
              <w:t xml:space="preserve">2869 </w:t>
            </w:r>
          </w:p>
        </w:tc>
      </w:tr>
    </w:tbl>
    <w:p w14:paraId="5874CB56" w14:textId="11EBE674" w:rsidR="007F1DA0" w:rsidRPr="00000849" w:rsidRDefault="007F1DA0">
      <w:pPr>
        <w:spacing w:after="160" w:line="259" w:lineRule="auto"/>
        <w:rPr>
          <w:rFonts w:cstheme="minorHAnsi"/>
          <w:sz w:val="24"/>
          <w:szCs w:val="24"/>
          <w:lang w:val="en-US"/>
        </w:rPr>
      </w:pPr>
    </w:p>
    <w:p w14:paraId="21F4B168" w14:textId="41DB82FF" w:rsidR="00977321" w:rsidRPr="00000849" w:rsidRDefault="00977321">
      <w:pPr>
        <w:spacing w:after="160" w:line="259" w:lineRule="auto"/>
        <w:rPr>
          <w:rFonts w:cstheme="minorHAnsi"/>
          <w:sz w:val="24"/>
          <w:szCs w:val="24"/>
          <w:lang w:val="en-US"/>
        </w:rPr>
      </w:pPr>
    </w:p>
    <w:p w14:paraId="1D3D4096" w14:textId="77777777" w:rsidR="00977321" w:rsidRPr="00000849" w:rsidRDefault="00977321">
      <w:pPr>
        <w:spacing w:after="160" w:line="259" w:lineRule="auto"/>
        <w:rPr>
          <w:rFonts w:cstheme="minorHAnsi"/>
          <w:sz w:val="24"/>
          <w:szCs w:val="24"/>
          <w:lang w:val="en-US"/>
        </w:rPr>
      </w:pPr>
    </w:p>
    <w:p w14:paraId="4EF22ECB" w14:textId="77777777" w:rsidR="007F1DA0" w:rsidRPr="00000849" w:rsidRDefault="007F1DA0">
      <w:pPr>
        <w:spacing w:after="160" w:line="259" w:lineRule="auto"/>
        <w:rPr>
          <w:rFonts w:cstheme="minorHAnsi"/>
          <w:sz w:val="24"/>
          <w:szCs w:val="24"/>
          <w:lang w:val="en-US"/>
        </w:rPr>
        <w:sectPr w:rsidR="007F1DA0" w:rsidRPr="00000849" w:rsidSect="00807B42">
          <w:pgSz w:w="16838" w:h="11906" w:orient="landscape"/>
          <w:pgMar w:top="2155" w:right="1440" w:bottom="1440" w:left="1440" w:header="708" w:footer="708" w:gutter="0"/>
          <w:cols w:space="708"/>
          <w:docGrid w:linePitch="360"/>
        </w:sectPr>
      </w:pPr>
    </w:p>
    <w:p w14:paraId="6FA624FA" w14:textId="717DF978" w:rsidR="00A769D0" w:rsidRPr="00000849" w:rsidRDefault="00A769D0" w:rsidP="004E2350">
      <w:pPr>
        <w:pStyle w:val="Heading3"/>
        <w:rPr>
          <w:lang w:val="en-US"/>
        </w:rPr>
      </w:pPr>
      <w:bookmarkStart w:id="151" w:name="_Toc51472180"/>
      <w:r w:rsidRPr="00000849">
        <w:rPr>
          <w:lang w:val="en-US"/>
        </w:rPr>
        <w:lastRenderedPageBreak/>
        <w:t xml:space="preserve">Table </w:t>
      </w:r>
      <w:r w:rsidR="00290D25" w:rsidRPr="00000849">
        <w:rPr>
          <w:lang w:val="en-US"/>
        </w:rPr>
        <w:t>A8</w:t>
      </w:r>
      <w:r w:rsidRPr="00000849">
        <w:rPr>
          <w:lang w:val="en-US"/>
        </w:rPr>
        <w:t>:</w:t>
      </w:r>
      <w:r w:rsidRPr="00000849">
        <w:rPr>
          <w:lang w:val="en-US"/>
        </w:rPr>
        <w:tab/>
        <w:t>Single level multivariable logistic regression for hypertension comparing model with and without variable for participation in W1 among W2 subjects</w:t>
      </w:r>
      <w:bookmarkEnd w:id="151"/>
      <w:r w:rsidRPr="00000849">
        <w:rPr>
          <w:lang w:val="en-US"/>
        </w:rPr>
        <w:t xml:space="preserve"> </w:t>
      </w:r>
    </w:p>
    <w:p w14:paraId="270797A8" w14:textId="6D38A37A" w:rsidR="00A769D0" w:rsidRPr="00000849" w:rsidRDefault="00A769D0">
      <w:pPr>
        <w:spacing w:after="160" w:line="259" w:lineRule="auto"/>
        <w:rPr>
          <w:lang w:val="en-US"/>
        </w:rPr>
      </w:pPr>
    </w:p>
    <w:tbl>
      <w:tblPr>
        <w:tblStyle w:val="PlainTable2"/>
        <w:tblW w:w="5000" w:type="pct"/>
        <w:tblLook w:val="06A0" w:firstRow="1" w:lastRow="0" w:firstColumn="1" w:lastColumn="0" w:noHBand="1" w:noVBand="1"/>
      </w:tblPr>
      <w:tblGrid>
        <w:gridCol w:w="3110"/>
        <w:gridCol w:w="2121"/>
        <w:gridCol w:w="3080"/>
      </w:tblGrid>
      <w:tr w:rsidR="00A769D0" w:rsidRPr="00000849" w14:paraId="3F901E2C" w14:textId="77777777" w:rsidTr="00A769D0">
        <w:trPr>
          <w:cnfStyle w:val="100000000000" w:firstRow="1" w:lastRow="0" w:firstColumn="0" w:lastColumn="0" w:oddVBand="0" w:evenVBand="0" w:oddHBand="0" w:evenHBand="0" w:firstRowFirstColumn="0" w:firstRowLastColumn="0" w:lastRowFirstColumn="0" w:lastRowLastColumn="0"/>
          <w:divId w:val="158623618"/>
          <w:trHeight w:val="432"/>
          <w:tblHeader/>
        </w:trPr>
        <w:tc>
          <w:tcPr>
            <w:cnfStyle w:val="001000000000" w:firstRow="0" w:lastRow="0" w:firstColumn="1" w:lastColumn="0" w:oddVBand="0" w:evenVBand="0" w:oddHBand="0" w:evenHBand="0" w:firstRowFirstColumn="0" w:firstRowLastColumn="0" w:lastRowFirstColumn="0" w:lastRowLastColumn="0"/>
            <w:tcW w:w="1871" w:type="pct"/>
            <w:hideMark/>
          </w:tcPr>
          <w:p w14:paraId="0115ED05" w14:textId="092C6237" w:rsidR="00A769D0" w:rsidRPr="00000849" w:rsidRDefault="00A769D0" w:rsidP="00A769D0">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Variable</w:t>
            </w:r>
          </w:p>
        </w:tc>
        <w:tc>
          <w:tcPr>
            <w:tcW w:w="1276" w:type="pct"/>
            <w:hideMark/>
          </w:tcPr>
          <w:p w14:paraId="41329CC7" w14:textId="77777777" w:rsidR="00A769D0" w:rsidRPr="00000849" w:rsidRDefault="00A769D0" w:rsidP="00A769D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Wave 2, OR (95% CI)</w:t>
            </w:r>
          </w:p>
        </w:tc>
        <w:tc>
          <w:tcPr>
            <w:tcW w:w="1853" w:type="pct"/>
            <w:hideMark/>
          </w:tcPr>
          <w:p w14:paraId="4DB54E78" w14:textId="77777777" w:rsidR="00A769D0" w:rsidRPr="00000849" w:rsidRDefault="00A769D0" w:rsidP="00A769D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Wave 2 (cohort adjusted), OR (95% CI)</w:t>
            </w:r>
          </w:p>
        </w:tc>
      </w:tr>
      <w:tr w:rsidR="00A769D0" w:rsidRPr="00000849" w14:paraId="7EAC8501"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16E249E4"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Sex of respondent</w:t>
            </w:r>
          </w:p>
        </w:tc>
        <w:tc>
          <w:tcPr>
            <w:tcW w:w="1276" w:type="pct"/>
            <w:hideMark/>
          </w:tcPr>
          <w:p w14:paraId="02396362"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6EA658E0"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24CEC35D"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noWrap/>
            <w:hideMark/>
          </w:tcPr>
          <w:p w14:paraId="3B778368"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Males</w:t>
            </w:r>
          </w:p>
        </w:tc>
        <w:tc>
          <w:tcPr>
            <w:tcW w:w="1276" w:type="pct"/>
            <w:hideMark/>
          </w:tcPr>
          <w:p w14:paraId="72F8F2FC"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538EB551"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68E4354E"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noWrap/>
            <w:hideMark/>
          </w:tcPr>
          <w:p w14:paraId="2B297F95"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Females</w:t>
            </w:r>
          </w:p>
        </w:tc>
        <w:tc>
          <w:tcPr>
            <w:tcW w:w="1276" w:type="pct"/>
            <w:hideMark/>
          </w:tcPr>
          <w:p w14:paraId="721044D4"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0.83 (0.63-1.10)</w:t>
            </w:r>
          </w:p>
        </w:tc>
        <w:tc>
          <w:tcPr>
            <w:tcW w:w="1853" w:type="pct"/>
            <w:hideMark/>
          </w:tcPr>
          <w:p w14:paraId="752D60B7"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0.83 (0.62-1.09)</w:t>
            </w:r>
          </w:p>
        </w:tc>
      </w:tr>
      <w:tr w:rsidR="00A769D0" w:rsidRPr="00000849" w14:paraId="623727B8"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15DDCFAC"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Age groups</w:t>
            </w:r>
          </w:p>
        </w:tc>
        <w:tc>
          <w:tcPr>
            <w:tcW w:w="1276" w:type="pct"/>
            <w:hideMark/>
          </w:tcPr>
          <w:p w14:paraId="7974C742"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100D1DA6"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00A4F9BA"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noWrap/>
            <w:hideMark/>
          </w:tcPr>
          <w:p w14:paraId="78FBA372"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50 - 64</w:t>
            </w:r>
          </w:p>
        </w:tc>
        <w:tc>
          <w:tcPr>
            <w:tcW w:w="1276" w:type="pct"/>
            <w:hideMark/>
          </w:tcPr>
          <w:p w14:paraId="68BA31F1"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4A1AC92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1B9DBBD0" w14:textId="77777777" w:rsidTr="00A769D0">
        <w:trPr>
          <w:divId w:val="158623618"/>
          <w:trHeight w:val="490"/>
        </w:trPr>
        <w:tc>
          <w:tcPr>
            <w:cnfStyle w:val="001000000000" w:firstRow="0" w:lastRow="0" w:firstColumn="1" w:lastColumn="0" w:oddVBand="0" w:evenVBand="0" w:oddHBand="0" w:evenHBand="0" w:firstRowFirstColumn="0" w:firstRowLastColumn="0" w:lastRowFirstColumn="0" w:lastRowLastColumn="0"/>
            <w:tcW w:w="1871" w:type="pct"/>
            <w:noWrap/>
            <w:hideMark/>
          </w:tcPr>
          <w:p w14:paraId="540D0C64"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65 - 74</w:t>
            </w:r>
          </w:p>
        </w:tc>
        <w:tc>
          <w:tcPr>
            <w:tcW w:w="1276" w:type="pct"/>
            <w:hideMark/>
          </w:tcPr>
          <w:p w14:paraId="13A13E89"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1.53*** (1.21-1.93)</w:t>
            </w:r>
          </w:p>
        </w:tc>
        <w:tc>
          <w:tcPr>
            <w:tcW w:w="1853" w:type="pct"/>
            <w:noWrap/>
            <w:hideMark/>
          </w:tcPr>
          <w:p w14:paraId="2BE8C36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b/>
                <w:bCs/>
                <w:color w:val="000000"/>
                <w:sz w:val="20"/>
                <w:szCs w:val="20"/>
                <w:lang w:eastAsia="en-GB"/>
              </w:rPr>
              <w:t>1.54*** (1.21-1.98)</w:t>
            </w:r>
          </w:p>
        </w:tc>
      </w:tr>
      <w:tr w:rsidR="00A769D0" w:rsidRPr="00000849" w14:paraId="7D28B49D"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noWrap/>
            <w:hideMark/>
          </w:tcPr>
          <w:p w14:paraId="0D3AC92C"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75-plus</w:t>
            </w:r>
          </w:p>
        </w:tc>
        <w:tc>
          <w:tcPr>
            <w:tcW w:w="1276" w:type="pct"/>
            <w:hideMark/>
          </w:tcPr>
          <w:p w14:paraId="23444FB7"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1.40* (1.05-1.88)</w:t>
            </w:r>
          </w:p>
        </w:tc>
        <w:tc>
          <w:tcPr>
            <w:tcW w:w="1853" w:type="pct"/>
            <w:noWrap/>
            <w:hideMark/>
          </w:tcPr>
          <w:p w14:paraId="0EB2D1D6"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b/>
                <w:bCs/>
                <w:color w:val="000000"/>
                <w:sz w:val="20"/>
                <w:szCs w:val="20"/>
                <w:lang w:eastAsia="en-GB"/>
              </w:rPr>
              <w:t>1.42* (1.05-1.91</w:t>
            </w:r>
            <w:r w:rsidRPr="00000849">
              <w:rPr>
                <w:rFonts w:ascii="Calibri" w:eastAsia="Times New Roman" w:hAnsi="Calibri" w:cs="Calibri"/>
                <w:color w:val="000000"/>
                <w:sz w:val="20"/>
                <w:szCs w:val="20"/>
                <w:lang w:eastAsia="en-GB"/>
              </w:rPr>
              <w:t>)</w:t>
            </w:r>
          </w:p>
        </w:tc>
      </w:tr>
      <w:tr w:rsidR="00A769D0" w:rsidRPr="00000849" w14:paraId="01EA1629"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1DA5DBE1"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Type of residence</w:t>
            </w:r>
          </w:p>
        </w:tc>
        <w:tc>
          <w:tcPr>
            <w:tcW w:w="1276" w:type="pct"/>
            <w:hideMark/>
          </w:tcPr>
          <w:p w14:paraId="7EF10F7D"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00EC3CE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63486443"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noWrap/>
            <w:hideMark/>
          </w:tcPr>
          <w:p w14:paraId="0C60D002"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Rural</w:t>
            </w:r>
          </w:p>
        </w:tc>
        <w:tc>
          <w:tcPr>
            <w:tcW w:w="1276" w:type="pct"/>
            <w:hideMark/>
          </w:tcPr>
          <w:p w14:paraId="791882AC"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3C59FCE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0A20E139"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noWrap/>
            <w:hideMark/>
          </w:tcPr>
          <w:p w14:paraId="6B3B5493"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Urban</w:t>
            </w:r>
          </w:p>
        </w:tc>
        <w:tc>
          <w:tcPr>
            <w:tcW w:w="1276" w:type="pct"/>
            <w:hideMark/>
          </w:tcPr>
          <w:p w14:paraId="5E287D5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1.29 (0.99-1.69)</w:t>
            </w:r>
          </w:p>
        </w:tc>
        <w:tc>
          <w:tcPr>
            <w:tcW w:w="1853" w:type="pct"/>
            <w:noWrap/>
            <w:hideMark/>
          </w:tcPr>
          <w:p w14:paraId="525E63A0"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 (0.99-1.69)</w:t>
            </w:r>
          </w:p>
        </w:tc>
      </w:tr>
      <w:tr w:rsidR="00A769D0" w:rsidRPr="00000849" w14:paraId="49BD3FF1" w14:textId="77777777" w:rsidTr="00A769D0">
        <w:trPr>
          <w:divId w:val="158623618"/>
          <w:trHeight w:val="324"/>
        </w:trPr>
        <w:tc>
          <w:tcPr>
            <w:cnfStyle w:val="001000000000" w:firstRow="0" w:lastRow="0" w:firstColumn="1" w:lastColumn="0" w:oddVBand="0" w:evenVBand="0" w:oddHBand="0" w:evenHBand="0" w:firstRowFirstColumn="0" w:firstRowLastColumn="0" w:lastRowFirstColumn="0" w:lastRowLastColumn="0"/>
            <w:tcW w:w="1871" w:type="pct"/>
            <w:hideMark/>
          </w:tcPr>
          <w:p w14:paraId="2A6CF0FF"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Regional Groups</w:t>
            </w:r>
          </w:p>
        </w:tc>
        <w:tc>
          <w:tcPr>
            <w:tcW w:w="1276" w:type="pct"/>
            <w:hideMark/>
          </w:tcPr>
          <w:p w14:paraId="30661D56"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588036A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34962B76"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noWrap/>
            <w:hideMark/>
          </w:tcPr>
          <w:p w14:paraId="7C4ADEE2"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Northern regions</w:t>
            </w:r>
          </w:p>
        </w:tc>
        <w:tc>
          <w:tcPr>
            <w:tcW w:w="1276" w:type="pct"/>
            <w:hideMark/>
          </w:tcPr>
          <w:p w14:paraId="5F55783D"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6CF2AAF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0A8AAEDB"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noWrap/>
            <w:hideMark/>
          </w:tcPr>
          <w:p w14:paraId="000E246A"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Other regions</w:t>
            </w:r>
          </w:p>
        </w:tc>
        <w:tc>
          <w:tcPr>
            <w:tcW w:w="1276" w:type="pct"/>
            <w:hideMark/>
          </w:tcPr>
          <w:p w14:paraId="3997A21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1.11 (0.76-1.62)</w:t>
            </w:r>
          </w:p>
        </w:tc>
        <w:tc>
          <w:tcPr>
            <w:tcW w:w="1853" w:type="pct"/>
            <w:noWrap/>
            <w:hideMark/>
          </w:tcPr>
          <w:p w14:paraId="093327C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1.11 (0.76-1.62)</w:t>
            </w:r>
          </w:p>
        </w:tc>
      </w:tr>
      <w:tr w:rsidR="00A769D0" w:rsidRPr="00000849" w14:paraId="6081AECB" w14:textId="77777777" w:rsidTr="00A769D0">
        <w:trPr>
          <w:divId w:val="158623618"/>
          <w:trHeight w:val="490"/>
        </w:trPr>
        <w:tc>
          <w:tcPr>
            <w:cnfStyle w:val="001000000000" w:firstRow="0" w:lastRow="0" w:firstColumn="1" w:lastColumn="0" w:oddVBand="0" w:evenVBand="0" w:oddHBand="0" w:evenHBand="0" w:firstRowFirstColumn="0" w:firstRowLastColumn="0" w:lastRowFirstColumn="0" w:lastRowLastColumn="0"/>
            <w:tcW w:w="1871" w:type="pct"/>
            <w:noWrap/>
            <w:hideMark/>
          </w:tcPr>
          <w:p w14:paraId="0562B0B3"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Greater Accra Region</w:t>
            </w:r>
          </w:p>
        </w:tc>
        <w:tc>
          <w:tcPr>
            <w:tcW w:w="1276" w:type="pct"/>
            <w:hideMark/>
          </w:tcPr>
          <w:p w14:paraId="36216BC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2.56*** (1.47-4.48)</w:t>
            </w:r>
          </w:p>
        </w:tc>
        <w:tc>
          <w:tcPr>
            <w:tcW w:w="1853" w:type="pct"/>
            <w:noWrap/>
            <w:hideMark/>
          </w:tcPr>
          <w:p w14:paraId="3B30F70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b/>
                <w:bCs/>
                <w:color w:val="000000"/>
                <w:sz w:val="20"/>
                <w:szCs w:val="20"/>
                <w:lang w:eastAsia="en-GB"/>
              </w:rPr>
              <w:t>2.57*** (1.47-4.49)</w:t>
            </w:r>
          </w:p>
        </w:tc>
      </w:tr>
      <w:tr w:rsidR="00A769D0" w:rsidRPr="00000849" w14:paraId="41CE14C2"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6A1B871F"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 xml:space="preserve">Marital status </w:t>
            </w:r>
          </w:p>
        </w:tc>
        <w:tc>
          <w:tcPr>
            <w:tcW w:w="1276" w:type="pct"/>
            <w:hideMark/>
          </w:tcPr>
          <w:p w14:paraId="3D1BA740"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68EC06C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01C2A0F3" w14:textId="77777777" w:rsidTr="00A769D0">
        <w:trPr>
          <w:divId w:val="158623618"/>
          <w:trHeight w:val="480"/>
        </w:trPr>
        <w:tc>
          <w:tcPr>
            <w:cnfStyle w:val="001000000000" w:firstRow="0" w:lastRow="0" w:firstColumn="1" w:lastColumn="0" w:oddVBand="0" w:evenVBand="0" w:oddHBand="0" w:evenHBand="0" w:firstRowFirstColumn="0" w:firstRowLastColumn="0" w:lastRowFirstColumn="0" w:lastRowLastColumn="0"/>
            <w:tcW w:w="1871" w:type="pct"/>
            <w:hideMark/>
          </w:tcPr>
          <w:p w14:paraId="19FF1CFD"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Currently married or cohabiting</w:t>
            </w:r>
          </w:p>
        </w:tc>
        <w:tc>
          <w:tcPr>
            <w:tcW w:w="1276" w:type="pct"/>
            <w:hideMark/>
          </w:tcPr>
          <w:p w14:paraId="6B07C676"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245591A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418F2C8E" w14:textId="77777777" w:rsidTr="00A769D0">
        <w:trPr>
          <w:divId w:val="158623618"/>
          <w:trHeight w:val="490"/>
        </w:trPr>
        <w:tc>
          <w:tcPr>
            <w:cnfStyle w:val="001000000000" w:firstRow="0" w:lastRow="0" w:firstColumn="1" w:lastColumn="0" w:oddVBand="0" w:evenVBand="0" w:oddHBand="0" w:evenHBand="0" w:firstRowFirstColumn="0" w:firstRowLastColumn="0" w:lastRowFirstColumn="0" w:lastRowLastColumn="0"/>
            <w:tcW w:w="1871" w:type="pct"/>
            <w:hideMark/>
          </w:tcPr>
          <w:p w14:paraId="22A52A80"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Previously or never married</w:t>
            </w:r>
          </w:p>
        </w:tc>
        <w:tc>
          <w:tcPr>
            <w:tcW w:w="1276" w:type="pct"/>
            <w:hideMark/>
          </w:tcPr>
          <w:p w14:paraId="355C2806"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1.57*** (1.25-1.96)</w:t>
            </w:r>
          </w:p>
        </w:tc>
        <w:tc>
          <w:tcPr>
            <w:tcW w:w="1853" w:type="pct"/>
            <w:noWrap/>
            <w:hideMark/>
          </w:tcPr>
          <w:p w14:paraId="2B784F8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b/>
                <w:bCs/>
                <w:color w:val="000000"/>
                <w:sz w:val="20"/>
                <w:szCs w:val="20"/>
                <w:lang w:eastAsia="en-GB"/>
              </w:rPr>
              <w:t>1.58*** (1.26-1.98)</w:t>
            </w:r>
          </w:p>
        </w:tc>
      </w:tr>
      <w:tr w:rsidR="00A769D0" w:rsidRPr="00000849" w14:paraId="70F27046"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2CAD26DE"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Ethnicity</w:t>
            </w:r>
          </w:p>
        </w:tc>
        <w:tc>
          <w:tcPr>
            <w:tcW w:w="1276" w:type="pct"/>
            <w:hideMark/>
          </w:tcPr>
          <w:p w14:paraId="09B8DFFA"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14753EA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7BB5C08C"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noWrap/>
            <w:hideMark/>
          </w:tcPr>
          <w:p w14:paraId="1FCA302F"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Northern groups</w:t>
            </w:r>
          </w:p>
        </w:tc>
        <w:tc>
          <w:tcPr>
            <w:tcW w:w="1276" w:type="pct"/>
            <w:hideMark/>
          </w:tcPr>
          <w:p w14:paraId="2AA72D34"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6A7DEB3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6C517504"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06A8A8B5"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Akan</w:t>
            </w:r>
          </w:p>
        </w:tc>
        <w:tc>
          <w:tcPr>
            <w:tcW w:w="1276" w:type="pct"/>
            <w:hideMark/>
          </w:tcPr>
          <w:p w14:paraId="0F5CE65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1.17 (0.84-1.65)</w:t>
            </w:r>
          </w:p>
        </w:tc>
        <w:tc>
          <w:tcPr>
            <w:tcW w:w="1853" w:type="pct"/>
            <w:noWrap/>
            <w:hideMark/>
          </w:tcPr>
          <w:p w14:paraId="79FCA4F6"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1.17 (0.84-1.64)</w:t>
            </w:r>
          </w:p>
        </w:tc>
      </w:tr>
      <w:tr w:rsidR="00A769D0" w:rsidRPr="00000849" w14:paraId="213D31F6"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0C02F9D7"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Ga-Adangme</w:t>
            </w:r>
          </w:p>
        </w:tc>
        <w:tc>
          <w:tcPr>
            <w:tcW w:w="1276" w:type="pct"/>
            <w:hideMark/>
          </w:tcPr>
          <w:p w14:paraId="6937696C"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1.29 (0.85-1.95)</w:t>
            </w:r>
          </w:p>
        </w:tc>
        <w:tc>
          <w:tcPr>
            <w:tcW w:w="1853" w:type="pct"/>
            <w:noWrap/>
            <w:hideMark/>
          </w:tcPr>
          <w:p w14:paraId="0DD4368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1.29 (0.85-1.95)</w:t>
            </w:r>
          </w:p>
        </w:tc>
      </w:tr>
      <w:tr w:rsidR="00A769D0" w:rsidRPr="00000849" w14:paraId="15AE1906"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43B27E70"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Others</w:t>
            </w:r>
          </w:p>
        </w:tc>
        <w:tc>
          <w:tcPr>
            <w:tcW w:w="1276" w:type="pct"/>
            <w:hideMark/>
          </w:tcPr>
          <w:p w14:paraId="31A960E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 (0.83-2.03)</w:t>
            </w:r>
          </w:p>
        </w:tc>
        <w:tc>
          <w:tcPr>
            <w:tcW w:w="1853" w:type="pct"/>
            <w:noWrap/>
            <w:hideMark/>
          </w:tcPr>
          <w:p w14:paraId="49F6A1E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 (0.84-2.03)</w:t>
            </w:r>
          </w:p>
        </w:tc>
      </w:tr>
      <w:tr w:rsidR="00A769D0" w:rsidRPr="00000849" w14:paraId="022A5DAE"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5302C98E"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Religious group</w:t>
            </w:r>
          </w:p>
        </w:tc>
        <w:tc>
          <w:tcPr>
            <w:tcW w:w="1276" w:type="pct"/>
            <w:hideMark/>
          </w:tcPr>
          <w:p w14:paraId="2CFB2647"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39F83587"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7F7C50E0"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2E588353"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Christian</w:t>
            </w:r>
          </w:p>
        </w:tc>
        <w:tc>
          <w:tcPr>
            <w:tcW w:w="1276" w:type="pct"/>
            <w:hideMark/>
          </w:tcPr>
          <w:p w14:paraId="14B2D9F4"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2C60251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635978B3"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5F3799EF"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Islam</w:t>
            </w:r>
          </w:p>
        </w:tc>
        <w:tc>
          <w:tcPr>
            <w:tcW w:w="1276" w:type="pct"/>
            <w:hideMark/>
          </w:tcPr>
          <w:p w14:paraId="731949B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1.60** (1.14-2.24)</w:t>
            </w:r>
          </w:p>
        </w:tc>
        <w:tc>
          <w:tcPr>
            <w:tcW w:w="1853" w:type="pct"/>
            <w:noWrap/>
            <w:hideMark/>
          </w:tcPr>
          <w:p w14:paraId="2C2D5D1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b/>
                <w:bCs/>
                <w:color w:val="000000"/>
                <w:sz w:val="20"/>
                <w:szCs w:val="20"/>
                <w:lang w:eastAsia="en-GB"/>
              </w:rPr>
              <w:t>1.59** (1.14-2.23)</w:t>
            </w:r>
          </w:p>
        </w:tc>
      </w:tr>
      <w:tr w:rsidR="00A769D0" w:rsidRPr="00000849" w14:paraId="6535D47D"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7A784517"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Others</w:t>
            </w:r>
          </w:p>
        </w:tc>
        <w:tc>
          <w:tcPr>
            <w:tcW w:w="1276" w:type="pct"/>
            <w:hideMark/>
          </w:tcPr>
          <w:p w14:paraId="72FF69E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1.36 (0.93-2.01)</w:t>
            </w:r>
          </w:p>
        </w:tc>
        <w:tc>
          <w:tcPr>
            <w:tcW w:w="1853" w:type="pct"/>
            <w:noWrap/>
            <w:hideMark/>
          </w:tcPr>
          <w:p w14:paraId="4B8FC2ED"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1.36 (0.92-2.00)</w:t>
            </w:r>
          </w:p>
        </w:tc>
      </w:tr>
      <w:tr w:rsidR="00A769D0" w:rsidRPr="00000849" w14:paraId="304476AA"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5D25A9CF"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Educational level</w:t>
            </w:r>
          </w:p>
        </w:tc>
        <w:tc>
          <w:tcPr>
            <w:tcW w:w="1276" w:type="pct"/>
            <w:hideMark/>
          </w:tcPr>
          <w:p w14:paraId="08F04158"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040789F7"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44D8C7A9"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4D89187F"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Nil</w:t>
            </w:r>
          </w:p>
        </w:tc>
        <w:tc>
          <w:tcPr>
            <w:tcW w:w="1276" w:type="pct"/>
            <w:hideMark/>
          </w:tcPr>
          <w:p w14:paraId="1F7D979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302CE1A2"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207C2CB8"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4B7086FE"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Primary or less</w:t>
            </w:r>
          </w:p>
        </w:tc>
        <w:tc>
          <w:tcPr>
            <w:tcW w:w="1276" w:type="pct"/>
            <w:hideMark/>
          </w:tcPr>
          <w:p w14:paraId="36F7ADF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1.27 (0.96-1.68)</w:t>
            </w:r>
          </w:p>
        </w:tc>
        <w:tc>
          <w:tcPr>
            <w:tcW w:w="1853" w:type="pct"/>
            <w:noWrap/>
            <w:hideMark/>
          </w:tcPr>
          <w:p w14:paraId="56DABC71"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1.27 (0.96-1.67)</w:t>
            </w:r>
          </w:p>
        </w:tc>
      </w:tr>
      <w:tr w:rsidR="00A769D0" w:rsidRPr="00000849" w14:paraId="3C54A054"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56CC5760"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Secondary or higher</w:t>
            </w:r>
          </w:p>
        </w:tc>
        <w:tc>
          <w:tcPr>
            <w:tcW w:w="1276" w:type="pct"/>
            <w:hideMark/>
          </w:tcPr>
          <w:p w14:paraId="7840D11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1.04 (0.75-1.43)</w:t>
            </w:r>
          </w:p>
        </w:tc>
        <w:tc>
          <w:tcPr>
            <w:tcW w:w="1853" w:type="pct"/>
            <w:noWrap/>
            <w:hideMark/>
          </w:tcPr>
          <w:p w14:paraId="69A3648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1.04 (0.75-1.43)</w:t>
            </w:r>
          </w:p>
        </w:tc>
      </w:tr>
      <w:tr w:rsidR="00A769D0" w:rsidRPr="00000849" w14:paraId="3D9F6A43" w14:textId="77777777" w:rsidTr="00A769D0">
        <w:trPr>
          <w:divId w:val="158623618"/>
          <w:trHeight w:val="450"/>
        </w:trPr>
        <w:tc>
          <w:tcPr>
            <w:cnfStyle w:val="001000000000" w:firstRow="0" w:lastRow="0" w:firstColumn="1" w:lastColumn="0" w:oddVBand="0" w:evenVBand="0" w:oddHBand="0" w:evenHBand="0" w:firstRowFirstColumn="0" w:firstRowLastColumn="0" w:lastRowFirstColumn="0" w:lastRowLastColumn="0"/>
            <w:tcW w:w="1871" w:type="pct"/>
            <w:hideMark/>
          </w:tcPr>
          <w:p w14:paraId="15979813"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Employer in current or most recent job</w:t>
            </w:r>
          </w:p>
        </w:tc>
        <w:tc>
          <w:tcPr>
            <w:tcW w:w="1276" w:type="pct"/>
            <w:hideMark/>
          </w:tcPr>
          <w:p w14:paraId="73B1D768"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08A1AE11"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58B9ACF4"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27BC6D00"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Informal</w:t>
            </w:r>
          </w:p>
        </w:tc>
        <w:tc>
          <w:tcPr>
            <w:tcW w:w="1276" w:type="pct"/>
            <w:hideMark/>
          </w:tcPr>
          <w:p w14:paraId="02AE589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758A610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5803676E"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662CE1D5"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Self-employed</w:t>
            </w:r>
          </w:p>
        </w:tc>
        <w:tc>
          <w:tcPr>
            <w:tcW w:w="1276" w:type="pct"/>
            <w:hideMark/>
          </w:tcPr>
          <w:p w14:paraId="62E0965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1.07 (0.82-1.38)</w:t>
            </w:r>
          </w:p>
        </w:tc>
        <w:tc>
          <w:tcPr>
            <w:tcW w:w="1853" w:type="pct"/>
            <w:noWrap/>
            <w:hideMark/>
          </w:tcPr>
          <w:p w14:paraId="5CF5AD3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1.07 (0.83-1.38)</w:t>
            </w:r>
          </w:p>
        </w:tc>
      </w:tr>
      <w:tr w:rsidR="00A769D0" w:rsidRPr="00000849" w14:paraId="59732943"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15A3CD3E"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lastRenderedPageBreak/>
              <w:t>Public sector</w:t>
            </w:r>
          </w:p>
        </w:tc>
        <w:tc>
          <w:tcPr>
            <w:tcW w:w="1276" w:type="pct"/>
            <w:hideMark/>
          </w:tcPr>
          <w:p w14:paraId="480574AD"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0.75 (0.43-1.30)</w:t>
            </w:r>
          </w:p>
        </w:tc>
        <w:tc>
          <w:tcPr>
            <w:tcW w:w="1853" w:type="pct"/>
            <w:noWrap/>
            <w:hideMark/>
          </w:tcPr>
          <w:p w14:paraId="1459F0A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0.75 (0.43-1.31)</w:t>
            </w:r>
          </w:p>
        </w:tc>
      </w:tr>
      <w:tr w:rsidR="00A769D0" w:rsidRPr="00000849" w14:paraId="10886276"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3202D851"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Private sector</w:t>
            </w:r>
          </w:p>
        </w:tc>
        <w:tc>
          <w:tcPr>
            <w:tcW w:w="1276" w:type="pct"/>
            <w:hideMark/>
          </w:tcPr>
          <w:p w14:paraId="3231614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0.97 (0.51-1.84)</w:t>
            </w:r>
          </w:p>
        </w:tc>
        <w:tc>
          <w:tcPr>
            <w:tcW w:w="1853" w:type="pct"/>
            <w:noWrap/>
            <w:hideMark/>
          </w:tcPr>
          <w:p w14:paraId="2B6D05E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0.97 (0.51-1.84)</w:t>
            </w:r>
          </w:p>
        </w:tc>
      </w:tr>
      <w:tr w:rsidR="00A769D0" w:rsidRPr="00000849" w14:paraId="7F9E52A5"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5B35FFCA"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Work history past 7 days</w:t>
            </w:r>
          </w:p>
        </w:tc>
        <w:tc>
          <w:tcPr>
            <w:tcW w:w="1276" w:type="pct"/>
            <w:hideMark/>
          </w:tcPr>
          <w:p w14:paraId="41A2C7B1"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1CD3ACF1"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2D5764DA"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77D56D83"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Not currently working</w:t>
            </w:r>
          </w:p>
        </w:tc>
        <w:tc>
          <w:tcPr>
            <w:tcW w:w="1276" w:type="pct"/>
            <w:hideMark/>
          </w:tcPr>
          <w:p w14:paraId="51D7383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489593E4"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48B873CD"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0CC4BC91"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Currently working</w:t>
            </w:r>
          </w:p>
        </w:tc>
        <w:tc>
          <w:tcPr>
            <w:tcW w:w="1276" w:type="pct"/>
            <w:hideMark/>
          </w:tcPr>
          <w:p w14:paraId="7282B11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0.72* (0.56-0.92)</w:t>
            </w:r>
          </w:p>
        </w:tc>
        <w:tc>
          <w:tcPr>
            <w:tcW w:w="1853" w:type="pct"/>
            <w:noWrap/>
            <w:hideMark/>
          </w:tcPr>
          <w:p w14:paraId="1AD06B7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b/>
                <w:bCs/>
                <w:color w:val="000000"/>
                <w:sz w:val="20"/>
                <w:szCs w:val="20"/>
                <w:lang w:eastAsia="en-GB"/>
              </w:rPr>
              <w:t>0.72** (0.55-0.92)</w:t>
            </w:r>
          </w:p>
        </w:tc>
      </w:tr>
      <w:tr w:rsidR="00A769D0" w:rsidRPr="00000849" w14:paraId="35EBEABD"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673F4DB2"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 xml:space="preserve">Wealth quintile </w:t>
            </w:r>
          </w:p>
        </w:tc>
        <w:tc>
          <w:tcPr>
            <w:tcW w:w="1276" w:type="pct"/>
            <w:hideMark/>
          </w:tcPr>
          <w:p w14:paraId="029497C9"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198F9FA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58B8AC23"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369919D2"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Q1 Poorest</w:t>
            </w:r>
          </w:p>
        </w:tc>
        <w:tc>
          <w:tcPr>
            <w:tcW w:w="1276" w:type="pct"/>
            <w:hideMark/>
          </w:tcPr>
          <w:p w14:paraId="2A8059D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1904658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6CF40F34"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3FB0935B"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Q2 Poor</w:t>
            </w:r>
          </w:p>
        </w:tc>
        <w:tc>
          <w:tcPr>
            <w:tcW w:w="1276" w:type="pct"/>
            <w:hideMark/>
          </w:tcPr>
          <w:p w14:paraId="7411DF5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1.07 (0.78-1.45)</w:t>
            </w:r>
          </w:p>
        </w:tc>
        <w:tc>
          <w:tcPr>
            <w:tcW w:w="1853" w:type="pct"/>
            <w:noWrap/>
            <w:hideMark/>
          </w:tcPr>
          <w:p w14:paraId="6CB1681D"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1.07 (0.78-1.45)</w:t>
            </w:r>
          </w:p>
        </w:tc>
      </w:tr>
      <w:tr w:rsidR="00A769D0" w:rsidRPr="00000849" w14:paraId="5D7CF1BF"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69F822AB"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Q3 Mod poor</w:t>
            </w:r>
          </w:p>
        </w:tc>
        <w:tc>
          <w:tcPr>
            <w:tcW w:w="1276" w:type="pct"/>
            <w:hideMark/>
          </w:tcPr>
          <w:p w14:paraId="6F56DFCC"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 (0.84-1.73)</w:t>
            </w:r>
          </w:p>
        </w:tc>
        <w:tc>
          <w:tcPr>
            <w:tcW w:w="1853" w:type="pct"/>
            <w:noWrap/>
            <w:hideMark/>
          </w:tcPr>
          <w:p w14:paraId="72D4819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1.21 (0.84-1.73)</w:t>
            </w:r>
          </w:p>
        </w:tc>
      </w:tr>
      <w:tr w:rsidR="00A769D0" w:rsidRPr="00000849" w14:paraId="386E83E0"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1D530F85"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Q4 Rich</w:t>
            </w:r>
          </w:p>
        </w:tc>
        <w:tc>
          <w:tcPr>
            <w:tcW w:w="1276" w:type="pct"/>
            <w:hideMark/>
          </w:tcPr>
          <w:p w14:paraId="168720B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0.97 (0.65-1.44)</w:t>
            </w:r>
          </w:p>
        </w:tc>
        <w:tc>
          <w:tcPr>
            <w:tcW w:w="1853" w:type="pct"/>
            <w:noWrap/>
            <w:hideMark/>
          </w:tcPr>
          <w:p w14:paraId="58FE8CD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0.97 (0.65-1.45)</w:t>
            </w:r>
          </w:p>
        </w:tc>
      </w:tr>
      <w:tr w:rsidR="00A769D0" w:rsidRPr="00000849" w14:paraId="23436FA1"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02C60BCF"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Q5 Richest</w:t>
            </w:r>
          </w:p>
        </w:tc>
        <w:tc>
          <w:tcPr>
            <w:tcW w:w="1276" w:type="pct"/>
            <w:hideMark/>
          </w:tcPr>
          <w:p w14:paraId="02BFB91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 (0.55-1.47)</w:t>
            </w:r>
          </w:p>
        </w:tc>
        <w:tc>
          <w:tcPr>
            <w:tcW w:w="1853" w:type="pct"/>
            <w:noWrap/>
            <w:hideMark/>
          </w:tcPr>
          <w:p w14:paraId="102CD711"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 (0.55-1.47)</w:t>
            </w:r>
          </w:p>
        </w:tc>
      </w:tr>
      <w:tr w:rsidR="00A769D0" w:rsidRPr="00000849" w14:paraId="3054EE2E"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6D1E3824"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Physical activity level</w:t>
            </w:r>
          </w:p>
        </w:tc>
        <w:tc>
          <w:tcPr>
            <w:tcW w:w="1276" w:type="pct"/>
            <w:hideMark/>
          </w:tcPr>
          <w:p w14:paraId="3B5C9DBC"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6B1C1B6C"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36592978"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45421C93"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Low physical activity</w:t>
            </w:r>
          </w:p>
        </w:tc>
        <w:tc>
          <w:tcPr>
            <w:tcW w:w="1276" w:type="pct"/>
            <w:hideMark/>
          </w:tcPr>
          <w:p w14:paraId="144F004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35CA8B92"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7E7DD893" w14:textId="77777777" w:rsidTr="00A769D0">
        <w:trPr>
          <w:divId w:val="158623618"/>
          <w:trHeight w:val="490"/>
        </w:trPr>
        <w:tc>
          <w:tcPr>
            <w:cnfStyle w:val="001000000000" w:firstRow="0" w:lastRow="0" w:firstColumn="1" w:lastColumn="0" w:oddVBand="0" w:evenVBand="0" w:oddHBand="0" w:evenHBand="0" w:firstRowFirstColumn="0" w:firstRowLastColumn="0" w:lastRowFirstColumn="0" w:lastRowLastColumn="0"/>
            <w:tcW w:w="1871" w:type="pct"/>
            <w:hideMark/>
          </w:tcPr>
          <w:p w14:paraId="1598BABC"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Moderate physical activity</w:t>
            </w:r>
          </w:p>
        </w:tc>
        <w:tc>
          <w:tcPr>
            <w:tcW w:w="1276" w:type="pct"/>
            <w:hideMark/>
          </w:tcPr>
          <w:p w14:paraId="1F40857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0.95 (0.74-1.22)</w:t>
            </w:r>
          </w:p>
        </w:tc>
        <w:tc>
          <w:tcPr>
            <w:tcW w:w="1853" w:type="pct"/>
            <w:noWrap/>
            <w:hideMark/>
          </w:tcPr>
          <w:p w14:paraId="094D889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0.95 (0.74-1.22)</w:t>
            </w:r>
          </w:p>
        </w:tc>
      </w:tr>
      <w:tr w:rsidR="00A769D0" w:rsidRPr="00000849" w14:paraId="5A04D718"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3CEA89CC"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High physical activity</w:t>
            </w:r>
          </w:p>
        </w:tc>
        <w:tc>
          <w:tcPr>
            <w:tcW w:w="1276" w:type="pct"/>
            <w:hideMark/>
          </w:tcPr>
          <w:p w14:paraId="0CB51D7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0.79 (0.57-1.08)</w:t>
            </w:r>
          </w:p>
        </w:tc>
        <w:tc>
          <w:tcPr>
            <w:tcW w:w="1853" w:type="pct"/>
            <w:noWrap/>
            <w:hideMark/>
          </w:tcPr>
          <w:p w14:paraId="1B384D94"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0.79 (0.57-1.08)</w:t>
            </w:r>
          </w:p>
        </w:tc>
      </w:tr>
      <w:tr w:rsidR="00A769D0" w:rsidRPr="00000849" w14:paraId="327617D1" w14:textId="77777777" w:rsidTr="00A769D0">
        <w:trPr>
          <w:divId w:val="158623618"/>
          <w:trHeight w:val="450"/>
        </w:trPr>
        <w:tc>
          <w:tcPr>
            <w:cnfStyle w:val="001000000000" w:firstRow="0" w:lastRow="0" w:firstColumn="1" w:lastColumn="0" w:oddVBand="0" w:evenVBand="0" w:oddHBand="0" w:evenHBand="0" w:firstRowFirstColumn="0" w:firstRowLastColumn="0" w:lastRowFirstColumn="0" w:lastRowLastColumn="0"/>
            <w:tcW w:w="1871" w:type="pct"/>
            <w:hideMark/>
          </w:tcPr>
          <w:p w14:paraId="06BC93A1"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BMI category</w:t>
            </w:r>
          </w:p>
        </w:tc>
        <w:tc>
          <w:tcPr>
            <w:tcW w:w="1276" w:type="pct"/>
            <w:hideMark/>
          </w:tcPr>
          <w:p w14:paraId="0B784E26"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215AC64C"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058F81C9"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777C8E54"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Underweight</w:t>
            </w:r>
          </w:p>
        </w:tc>
        <w:tc>
          <w:tcPr>
            <w:tcW w:w="1276" w:type="pct"/>
            <w:hideMark/>
          </w:tcPr>
          <w:p w14:paraId="006D31D1"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781CD7C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3C413297"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6D729E69"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Normal weight</w:t>
            </w:r>
          </w:p>
        </w:tc>
        <w:tc>
          <w:tcPr>
            <w:tcW w:w="1276" w:type="pct"/>
            <w:hideMark/>
          </w:tcPr>
          <w:p w14:paraId="61340A4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0.95 (0.70-1.30)</w:t>
            </w:r>
          </w:p>
        </w:tc>
        <w:tc>
          <w:tcPr>
            <w:tcW w:w="1853" w:type="pct"/>
            <w:noWrap/>
            <w:hideMark/>
          </w:tcPr>
          <w:p w14:paraId="247BCBA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0.95 (0.70-1.30)</w:t>
            </w:r>
          </w:p>
        </w:tc>
      </w:tr>
      <w:tr w:rsidR="00A769D0" w:rsidRPr="00000849" w14:paraId="05D7473F"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2C3EB209"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Overweight</w:t>
            </w:r>
          </w:p>
        </w:tc>
        <w:tc>
          <w:tcPr>
            <w:tcW w:w="1276" w:type="pct"/>
            <w:hideMark/>
          </w:tcPr>
          <w:p w14:paraId="7C40BB50"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1.34 (0.86-2.08)</w:t>
            </w:r>
          </w:p>
        </w:tc>
        <w:tc>
          <w:tcPr>
            <w:tcW w:w="1853" w:type="pct"/>
            <w:noWrap/>
            <w:hideMark/>
          </w:tcPr>
          <w:p w14:paraId="5A5EE72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1.34 (0.86-2.08)</w:t>
            </w:r>
          </w:p>
        </w:tc>
      </w:tr>
      <w:tr w:rsidR="00A769D0" w:rsidRPr="00000849" w14:paraId="626DB1B0"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2ED50192"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Obese</w:t>
            </w:r>
          </w:p>
        </w:tc>
        <w:tc>
          <w:tcPr>
            <w:tcW w:w="1276" w:type="pct"/>
            <w:hideMark/>
          </w:tcPr>
          <w:p w14:paraId="3CAA150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1.16 (0.69-1.94)</w:t>
            </w:r>
          </w:p>
        </w:tc>
        <w:tc>
          <w:tcPr>
            <w:tcW w:w="1853" w:type="pct"/>
            <w:noWrap/>
            <w:hideMark/>
          </w:tcPr>
          <w:p w14:paraId="63F5A95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1.16 (0.69-1.94)</w:t>
            </w:r>
          </w:p>
        </w:tc>
      </w:tr>
      <w:tr w:rsidR="00A769D0" w:rsidRPr="00000849" w14:paraId="3AA6A759" w14:textId="77777777" w:rsidTr="00A769D0">
        <w:trPr>
          <w:divId w:val="158623618"/>
          <w:trHeight w:val="428"/>
        </w:trPr>
        <w:tc>
          <w:tcPr>
            <w:cnfStyle w:val="001000000000" w:firstRow="0" w:lastRow="0" w:firstColumn="1" w:lastColumn="0" w:oddVBand="0" w:evenVBand="0" w:oddHBand="0" w:evenHBand="0" w:firstRowFirstColumn="0" w:firstRowLastColumn="0" w:lastRowFirstColumn="0" w:lastRowLastColumn="0"/>
            <w:tcW w:w="1871" w:type="pct"/>
            <w:hideMark/>
          </w:tcPr>
          <w:p w14:paraId="2546934B"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 xml:space="preserve">Waist circumference </w:t>
            </w:r>
          </w:p>
        </w:tc>
        <w:tc>
          <w:tcPr>
            <w:tcW w:w="1276" w:type="pct"/>
            <w:hideMark/>
          </w:tcPr>
          <w:p w14:paraId="1F8D5C5F"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0D1D5DDD"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660A72E3"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266EE6C9"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&lt;80 cm</w:t>
            </w:r>
          </w:p>
        </w:tc>
        <w:tc>
          <w:tcPr>
            <w:tcW w:w="1276" w:type="pct"/>
            <w:hideMark/>
          </w:tcPr>
          <w:p w14:paraId="0798849D"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01243B7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333DB85E"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39E657D1"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&gt;=80 to &lt;90 cm</w:t>
            </w:r>
          </w:p>
        </w:tc>
        <w:tc>
          <w:tcPr>
            <w:tcW w:w="1276" w:type="pct"/>
            <w:hideMark/>
          </w:tcPr>
          <w:p w14:paraId="54C3BAB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1.18 (0.85-1.62)</w:t>
            </w:r>
          </w:p>
        </w:tc>
        <w:tc>
          <w:tcPr>
            <w:tcW w:w="1853" w:type="pct"/>
            <w:noWrap/>
            <w:hideMark/>
          </w:tcPr>
          <w:p w14:paraId="73DE53B2"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1.18 (0.85-1.62)</w:t>
            </w:r>
          </w:p>
        </w:tc>
      </w:tr>
      <w:tr w:rsidR="00A769D0" w:rsidRPr="00000849" w14:paraId="1037D886"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61D6CCC8"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&gt;=90 cm</w:t>
            </w:r>
          </w:p>
        </w:tc>
        <w:tc>
          <w:tcPr>
            <w:tcW w:w="1276" w:type="pct"/>
            <w:hideMark/>
          </w:tcPr>
          <w:p w14:paraId="087AFE4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1.33 (0.85-2.09)</w:t>
            </w:r>
          </w:p>
        </w:tc>
        <w:tc>
          <w:tcPr>
            <w:tcW w:w="1853" w:type="pct"/>
            <w:noWrap/>
            <w:hideMark/>
          </w:tcPr>
          <w:p w14:paraId="717AD48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1.33 (0.85-2.10)</w:t>
            </w:r>
          </w:p>
        </w:tc>
      </w:tr>
      <w:tr w:rsidR="00A769D0" w:rsidRPr="00000849" w14:paraId="6FB0E350"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497A36DD"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Hip circumference</w:t>
            </w:r>
          </w:p>
        </w:tc>
        <w:tc>
          <w:tcPr>
            <w:tcW w:w="1276" w:type="pct"/>
            <w:hideMark/>
          </w:tcPr>
          <w:p w14:paraId="7097A03D"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03EB29D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41CFBD76"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700D5577"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&lt;90 cm</w:t>
            </w:r>
          </w:p>
        </w:tc>
        <w:tc>
          <w:tcPr>
            <w:tcW w:w="1276" w:type="pct"/>
            <w:hideMark/>
          </w:tcPr>
          <w:p w14:paraId="4A94BB87"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46EB0947"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7E27567E"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59A43B72"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&gt;=90 to &lt;100 cm</w:t>
            </w:r>
          </w:p>
        </w:tc>
        <w:tc>
          <w:tcPr>
            <w:tcW w:w="1276" w:type="pct"/>
            <w:hideMark/>
          </w:tcPr>
          <w:p w14:paraId="0C896D9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1.13 (0.83-1.54)</w:t>
            </w:r>
          </w:p>
        </w:tc>
        <w:tc>
          <w:tcPr>
            <w:tcW w:w="1853" w:type="pct"/>
            <w:noWrap/>
            <w:hideMark/>
          </w:tcPr>
          <w:p w14:paraId="0F3EFAC7"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1.13 (0.82-1.54)</w:t>
            </w:r>
          </w:p>
        </w:tc>
      </w:tr>
      <w:tr w:rsidR="00A769D0" w:rsidRPr="00000849" w14:paraId="437B5626"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462E1470"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&gt;=100 cm</w:t>
            </w:r>
          </w:p>
        </w:tc>
        <w:tc>
          <w:tcPr>
            <w:tcW w:w="1276" w:type="pct"/>
            <w:hideMark/>
          </w:tcPr>
          <w:p w14:paraId="70D2DF7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1.07 (0.67-1.70)</w:t>
            </w:r>
          </w:p>
        </w:tc>
        <w:tc>
          <w:tcPr>
            <w:tcW w:w="1853" w:type="pct"/>
            <w:noWrap/>
            <w:hideMark/>
          </w:tcPr>
          <w:p w14:paraId="64D466D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1.06 (0.67-1.69)</w:t>
            </w:r>
          </w:p>
        </w:tc>
      </w:tr>
      <w:tr w:rsidR="00A769D0" w:rsidRPr="00000849" w14:paraId="32408CC8"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6DA4C12D"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Smoke behaviour</w:t>
            </w:r>
          </w:p>
        </w:tc>
        <w:tc>
          <w:tcPr>
            <w:tcW w:w="1276" w:type="pct"/>
            <w:hideMark/>
          </w:tcPr>
          <w:p w14:paraId="6493BF3A"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131BF2DC"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18AF5148"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7165AA99"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Never smoker</w:t>
            </w:r>
          </w:p>
        </w:tc>
        <w:tc>
          <w:tcPr>
            <w:tcW w:w="1276" w:type="pct"/>
            <w:hideMark/>
          </w:tcPr>
          <w:p w14:paraId="644E968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35F1CF6D"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703E14A2"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18CDF1FA"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Former smoker</w:t>
            </w:r>
          </w:p>
        </w:tc>
        <w:tc>
          <w:tcPr>
            <w:tcW w:w="1276" w:type="pct"/>
            <w:hideMark/>
          </w:tcPr>
          <w:p w14:paraId="2FC8CDD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1.63 (0.83-3.18)</w:t>
            </w:r>
          </w:p>
        </w:tc>
        <w:tc>
          <w:tcPr>
            <w:tcW w:w="1853" w:type="pct"/>
            <w:noWrap/>
            <w:hideMark/>
          </w:tcPr>
          <w:p w14:paraId="458DE95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1.63 (0.84-3.18)</w:t>
            </w:r>
          </w:p>
        </w:tc>
      </w:tr>
      <w:tr w:rsidR="00A769D0" w:rsidRPr="00000849" w14:paraId="5B83070C"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18AA7D1F"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Current smoker</w:t>
            </w:r>
          </w:p>
        </w:tc>
        <w:tc>
          <w:tcPr>
            <w:tcW w:w="1276" w:type="pct"/>
            <w:hideMark/>
          </w:tcPr>
          <w:p w14:paraId="5F8EC1E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1.29 (0.71-2.34)</w:t>
            </w:r>
          </w:p>
        </w:tc>
        <w:tc>
          <w:tcPr>
            <w:tcW w:w="1853" w:type="pct"/>
            <w:noWrap/>
            <w:hideMark/>
          </w:tcPr>
          <w:p w14:paraId="02B10114"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1.3 (0.72-2.35)</w:t>
            </w:r>
          </w:p>
        </w:tc>
      </w:tr>
      <w:tr w:rsidR="00A769D0" w:rsidRPr="00000849" w14:paraId="75F90084"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4CB24CB3"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Alcohol consumption</w:t>
            </w:r>
          </w:p>
        </w:tc>
        <w:tc>
          <w:tcPr>
            <w:tcW w:w="1276" w:type="pct"/>
            <w:hideMark/>
          </w:tcPr>
          <w:p w14:paraId="6F354ABD"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6A811B16"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7EC8D4CE"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6C95CCE0"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Lifetime abstainer</w:t>
            </w:r>
          </w:p>
        </w:tc>
        <w:tc>
          <w:tcPr>
            <w:tcW w:w="1276" w:type="pct"/>
            <w:hideMark/>
          </w:tcPr>
          <w:p w14:paraId="49E1903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6D660B3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234B2C4D"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7998DA0B"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Non-heavy drinker</w:t>
            </w:r>
          </w:p>
        </w:tc>
        <w:tc>
          <w:tcPr>
            <w:tcW w:w="1276" w:type="pct"/>
            <w:hideMark/>
          </w:tcPr>
          <w:p w14:paraId="77F1D7E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 (0.84-1.44)</w:t>
            </w:r>
          </w:p>
        </w:tc>
        <w:tc>
          <w:tcPr>
            <w:tcW w:w="1853" w:type="pct"/>
            <w:noWrap/>
            <w:hideMark/>
          </w:tcPr>
          <w:p w14:paraId="13F46EC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 (0.84-1.44)</w:t>
            </w:r>
          </w:p>
        </w:tc>
      </w:tr>
      <w:tr w:rsidR="00A769D0" w:rsidRPr="00000849" w14:paraId="3B4DAEE2"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15EF558D"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Heavy drinker</w:t>
            </w:r>
          </w:p>
        </w:tc>
        <w:tc>
          <w:tcPr>
            <w:tcW w:w="1276" w:type="pct"/>
            <w:hideMark/>
          </w:tcPr>
          <w:p w14:paraId="19B1B1F4"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0.31* (0.12-0.78)</w:t>
            </w:r>
          </w:p>
        </w:tc>
        <w:tc>
          <w:tcPr>
            <w:tcW w:w="1853" w:type="pct"/>
            <w:noWrap/>
            <w:hideMark/>
          </w:tcPr>
          <w:p w14:paraId="5104AC2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b/>
                <w:bCs/>
                <w:color w:val="000000"/>
                <w:sz w:val="20"/>
                <w:szCs w:val="20"/>
                <w:lang w:eastAsia="en-GB"/>
              </w:rPr>
              <w:t>0.30* (0.12-0.78)</w:t>
            </w:r>
          </w:p>
        </w:tc>
      </w:tr>
      <w:tr w:rsidR="00A769D0" w:rsidRPr="00000849" w14:paraId="11C0AF02"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2E3AF5F6"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Daily fruit/veg serving</w:t>
            </w:r>
          </w:p>
        </w:tc>
        <w:tc>
          <w:tcPr>
            <w:tcW w:w="1276" w:type="pct"/>
            <w:hideMark/>
          </w:tcPr>
          <w:p w14:paraId="26FA9A63"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77018E6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w:t>
            </w:r>
          </w:p>
        </w:tc>
      </w:tr>
      <w:tr w:rsidR="00A769D0" w:rsidRPr="00000849" w14:paraId="488CA826" w14:textId="77777777" w:rsidTr="00A769D0">
        <w:trPr>
          <w:divId w:val="158623618"/>
          <w:trHeight w:val="523"/>
        </w:trPr>
        <w:tc>
          <w:tcPr>
            <w:cnfStyle w:val="001000000000" w:firstRow="0" w:lastRow="0" w:firstColumn="1" w:lastColumn="0" w:oddVBand="0" w:evenVBand="0" w:oddHBand="0" w:evenHBand="0" w:firstRowFirstColumn="0" w:firstRowLastColumn="0" w:lastRowFirstColumn="0" w:lastRowLastColumn="0"/>
            <w:tcW w:w="1871" w:type="pct"/>
            <w:hideMark/>
          </w:tcPr>
          <w:p w14:paraId="28068C03"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&gt;=5 daily fruit-veg serving</w:t>
            </w:r>
          </w:p>
        </w:tc>
        <w:tc>
          <w:tcPr>
            <w:tcW w:w="1276" w:type="pct"/>
            <w:hideMark/>
          </w:tcPr>
          <w:p w14:paraId="1E360FFB"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c>
          <w:tcPr>
            <w:tcW w:w="1853" w:type="pct"/>
            <w:hideMark/>
          </w:tcPr>
          <w:p w14:paraId="1B0FCF3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7206740D" w14:textId="77777777" w:rsidTr="00A769D0">
        <w:trPr>
          <w:divId w:val="158623618"/>
          <w:trHeight w:val="20"/>
        </w:trPr>
        <w:tc>
          <w:tcPr>
            <w:cnfStyle w:val="001000000000" w:firstRow="0" w:lastRow="0" w:firstColumn="1" w:lastColumn="0" w:oddVBand="0" w:evenVBand="0" w:oddHBand="0" w:evenHBand="0" w:firstRowFirstColumn="0" w:firstRowLastColumn="0" w:lastRowFirstColumn="0" w:lastRowLastColumn="0"/>
            <w:tcW w:w="1871" w:type="pct"/>
            <w:hideMark/>
          </w:tcPr>
          <w:p w14:paraId="571BA4BA"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&lt;5 daily fruit-veg servings</w:t>
            </w:r>
          </w:p>
        </w:tc>
        <w:tc>
          <w:tcPr>
            <w:tcW w:w="1276" w:type="pct"/>
            <w:hideMark/>
          </w:tcPr>
          <w:p w14:paraId="5A8B5520"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0.80* (0.65-0.99)</w:t>
            </w:r>
          </w:p>
        </w:tc>
        <w:tc>
          <w:tcPr>
            <w:tcW w:w="1853" w:type="pct"/>
            <w:noWrap/>
            <w:hideMark/>
          </w:tcPr>
          <w:p w14:paraId="2E4D997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b/>
                <w:bCs/>
                <w:color w:val="000000"/>
                <w:sz w:val="20"/>
                <w:szCs w:val="20"/>
                <w:lang w:eastAsia="en-GB"/>
              </w:rPr>
              <w:t>0.80* (0.65-0.99</w:t>
            </w:r>
            <w:r w:rsidRPr="00000849">
              <w:rPr>
                <w:rFonts w:ascii="Calibri" w:eastAsia="Times New Roman" w:hAnsi="Calibri" w:cs="Calibri"/>
                <w:color w:val="000000"/>
                <w:sz w:val="20"/>
                <w:szCs w:val="20"/>
                <w:lang w:eastAsia="en-GB"/>
              </w:rPr>
              <w:t>)</w:t>
            </w:r>
          </w:p>
        </w:tc>
      </w:tr>
      <w:tr w:rsidR="00A769D0" w:rsidRPr="00000849" w14:paraId="09828140" w14:textId="77777777" w:rsidTr="00A769D0">
        <w:trPr>
          <w:divId w:val="158623618"/>
          <w:trHeight w:val="20"/>
        </w:trPr>
        <w:tc>
          <w:tcPr>
            <w:cnfStyle w:val="001000000000" w:firstRow="0" w:lastRow="0" w:firstColumn="1" w:lastColumn="0" w:oddVBand="0" w:evenVBand="0" w:oddHBand="0" w:evenHBand="0" w:firstRowFirstColumn="0" w:firstRowLastColumn="0" w:lastRowFirstColumn="0" w:lastRowLastColumn="0"/>
            <w:tcW w:w="1871" w:type="pct"/>
            <w:hideMark/>
          </w:tcPr>
          <w:p w14:paraId="7C9F0B88"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Cohort status</w:t>
            </w:r>
          </w:p>
        </w:tc>
        <w:tc>
          <w:tcPr>
            <w:tcW w:w="1276" w:type="pct"/>
            <w:hideMark/>
          </w:tcPr>
          <w:p w14:paraId="7C8A6780" w14:textId="77777777" w:rsidR="00A769D0" w:rsidRPr="00000849" w:rsidRDefault="00A769D0" w:rsidP="00A769D0">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hideMark/>
          </w:tcPr>
          <w:p w14:paraId="64B18685"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A769D0" w:rsidRPr="00000849" w14:paraId="4F603FD6" w14:textId="77777777" w:rsidTr="00A769D0">
        <w:trPr>
          <w:divId w:val="158623618"/>
          <w:trHeight w:val="630"/>
        </w:trPr>
        <w:tc>
          <w:tcPr>
            <w:cnfStyle w:val="001000000000" w:firstRow="0" w:lastRow="0" w:firstColumn="1" w:lastColumn="0" w:oddVBand="0" w:evenVBand="0" w:oddHBand="0" w:evenHBand="0" w:firstRowFirstColumn="0" w:firstRowLastColumn="0" w:lastRowFirstColumn="0" w:lastRowLastColumn="0"/>
            <w:tcW w:w="1871" w:type="pct"/>
            <w:tcBorders>
              <w:bottom w:val="single" w:sz="4" w:space="0" w:color="auto"/>
            </w:tcBorders>
            <w:hideMark/>
          </w:tcPr>
          <w:p w14:paraId="6EA51B0F"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Unique in each wave</w:t>
            </w:r>
          </w:p>
        </w:tc>
        <w:tc>
          <w:tcPr>
            <w:tcW w:w="1276" w:type="pct"/>
            <w:tcBorders>
              <w:bottom w:val="single" w:sz="4" w:space="0" w:color="auto"/>
            </w:tcBorders>
            <w:hideMark/>
          </w:tcPr>
          <w:p w14:paraId="4F0C1219" w14:textId="77777777" w:rsidR="00A769D0" w:rsidRPr="00000849" w:rsidRDefault="00A769D0" w:rsidP="00A769D0">
            <w:pPr>
              <w:spacing w:after="0" w:line="240" w:lineRule="auto"/>
              <w:ind w:firstLineChars="100" w:firstLine="20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p>
        </w:tc>
        <w:tc>
          <w:tcPr>
            <w:tcW w:w="1853" w:type="pct"/>
            <w:tcBorders>
              <w:bottom w:val="single" w:sz="4" w:space="0" w:color="auto"/>
            </w:tcBorders>
            <w:noWrap/>
            <w:hideMark/>
          </w:tcPr>
          <w:p w14:paraId="1D1F287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 (1.00-1.00)</w:t>
            </w:r>
          </w:p>
        </w:tc>
      </w:tr>
      <w:tr w:rsidR="00A769D0" w:rsidRPr="00000849" w14:paraId="46CBF091" w14:textId="77777777" w:rsidTr="00A769D0">
        <w:trPr>
          <w:divId w:val="158623618"/>
          <w:trHeight w:val="630"/>
        </w:trPr>
        <w:tc>
          <w:tcPr>
            <w:cnfStyle w:val="001000000000" w:firstRow="0" w:lastRow="0" w:firstColumn="1" w:lastColumn="0" w:oddVBand="0" w:evenVBand="0" w:oddHBand="0" w:evenHBand="0" w:firstRowFirstColumn="0" w:firstRowLastColumn="0" w:lastRowFirstColumn="0" w:lastRowLastColumn="0"/>
            <w:tcW w:w="1871" w:type="pct"/>
            <w:tcBorders>
              <w:top w:val="single" w:sz="4" w:space="0" w:color="auto"/>
              <w:bottom w:val="nil"/>
            </w:tcBorders>
            <w:hideMark/>
          </w:tcPr>
          <w:p w14:paraId="3A7DD015" w14:textId="77777777" w:rsidR="00A769D0" w:rsidRPr="00000849" w:rsidRDefault="00A769D0" w:rsidP="00A769D0">
            <w:pPr>
              <w:spacing w:after="0" w:line="240" w:lineRule="auto"/>
              <w:ind w:firstLineChars="100" w:firstLine="200"/>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lastRenderedPageBreak/>
              <w:t>Cohort in both waves</w:t>
            </w:r>
          </w:p>
        </w:tc>
        <w:tc>
          <w:tcPr>
            <w:tcW w:w="1276" w:type="pct"/>
            <w:tcBorders>
              <w:top w:val="single" w:sz="4" w:space="0" w:color="auto"/>
              <w:bottom w:val="nil"/>
            </w:tcBorders>
            <w:hideMark/>
          </w:tcPr>
          <w:p w14:paraId="07A47938"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 </w:t>
            </w:r>
          </w:p>
        </w:tc>
        <w:tc>
          <w:tcPr>
            <w:tcW w:w="1853" w:type="pct"/>
            <w:tcBorders>
              <w:top w:val="single" w:sz="4" w:space="0" w:color="auto"/>
              <w:bottom w:val="nil"/>
            </w:tcBorders>
            <w:noWrap/>
            <w:hideMark/>
          </w:tcPr>
          <w:p w14:paraId="4BCB06AD"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0.96 (0.77-1.21)</w:t>
            </w:r>
          </w:p>
        </w:tc>
      </w:tr>
      <w:tr w:rsidR="00A769D0" w:rsidRPr="00000849" w14:paraId="1E453220"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tcBorders>
              <w:top w:val="nil"/>
            </w:tcBorders>
            <w:hideMark/>
          </w:tcPr>
          <w:p w14:paraId="21865C17"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 xml:space="preserve">Pseudo </w:t>
            </w:r>
            <w:r w:rsidRPr="00000849">
              <w:rPr>
                <w:rFonts w:ascii="Calibri" w:eastAsia="Times New Roman" w:hAnsi="Calibri" w:cs="Calibri"/>
                <w:b w:val="0"/>
                <w:bCs w:val="0"/>
                <w:i/>
                <w:iCs/>
                <w:color w:val="000000"/>
                <w:sz w:val="20"/>
                <w:szCs w:val="20"/>
                <w:lang w:eastAsia="en-GB"/>
              </w:rPr>
              <w:t>R</w:t>
            </w:r>
            <w:r w:rsidRPr="00000849">
              <w:rPr>
                <w:rFonts w:ascii="Calibri" w:eastAsia="Times New Roman" w:hAnsi="Calibri" w:cs="Calibri"/>
                <w:b w:val="0"/>
                <w:bCs w:val="0"/>
                <w:color w:val="000000"/>
                <w:sz w:val="20"/>
                <w:szCs w:val="20"/>
                <w:vertAlign w:val="superscript"/>
                <w:lang w:eastAsia="en-GB"/>
              </w:rPr>
              <w:t>2</w:t>
            </w:r>
          </w:p>
        </w:tc>
        <w:tc>
          <w:tcPr>
            <w:tcW w:w="1276" w:type="pct"/>
            <w:tcBorders>
              <w:top w:val="nil"/>
            </w:tcBorders>
            <w:hideMark/>
          </w:tcPr>
          <w:p w14:paraId="3A87A50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0.0780303</w:t>
            </w:r>
          </w:p>
        </w:tc>
        <w:tc>
          <w:tcPr>
            <w:tcW w:w="1853" w:type="pct"/>
            <w:tcBorders>
              <w:top w:val="nil"/>
            </w:tcBorders>
            <w:noWrap/>
            <w:hideMark/>
          </w:tcPr>
          <w:p w14:paraId="00D248F3"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xml:space="preserve">0.0780778 </w:t>
            </w:r>
          </w:p>
        </w:tc>
      </w:tr>
      <w:tr w:rsidR="00A769D0" w:rsidRPr="00000849" w14:paraId="3D306BBD"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5FA0B0AB" w14:textId="77777777" w:rsidR="00A769D0" w:rsidRPr="00000849" w:rsidRDefault="00A769D0" w:rsidP="00A769D0">
            <w:pPr>
              <w:spacing w:after="0" w:line="240" w:lineRule="auto"/>
              <w:rPr>
                <w:rFonts w:ascii="Calibri" w:eastAsia="Times New Roman" w:hAnsi="Calibri" w:cs="Calibri"/>
                <w:b w:val="0"/>
                <w:bCs w:val="0"/>
                <w:i/>
                <w:iCs/>
                <w:color w:val="000000"/>
                <w:sz w:val="20"/>
                <w:szCs w:val="20"/>
                <w:lang w:eastAsia="en-GB"/>
              </w:rPr>
            </w:pPr>
            <w:r w:rsidRPr="00000849">
              <w:rPr>
                <w:rFonts w:ascii="Calibri" w:eastAsia="Times New Roman" w:hAnsi="Calibri" w:cs="Calibri"/>
                <w:b w:val="0"/>
                <w:bCs w:val="0"/>
                <w:i/>
                <w:iCs/>
                <w:color w:val="000000"/>
                <w:sz w:val="20"/>
                <w:szCs w:val="20"/>
                <w:lang w:eastAsia="en-GB"/>
              </w:rPr>
              <w:t>AIC</w:t>
            </w:r>
          </w:p>
        </w:tc>
        <w:tc>
          <w:tcPr>
            <w:tcW w:w="1276" w:type="pct"/>
            <w:hideMark/>
          </w:tcPr>
          <w:p w14:paraId="32A67A8F"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3,341,091</w:t>
            </w:r>
          </w:p>
        </w:tc>
        <w:tc>
          <w:tcPr>
            <w:tcW w:w="1853" w:type="pct"/>
            <w:noWrap/>
            <w:hideMark/>
          </w:tcPr>
          <w:p w14:paraId="37B8876F" w14:textId="40F2575D"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xml:space="preserve">3,340,921 </w:t>
            </w:r>
          </w:p>
        </w:tc>
      </w:tr>
      <w:tr w:rsidR="00A769D0" w:rsidRPr="00000849" w14:paraId="0BA0A4F0"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05A21744" w14:textId="77777777" w:rsidR="00A769D0" w:rsidRPr="00000849" w:rsidRDefault="00A769D0" w:rsidP="00A769D0">
            <w:pPr>
              <w:spacing w:after="0" w:line="240" w:lineRule="auto"/>
              <w:rPr>
                <w:rFonts w:ascii="Calibri" w:eastAsia="Times New Roman" w:hAnsi="Calibri" w:cs="Calibri"/>
                <w:b w:val="0"/>
                <w:bCs w:val="0"/>
                <w:i/>
                <w:iCs/>
                <w:color w:val="000000"/>
                <w:sz w:val="20"/>
                <w:szCs w:val="20"/>
                <w:lang w:eastAsia="en-GB"/>
              </w:rPr>
            </w:pPr>
            <w:r w:rsidRPr="00000849">
              <w:rPr>
                <w:rFonts w:ascii="Calibri" w:eastAsia="Times New Roman" w:hAnsi="Calibri" w:cs="Calibri"/>
                <w:b w:val="0"/>
                <w:bCs w:val="0"/>
                <w:i/>
                <w:iCs/>
                <w:color w:val="000000"/>
                <w:sz w:val="20"/>
                <w:szCs w:val="20"/>
                <w:lang w:eastAsia="en-GB"/>
              </w:rPr>
              <w:t>BIC</w:t>
            </w:r>
          </w:p>
        </w:tc>
        <w:tc>
          <w:tcPr>
            <w:tcW w:w="1276" w:type="pct"/>
            <w:hideMark/>
          </w:tcPr>
          <w:p w14:paraId="36634ADE"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3,341,312</w:t>
            </w:r>
          </w:p>
        </w:tc>
        <w:tc>
          <w:tcPr>
            <w:tcW w:w="1853" w:type="pct"/>
            <w:noWrap/>
            <w:hideMark/>
          </w:tcPr>
          <w:p w14:paraId="1A3C0536" w14:textId="40D22D4E"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xml:space="preserve">3,341,148 </w:t>
            </w:r>
          </w:p>
        </w:tc>
      </w:tr>
      <w:tr w:rsidR="00A769D0" w:rsidRPr="00000849" w14:paraId="753504EB" w14:textId="77777777" w:rsidTr="00A769D0">
        <w:trPr>
          <w:divId w:val="158623618"/>
          <w:trHeight w:val="295"/>
        </w:trPr>
        <w:tc>
          <w:tcPr>
            <w:cnfStyle w:val="001000000000" w:firstRow="0" w:lastRow="0" w:firstColumn="1" w:lastColumn="0" w:oddVBand="0" w:evenVBand="0" w:oddHBand="0" w:evenHBand="0" w:firstRowFirstColumn="0" w:firstRowLastColumn="0" w:lastRowFirstColumn="0" w:lastRowLastColumn="0"/>
            <w:tcW w:w="1871" w:type="pct"/>
            <w:hideMark/>
          </w:tcPr>
          <w:p w14:paraId="5E910C7E"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p</w:t>
            </w:r>
          </w:p>
        </w:tc>
        <w:tc>
          <w:tcPr>
            <w:tcW w:w="1276" w:type="pct"/>
            <w:hideMark/>
          </w:tcPr>
          <w:p w14:paraId="7D991F67"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w:t>
            </w:r>
          </w:p>
        </w:tc>
        <w:tc>
          <w:tcPr>
            <w:tcW w:w="1853" w:type="pct"/>
            <w:noWrap/>
            <w:hideMark/>
          </w:tcPr>
          <w:p w14:paraId="7656A641"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xml:space="preserve">0 </w:t>
            </w:r>
          </w:p>
        </w:tc>
      </w:tr>
      <w:tr w:rsidR="00A769D0" w:rsidRPr="00000849" w14:paraId="32C95F79" w14:textId="77777777" w:rsidTr="00A769D0">
        <w:trPr>
          <w:divId w:val="158623618"/>
          <w:trHeight w:val="310"/>
        </w:trPr>
        <w:tc>
          <w:tcPr>
            <w:cnfStyle w:val="001000000000" w:firstRow="0" w:lastRow="0" w:firstColumn="1" w:lastColumn="0" w:oddVBand="0" w:evenVBand="0" w:oddHBand="0" w:evenHBand="0" w:firstRowFirstColumn="0" w:firstRowLastColumn="0" w:lastRowFirstColumn="0" w:lastRowLastColumn="0"/>
            <w:tcW w:w="1871" w:type="pct"/>
            <w:hideMark/>
          </w:tcPr>
          <w:p w14:paraId="0E0AAE93" w14:textId="77777777" w:rsidR="00A769D0" w:rsidRPr="00000849" w:rsidRDefault="00A769D0" w:rsidP="00A769D0">
            <w:pPr>
              <w:spacing w:after="0" w:line="240" w:lineRule="auto"/>
              <w:rPr>
                <w:rFonts w:ascii="Calibri" w:eastAsia="Times New Roman" w:hAnsi="Calibri" w:cs="Calibri"/>
                <w:b w:val="0"/>
                <w:bCs w:val="0"/>
                <w:color w:val="000000"/>
                <w:sz w:val="20"/>
                <w:szCs w:val="20"/>
                <w:lang w:eastAsia="en-GB"/>
              </w:rPr>
            </w:pPr>
            <w:r w:rsidRPr="00000849">
              <w:rPr>
                <w:rFonts w:ascii="Calibri" w:eastAsia="Times New Roman" w:hAnsi="Calibri" w:cs="Calibri"/>
                <w:b w:val="0"/>
                <w:bCs w:val="0"/>
                <w:color w:val="000000"/>
                <w:sz w:val="20"/>
                <w:szCs w:val="20"/>
                <w:lang w:eastAsia="en-GB"/>
              </w:rPr>
              <w:t>Observations</w:t>
            </w:r>
          </w:p>
        </w:tc>
        <w:tc>
          <w:tcPr>
            <w:tcW w:w="1276" w:type="pct"/>
            <w:hideMark/>
          </w:tcPr>
          <w:p w14:paraId="4AD7F2F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2869</w:t>
            </w:r>
          </w:p>
        </w:tc>
        <w:tc>
          <w:tcPr>
            <w:tcW w:w="1853" w:type="pct"/>
            <w:noWrap/>
            <w:hideMark/>
          </w:tcPr>
          <w:p w14:paraId="599135CA" w14:textId="77777777" w:rsidR="00A769D0" w:rsidRPr="00000849" w:rsidRDefault="00A769D0" w:rsidP="00A769D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 xml:space="preserve">2869 </w:t>
            </w:r>
          </w:p>
        </w:tc>
      </w:tr>
    </w:tbl>
    <w:p w14:paraId="30E482F8" w14:textId="4981437A" w:rsidR="00A769D0" w:rsidRPr="00000849" w:rsidRDefault="00A769D0">
      <w:pPr>
        <w:spacing w:after="160" w:line="259" w:lineRule="auto"/>
        <w:rPr>
          <w:lang w:val="en-US"/>
        </w:rPr>
      </w:pPr>
    </w:p>
    <w:p w14:paraId="7F0681EC" w14:textId="32B43209" w:rsidR="00A769D0" w:rsidRPr="00000849" w:rsidRDefault="00A769D0">
      <w:pPr>
        <w:spacing w:after="160" w:line="259" w:lineRule="auto"/>
        <w:rPr>
          <w:lang w:val="en-US"/>
        </w:rPr>
      </w:pPr>
    </w:p>
    <w:p w14:paraId="45F04668" w14:textId="32D7FEFD" w:rsidR="00A769D0" w:rsidRPr="00000849" w:rsidRDefault="00A769D0">
      <w:pPr>
        <w:spacing w:after="160" w:line="259" w:lineRule="auto"/>
        <w:rPr>
          <w:lang w:val="en-US"/>
        </w:rPr>
      </w:pPr>
      <w:r w:rsidRPr="00000849">
        <w:rPr>
          <w:lang w:val="en-US"/>
        </w:rPr>
        <w:t>Exponentiated coefficients; 95% confidence intervals in brackets</w:t>
      </w:r>
    </w:p>
    <w:p w14:paraId="72225858" w14:textId="0A683F86" w:rsidR="00A769D0" w:rsidRPr="00000849" w:rsidRDefault="00A769D0">
      <w:pPr>
        <w:spacing w:after="160" w:line="259" w:lineRule="auto"/>
        <w:rPr>
          <w:lang w:val="en-US"/>
        </w:rPr>
      </w:pPr>
      <w:r w:rsidRPr="00000849">
        <w:rPr>
          <w:lang w:val="en-US"/>
        </w:rPr>
        <w:t>* p &lt; 0.05, ** p &lt; 0.01, *** p &lt; 0.001</w:t>
      </w:r>
    </w:p>
    <w:p w14:paraId="03814EA3" w14:textId="77777777" w:rsidR="00A769D0" w:rsidRPr="00000849" w:rsidRDefault="00A769D0">
      <w:pPr>
        <w:spacing w:after="160" w:line="259" w:lineRule="auto"/>
        <w:rPr>
          <w:lang w:val="en-US"/>
        </w:rPr>
      </w:pPr>
    </w:p>
    <w:p w14:paraId="65BF1C1B" w14:textId="77777777" w:rsidR="00A769D0" w:rsidRPr="00000849" w:rsidRDefault="00A769D0">
      <w:pPr>
        <w:spacing w:after="160" w:line="259" w:lineRule="auto"/>
        <w:rPr>
          <w:lang w:val="en-US"/>
        </w:rPr>
      </w:pPr>
    </w:p>
    <w:p w14:paraId="54A79A4C" w14:textId="12B285AE" w:rsidR="00A769D0" w:rsidRPr="00000849" w:rsidRDefault="00A769D0">
      <w:pPr>
        <w:spacing w:after="160" w:line="259" w:lineRule="auto"/>
        <w:rPr>
          <w:rFonts w:ascii="Calibri" w:eastAsiaTheme="majorEastAsia" w:hAnsi="Calibri" w:cstheme="majorBidi"/>
          <w:b/>
          <w:color w:val="1F4D78" w:themeColor="accent1" w:themeShade="7F"/>
          <w:sz w:val="26"/>
          <w:szCs w:val="24"/>
          <w:lang w:val="en-US"/>
        </w:rPr>
      </w:pPr>
      <w:r w:rsidRPr="00000849">
        <w:rPr>
          <w:lang w:val="en-US"/>
        </w:rPr>
        <w:br w:type="page"/>
      </w:r>
    </w:p>
    <w:p w14:paraId="06146AED" w14:textId="6B8480AD" w:rsidR="007F1DA0" w:rsidRPr="00000849" w:rsidRDefault="007F1DA0" w:rsidP="004E2350">
      <w:pPr>
        <w:pStyle w:val="Heading3"/>
        <w:rPr>
          <w:lang w:val="en-US"/>
        </w:rPr>
      </w:pPr>
      <w:bookmarkStart w:id="152" w:name="_Toc51472181"/>
      <w:r w:rsidRPr="00000849">
        <w:rPr>
          <w:lang w:val="en-US"/>
        </w:rPr>
        <w:lastRenderedPageBreak/>
        <w:t xml:space="preserve">Table </w:t>
      </w:r>
      <w:r w:rsidR="00290D25" w:rsidRPr="00000849">
        <w:rPr>
          <w:lang w:val="en-US"/>
        </w:rPr>
        <w:t>A9</w:t>
      </w:r>
      <w:r w:rsidRPr="00000849">
        <w:rPr>
          <w:lang w:val="en-US"/>
        </w:rPr>
        <w:t>:</w:t>
      </w:r>
      <w:r w:rsidRPr="00000849">
        <w:rPr>
          <w:lang w:val="en-US"/>
        </w:rPr>
        <w:tab/>
      </w:r>
      <w:r w:rsidR="00834CF9" w:rsidRPr="00000849">
        <w:rPr>
          <w:lang w:val="en-US"/>
        </w:rPr>
        <w:t>Linktest</w:t>
      </w:r>
      <w:r w:rsidRPr="00000849">
        <w:rPr>
          <w:lang w:val="en-US"/>
        </w:rPr>
        <w:t xml:space="preserve"> for </w:t>
      </w:r>
      <w:r w:rsidR="00834CF9" w:rsidRPr="00000849">
        <w:rPr>
          <w:lang w:val="en-US"/>
        </w:rPr>
        <w:t xml:space="preserve">single level </w:t>
      </w:r>
      <w:r w:rsidRPr="00000849">
        <w:rPr>
          <w:lang w:val="en-US"/>
        </w:rPr>
        <w:t>multivariable logistic regression</w:t>
      </w:r>
      <w:bookmarkEnd w:id="152"/>
    </w:p>
    <w:p w14:paraId="1DCD822B" w14:textId="2CA00300" w:rsidR="00807B42" w:rsidRPr="00000849" w:rsidRDefault="00807B42">
      <w:pPr>
        <w:spacing w:after="160" w:line="259" w:lineRule="auto"/>
        <w:rPr>
          <w:rFonts w:cstheme="minorHAnsi"/>
          <w:sz w:val="24"/>
          <w:szCs w:val="24"/>
          <w:lang w:val="en-US"/>
        </w:rPr>
      </w:pPr>
    </w:p>
    <w:p w14:paraId="60E239FF" w14:textId="3C554641" w:rsidR="007F1DA0" w:rsidRPr="00000849" w:rsidRDefault="00067834">
      <w:pPr>
        <w:spacing w:after="160" w:line="259" w:lineRule="auto"/>
        <w:rPr>
          <w:rFonts w:cstheme="minorHAnsi"/>
          <w:sz w:val="24"/>
          <w:szCs w:val="24"/>
          <w:lang w:val="en-US"/>
        </w:rPr>
      </w:pPr>
      <w:r w:rsidRPr="00000849">
        <w:rPr>
          <w:rFonts w:cstheme="minorHAnsi"/>
          <w:sz w:val="24"/>
          <w:szCs w:val="24"/>
          <w:lang w:val="en-US"/>
        </w:rPr>
        <w:t>Stata Output: survey logistic regression</w:t>
      </w:r>
    </w:p>
    <w:p w14:paraId="6AA81B1A" w14:textId="4092A295" w:rsidR="007F1DA0" w:rsidRPr="00000849" w:rsidRDefault="007F1DA0">
      <w:pPr>
        <w:spacing w:after="160" w:line="259" w:lineRule="auto"/>
        <w:rPr>
          <w:rFonts w:cstheme="minorHAnsi"/>
          <w:sz w:val="24"/>
          <w:szCs w:val="24"/>
          <w:lang w:val="en-US"/>
        </w:rPr>
      </w:pPr>
    </w:p>
    <w:tbl>
      <w:tblPr>
        <w:tblW w:w="5000" w:type="pct"/>
        <w:tblCellMar>
          <w:left w:w="0" w:type="dxa"/>
          <w:right w:w="0" w:type="dxa"/>
        </w:tblCellMar>
        <w:tblLook w:val="04A0" w:firstRow="1" w:lastRow="0" w:firstColumn="1" w:lastColumn="0" w:noHBand="0" w:noVBand="1"/>
      </w:tblPr>
      <w:tblGrid>
        <w:gridCol w:w="1621"/>
        <w:gridCol w:w="1524"/>
        <w:gridCol w:w="1506"/>
        <w:gridCol w:w="914"/>
        <w:gridCol w:w="914"/>
        <w:gridCol w:w="914"/>
        <w:gridCol w:w="918"/>
      </w:tblGrid>
      <w:tr w:rsidR="00834CF9" w:rsidRPr="00000849" w14:paraId="7103F629" w14:textId="77777777" w:rsidTr="00834CF9">
        <w:trPr>
          <w:divId w:val="217279630"/>
          <w:trHeight w:val="295"/>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45012F50" w14:textId="77777777" w:rsidR="00834CF9" w:rsidRPr="00000849" w:rsidRDefault="00834CF9" w:rsidP="00834CF9">
            <w:pPr>
              <w:spacing w:after="0" w:line="240" w:lineRule="auto"/>
              <w:rPr>
                <w:rFonts w:ascii="Times New Roman" w:eastAsia="Times New Roman" w:hAnsi="Times New Roman" w:cs="Times New Roman"/>
                <w:sz w:val="24"/>
                <w:szCs w:val="24"/>
                <w:lang w:eastAsia="en-GB"/>
              </w:rPr>
            </w:pP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5980DD76" w14:textId="77777777" w:rsidR="00834CF9" w:rsidRPr="00000849" w:rsidRDefault="00834CF9" w:rsidP="00834CF9">
            <w:pPr>
              <w:spacing w:after="0" w:line="24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W1</w:t>
            </w: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3FBCEA0F" w14:textId="77777777" w:rsidR="00834CF9" w:rsidRPr="00000849" w:rsidRDefault="00834CF9" w:rsidP="00834CF9">
            <w:pPr>
              <w:spacing w:after="0" w:line="24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W2</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4D6C1465" w14:textId="77777777" w:rsidR="00834CF9" w:rsidRPr="00000849" w:rsidRDefault="00834CF9" w:rsidP="00834CF9">
            <w:pPr>
              <w:spacing w:after="0" w:line="240" w:lineRule="auto"/>
              <w:jc w:val="center"/>
              <w:rPr>
                <w:rFonts w:ascii="Calibri" w:eastAsia="Times New Roman" w:hAnsi="Calibri" w:cs="Calibri"/>
                <w:b/>
                <w:bCs/>
                <w:color w:val="000000"/>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46574374"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1CC38E09"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bottom"/>
            <w:hideMark/>
          </w:tcPr>
          <w:p w14:paraId="152CC165"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6797F14C" w14:textId="77777777" w:rsidTr="00834CF9">
        <w:trPr>
          <w:divId w:val="217279630"/>
          <w:trHeight w:val="295"/>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4007851F"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Number of strata</w:t>
            </w: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7B8AC469"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20</w:t>
            </w: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159DDB4B"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20</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63F29C7E"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6D6A7C37"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292C4025"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bottom"/>
            <w:hideMark/>
          </w:tcPr>
          <w:p w14:paraId="21A59027"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0E1B8AC5" w14:textId="77777777" w:rsidTr="00834CF9">
        <w:trPr>
          <w:divId w:val="217279630"/>
          <w:trHeight w:val="295"/>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4B10D53D"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Number of PSUs</w:t>
            </w: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5FD15CD3"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235</w:t>
            </w: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7DE2F86B"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213</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0761250C"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34D700B9"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374377FF"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bottom"/>
            <w:hideMark/>
          </w:tcPr>
          <w:p w14:paraId="325F53B8"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47A67B9E" w14:textId="77777777" w:rsidTr="00834CF9">
        <w:trPr>
          <w:divId w:val="217279630"/>
          <w:trHeight w:val="295"/>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51A761A3"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Number of obs</w:t>
            </w: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1D597B4A"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3,873</w:t>
            </w: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0CDB8DE4"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2,891</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5DDF2CA8"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55C11826"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6BC851F4"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bottom"/>
            <w:hideMark/>
          </w:tcPr>
          <w:p w14:paraId="7EFCE9E9"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69B0A367" w14:textId="77777777" w:rsidTr="00834CF9">
        <w:trPr>
          <w:divId w:val="217279630"/>
          <w:trHeight w:val="295"/>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58E12C7F"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Population size</w:t>
            </w: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5174E4A5"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2,582,187</w:t>
            </w: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0C7465FC"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2,821,948</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6879386E"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0D76C388"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2037FDA4"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bottom"/>
            <w:hideMark/>
          </w:tcPr>
          <w:p w14:paraId="1F0A5020"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15CC9765" w14:textId="77777777" w:rsidTr="00834CF9">
        <w:trPr>
          <w:divId w:val="217279630"/>
          <w:trHeight w:val="295"/>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3879A712"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Design df</w:t>
            </w: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2E0B32A9"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215</w:t>
            </w: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7EA33E0E"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193</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579095EC"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60D45BDE"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4DD54B62"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bottom"/>
            <w:hideMark/>
          </w:tcPr>
          <w:p w14:paraId="0AB9D27C"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236D7B21" w14:textId="77777777" w:rsidTr="00834CF9">
        <w:trPr>
          <w:divId w:val="217279630"/>
          <w:trHeight w:val="295"/>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64D8C7F2"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F statistic</w:t>
            </w: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6B7B68FA"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F(2, 214) = 99.65</w:t>
            </w: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78772565"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F(2, 192) = 51.43</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0DE28729"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4667DFEC"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1A064B23"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bottom"/>
            <w:hideMark/>
          </w:tcPr>
          <w:p w14:paraId="7E7D2E7D"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4326E1B4" w14:textId="77777777" w:rsidTr="00834CF9">
        <w:trPr>
          <w:divId w:val="217279630"/>
          <w:trHeight w:val="295"/>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3A19756F"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Prob &gt; F</w:t>
            </w: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7DBAF1FF"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0.000</w:t>
            </w: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07E2B934"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0.000</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1FE7B338"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16D32F15"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3EC1F3E6"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bottom"/>
            <w:hideMark/>
          </w:tcPr>
          <w:p w14:paraId="31B68C08"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172EEB8D" w14:textId="77777777" w:rsidTr="00834CF9">
        <w:trPr>
          <w:divId w:val="217279630"/>
          <w:trHeight w:val="295"/>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45AD8537"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2CDC6C1E"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1F2C8C46"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0B0E16F3"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369320A0"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45576461"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bottom"/>
            <w:hideMark/>
          </w:tcPr>
          <w:p w14:paraId="44B2B74D"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2C135F9A" w14:textId="77777777" w:rsidTr="00834CF9">
        <w:trPr>
          <w:divId w:val="217279630"/>
          <w:trHeight w:val="295"/>
        </w:trPr>
        <w:tc>
          <w:tcPr>
            <w:tcW w:w="5000" w:type="pct"/>
            <w:gridSpan w:val="7"/>
            <w:tcBorders>
              <w:top w:val="nil"/>
              <w:left w:val="nil"/>
              <w:bottom w:val="nil"/>
              <w:right w:val="nil"/>
            </w:tcBorders>
            <w:shd w:val="clear" w:color="auto" w:fill="auto"/>
            <w:tcMar>
              <w:top w:w="15" w:type="dxa"/>
              <w:left w:w="15" w:type="dxa"/>
              <w:bottom w:w="0" w:type="dxa"/>
              <w:right w:w="15" w:type="dxa"/>
            </w:tcMar>
            <w:vAlign w:val="center"/>
            <w:hideMark/>
          </w:tcPr>
          <w:p w14:paraId="7E0F4D3F" w14:textId="77777777" w:rsidR="00834CF9" w:rsidRPr="00000849" w:rsidRDefault="00834CF9" w:rsidP="00834CF9">
            <w:pPr>
              <w:spacing w:after="0" w:line="24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Wave 1</w:t>
            </w:r>
          </w:p>
        </w:tc>
      </w:tr>
      <w:tr w:rsidR="00834CF9" w:rsidRPr="00000849" w14:paraId="2EFB5040" w14:textId="77777777" w:rsidTr="00834CF9">
        <w:trPr>
          <w:divId w:val="217279630"/>
          <w:trHeight w:val="540"/>
        </w:trPr>
        <w:tc>
          <w:tcPr>
            <w:tcW w:w="975" w:type="pct"/>
            <w:tcBorders>
              <w:top w:val="nil"/>
              <w:left w:val="nil"/>
              <w:bottom w:val="nil"/>
              <w:right w:val="nil"/>
            </w:tcBorders>
            <w:shd w:val="clear" w:color="auto" w:fill="auto"/>
            <w:tcMar>
              <w:top w:w="15" w:type="dxa"/>
              <w:left w:w="15" w:type="dxa"/>
              <w:bottom w:w="0" w:type="dxa"/>
              <w:right w:w="15" w:type="dxa"/>
            </w:tcMar>
            <w:vAlign w:val="center"/>
            <w:hideMark/>
          </w:tcPr>
          <w:p w14:paraId="7E475834"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HTA</w:t>
            </w:r>
          </w:p>
        </w:tc>
        <w:tc>
          <w:tcPr>
            <w:tcW w:w="917" w:type="pct"/>
            <w:tcBorders>
              <w:top w:val="nil"/>
              <w:left w:val="nil"/>
              <w:bottom w:val="nil"/>
              <w:right w:val="nil"/>
            </w:tcBorders>
            <w:shd w:val="clear" w:color="auto" w:fill="auto"/>
            <w:tcMar>
              <w:top w:w="15" w:type="dxa"/>
              <w:left w:w="15" w:type="dxa"/>
              <w:bottom w:w="0" w:type="dxa"/>
              <w:right w:w="15" w:type="dxa"/>
            </w:tcMar>
            <w:vAlign w:val="center"/>
            <w:hideMark/>
          </w:tcPr>
          <w:p w14:paraId="120FCB1D"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Coefficient</w:t>
            </w:r>
          </w:p>
        </w:tc>
        <w:tc>
          <w:tcPr>
            <w:tcW w:w="906" w:type="pct"/>
            <w:tcBorders>
              <w:top w:val="nil"/>
              <w:left w:val="nil"/>
              <w:bottom w:val="nil"/>
              <w:right w:val="nil"/>
            </w:tcBorders>
            <w:shd w:val="clear" w:color="auto" w:fill="auto"/>
            <w:tcMar>
              <w:top w:w="15" w:type="dxa"/>
              <w:left w:w="15" w:type="dxa"/>
              <w:bottom w:w="0" w:type="dxa"/>
              <w:right w:w="15" w:type="dxa"/>
            </w:tcMar>
            <w:vAlign w:val="center"/>
            <w:hideMark/>
          </w:tcPr>
          <w:p w14:paraId="02EFD3B5"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Linearized standard error</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459974C3"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t</w:t>
            </w:r>
          </w:p>
        </w:tc>
        <w:tc>
          <w:tcPr>
            <w:tcW w:w="550" w:type="pct"/>
            <w:tcBorders>
              <w:top w:val="nil"/>
              <w:left w:val="nil"/>
              <w:bottom w:val="nil"/>
              <w:right w:val="nil"/>
            </w:tcBorders>
            <w:shd w:val="clear" w:color="auto" w:fill="auto"/>
            <w:tcMar>
              <w:top w:w="15" w:type="dxa"/>
              <w:left w:w="15" w:type="dxa"/>
              <w:bottom w:w="0" w:type="dxa"/>
              <w:right w:w="15" w:type="dxa"/>
            </w:tcMar>
            <w:vAlign w:val="center"/>
            <w:hideMark/>
          </w:tcPr>
          <w:p w14:paraId="2B21248D"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P&gt;|t|</w:t>
            </w:r>
          </w:p>
        </w:tc>
        <w:tc>
          <w:tcPr>
            <w:tcW w:w="1101" w:type="pct"/>
            <w:gridSpan w:val="2"/>
            <w:tcBorders>
              <w:top w:val="nil"/>
              <w:left w:val="nil"/>
              <w:bottom w:val="nil"/>
              <w:right w:val="nil"/>
            </w:tcBorders>
            <w:shd w:val="clear" w:color="auto" w:fill="auto"/>
            <w:tcMar>
              <w:top w:w="15" w:type="dxa"/>
              <w:left w:w="15" w:type="dxa"/>
              <w:bottom w:w="0" w:type="dxa"/>
              <w:right w:w="15" w:type="dxa"/>
            </w:tcMar>
            <w:vAlign w:val="center"/>
            <w:hideMark/>
          </w:tcPr>
          <w:p w14:paraId="3183F92F"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95% confidence interval</w:t>
            </w:r>
          </w:p>
        </w:tc>
      </w:tr>
      <w:tr w:rsidR="00834CF9" w:rsidRPr="00000849" w14:paraId="5F85F4AB" w14:textId="77777777" w:rsidTr="00834CF9">
        <w:trPr>
          <w:divId w:val="217279630"/>
          <w:trHeight w:val="295"/>
        </w:trPr>
        <w:tc>
          <w:tcPr>
            <w:tcW w:w="975" w:type="pct"/>
            <w:tcBorders>
              <w:top w:val="nil"/>
              <w:left w:val="nil"/>
              <w:bottom w:val="nil"/>
              <w:right w:val="nil"/>
            </w:tcBorders>
            <w:shd w:val="clear" w:color="auto" w:fill="auto"/>
            <w:noWrap/>
            <w:tcMar>
              <w:top w:w="15" w:type="dxa"/>
              <w:left w:w="15" w:type="dxa"/>
              <w:bottom w:w="0" w:type="dxa"/>
              <w:right w:w="15" w:type="dxa"/>
            </w:tcMar>
            <w:vAlign w:val="center"/>
            <w:hideMark/>
          </w:tcPr>
          <w:p w14:paraId="7A42685C"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p>
        </w:tc>
        <w:tc>
          <w:tcPr>
            <w:tcW w:w="917" w:type="pct"/>
            <w:tcBorders>
              <w:top w:val="nil"/>
              <w:left w:val="nil"/>
              <w:bottom w:val="nil"/>
              <w:right w:val="nil"/>
            </w:tcBorders>
            <w:shd w:val="clear" w:color="auto" w:fill="auto"/>
            <w:noWrap/>
            <w:tcMar>
              <w:top w:w="15" w:type="dxa"/>
              <w:left w:w="15" w:type="dxa"/>
              <w:bottom w:w="0" w:type="dxa"/>
              <w:right w:w="15" w:type="dxa"/>
            </w:tcMar>
            <w:vAlign w:val="center"/>
            <w:hideMark/>
          </w:tcPr>
          <w:p w14:paraId="60AA8BB4"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906" w:type="pct"/>
            <w:tcBorders>
              <w:top w:val="nil"/>
              <w:left w:val="nil"/>
              <w:bottom w:val="nil"/>
              <w:right w:val="nil"/>
            </w:tcBorders>
            <w:shd w:val="clear" w:color="auto" w:fill="auto"/>
            <w:noWrap/>
            <w:tcMar>
              <w:top w:w="15" w:type="dxa"/>
              <w:left w:w="15" w:type="dxa"/>
              <w:bottom w:w="0" w:type="dxa"/>
              <w:right w:w="15" w:type="dxa"/>
            </w:tcMar>
            <w:vAlign w:val="center"/>
            <w:hideMark/>
          </w:tcPr>
          <w:p w14:paraId="09BE6304"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67E95622"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7D9A53B4"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248A1C2D"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6167A085"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r>
      <w:tr w:rsidR="00834CF9" w:rsidRPr="00000849" w14:paraId="6FA56DD1" w14:textId="77777777" w:rsidTr="00834CF9">
        <w:trPr>
          <w:divId w:val="217279630"/>
          <w:trHeight w:val="295"/>
        </w:trPr>
        <w:tc>
          <w:tcPr>
            <w:tcW w:w="975" w:type="pct"/>
            <w:tcBorders>
              <w:top w:val="nil"/>
              <w:left w:val="nil"/>
              <w:bottom w:val="nil"/>
              <w:right w:val="nil"/>
            </w:tcBorders>
            <w:shd w:val="clear" w:color="auto" w:fill="auto"/>
            <w:noWrap/>
            <w:tcMar>
              <w:top w:w="15" w:type="dxa"/>
              <w:left w:w="15" w:type="dxa"/>
              <w:bottom w:w="0" w:type="dxa"/>
              <w:right w:w="15" w:type="dxa"/>
            </w:tcMar>
            <w:vAlign w:val="center"/>
            <w:hideMark/>
          </w:tcPr>
          <w:p w14:paraId="3108229B"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_hat</w:t>
            </w:r>
          </w:p>
        </w:tc>
        <w:tc>
          <w:tcPr>
            <w:tcW w:w="917" w:type="pct"/>
            <w:tcBorders>
              <w:top w:val="nil"/>
              <w:left w:val="nil"/>
              <w:bottom w:val="nil"/>
              <w:right w:val="nil"/>
            </w:tcBorders>
            <w:shd w:val="clear" w:color="auto" w:fill="auto"/>
            <w:noWrap/>
            <w:tcMar>
              <w:top w:w="15" w:type="dxa"/>
              <w:left w:w="15" w:type="dxa"/>
              <w:bottom w:w="0" w:type="dxa"/>
              <w:right w:w="15" w:type="dxa"/>
            </w:tcMar>
            <w:vAlign w:val="center"/>
            <w:hideMark/>
          </w:tcPr>
          <w:p w14:paraId="20247006"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1.061</w:t>
            </w:r>
          </w:p>
        </w:tc>
        <w:tc>
          <w:tcPr>
            <w:tcW w:w="906" w:type="pct"/>
            <w:tcBorders>
              <w:top w:val="nil"/>
              <w:left w:val="nil"/>
              <w:bottom w:val="nil"/>
              <w:right w:val="nil"/>
            </w:tcBorders>
            <w:shd w:val="clear" w:color="auto" w:fill="auto"/>
            <w:noWrap/>
            <w:tcMar>
              <w:top w:w="15" w:type="dxa"/>
              <w:left w:w="15" w:type="dxa"/>
              <w:bottom w:w="0" w:type="dxa"/>
              <w:right w:w="15" w:type="dxa"/>
            </w:tcMar>
            <w:vAlign w:val="center"/>
            <w:hideMark/>
          </w:tcPr>
          <w:p w14:paraId="30EA563F"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0.083</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28FB6DFA"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12.83</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50B6E769"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0.000</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13D88DF3"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0.898</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75CA5ED8"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1.224</w:t>
            </w:r>
          </w:p>
        </w:tc>
      </w:tr>
      <w:tr w:rsidR="00834CF9" w:rsidRPr="00000849" w14:paraId="4B698634" w14:textId="77777777" w:rsidTr="00834CF9">
        <w:trPr>
          <w:divId w:val="217279630"/>
          <w:trHeight w:val="295"/>
        </w:trPr>
        <w:tc>
          <w:tcPr>
            <w:tcW w:w="975" w:type="pct"/>
            <w:tcBorders>
              <w:top w:val="nil"/>
              <w:left w:val="nil"/>
              <w:bottom w:val="nil"/>
              <w:right w:val="nil"/>
            </w:tcBorders>
            <w:shd w:val="clear" w:color="auto" w:fill="auto"/>
            <w:noWrap/>
            <w:tcMar>
              <w:top w:w="15" w:type="dxa"/>
              <w:left w:w="15" w:type="dxa"/>
              <w:bottom w:w="0" w:type="dxa"/>
              <w:right w:w="15" w:type="dxa"/>
            </w:tcMar>
            <w:vAlign w:val="center"/>
            <w:hideMark/>
          </w:tcPr>
          <w:p w14:paraId="3872D3C0"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_hatsq</w:t>
            </w:r>
          </w:p>
        </w:tc>
        <w:tc>
          <w:tcPr>
            <w:tcW w:w="917" w:type="pct"/>
            <w:tcBorders>
              <w:top w:val="nil"/>
              <w:left w:val="nil"/>
              <w:bottom w:val="nil"/>
              <w:right w:val="nil"/>
            </w:tcBorders>
            <w:shd w:val="clear" w:color="auto" w:fill="auto"/>
            <w:noWrap/>
            <w:tcMar>
              <w:top w:w="15" w:type="dxa"/>
              <w:left w:w="15" w:type="dxa"/>
              <w:bottom w:w="0" w:type="dxa"/>
              <w:right w:w="15" w:type="dxa"/>
            </w:tcMar>
            <w:vAlign w:val="center"/>
            <w:hideMark/>
          </w:tcPr>
          <w:p w14:paraId="28324B16"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-0.132</w:t>
            </w:r>
          </w:p>
        </w:tc>
        <w:tc>
          <w:tcPr>
            <w:tcW w:w="906" w:type="pct"/>
            <w:tcBorders>
              <w:top w:val="nil"/>
              <w:left w:val="nil"/>
              <w:bottom w:val="nil"/>
              <w:right w:val="nil"/>
            </w:tcBorders>
            <w:shd w:val="clear" w:color="auto" w:fill="auto"/>
            <w:noWrap/>
            <w:tcMar>
              <w:top w:w="15" w:type="dxa"/>
              <w:left w:w="15" w:type="dxa"/>
              <w:bottom w:w="0" w:type="dxa"/>
              <w:right w:w="15" w:type="dxa"/>
            </w:tcMar>
            <w:vAlign w:val="center"/>
            <w:hideMark/>
          </w:tcPr>
          <w:p w14:paraId="2C7758C5"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0.078</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799545DE"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-1.68</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6EA660B6"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0.094</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7FD92B1D"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-0.286</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4957E142"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0.226</w:t>
            </w:r>
          </w:p>
        </w:tc>
      </w:tr>
      <w:tr w:rsidR="00834CF9" w:rsidRPr="00000849" w14:paraId="305F9EEB" w14:textId="77777777" w:rsidTr="00834CF9">
        <w:trPr>
          <w:divId w:val="217279630"/>
          <w:trHeight w:val="295"/>
        </w:trPr>
        <w:tc>
          <w:tcPr>
            <w:tcW w:w="975" w:type="pct"/>
            <w:tcBorders>
              <w:top w:val="nil"/>
              <w:left w:val="nil"/>
              <w:bottom w:val="nil"/>
              <w:right w:val="nil"/>
            </w:tcBorders>
            <w:shd w:val="clear" w:color="auto" w:fill="auto"/>
            <w:noWrap/>
            <w:tcMar>
              <w:top w:w="15" w:type="dxa"/>
              <w:left w:w="15" w:type="dxa"/>
              <w:bottom w:w="0" w:type="dxa"/>
              <w:right w:w="15" w:type="dxa"/>
            </w:tcMar>
            <w:vAlign w:val="center"/>
            <w:hideMark/>
          </w:tcPr>
          <w:p w14:paraId="2A4E61F1"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_cons</w:t>
            </w:r>
          </w:p>
        </w:tc>
        <w:tc>
          <w:tcPr>
            <w:tcW w:w="917" w:type="pct"/>
            <w:tcBorders>
              <w:top w:val="nil"/>
              <w:left w:val="nil"/>
              <w:bottom w:val="nil"/>
              <w:right w:val="nil"/>
            </w:tcBorders>
            <w:shd w:val="clear" w:color="auto" w:fill="auto"/>
            <w:noWrap/>
            <w:tcMar>
              <w:top w:w="15" w:type="dxa"/>
              <w:left w:w="15" w:type="dxa"/>
              <w:bottom w:w="0" w:type="dxa"/>
              <w:right w:w="15" w:type="dxa"/>
            </w:tcMar>
            <w:vAlign w:val="center"/>
            <w:hideMark/>
          </w:tcPr>
          <w:p w14:paraId="1C10275B"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-0.039</w:t>
            </w:r>
          </w:p>
        </w:tc>
        <w:tc>
          <w:tcPr>
            <w:tcW w:w="906" w:type="pct"/>
            <w:tcBorders>
              <w:top w:val="nil"/>
              <w:left w:val="nil"/>
              <w:bottom w:val="nil"/>
              <w:right w:val="nil"/>
            </w:tcBorders>
            <w:shd w:val="clear" w:color="auto" w:fill="auto"/>
            <w:noWrap/>
            <w:tcMar>
              <w:top w:w="15" w:type="dxa"/>
              <w:left w:w="15" w:type="dxa"/>
              <w:bottom w:w="0" w:type="dxa"/>
              <w:right w:w="15" w:type="dxa"/>
            </w:tcMar>
            <w:vAlign w:val="center"/>
            <w:hideMark/>
          </w:tcPr>
          <w:p w14:paraId="32C28881"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-0.057</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6BFB8A69"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0.68</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2BF9DE46"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0.495</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2BD0EE49"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-0.073</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09522B9B"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0.151</w:t>
            </w:r>
          </w:p>
        </w:tc>
      </w:tr>
      <w:tr w:rsidR="00834CF9" w:rsidRPr="00000849" w14:paraId="0814DE16" w14:textId="77777777" w:rsidTr="00834CF9">
        <w:trPr>
          <w:divId w:val="217279630"/>
          <w:trHeight w:val="295"/>
        </w:trPr>
        <w:tc>
          <w:tcPr>
            <w:tcW w:w="975" w:type="pct"/>
            <w:tcBorders>
              <w:top w:val="nil"/>
              <w:left w:val="nil"/>
              <w:bottom w:val="nil"/>
              <w:right w:val="nil"/>
            </w:tcBorders>
            <w:shd w:val="clear" w:color="auto" w:fill="auto"/>
            <w:noWrap/>
            <w:tcMar>
              <w:top w:w="15" w:type="dxa"/>
              <w:left w:w="15" w:type="dxa"/>
              <w:bottom w:w="0" w:type="dxa"/>
              <w:right w:w="15" w:type="dxa"/>
            </w:tcMar>
            <w:vAlign w:val="center"/>
            <w:hideMark/>
          </w:tcPr>
          <w:p w14:paraId="5F606D65"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p>
        </w:tc>
        <w:tc>
          <w:tcPr>
            <w:tcW w:w="917" w:type="pct"/>
            <w:tcBorders>
              <w:top w:val="nil"/>
              <w:left w:val="nil"/>
              <w:bottom w:val="nil"/>
              <w:right w:val="nil"/>
            </w:tcBorders>
            <w:shd w:val="clear" w:color="auto" w:fill="auto"/>
            <w:noWrap/>
            <w:tcMar>
              <w:top w:w="15" w:type="dxa"/>
              <w:left w:w="15" w:type="dxa"/>
              <w:bottom w:w="0" w:type="dxa"/>
              <w:right w:w="15" w:type="dxa"/>
            </w:tcMar>
            <w:vAlign w:val="center"/>
            <w:hideMark/>
          </w:tcPr>
          <w:p w14:paraId="1151953C" w14:textId="77777777" w:rsidR="00834CF9" w:rsidRPr="00000849" w:rsidRDefault="00834CF9" w:rsidP="00834CF9">
            <w:pPr>
              <w:spacing w:after="0" w:line="240" w:lineRule="auto"/>
              <w:rPr>
                <w:rFonts w:ascii="Times New Roman" w:eastAsia="Times New Roman" w:hAnsi="Times New Roman" w:cs="Times New Roman"/>
                <w:sz w:val="20"/>
                <w:szCs w:val="20"/>
                <w:lang w:eastAsia="en-GB"/>
              </w:rPr>
            </w:pPr>
          </w:p>
        </w:tc>
        <w:tc>
          <w:tcPr>
            <w:tcW w:w="906" w:type="pct"/>
            <w:tcBorders>
              <w:top w:val="nil"/>
              <w:left w:val="nil"/>
              <w:bottom w:val="nil"/>
              <w:right w:val="nil"/>
            </w:tcBorders>
            <w:shd w:val="clear" w:color="auto" w:fill="auto"/>
            <w:noWrap/>
            <w:tcMar>
              <w:top w:w="15" w:type="dxa"/>
              <w:left w:w="15" w:type="dxa"/>
              <w:bottom w:w="0" w:type="dxa"/>
              <w:right w:w="15" w:type="dxa"/>
            </w:tcMar>
            <w:vAlign w:val="center"/>
            <w:hideMark/>
          </w:tcPr>
          <w:p w14:paraId="01D6D499" w14:textId="77777777" w:rsidR="00834CF9" w:rsidRPr="00000849" w:rsidRDefault="00834CF9" w:rsidP="00834CF9">
            <w:pPr>
              <w:spacing w:after="0" w:line="240" w:lineRule="auto"/>
              <w:jc w:val="center"/>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29A6B518" w14:textId="77777777" w:rsidR="00834CF9" w:rsidRPr="00000849" w:rsidRDefault="00834CF9" w:rsidP="00834CF9">
            <w:pPr>
              <w:spacing w:after="0" w:line="240" w:lineRule="auto"/>
              <w:jc w:val="center"/>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7B7E2672" w14:textId="77777777" w:rsidR="00834CF9" w:rsidRPr="00000849" w:rsidRDefault="00834CF9" w:rsidP="00834CF9">
            <w:pPr>
              <w:spacing w:after="0" w:line="240" w:lineRule="auto"/>
              <w:jc w:val="center"/>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3195D442" w14:textId="77777777" w:rsidR="00834CF9" w:rsidRPr="00000849" w:rsidRDefault="00834CF9" w:rsidP="00834CF9">
            <w:pPr>
              <w:spacing w:after="0" w:line="240" w:lineRule="auto"/>
              <w:jc w:val="center"/>
              <w:rPr>
                <w:rFonts w:ascii="Times New Roman" w:eastAsia="Times New Roman" w:hAnsi="Times New Roman" w:cs="Times New Roman"/>
                <w:sz w:val="20"/>
                <w:szCs w:val="20"/>
                <w:lang w:eastAsia="en-GB"/>
              </w:rPr>
            </w:pP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5BFCB0BB" w14:textId="77777777" w:rsidR="00834CF9" w:rsidRPr="00000849" w:rsidRDefault="00834CF9" w:rsidP="00834CF9">
            <w:pPr>
              <w:spacing w:after="0" w:line="240" w:lineRule="auto"/>
              <w:jc w:val="center"/>
              <w:rPr>
                <w:rFonts w:ascii="Times New Roman" w:eastAsia="Times New Roman" w:hAnsi="Times New Roman" w:cs="Times New Roman"/>
                <w:sz w:val="20"/>
                <w:szCs w:val="20"/>
                <w:lang w:eastAsia="en-GB"/>
              </w:rPr>
            </w:pPr>
          </w:p>
        </w:tc>
      </w:tr>
      <w:tr w:rsidR="00834CF9" w:rsidRPr="00000849" w14:paraId="34D3DE74" w14:textId="77777777" w:rsidTr="00834CF9">
        <w:trPr>
          <w:divId w:val="217279630"/>
          <w:trHeight w:val="295"/>
        </w:trPr>
        <w:tc>
          <w:tcPr>
            <w:tcW w:w="5000" w:type="pct"/>
            <w:gridSpan w:val="7"/>
            <w:tcBorders>
              <w:top w:val="nil"/>
              <w:left w:val="nil"/>
              <w:bottom w:val="nil"/>
              <w:right w:val="nil"/>
            </w:tcBorders>
            <w:shd w:val="clear" w:color="auto" w:fill="auto"/>
            <w:tcMar>
              <w:top w:w="15" w:type="dxa"/>
              <w:left w:w="15" w:type="dxa"/>
              <w:bottom w:w="0" w:type="dxa"/>
              <w:right w:w="15" w:type="dxa"/>
            </w:tcMar>
            <w:vAlign w:val="center"/>
            <w:hideMark/>
          </w:tcPr>
          <w:p w14:paraId="2398B7E7" w14:textId="77777777" w:rsidR="00834CF9" w:rsidRPr="00000849" w:rsidRDefault="00834CF9" w:rsidP="00834CF9">
            <w:pPr>
              <w:spacing w:after="0" w:line="240" w:lineRule="auto"/>
              <w:jc w:val="center"/>
              <w:rPr>
                <w:rFonts w:ascii="Calibri" w:eastAsia="Times New Roman" w:hAnsi="Calibri" w:cs="Calibri"/>
                <w:b/>
                <w:bCs/>
                <w:color w:val="000000"/>
                <w:sz w:val="20"/>
                <w:szCs w:val="20"/>
                <w:lang w:eastAsia="en-GB"/>
              </w:rPr>
            </w:pPr>
            <w:r w:rsidRPr="00000849">
              <w:rPr>
                <w:rFonts w:ascii="Calibri" w:eastAsia="Times New Roman" w:hAnsi="Calibri" w:cs="Calibri"/>
                <w:b/>
                <w:bCs/>
                <w:color w:val="000000"/>
                <w:sz w:val="20"/>
                <w:szCs w:val="20"/>
                <w:lang w:eastAsia="en-GB"/>
              </w:rPr>
              <w:t xml:space="preserve">Wave 2 </w:t>
            </w:r>
          </w:p>
        </w:tc>
      </w:tr>
      <w:tr w:rsidR="00834CF9" w:rsidRPr="00000849" w14:paraId="1BE5B498" w14:textId="77777777" w:rsidTr="00834CF9">
        <w:trPr>
          <w:divId w:val="217279630"/>
          <w:trHeight w:val="295"/>
        </w:trPr>
        <w:tc>
          <w:tcPr>
            <w:tcW w:w="975" w:type="pct"/>
            <w:tcBorders>
              <w:top w:val="nil"/>
              <w:left w:val="nil"/>
              <w:bottom w:val="nil"/>
              <w:right w:val="nil"/>
            </w:tcBorders>
            <w:shd w:val="clear" w:color="auto" w:fill="auto"/>
            <w:noWrap/>
            <w:tcMar>
              <w:top w:w="15" w:type="dxa"/>
              <w:left w:w="15" w:type="dxa"/>
              <w:bottom w:w="0" w:type="dxa"/>
              <w:right w:w="15" w:type="dxa"/>
            </w:tcMar>
            <w:vAlign w:val="center"/>
            <w:hideMark/>
          </w:tcPr>
          <w:p w14:paraId="3F09D132"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_hat</w:t>
            </w:r>
          </w:p>
        </w:tc>
        <w:tc>
          <w:tcPr>
            <w:tcW w:w="917" w:type="pct"/>
            <w:tcBorders>
              <w:top w:val="nil"/>
              <w:left w:val="nil"/>
              <w:bottom w:val="nil"/>
              <w:right w:val="nil"/>
            </w:tcBorders>
            <w:shd w:val="clear" w:color="auto" w:fill="auto"/>
            <w:noWrap/>
            <w:tcMar>
              <w:top w:w="15" w:type="dxa"/>
              <w:left w:w="15" w:type="dxa"/>
              <w:bottom w:w="0" w:type="dxa"/>
              <w:right w:w="15" w:type="dxa"/>
            </w:tcMar>
            <w:vAlign w:val="center"/>
            <w:hideMark/>
          </w:tcPr>
          <w:p w14:paraId="76AB48D2"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1.102</w:t>
            </w:r>
          </w:p>
        </w:tc>
        <w:tc>
          <w:tcPr>
            <w:tcW w:w="906" w:type="pct"/>
            <w:tcBorders>
              <w:top w:val="nil"/>
              <w:left w:val="nil"/>
              <w:bottom w:val="nil"/>
              <w:right w:val="nil"/>
            </w:tcBorders>
            <w:shd w:val="clear" w:color="auto" w:fill="auto"/>
            <w:noWrap/>
            <w:tcMar>
              <w:top w:w="15" w:type="dxa"/>
              <w:left w:w="15" w:type="dxa"/>
              <w:bottom w:w="0" w:type="dxa"/>
              <w:right w:w="15" w:type="dxa"/>
            </w:tcMar>
            <w:vAlign w:val="center"/>
            <w:hideMark/>
          </w:tcPr>
          <w:p w14:paraId="2415A271"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0.182</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6D059028"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6.07</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097836D6"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0.000</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63DC5D39"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0.744</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17F1375D"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1.460</w:t>
            </w:r>
          </w:p>
        </w:tc>
      </w:tr>
      <w:tr w:rsidR="00834CF9" w:rsidRPr="00000849" w14:paraId="356A5451" w14:textId="77777777" w:rsidTr="00834CF9">
        <w:trPr>
          <w:divId w:val="217279630"/>
          <w:trHeight w:val="295"/>
        </w:trPr>
        <w:tc>
          <w:tcPr>
            <w:tcW w:w="975" w:type="pct"/>
            <w:tcBorders>
              <w:top w:val="nil"/>
              <w:left w:val="nil"/>
              <w:bottom w:val="nil"/>
              <w:right w:val="nil"/>
            </w:tcBorders>
            <w:shd w:val="clear" w:color="auto" w:fill="auto"/>
            <w:noWrap/>
            <w:tcMar>
              <w:top w:w="15" w:type="dxa"/>
              <w:left w:w="15" w:type="dxa"/>
              <w:bottom w:w="0" w:type="dxa"/>
              <w:right w:w="15" w:type="dxa"/>
            </w:tcMar>
            <w:vAlign w:val="center"/>
            <w:hideMark/>
          </w:tcPr>
          <w:p w14:paraId="564DDB79"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_hatsq</w:t>
            </w:r>
          </w:p>
        </w:tc>
        <w:tc>
          <w:tcPr>
            <w:tcW w:w="917" w:type="pct"/>
            <w:tcBorders>
              <w:top w:val="nil"/>
              <w:left w:val="nil"/>
              <w:bottom w:val="nil"/>
              <w:right w:val="nil"/>
            </w:tcBorders>
            <w:shd w:val="clear" w:color="auto" w:fill="auto"/>
            <w:noWrap/>
            <w:tcMar>
              <w:top w:w="15" w:type="dxa"/>
              <w:left w:w="15" w:type="dxa"/>
              <w:bottom w:w="0" w:type="dxa"/>
              <w:right w:w="15" w:type="dxa"/>
            </w:tcMar>
            <w:vAlign w:val="center"/>
            <w:hideMark/>
          </w:tcPr>
          <w:p w14:paraId="03E989E7"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0.104</w:t>
            </w:r>
          </w:p>
        </w:tc>
        <w:tc>
          <w:tcPr>
            <w:tcW w:w="906" w:type="pct"/>
            <w:tcBorders>
              <w:top w:val="nil"/>
              <w:left w:val="nil"/>
              <w:bottom w:val="nil"/>
              <w:right w:val="nil"/>
            </w:tcBorders>
            <w:shd w:val="clear" w:color="auto" w:fill="auto"/>
            <w:noWrap/>
            <w:tcMar>
              <w:top w:w="15" w:type="dxa"/>
              <w:left w:w="15" w:type="dxa"/>
              <w:bottom w:w="0" w:type="dxa"/>
              <w:right w:w="15" w:type="dxa"/>
            </w:tcMar>
            <w:vAlign w:val="center"/>
            <w:hideMark/>
          </w:tcPr>
          <w:p w14:paraId="315C0756"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0.108</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32922C5C"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0.97</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2CBC8F27"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0.334</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58CC9AD1"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-0.108</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3C5C20FD"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0.317</w:t>
            </w:r>
          </w:p>
        </w:tc>
      </w:tr>
      <w:tr w:rsidR="00834CF9" w:rsidRPr="00000849" w14:paraId="1D1C95D3" w14:textId="77777777" w:rsidTr="00834CF9">
        <w:trPr>
          <w:divId w:val="217279630"/>
          <w:trHeight w:val="295"/>
        </w:trPr>
        <w:tc>
          <w:tcPr>
            <w:tcW w:w="975" w:type="pct"/>
            <w:tcBorders>
              <w:top w:val="nil"/>
              <w:left w:val="nil"/>
              <w:bottom w:val="nil"/>
              <w:right w:val="nil"/>
            </w:tcBorders>
            <w:shd w:val="clear" w:color="auto" w:fill="auto"/>
            <w:noWrap/>
            <w:tcMar>
              <w:top w:w="15" w:type="dxa"/>
              <w:left w:w="15" w:type="dxa"/>
              <w:bottom w:w="0" w:type="dxa"/>
              <w:right w:w="15" w:type="dxa"/>
            </w:tcMar>
            <w:vAlign w:val="center"/>
            <w:hideMark/>
          </w:tcPr>
          <w:p w14:paraId="4B316910" w14:textId="77777777" w:rsidR="00834CF9" w:rsidRPr="00000849" w:rsidRDefault="00834CF9" w:rsidP="00834CF9">
            <w:pPr>
              <w:spacing w:after="0" w:line="240" w:lineRule="auto"/>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_cons</w:t>
            </w:r>
          </w:p>
        </w:tc>
        <w:tc>
          <w:tcPr>
            <w:tcW w:w="917" w:type="pct"/>
            <w:tcBorders>
              <w:top w:val="nil"/>
              <w:left w:val="nil"/>
              <w:bottom w:val="nil"/>
              <w:right w:val="nil"/>
            </w:tcBorders>
            <w:shd w:val="clear" w:color="auto" w:fill="auto"/>
            <w:noWrap/>
            <w:tcMar>
              <w:top w:w="15" w:type="dxa"/>
              <w:left w:w="15" w:type="dxa"/>
              <w:bottom w:w="0" w:type="dxa"/>
              <w:right w:w="15" w:type="dxa"/>
            </w:tcMar>
            <w:vAlign w:val="center"/>
            <w:hideMark/>
          </w:tcPr>
          <w:p w14:paraId="41986926"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-0.022</w:t>
            </w:r>
          </w:p>
        </w:tc>
        <w:tc>
          <w:tcPr>
            <w:tcW w:w="906" w:type="pct"/>
            <w:tcBorders>
              <w:top w:val="nil"/>
              <w:left w:val="nil"/>
              <w:bottom w:val="nil"/>
              <w:right w:val="nil"/>
            </w:tcBorders>
            <w:shd w:val="clear" w:color="auto" w:fill="auto"/>
            <w:noWrap/>
            <w:tcMar>
              <w:top w:w="15" w:type="dxa"/>
              <w:left w:w="15" w:type="dxa"/>
              <w:bottom w:w="0" w:type="dxa"/>
              <w:right w:w="15" w:type="dxa"/>
            </w:tcMar>
            <w:vAlign w:val="center"/>
            <w:hideMark/>
          </w:tcPr>
          <w:p w14:paraId="0F06A495"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0.093</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0CE4B070"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-0.23</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3C517707"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0.817</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1C50262E"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-0.205</w:t>
            </w:r>
          </w:p>
        </w:tc>
        <w:tc>
          <w:tcPr>
            <w:tcW w:w="550" w:type="pct"/>
            <w:tcBorders>
              <w:top w:val="nil"/>
              <w:left w:val="nil"/>
              <w:bottom w:val="nil"/>
              <w:right w:val="nil"/>
            </w:tcBorders>
            <w:shd w:val="clear" w:color="auto" w:fill="auto"/>
            <w:noWrap/>
            <w:tcMar>
              <w:top w:w="15" w:type="dxa"/>
              <w:left w:w="15" w:type="dxa"/>
              <w:bottom w:w="0" w:type="dxa"/>
              <w:right w:w="15" w:type="dxa"/>
            </w:tcMar>
            <w:vAlign w:val="center"/>
            <w:hideMark/>
          </w:tcPr>
          <w:p w14:paraId="49D575FF" w14:textId="77777777" w:rsidR="00834CF9" w:rsidRPr="00000849" w:rsidRDefault="00834CF9" w:rsidP="00834CF9">
            <w:pPr>
              <w:spacing w:after="0" w:line="240" w:lineRule="auto"/>
              <w:jc w:val="center"/>
              <w:rPr>
                <w:rFonts w:ascii="Calibri" w:eastAsia="Times New Roman" w:hAnsi="Calibri" w:cs="Calibri"/>
                <w:color w:val="000000"/>
                <w:sz w:val="20"/>
                <w:szCs w:val="20"/>
                <w:lang w:eastAsia="en-GB"/>
              </w:rPr>
            </w:pPr>
            <w:r w:rsidRPr="00000849">
              <w:rPr>
                <w:rFonts w:ascii="Calibri" w:eastAsia="Times New Roman" w:hAnsi="Calibri" w:cs="Calibri"/>
                <w:color w:val="000000"/>
                <w:sz w:val="20"/>
                <w:szCs w:val="20"/>
                <w:lang w:eastAsia="en-GB"/>
              </w:rPr>
              <w:t>0.162</w:t>
            </w:r>
          </w:p>
        </w:tc>
      </w:tr>
    </w:tbl>
    <w:p w14:paraId="475E6F6A" w14:textId="77777777" w:rsidR="00834CF9" w:rsidRPr="00000849" w:rsidRDefault="00834CF9">
      <w:pPr>
        <w:spacing w:after="160" w:line="259" w:lineRule="auto"/>
        <w:rPr>
          <w:rFonts w:cstheme="minorHAnsi"/>
          <w:sz w:val="24"/>
          <w:szCs w:val="24"/>
          <w:lang w:val="en-US"/>
        </w:rPr>
      </w:pPr>
    </w:p>
    <w:p w14:paraId="2D7E016D" w14:textId="69C407AC" w:rsidR="00067834" w:rsidRPr="00000849" w:rsidRDefault="00067834">
      <w:pPr>
        <w:spacing w:after="160" w:line="259" w:lineRule="auto"/>
        <w:rPr>
          <w:rFonts w:cstheme="minorHAnsi"/>
          <w:sz w:val="20"/>
          <w:szCs w:val="20"/>
          <w:lang w:val="en-US"/>
        </w:rPr>
      </w:pPr>
      <w:r w:rsidRPr="00000849">
        <w:rPr>
          <w:rFonts w:cstheme="minorHAnsi"/>
          <w:sz w:val="20"/>
          <w:szCs w:val="20"/>
          <w:lang w:val="en-US"/>
        </w:rPr>
        <w:t>HTA = hypertension; PSU = primary sampling unit</w:t>
      </w:r>
    </w:p>
    <w:p w14:paraId="2CD3D611" w14:textId="77777777" w:rsidR="00067834" w:rsidRPr="00000849" w:rsidRDefault="00067834">
      <w:pPr>
        <w:spacing w:after="160" w:line="259" w:lineRule="auto"/>
        <w:rPr>
          <w:rFonts w:cstheme="minorHAnsi"/>
          <w:sz w:val="24"/>
          <w:szCs w:val="24"/>
          <w:lang w:val="en-US"/>
        </w:rPr>
      </w:pPr>
    </w:p>
    <w:p w14:paraId="2A10FADB" w14:textId="77777777" w:rsidR="00807B42" w:rsidRPr="00000849" w:rsidRDefault="00807B42">
      <w:pPr>
        <w:spacing w:after="160" w:line="259" w:lineRule="auto"/>
        <w:rPr>
          <w:rFonts w:cstheme="minorHAnsi"/>
          <w:sz w:val="24"/>
          <w:szCs w:val="24"/>
          <w:lang w:val="en-US"/>
        </w:rPr>
      </w:pPr>
    </w:p>
    <w:p w14:paraId="413FE70A" w14:textId="4B8F5076" w:rsidR="00807B42" w:rsidRPr="00000849" w:rsidRDefault="00807B42">
      <w:pPr>
        <w:spacing w:after="160" w:line="259" w:lineRule="auto"/>
        <w:rPr>
          <w:rFonts w:cstheme="minorHAnsi"/>
          <w:sz w:val="24"/>
          <w:szCs w:val="24"/>
          <w:lang w:val="en-US"/>
        </w:rPr>
      </w:pPr>
    </w:p>
    <w:p w14:paraId="68E53A67" w14:textId="77777777" w:rsidR="00807B42" w:rsidRPr="00000849" w:rsidRDefault="00807B42">
      <w:pPr>
        <w:spacing w:after="160" w:line="259" w:lineRule="auto"/>
        <w:rPr>
          <w:rFonts w:cstheme="minorHAnsi"/>
          <w:sz w:val="24"/>
          <w:szCs w:val="24"/>
          <w:lang w:val="en-US"/>
        </w:rPr>
        <w:sectPr w:rsidR="00807B42" w:rsidRPr="00000849" w:rsidSect="007F1DA0">
          <w:pgSz w:w="11906" w:h="16838"/>
          <w:pgMar w:top="1440" w:right="1440" w:bottom="1440" w:left="2155" w:header="708" w:footer="708" w:gutter="0"/>
          <w:cols w:space="708"/>
          <w:docGrid w:linePitch="360"/>
        </w:sectPr>
      </w:pPr>
    </w:p>
    <w:p w14:paraId="78647708" w14:textId="37CBFECA" w:rsidR="000C1794" w:rsidRPr="00000849" w:rsidRDefault="000C1794" w:rsidP="00A61BAB">
      <w:pPr>
        <w:pStyle w:val="Heading2"/>
        <w:rPr>
          <w:lang w:val="en-US"/>
        </w:rPr>
      </w:pPr>
      <w:bookmarkStart w:id="153" w:name="_Toc51472182"/>
      <w:r w:rsidRPr="00000849">
        <w:rPr>
          <w:lang w:val="en-US"/>
        </w:rPr>
        <w:lastRenderedPageBreak/>
        <w:t xml:space="preserve">Appendix </w:t>
      </w:r>
      <w:r w:rsidR="009A56DE" w:rsidRPr="00000849">
        <w:rPr>
          <w:lang w:val="en-US"/>
        </w:rPr>
        <w:t>9</w:t>
      </w:r>
      <w:r w:rsidRPr="00000849">
        <w:rPr>
          <w:lang w:val="en-US"/>
        </w:rPr>
        <w:t>: Logistic regression tables</w:t>
      </w:r>
      <w:bookmarkEnd w:id="153"/>
    </w:p>
    <w:p w14:paraId="18B6C021" w14:textId="7E2FA682" w:rsidR="00057C09" w:rsidRPr="00000849" w:rsidRDefault="00057C09">
      <w:pPr>
        <w:spacing w:after="160" w:line="259" w:lineRule="auto"/>
        <w:rPr>
          <w:rFonts w:ascii="Calibri" w:eastAsiaTheme="majorEastAsia" w:hAnsi="Calibri" w:cstheme="majorBidi"/>
          <w:b/>
          <w:color w:val="1F4D78" w:themeColor="accent1" w:themeShade="7F"/>
          <w:sz w:val="26"/>
          <w:szCs w:val="24"/>
          <w:lang w:val="en-US"/>
        </w:rPr>
      </w:pPr>
    </w:p>
    <w:p w14:paraId="66942D70" w14:textId="39DDF151" w:rsidR="00390473" w:rsidRPr="00000849" w:rsidRDefault="00390473" w:rsidP="004E2350">
      <w:pPr>
        <w:pStyle w:val="Heading3"/>
        <w:rPr>
          <w:lang w:val="en-US"/>
        </w:rPr>
      </w:pPr>
      <w:bookmarkStart w:id="154" w:name="_Toc51472183"/>
      <w:r w:rsidRPr="00000849">
        <w:rPr>
          <w:lang w:val="en-US"/>
        </w:rPr>
        <w:t xml:space="preserve">Table </w:t>
      </w:r>
      <w:r w:rsidR="00290D25" w:rsidRPr="00000849">
        <w:rPr>
          <w:lang w:val="en-US"/>
        </w:rPr>
        <w:t>A10</w:t>
      </w:r>
      <w:r w:rsidRPr="00000849">
        <w:rPr>
          <w:lang w:val="en-US"/>
        </w:rPr>
        <w:t>:</w:t>
      </w:r>
      <w:r w:rsidRPr="00000849">
        <w:rPr>
          <w:lang w:val="en-US"/>
        </w:rPr>
        <w:tab/>
      </w:r>
      <w:r w:rsidR="00AB7DD1" w:rsidRPr="00000849">
        <w:rPr>
          <w:lang w:val="en-US"/>
        </w:rPr>
        <w:t>L</w:t>
      </w:r>
      <w:r w:rsidRPr="00000849">
        <w:rPr>
          <w:lang w:val="en-US"/>
        </w:rPr>
        <w:t>o</w:t>
      </w:r>
      <w:r w:rsidR="00AB7DD1" w:rsidRPr="00000849">
        <w:rPr>
          <w:lang w:val="en-US"/>
        </w:rPr>
        <w:t>ngitudinal lo</w:t>
      </w:r>
      <w:r w:rsidRPr="00000849">
        <w:rPr>
          <w:lang w:val="en-US"/>
        </w:rPr>
        <w:t>gistic regression analys</w:t>
      </w:r>
      <w:r w:rsidR="00AB7DD1" w:rsidRPr="00000849">
        <w:rPr>
          <w:lang w:val="en-US"/>
        </w:rPr>
        <w:t xml:space="preserve">is with </w:t>
      </w:r>
      <w:r w:rsidRPr="00000849">
        <w:rPr>
          <w:lang w:val="en-US"/>
        </w:rPr>
        <w:t xml:space="preserve">random or fixed effects for determinants of hypertension using </w:t>
      </w:r>
      <w:r w:rsidR="00AB7DD1" w:rsidRPr="00000849">
        <w:rPr>
          <w:lang w:val="en-US"/>
        </w:rPr>
        <w:t xml:space="preserve">combined </w:t>
      </w:r>
      <w:r w:rsidRPr="00000849">
        <w:rPr>
          <w:lang w:val="en-US"/>
        </w:rPr>
        <w:t>wave 1 and wave 2 datasets</w:t>
      </w:r>
      <w:bookmarkEnd w:id="154"/>
      <w:r w:rsidRPr="00000849">
        <w:rPr>
          <w:lang w:val="en-US"/>
        </w:rPr>
        <w:t xml:space="preserve"> </w:t>
      </w:r>
    </w:p>
    <w:p w14:paraId="0BFF3A49" w14:textId="596BC8CD" w:rsidR="00390473" w:rsidRPr="00000849" w:rsidRDefault="00390473">
      <w:pPr>
        <w:spacing w:after="160" w:line="259" w:lineRule="auto"/>
        <w:rPr>
          <w:rFonts w:cstheme="minorHAnsi"/>
          <w:sz w:val="24"/>
          <w:szCs w:val="24"/>
          <w:lang w:val="en-US"/>
        </w:rPr>
      </w:pPr>
    </w:p>
    <w:tbl>
      <w:tblPr>
        <w:tblW w:w="5000" w:type="pct"/>
        <w:tblLook w:val="04A0" w:firstRow="1" w:lastRow="0" w:firstColumn="1" w:lastColumn="0" w:noHBand="0" w:noVBand="1"/>
      </w:tblPr>
      <w:tblGrid>
        <w:gridCol w:w="3079"/>
        <w:gridCol w:w="1308"/>
        <w:gridCol w:w="1308"/>
        <w:gridCol w:w="1308"/>
        <w:gridCol w:w="1308"/>
      </w:tblGrid>
      <w:tr w:rsidR="00390473" w:rsidRPr="00000849" w14:paraId="238FCFE3" w14:textId="77777777" w:rsidTr="00390473">
        <w:trPr>
          <w:trHeight w:val="540"/>
          <w:tblHeader/>
        </w:trPr>
        <w:tc>
          <w:tcPr>
            <w:tcW w:w="1852" w:type="pct"/>
            <w:tcBorders>
              <w:top w:val="single" w:sz="4" w:space="0" w:color="auto"/>
              <w:left w:val="nil"/>
              <w:bottom w:val="nil"/>
              <w:right w:val="nil"/>
            </w:tcBorders>
            <w:shd w:val="clear" w:color="auto" w:fill="auto"/>
            <w:vAlign w:val="center"/>
            <w:hideMark/>
          </w:tcPr>
          <w:p w14:paraId="522D0B7E" w14:textId="77777777" w:rsidR="00390473" w:rsidRPr="00000849" w:rsidRDefault="00390473" w:rsidP="00390473">
            <w:pPr>
              <w:spacing w:after="0" w:line="240" w:lineRule="auto"/>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w:t>
            </w:r>
          </w:p>
        </w:tc>
        <w:tc>
          <w:tcPr>
            <w:tcW w:w="787" w:type="pct"/>
            <w:tcBorders>
              <w:top w:val="single" w:sz="4" w:space="0" w:color="auto"/>
              <w:left w:val="nil"/>
              <w:bottom w:val="nil"/>
              <w:right w:val="nil"/>
            </w:tcBorders>
            <w:shd w:val="clear" w:color="auto" w:fill="auto"/>
            <w:vAlign w:val="center"/>
            <w:hideMark/>
          </w:tcPr>
          <w:p w14:paraId="251EBC0A"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Fixed Effects</w:t>
            </w:r>
          </w:p>
        </w:tc>
        <w:tc>
          <w:tcPr>
            <w:tcW w:w="787" w:type="pct"/>
            <w:tcBorders>
              <w:top w:val="single" w:sz="4" w:space="0" w:color="auto"/>
              <w:left w:val="nil"/>
              <w:bottom w:val="nil"/>
              <w:right w:val="nil"/>
            </w:tcBorders>
            <w:shd w:val="clear" w:color="auto" w:fill="auto"/>
            <w:vAlign w:val="center"/>
            <w:hideMark/>
          </w:tcPr>
          <w:p w14:paraId="27208840"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w:t>
            </w:r>
          </w:p>
        </w:tc>
        <w:tc>
          <w:tcPr>
            <w:tcW w:w="787" w:type="pct"/>
            <w:tcBorders>
              <w:top w:val="single" w:sz="4" w:space="0" w:color="auto"/>
              <w:left w:val="nil"/>
              <w:bottom w:val="nil"/>
              <w:right w:val="nil"/>
            </w:tcBorders>
            <w:shd w:val="clear" w:color="auto" w:fill="auto"/>
            <w:vAlign w:val="center"/>
            <w:hideMark/>
          </w:tcPr>
          <w:p w14:paraId="2617D711"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Random Effects</w:t>
            </w:r>
          </w:p>
        </w:tc>
        <w:tc>
          <w:tcPr>
            <w:tcW w:w="787" w:type="pct"/>
            <w:tcBorders>
              <w:top w:val="single" w:sz="4" w:space="0" w:color="auto"/>
              <w:left w:val="nil"/>
              <w:bottom w:val="nil"/>
              <w:right w:val="nil"/>
            </w:tcBorders>
            <w:shd w:val="clear" w:color="auto" w:fill="auto"/>
            <w:vAlign w:val="center"/>
            <w:hideMark/>
          </w:tcPr>
          <w:p w14:paraId="7BA27C84"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w:t>
            </w:r>
          </w:p>
        </w:tc>
      </w:tr>
      <w:tr w:rsidR="00390473" w:rsidRPr="00000849" w14:paraId="317B670D" w14:textId="77777777" w:rsidTr="00390473">
        <w:trPr>
          <w:trHeight w:val="1095"/>
          <w:tblHeader/>
        </w:trPr>
        <w:tc>
          <w:tcPr>
            <w:tcW w:w="1852" w:type="pct"/>
            <w:tcBorders>
              <w:top w:val="nil"/>
              <w:left w:val="nil"/>
              <w:bottom w:val="single" w:sz="4" w:space="0" w:color="auto"/>
              <w:right w:val="nil"/>
            </w:tcBorders>
            <w:shd w:val="clear" w:color="auto" w:fill="auto"/>
            <w:vAlign w:val="center"/>
            <w:hideMark/>
          </w:tcPr>
          <w:p w14:paraId="5F26FBB9"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p>
        </w:tc>
        <w:tc>
          <w:tcPr>
            <w:tcW w:w="787" w:type="pct"/>
            <w:tcBorders>
              <w:top w:val="nil"/>
              <w:left w:val="nil"/>
              <w:bottom w:val="single" w:sz="4" w:space="0" w:color="auto"/>
              <w:right w:val="nil"/>
            </w:tcBorders>
            <w:shd w:val="clear" w:color="auto" w:fill="auto"/>
            <w:vAlign w:val="center"/>
            <w:hideMark/>
          </w:tcPr>
          <w:p w14:paraId="7593D440" w14:textId="6B4AF02E"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xml:space="preserve">Odds Ratio </w:t>
            </w:r>
          </w:p>
        </w:tc>
        <w:tc>
          <w:tcPr>
            <w:tcW w:w="787" w:type="pct"/>
            <w:tcBorders>
              <w:top w:val="nil"/>
              <w:left w:val="nil"/>
              <w:bottom w:val="single" w:sz="4" w:space="0" w:color="auto"/>
              <w:right w:val="nil"/>
            </w:tcBorders>
            <w:shd w:val="clear" w:color="auto" w:fill="auto"/>
            <w:vAlign w:val="center"/>
            <w:hideMark/>
          </w:tcPr>
          <w:p w14:paraId="4342989B" w14:textId="5A877FE8"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Standard Error</w:t>
            </w:r>
          </w:p>
        </w:tc>
        <w:tc>
          <w:tcPr>
            <w:tcW w:w="787" w:type="pct"/>
            <w:tcBorders>
              <w:top w:val="nil"/>
              <w:left w:val="nil"/>
              <w:bottom w:val="single" w:sz="4" w:space="0" w:color="auto"/>
              <w:right w:val="nil"/>
            </w:tcBorders>
            <w:shd w:val="clear" w:color="auto" w:fill="auto"/>
            <w:vAlign w:val="center"/>
            <w:hideMark/>
          </w:tcPr>
          <w:p w14:paraId="6CE547CD" w14:textId="54B654BE"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 xml:space="preserve">Odds Ratio </w:t>
            </w:r>
          </w:p>
        </w:tc>
        <w:tc>
          <w:tcPr>
            <w:tcW w:w="787" w:type="pct"/>
            <w:tcBorders>
              <w:top w:val="nil"/>
              <w:left w:val="nil"/>
              <w:bottom w:val="single" w:sz="4" w:space="0" w:color="auto"/>
              <w:right w:val="nil"/>
            </w:tcBorders>
            <w:shd w:val="clear" w:color="auto" w:fill="auto"/>
            <w:vAlign w:val="center"/>
            <w:hideMark/>
          </w:tcPr>
          <w:p w14:paraId="330066FB" w14:textId="6DD6638F"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Standard Error</w:t>
            </w:r>
          </w:p>
        </w:tc>
      </w:tr>
      <w:tr w:rsidR="00390473" w:rsidRPr="00000849" w14:paraId="70A9A80C" w14:textId="77777777" w:rsidTr="00390473">
        <w:trPr>
          <w:trHeight w:val="295"/>
        </w:trPr>
        <w:tc>
          <w:tcPr>
            <w:tcW w:w="1852" w:type="pct"/>
            <w:tcBorders>
              <w:top w:val="single" w:sz="4" w:space="0" w:color="auto"/>
              <w:left w:val="nil"/>
              <w:bottom w:val="nil"/>
              <w:right w:val="nil"/>
            </w:tcBorders>
            <w:shd w:val="clear" w:color="auto" w:fill="auto"/>
            <w:vAlign w:val="center"/>
            <w:hideMark/>
          </w:tcPr>
          <w:p w14:paraId="662D3C94"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Sex of respondent</w:t>
            </w:r>
          </w:p>
        </w:tc>
        <w:tc>
          <w:tcPr>
            <w:tcW w:w="787" w:type="pct"/>
            <w:tcBorders>
              <w:top w:val="single" w:sz="4" w:space="0" w:color="auto"/>
              <w:left w:val="nil"/>
              <w:bottom w:val="nil"/>
              <w:right w:val="nil"/>
            </w:tcBorders>
            <w:shd w:val="clear" w:color="auto" w:fill="auto"/>
            <w:vAlign w:val="center"/>
            <w:hideMark/>
          </w:tcPr>
          <w:p w14:paraId="7079F851"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787" w:type="pct"/>
            <w:tcBorders>
              <w:top w:val="single" w:sz="4" w:space="0" w:color="auto"/>
              <w:left w:val="nil"/>
              <w:bottom w:val="nil"/>
              <w:right w:val="nil"/>
            </w:tcBorders>
            <w:shd w:val="clear" w:color="auto" w:fill="auto"/>
            <w:vAlign w:val="center"/>
            <w:hideMark/>
          </w:tcPr>
          <w:p w14:paraId="1238339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787" w:type="pct"/>
            <w:tcBorders>
              <w:top w:val="single" w:sz="4" w:space="0" w:color="auto"/>
              <w:left w:val="nil"/>
              <w:bottom w:val="nil"/>
              <w:right w:val="nil"/>
            </w:tcBorders>
            <w:shd w:val="clear" w:color="auto" w:fill="auto"/>
            <w:vAlign w:val="center"/>
            <w:hideMark/>
          </w:tcPr>
          <w:p w14:paraId="1120CF0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c>
          <w:tcPr>
            <w:tcW w:w="787" w:type="pct"/>
            <w:tcBorders>
              <w:top w:val="single" w:sz="4" w:space="0" w:color="auto"/>
              <w:left w:val="nil"/>
              <w:bottom w:val="nil"/>
              <w:right w:val="nil"/>
            </w:tcBorders>
            <w:shd w:val="clear" w:color="auto" w:fill="auto"/>
            <w:vAlign w:val="center"/>
            <w:hideMark/>
          </w:tcPr>
          <w:p w14:paraId="32B1F8F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 </w:t>
            </w:r>
          </w:p>
        </w:tc>
      </w:tr>
      <w:tr w:rsidR="00390473" w:rsidRPr="00000849" w14:paraId="1BCA735E" w14:textId="77777777" w:rsidTr="00390473">
        <w:trPr>
          <w:trHeight w:val="295"/>
        </w:trPr>
        <w:tc>
          <w:tcPr>
            <w:tcW w:w="1852" w:type="pct"/>
            <w:tcBorders>
              <w:top w:val="nil"/>
              <w:left w:val="nil"/>
              <w:bottom w:val="nil"/>
              <w:right w:val="nil"/>
            </w:tcBorders>
            <w:shd w:val="clear" w:color="auto" w:fill="auto"/>
            <w:noWrap/>
            <w:vAlign w:val="center"/>
            <w:hideMark/>
          </w:tcPr>
          <w:p w14:paraId="37A0BFA8"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Males</w:t>
            </w:r>
          </w:p>
        </w:tc>
        <w:tc>
          <w:tcPr>
            <w:tcW w:w="787" w:type="pct"/>
            <w:tcBorders>
              <w:top w:val="nil"/>
              <w:left w:val="nil"/>
              <w:bottom w:val="nil"/>
              <w:right w:val="nil"/>
            </w:tcBorders>
            <w:shd w:val="clear" w:color="auto" w:fill="auto"/>
            <w:vAlign w:val="center"/>
            <w:hideMark/>
          </w:tcPr>
          <w:p w14:paraId="2CE56E11"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78BC5A7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6CE679D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60DD106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29052998" w14:textId="77777777" w:rsidTr="00390473">
        <w:trPr>
          <w:trHeight w:val="295"/>
        </w:trPr>
        <w:tc>
          <w:tcPr>
            <w:tcW w:w="1852" w:type="pct"/>
            <w:tcBorders>
              <w:top w:val="nil"/>
              <w:left w:val="nil"/>
              <w:bottom w:val="nil"/>
              <w:right w:val="nil"/>
            </w:tcBorders>
            <w:shd w:val="clear" w:color="auto" w:fill="auto"/>
            <w:noWrap/>
            <w:vAlign w:val="center"/>
            <w:hideMark/>
          </w:tcPr>
          <w:p w14:paraId="40B8A8FA"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Females</w:t>
            </w:r>
          </w:p>
        </w:tc>
        <w:tc>
          <w:tcPr>
            <w:tcW w:w="787" w:type="pct"/>
            <w:tcBorders>
              <w:top w:val="nil"/>
              <w:left w:val="nil"/>
              <w:bottom w:val="nil"/>
              <w:right w:val="nil"/>
            </w:tcBorders>
            <w:shd w:val="clear" w:color="auto" w:fill="auto"/>
            <w:vAlign w:val="center"/>
            <w:hideMark/>
          </w:tcPr>
          <w:p w14:paraId="073751C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0.92</w:t>
            </w:r>
          </w:p>
        </w:tc>
        <w:tc>
          <w:tcPr>
            <w:tcW w:w="787" w:type="pct"/>
            <w:tcBorders>
              <w:top w:val="nil"/>
              <w:left w:val="nil"/>
              <w:bottom w:val="nil"/>
              <w:right w:val="nil"/>
            </w:tcBorders>
            <w:shd w:val="clear" w:color="auto" w:fill="auto"/>
            <w:vAlign w:val="center"/>
            <w:hideMark/>
          </w:tcPr>
          <w:p w14:paraId="7048A8F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-0.06</w:t>
            </w:r>
          </w:p>
        </w:tc>
        <w:tc>
          <w:tcPr>
            <w:tcW w:w="787" w:type="pct"/>
            <w:tcBorders>
              <w:top w:val="nil"/>
              <w:left w:val="nil"/>
              <w:bottom w:val="nil"/>
              <w:right w:val="nil"/>
            </w:tcBorders>
            <w:shd w:val="clear" w:color="auto" w:fill="auto"/>
            <w:vAlign w:val="center"/>
            <w:hideMark/>
          </w:tcPr>
          <w:p w14:paraId="2E86E0A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0.88</w:t>
            </w:r>
          </w:p>
        </w:tc>
        <w:tc>
          <w:tcPr>
            <w:tcW w:w="787" w:type="pct"/>
            <w:tcBorders>
              <w:top w:val="nil"/>
              <w:left w:val="nil"/>
              <w:bottom w:val="nil"/>
              <w:right w:val="nil"/>
            </w:tcBorders>
            <w:shd w:val="clear" w:color="auto" w:fill="auto"/>
            <w:vAlign w:val="center"/>
            <w:hideMark/>
          </w:tcPr>
          <w:p w14:paraId="07642C5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-0.08</w:t>
            </w:r>
          </w:p>
        </w:tc>
      </w:tr>
      <w:tr w:rsidR="00390473" w:rsidRPr="00000849" w14:paraId="0372C397" w14:textId="77777777" w:rsidTr="00390473">
        <w:trPr>
          <w:trHeight w:val="295"/>
        </w:trPr>
        <w:tc>
          <w:tcPr>
            <w:tcW w:w="1852" w:type="pct"/>
            <w:tcBorders>
              <w:top w:val="nil"/>
              <w:left w:val="nil"/>
              <w:bottom w:val="nil"/>
              <w:right w:val="nil"/>
            </w:tcBorders>
            <w:shd w:val="clear" w:color="auto" w:fill="auto"/>
            <w:vAlign w:val="center"/>
            <w:hideMark/>
          </w:tcPr>
          <w:p w14:paraId="461983F6"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Age groups</w:t>
            </w:r>
          </w:p>
        </w:tc>
        <w:tc>
          <w:tcPr>
            <w:tcW w:w="787" w:type="pct"/>
            <w:tcBorders>
              <w:top w:val="nil"/>
              <w:left w:val="nil"/>
              <w:bottom w:val="nil"/>
              <w:right w:val="nil"/>
            </w:tcBorders>
            <w:shd w:val="clear" w:color="auto" w:fill="auto"/>
            <w:vAlign w:val="center"/>
            <w:hideMark/>
          </w:tcPr>
          <w:p w14:paraId="5BE842BE"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78554CB6"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B6CCC36"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17E33B9D"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71043BC9" w14:textId="77777777" w:rsidTr="00390473">
        <w:trPr>
          <w:trHeight w:val="295"/>
        </w:trPr>
        <w:tc>
          <w:tcPr>
            <w:tcW w:w="1852" w:type="pct"/>
            <w:tcBorders>
              <w:top w:val="nil"/>
              <w:left w:val="nil"/>
              <w:bottom w:val="nil"/>
              <w:right w:val="nil"/>
            </w:tcBorders>
            <w:shd w:val="clear" w:color="auto" w:fill="auto"/>
            <w:noWrap/>
            <w:vAlign w:val="center"/>
            <w:hideMark/>
          </w:tcPr>
          <w:p w14:paraId="64C62B41"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50 - 64</w:t>
            </w:r>
          </w:p>
        </w:tc>
        <w:tc>
          <w:tcPr>
            <w:tcW w:w="787" w:type="pct"/>
            <w:tcBorders>
              <w:top w:val="nil"/>
              <w:left w:val="nil"/>
              <w:bottom w:val="nil"/>
              <w:right w:val="nil"/>
            </w:tcBorders>
            <w:shd w:val="clear" w:color="auto" w:fill="auto"/>
            <w:vAlign w:val="center"/>
            <w:hideMark/>
          </w:tcPr>
          <w:p w14:paraId="21764DA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528EE9B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4FA92C0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80C0AB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04DD8453" w14:textId="77777777" w:rsidTr="00390473">
        <w:trPr>
          <w:trHeight w:val="310"/>
        </w:trPr>
        <w:tc>
          <w:tcPr>
            <w:tcW w:w="1852" w:type="pct"/>
            <w:tcBorders>
              <w:top w:val="nil"/>
              <w:left w:val="nil"/>
              <w:bottom w:val="nil"/>
              <w:right w:val="nil"/>
            </w:tcBorders>
            <w:shd w:val="clear" w:color="auto" w:fill="auto"/>
            <w:noWrap/>
            <w:vAlign w:val="center"/>
            <w:hideMark/>
          </w:tcPr>
          <w:p w14:paraId="4A769364"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65 - 74</w:t>
            </w:r>
          </w:p>
        </w:tc>
        <w:tc>
          <w:tcPr>
            <w:tcW w:w="787" w:type="pct"/>
            <w:tcBorders>
              <w:top w:val="nil"/>
              <w:left w:val="nil"/>
              <w:bottom w:val="nil"/>
              <w:right w:val="nil"/>
            </w:tcBorders>
            <w:shd w:val="clear" w:color="auto" w:fill="auto"/>
            <w:vAlign w:val="center"/>
            <w:hideMark/>
          </w:tcPr>
          <w:p w14:paraId="42014975"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1.26</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466BD71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-0.08</w:t>
            </w:r>
          </w:p>
        </w:tc>
        <w:tc>
          <w:tcPr>
            <w:tcW w:w="787" w:type="pct"/>
            <w:tcBorders>
              <w:top w:val="nil"/>
              <w:left w:val="nil"/>
              <w:bottom w:val="nil"/>
              <w:right w:val="nil"/>
            </w:tcBorders>
            <w:shd w:val="clear" w:color="auto" w:fill="auto"/>
            <w:vAlign w:val="center"/>
            <w:hideMark/>
          </w:tcPr>
          <w:p w14:paraId="322728B5"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1.35</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235166B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-0.12</w:t>
            </w:r>
          </w:p>
        </w:tc>
      </w:tr>
      <w:tr w:rsidR="00390473" w:rsidRPr="00000849" w14:paraId="47A2377B" w14:textId="77777777" w:rsidTr="00390473">
        <w:trPr>
          <w:trHeight w:val="295"/>
        </w:trPr>
        <w:tc>
          <w:tcPr>
            <w:tcW w:w="1852" w:type="pct"/>
            <w:tcBorders>
              <w:top w:val="nil"/>
              <w:left w:val="nil"/>
              <w:bottom w:val="nil"/>
              <w:right w:val="nil"/>
            </w:tcBorders>
            <w:shd w:val="clear" w:color="auto" w:fill="auto"/>
            <w:noWrap/>
            <w:vAlign w:val="center"/>
            <w:hideMark/>
          </w:tcPr>
          <w:p w14:paraId="412A0678"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75-plus</w:t>
            </w:r>
          </w:p>
        </w:tc>
        <w:tc>
          <w:tcPr>
            <w:tcW w:w="787" w:type="pct"/>
            <w:tcBorders>
              <w:top w:val="nil"/>
              <w:left w:val="nil"/>
              <w:bottom w:val="nil"/>
              <w:right w:val="nil"/>
            </w:tcBorders>
            <w:shd w:val="clear" w:color="auto" w:fill="auto"/>
            <w:vAlign w:val="center"/>
            <w:hideMark/>
          </w:tcPr>
          <w:p w14:paraId="04470AC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1.15</w:t>
            </w:r>
          </w:p>
        </w:tc>
        <w:tc>
          <w:tcPr>
            <w:tcW w:w="787" w:type="pct"/>
            <w:tcBorders>
              <w:top w:val="nil"/>
              <w:left w:val="nil"/>
              <w:bottom w:val="nil"/>
              <w:right w:val="nil"/>
            </w:tcBorders>
            <w:shd w:val="clear" w:color="auto" w:fill="auto"/>
            <w:vAlign w:val="center"/>
            <w:hideMark/>
          </w:tcPr>
          <w:p w14:paraId="34753E5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-0.09</w:t>
            </w:r>
          </w:p>
        </w:tc>
        <w:tc>
          <w:tcPr>
            <w:tcW w:w="787" w:type="pct"/>
            <w:tcBorders>
              <w:top w:val="nil"/>
              <w:left w:val="nil"/>
              <w:bottom w:val="nil"/>
              <w:right w:val="nil"/>
            </w:tcBorders>
            <w:shd w:val="clear" w:color="auto" w:fill="auto"/>
            <w:vAlign w:val="center"/>
            <w:hideMark/>
          </w:tcPr>
          <w:p w14:paraId="10E4BB5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1.24</w:t>
            </w:r>
          </w:p>
        </w:tc>
        <w:tc>
          <w:tcPr>
            <w:tcW w:w="787" w:type="pct"/>
            <w:tcBorders>
              <w:top w:val="nil"/>
              <w:left w:val="nil"/>
              <w:bottom w:val="nil"/>
              <w:right w:val="nil"/>
            </w:tcBorders>
            <w:shd w:val="clear" w:color="auto" w:fill="auto"/>
            <w:vAlign w:val="center"/>
            <w:hideMark/>
          </w:tcPr>
          <w:p w14:paraId="31F2B8A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-0.14</w:t>
            </w:r>
          </w:p>
        </w:tc>
      </w:tr>
      <w:tr w:rsidR="00390473" w:rsidRPr="00000849" w14:paraId="6A9622F7" w14:textId="77777777" w:rsidTr="00390473">
        <w:trPr>
          <w:trHeight w:val="295"/>
        </w:trPr>
        <w:tc>
          <w:tcPr>
            <w:tcW w:w="1852" w:type="pct"/>
            <w:tcBorders>
              <w:top w:val="nil"/>
              <w:left w:val="nil"/>
              <w:bottom w:val="nil"/>
              <w:right w:val="nil"/>
            </w:tcBorders>
            <w:shd w:val="clear" w:color="auto" w:fill="auto"/>
            <w:vAlign w:val="center"/>
            <w:hideMark/>
          </w:tcPr>
          <w:p w14:paraId="35374399"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Type of residence</w:t>
            </w:r>
          </w:p>
        </w:tc>
        <w:tc>
          <w:tcPr>
            <w:tcW w:w="787" w:type="pct"/>
            <w:tcBorders>
              <w:top w:val="nil"/>
              <w:left w:val="nil"/>
              <w:bottom w:val="nil"/>
              <w:right w:val="nil"/>
            </w:tcBorders>
            <w:shd w:val="clear" w:color="auto" w:fill="auto"/>
            <w:vAlign w:val="center"/>
            <w:hideMark/>
          </w:tcPr>
          <w:p w14:paraId="24291D39"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5852E8F9"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FC08D6B"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18FE3078"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0A4BB930" w14:textId="77777777" w:rsidTr="00390473">
        <w:trPr>
          <w:trHeight w:val="295"/>
        </w:trPr>
        <w:tc>
          <w:tcPr>
            <w:tcW w:w="1852" w:type="pct"/>
            <w:tcBorders>
              <w:top w:val="nil"/>
              <w:left w:val="nil"/>
              <w:bottom w:val="nil"/>
              <w:right w:val="nil"/>
            </w:tcBorders>
            <w:shd w:val="clear" w:color="auto" w:fill="auto"/>
            <w:noWrap/>
            <w:vAlign w:val="center"/>
            <w:hideMark/>
          </w:tcPr>
          <w:p w14:paraId="1CC8407D"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Rural</w:t>
            </w:r>
          </w:p>
        </w:tc>
        <w:tc>
          <w:tcPr>
            <w:tcW w:w="787" w:type="pct"/>
            <w:tcBorders>
              <w:top w:val="nil"/>
              <w:left w:val="nil"/>
              <w:bottom w:val="nil"/>
              <w:right w:val="nil"/>
            </w:tcBorders>
            <w:shd w:val="clear" w:color="auto" w:fill="auto"/>
            <w:vAlign w:val="center"/>
            <w:hideMark/>
          </w:tcPr>
          <w:p w14:paraId="495EBE5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52B8317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7F4FA99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E2987C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71BD9E83" w14:textId="77777777" w:rsidTr="00390473">
        <w:trPr>
          <w:trHeight w:val="310"/>
        </w:trPr>
        <w:tc>
          <w:tcPr>
            <w:tcW w:w="1852" w:type="pct"/>
            <w:tcBorders>
              <w:top w:val="nil"/>
              <w:left w:val="nil"/>
              <w:bottom w:val="nil"/>
              <w:right w:val="nil"/>
            </w:tcBorders>
            <w:shd w:val="clear" w:color="auto" w:fill="auto"/>
            <w:noWrap/>
            <w:vAlign w:val="center"/>
            <w:hideMark/>
          </w:tcPr>
          <w:p w14:paraId="160C27A1"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Urban</w:t>
            </w:r>
          </w:p>
        </w:tc>
        <w:tc>
          <w:tcPr>
            <w:tcW w:w="787" w:type="pct"/>
            <w:tcBorders>
              <w:top w:val="nil"/>
              <w:left w:val="nil"/>
              <w:bottom w:val="nil"/>
              <w:right w:val="nil"/>
            </w:tcBorders>
            <w:shd w:val="clear" w:color="auto" w:fill="auto"/>
            <w:vAlign w:val="center"/>
            <w:hideMark/>
          </w:tcPr>
          <w:p w14:paraId="6B590003"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1.16</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062599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-0.08</w:t>
            </w:r>
          </w:p>
        </w:tc>
        <w:tc>
          <w:tcPr>
            <w:tcW w:w="787" w:type="pct"/>
            <w:tcBorders>
              <w:top w:val="nil"/>
              <w:left w:val="nil"/>
              <w:bottom w:val="nil"/>
              <w:right w:val="nil"/>
            </w:tcBorders>
            <w:shd w:val="clear" w:color="auto" w:fill="auto"/>
            <w:vAlign w:val="center"/>
            <w:hideMark/>
          </w:tcPr>
          <w:p w14:paraId="6813E246"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1.23</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DDC914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-0.11</w:t>
            </w:r>
          </w:p>
        </w:tc>
      </w:tr>
      <w:tr w:rsidR="00390473" w:rsidRPr="00000849" w14:paraId="532C0503" w14:textId="77777777" w:rsidTr="00390473">
        <w:trPr>
          <w:trHeight w:val="295"/>
        </w:trPr>
        <w:tc>
          <w:tcPr>
            <w:tcW w:w="1852" w:type="pct"/>
            <w:tcBorders>
              <w:top w:val="nil"/>
              <w:left w:val="nil"/>
              <w:bottom w:val="nil"/>
              <w:right w:val="nil"/>
            </w:tcBorders>
            <w:shd w:val="clear" w:color="auto" w:fill="auto"/>
            <w:vAlign w:val="center"/>
            <w:hideMark/>
          </w:tcPr>
          <w:p w14:paraId="12770C5E"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Regional Groups</w:t>
            </w:r>
          </w:p>
        </w:tc>
        <w:tc>
          <w:tcPr>
            <w:tcW w:w="787" w:type="pct"/>
            <w:tcBorders>
              <w:top w:val="nil"/>
              <w:left w:val="nil"/>
              <w:bottom w:val="nil"/>
              <w:right w:val="nil"/>
            </w:tcBorders>
            <w:shd w:val="clear" w:color="auto" w:fill="auto"/>
            <w:vAlign w:val="center"/>
            <w:hideMark/>
          </w:tcPr>
          <w:p w14:paraId="7C222087"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4446C597"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6A171715"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12DD69AE"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0AFE946D" w14:textId="77777777" w:rsidTr="00390473">
        <w:trPr>
          <w:trHeight w:val="295"/>
        </w:trPr>
        <w:tc>
          <w:tcPr>
            <w:tcW w:w="1852" w:type="pct"/>
            <w:tcBorders>
              <w:top w:val="nil"/>
              <w:left w:val="nil"/>
              <w:bottom w:val="nil"/>
              <w:right w:val="nil"/>
            </w:tcBorders>
            <w:shd w:val="clear" w:color="auto" w:fill="auto"/>
            <w:noWrap/>
            <w:vAlign w:val="center"/>
            <w:hideMark/>
          </w:tcPr>
          <w:p w14:paraId="5AC924E5"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Northern regions</w:t>
            </w:r>
          </w:p>
        </w:tc>
        <w:tc>
          <w:tcPr>
            <w:tcW w:w="787" w:type="pct"/>
            <w:tcBorders>
              <w:top w:val="nil"/>
              <w:left w:val="nil"/>
              <w:bottom w:val="nil"/>
              <w:right w:val="nil"/>
            </w:tcBorders>
            <w:shd w:val="clear" w:color="auto" w:fill="auto"/>
            <w:vAlign w:val="center"/>
            <w:hideMark/>
          </w:tcPr>
          <w:p w14:paraId="7199591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2FC3A9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415FE44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16C47D1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0A9986DB" w14:textId="77777777" w:rsidTr="00390473">
        <w:trPr>
          <w:trHeight w:val="310"/>
        </w:trPr>
        <w:tc>
          <w:tcPr>
            <w:tcW w:w="1852" w:type="pct"/>
            <w:tcBorders>
              <w:top w:val="nil"/>
              <w:left w:val="nil"/>
              <w:bottom w:val="nil"/>
              <w:right w:val="nil"/>
            </w:tcBorders>
            <w:shd w:val="clear" w:color="auto" w:fill="auto"/>
            <w:noWrap/>
            <w:vAlign w:val="center"/>
            <w:hideMark/>
          </w:tcPr>
          <w:p w14:paraId="6390C342"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Other regions</w:t>
            </w:r>
          </w:p>
        </w:tc>
        <w:tc>
          <w:tcPr>
            <w:tcW w:w="787" w:type="pct"/>
            <w:tcBorders>
              <w:top w:val="nil"/>
              <w:left w:val="nil"/>
              <w:bottom w:val="nil"/>
              <w:right w:val="nil"/>
            </w:tcBorders>
            <w:shd w:val="clear" w:color="auto" w:fill="auto"/>
            <w:vAlign w:val="center"/>
            <w:hideMark/>
          </w:tcPr>
          <w:p w14:paraId="439F9484"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1.51</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C11681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-0.15</w:t>
            </w:r>
          </w:p>
        </w:tc>
        <w:tc>
          <w:tcPr>
            <w:tcW w:w="787" w:type="pct"/>
            <w:tcBorders>
              <w:top w:val="nil"/>
              <w:left w:val="nil"/>
              <w:bottom w:val="nil"/>
              <w:right w:val="nil"/>
            </w:tcBorders>
            <w:shd w:val="clear" w:color="auto" w:fill="auto"/>
            <w:vAlign w:val="center"/>
            <w:hideMark/>
          </w:tcPr>
          <w:p w14:paraId="22D40A69"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1.77</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3BA02AD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-0.24</w:t>
            </w:r>
          </w:p>
        </w:tc>
      </w:tr>
      <w:tr w:rsidR="00390473" w:rsidRPr="00000849" w14:paraId="39A45389" w14:textId="77777777" w:rsidTr="00390473">
        <w:trPr>
          <w:trHeight w:val="310"/>
        </w:trPr>
        <w:tc>
          <w:tcPr>
            <w:tcW w:w="1852" w:type="pct"/>
            <w:tcBorders>
              <w:top w:val="nil"/>
              <w:left w:val="nil"/>
              <w:bottom w:val="nil"/>
              <w:right w:val="nil"/>
            </w:tcBorders>
            <w:shd w:val="clear" w:color="auto" w:fill="auto"/>
            <w:noWrap/>
            <w:vAlign w:val="center"/>
            <w:hideMark/>
          </w:tcPr>
          <w:p w14:paraId="3ED72ADE"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Greater Accra Region</w:t>
            </w:r>
          </w:p>
        </w:tc>
        <w:tc>
          <w:tcPr>
            <w:tcW w:w="787" w:type="pct"/>
            <w:tcBorders>
              <w:top w:val="nil"/>
              <w:left w:val="nil"/>
              <w:bottom w:val="nil"/>
              <w:right w:val="nil"/>
            </w:tcBorders>
            <w:shd w:val="clear" w:color="auto" w:fill="auto"/>
            <w:vAlign w:val="center"/>
            <w:hideMark/>
          </w:tcPr>
          <w:p w14:paraId="5F946009"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2.26</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A352DD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-0.3</w:t>
            </w:r>
          </w:p>
        </w:tc>
        <w:tc>
          <w:tcPr>
            <w:tcW w:w="787" w:type="pct"/>
            <w:tcBorders>
              <w:top w:val="nil"/>
              <w:left w:val="nil"/>
              <w:bottom w:val="nil"/>
              <w:right w:val="nil"/>
            </w:tcBorders>
            <w:shd w:val="clear" w:color="auto" w:fill="auto"/>
            <w:vAlign w:val="center"/>
            <w:hideMark/>
          </w:tcPr>
          <w:p w14:paraId="452D1CAD"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2.97</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6EB1E4D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-0.55</w:t>
            </w:r>
          </w:p>
        </w:tc>
      </w:tr>
      <w:tr w:rsidR="00390473" w:rsidRPr="00000849" w14:paraId="6A7FB1F9" w14:textId="77777777" w:rsidTr="00390473">
        <w:trPr>
          <w:trHeight w:val="295"/>
        </w:trPr>
        <w:tc>
          <w:tcPr>
            <w:tcW w:w="1852" w:type="pct"/>
            <w:tcBorders>
              <w:top w:val="nil"/>
              <w:left w:val="nil"/>
              <w:bottom w:val="nil"/>
              <w:right w:val="nil"/>
            </w:tcBorders>
            <w:shd w:val="clear" w:color="auto" w:fill="auto"/>
            <w:vAlign w:val="center"/>
            <w:hideMark/>
          </w:tcPr>
          <w:p w14:paraId="7025835C"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xml:space="preserve">Marital status </w:t>
            </w:r>
          </w:p>
        </w:tc>
        <w:tc>
          <w:tcPr>
            <w:tcW w:w="787" w:type="pct"/>
            <w:tcBorders>
              <w:top w:val="nil"/>
              <w:left w:val="nil"/>
              <w:bottom w:val="nil"/>
              <w:right w:val="nil"/>
            </w:tcBorders>
            <w:shd w:val="clear" w:color="auto" w:fill="auto"/>
            <w:vAlign w:val="center"/>
            <w:hideMark/>
          </w:tcPr>
          <w:p w14:paraId="6A2D6365"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6A4B0702"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5B58D874"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A74B639"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6563A9C3" w14:textId="77777777" w:rsidTr="00390473">
        <w:trPr>
          <w:trHeight w:val="490"/>
        </w:trPr>
        <w:tc>
          <w:tcPr>
            <w:tcW w:w="1852" w:type="pct"/>
            <w:tcBorders>
              <w:top w:val="nil"/>
              <w:left w:val="nil"/>
              <w:bottom w:val="nil"/>
              <w:right w:val="nil"/>
            </w:tcBorders>
            <w:shd w:val="clear" w:color="auto" w:fill="auto"/>
            <w:vAlign w:val="center"/>
            <w:hideMark/>
          </w:tcPr>
          <w:p w14:paraId="3FDB94AB"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Currently married or cohabiting</w:t>
            </w:r>
          </w:p>
        </w:tc>
        <w:tc>
          <w:tcPr>
            <w:tcW w:w="787" w:type="pct"/>
            <w:tcBorders>
              <w:top w:val="nil"/>
              <w:left w:val="nil"/>
              <w:bottom w:val="nil"/>
              <w:right w:val="nil"/>
            </w:tcBorders>
            <w:shd w:val="clear" w:color="auto" w:fill="auto"/>
            <w:vAlign w:val="center"/>
            <w:hideMark/>
          </w:tcPr>
          <w:p w14:paraId="65E33D9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59BE78A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7B28BF91"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654A106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37840613" w14:textId="77777777" w:rsidTr="00390473">
        <w:trPr>
          <w:trHeight w:val="490"/>
        </w:trPr>
        <w:tc>
          <w:tcPr>
            <w:tcW w:w="1852" w:type="pct"/>
            <w:tcBorders>
              <w:top w:val="nil"/>
              <w:left w:val="nil"/>
              <w:bottom w:val="nil"/>
              <w:right w:val="nil"/>
            </w:tcBorders>
            <w:shd w:val="clear" w:color="auto" w:fill="auto"/>
            <w:vAlign w:val="center"/>
            <w:hideMark/>
          </w:tcPr>
          <w:p w14:paraId="3B748B16"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Previously or never married</w:t>
            </w:r>
          </w:p>
        </w:tc>
        <w:tc>
          <w:tcPr>
            <w:tcW w:w="787" w:type="pct"/>
            <w:tcBorders>
              <w:top w:val="nil"/>
              <w:left w:val="nil"/>
              <w:bottom w:val="nil"/>
              <w:right w:val="nil"/>
            </w:tcBorders>
            <w:shd w:val="clear" w:color="auto" w:fill="auto"/>
            <w:vAlign w:val="center"/>
            <w:hideMark/>
          </w:tcPr>
          <w:p w14:paraId="01089E64"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1.39</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42B11C2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-0.09</w:t>
            </w:r>
          </w:p>
        </w:tc>
        <w:tc>
          <w:tcPr>
            <w:tcW w:w="787" w:type="pct"/>
            <w:tcBorders>
              <w:top w:val="nil"/>
              <w:left w:val="nil"/>
              <w:bottom w:val="nil"/>
              <w:right w:val="nil"/>
            </w:tcBorders>
            <w:shd w:val="clear" w:color="auto" w:fill="auto"/>
            <w:vAlign w:val="center"/>
            <w:hideMark/>
          </w:tcPr>
          <w:p w14:paraId="1F92A685"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1.51</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80AF5C9"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-0.13</w:t>
            </w:r>
          </w:p>
        </w:tc>
      </w:tr>
      <w:tr w:rsidR="00390473" w:rsidRPr="00000849" w14:paraId="503B87E8" w14:textId="77777777" w:rsidTr="00390473">
        <w:trPr>
          <w:trHeight w:val="295"/>
        </w:trPr>
        <w:tc>
          <w:tcPr>
            <w:tcW w:w="1852" w:type="pct"/>
            <w:tcBorders>
              <w:top w:val="nil"/>
              <w:left w:val="nil"/>
              <w:bottom w:val="nil"/>
              <w:right w:val="nil"/>
            </w:tcBorders>
            <w:shd w:val="clear" w:color="auto" w:fill="auto"/>
            <w:vAlign w:val="center"/>
            <w:hideMark/>
          </w:tcPr>
          <w:p w14:paraId="5EE9C983"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Ethnicity</w:t>
            </w:r>
          </w:p>
        </w:tc>
        <w:tc>
          <w:tcPr>
            <w:tcW w:w="787" w:type="pct"/>
            <w:tcBorders>
              <w:top w:val="nil"/>
              <w:left w:val="nil"/>
              <w:bottom w:val="nil"/>
              <w:right w:val="nil"/>
            </w:tcBorders>
            <w:shd w:val="clear" w:color="auto" w:fill="auto"/>
            <w:vAlign w:val="center"/>
            <w:hideMark/>
          </w:tcPr>
          <w:p w14:paraId="49E492C9"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60E00DF2"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0E83F075"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6AC6F6C"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78B89088" w14:textId="77777777" w:rsidTr="00390473">
        <w:trPr>
          <w:trHeight w:val="295"/>
        </w:trPr>
        <w:tc>
          <w:tcPr>
            <w:tcW w:w="1852" w:type="pct"/>
            <w:tcBorders>
              <w:top w:val="nil"/>
              <w:left w:val="nil"/>
              <w:bottom w:val="nil"/>
              <w:right w:val="nil"/>
            </w:tcBorders>
            <w:shd w:val="clear" w:color="auto" w:fill="auto"/>
            <w:noWrap/>
            <w:vAlign w:val="center"/>
            <w:hideMark/>
          </w:tcPr>
          <w:p w14:paraId="16D9AAEC"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Northern groups</w:t>
            </w:r>
          </w:p>
        </w:tc>
        <w:tc>
          <w:tcPr>
            <w:tcW w:w="787" w:type="pct"/>
            <w:tcBorders>
              <w:top w:val="nil"/>
              <w:left w:val="nil"/>
              <w:bottom w:val="nil"/>
              <w:right w:val="nil"/>
            </w:tcBorders>
            <w:shd w:val="clear" w:color="auto" w:fill="auto"/>
            <w:vAlign w:val="center"/>
            <w:hideMark/>
          </w:tcPr>
          <w:p w14:paraId="377ED8D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1851269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7C42461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15870AD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0895B057" w14:textId="77777777" w:rsidTr="00390473">
        <w:trPr>
          <w:trHeight w:val="295"/>
        </w:trPr>
        <w:tc>
          <w:tcPr>
            <w:tcW w:w="1852" w:type="pct"/>
            <w:tcBorders>
              <w:top w:val="nil"/>
              <w:left w:val="nil"/>
              <w:bottom w:val="nil"/>
              <w:right w:val="nil"/>
            </w:tcBorders>
            <w:shd w:val="clear" w:color="auto" w:fill="auto"/>
            <w:vAlign w:val="center"/>
            <w:hideMark/>
          </w:tcPr>
          <w:p w14:paraId="5B8D9FD9"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Akan</w:t>
            </w:r>
          </w:p>
        </w:tc>
        <w:tc>
          <w:tcPr>
            <w:tcW w:w="787" w:type="pct"/>
            <w:tcBorders>
              <w:top w:val="nil"/>
              <w:left w:val="nil"/>
              <w:bottom w:val="nil"/>
              <w:right w:val="nil"/>
            </w:tcBorders>
            <w:shd w:val="clear" w:color="auto" w:fill="auto"/>
            <w:vAlign w:val="center"/>
            <w:hideMark/>
          </w:tcPr>
          <w:p w14:paraId="633A3E2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0.97</w:t>
            </w:r>
          </w:p>
        </w:tc>
        <w:tc>
          <w:tcPr>
            <w:tcW w:w="787" w:type="pct"/>
            <w:tcBorders>
              <w:top w:val="nil"/>
              <w:left w:val="nil"/>
              <w:bottom w:val="nil"/>
              <w:right w:val="nil"/>
            </w:tcBorders>
            <w:shd w:val="clear" w:color="auto" w:fill="auto"/>
            <w:vAlign w:val="center"/>
            <w:hideMark/>
          </w:tcPr>
          <w:p w14:paraId="4C6EE40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-0.09</w:t>
            </w:r>
          </w:p>
        </w:tc>
        <w:tc>
          <w:tcPr>
            <w:tcW w:w="787" w:type="pct"/>
            <w:tcBorders>
              <w:top w:val="nil"/>
              <w:left w:val="nil"/>
              <w:bottom w:val="nil"/>
              <w:right w:val="nil"/>
            </w:tcBorders>
            <w:shd w:val="clear" w:color="auto" w:fill="auto"/>
            <w:vAlign w:val="center"/>
            <w:hideMark/>
          </w:tcPr>
          <w:p w14:paraId="552E275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0.98</w:t>
            </w:r>
          </w:p>
        </w:tc>
        <w:tc>
          <w:tcPr>
            <w:tcW w:w="787" w:type="pct"/>
            <w:tcBorders>
              <w:top w:val="nil"/>
              <w:left w:val="nil"/>
              <w:bottom w:val="nil"/>
              <w:right w:val="nil"/>
            </w:tcBorders>
            <w:shd w:val="clear" w:color="auto" w:fill="auto"/>
            <w:vAlign w:val="center"/>
            <w:hideMark/>
          </w:tcPr>
          <w:p w14:paraId="66A9510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-0.12</w:t>
            </w:r>
          </w:p>
        </w:tc>
      </w:tr>
      <w:tr w:rsidR="00390473" w:rsidRPr="00000849" w14:paraId="6315CCEB" w14:textId="77777777" w:rsidTr="00390473">
        <w:trPr>
          <w:trHeight w:val="295"/>
        </w:trPr>
        <w:tc>
          <w:tcPr>
            <w:tcW w:w="1852" w:type="pct"/>
            <w:tcBorders>
              <w:top w:val="nil"/>
              <w:left w:val="nil"/>
              <w:bottom w:val="nil"/>
              <w:right w:val="nil"/>
            </w:tcBorders>
            <w:shd w:val="clear" w:color="auto" w:fill="auto"/>
            <w:vAlign w:val="center"/>
            <w:hideMark/>
          </w:tcPr>
          <w:p w14:paraId="719AC1AF"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Ga-Adangme</w:t>
            </w:r>
          </w:p>
        </w:tc>
        <w:tc>
          <w:tcPr>
            <w:tcW w:w="787" w:type="pct"/>
            <w:tcBorders>
              <w:top w:val="nil"/>
              <w:left w:val="nil"/>
              <w:bottom w:val="nil"/>
              <w:right w:val="nil"/>
            </w:tcBorders>
            <w:shd w:val="clear" w:color="auto" w:fill="auto"/>
            <w:vAlign w:val="center"/>
            <w:hideMark/>
          </w:tcPr>
          <w:p w14:paraId="59054CB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0.87</w:t>
            </w:r>
          </w:p>
        </w:tc>
        <w:tc>
          <w:tcPr>
            <w:tcW w:w="787" w:type="pct"/>
            <w:tcBorders>
              <w:top w:val="nil"/>
              <w:left w:val="nil"/>
              <w:bottom w:val="nil"/>
              <w:right w:val="nil"/>
            </w:tcBorders>
            <w:shd w:val="clear" w:color="auto" w:fill="auto"/>
            <w:vAlign w:val="center"/>
            <w:hideMark/>
          </w:tcPr>
          <w:p w14:paraId="3B5DB35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w:t>
            </w:r>
          </w:p>
        </w:tc>
        <w:tc>
          <w:tcPr>
            <w:tcW w:w="787" w:type="pct"/>
            <w:tcBorders>
              <w:top w:val="nil"/>
              <w:left w:val="nil"/>
              <w:bottom w:val="nil"/>
              <w:right w:val="nil"/>
            </w:tcBorders>
            <w:shd w:val="clear" w:color="auto" w:fill="auto"/>
            <w:vAlign w:val="center"/>
            <w:hideMark/>
          </w:tcPr>
          <w:p w14:paraId="14B70CA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0.84</w:t>
            </w:r>
          </w:p>
        </w:tc>
        <w:tc>
          <w:tcPr>
            <w:tcW w:w="787" w:type="pct"/>
            <w:tcBorders>
              <w:top w:val="nil"/>
              <w:left w:val="nil"/>
              <w:bottom w:val="nil"/>
              <w:right w:val="nil"/>
            </w:tcBorders>
            <w:shd w:val="clear" w:color="auto" w:fill="auto"/>
            <w:vAlign w:val="center"/>
            <w:hideMark/>
          </w:tcPr>
          <w:p w14:paraId="4D6CD43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-0.13</w:t>
            </w:r>
          </w:p>
        </w:tc>
      </w:tr>
      <w:tr w:rsidR="00390473" w:rsidRPr="00000849" w14:paraId="5755FD1C" w14:textId="77777777" w:rsidTr="00390473">
        <w:trPr>
          <w:trHeight w:val="310"/>
        </w:trPr>
        <w:tc>
          <w:tcPr>
            <w:tcW w:w="1852" w:type="pct"/>
            <w:tcBorders>
              <w:top w:val="nil"/>
              <w:left w:val="nil"/>
              <w:bottom w:val="nil"/>
              <w:right w:val="nil"/>
            </w:tcBorders>
            <w:shd w:val="clear" w:color="auto" w:fill="auto"/>
            <w:vAlign w:val="center"/>
            <w:hideMark/>
          </w:tcPr>
          <w:p w14:paraId="56634124"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Others</w:t>
            </w:r>
          </w:p>
        </w:tc>
        <w:tc>
          <w:tcPr>
            <w:tcW w:w="787" w:type="pct"/>
            <w:tcBorders>
              <w:top w:val="nil"/>
              <w:left w:val="nil"/>
              <w:bottom w:val="nil"/>
              <w:right w:val="nil"/>
            </w:tcBorders>
            <w:shd w:val="clear" w:color="auto" w:fill="auto"/>
            <w:vAlign w:val="center"/>
            <w:hideMark/>
          </w:tcPr>
          <w:p w14:paraId="38C6DFE4"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0.77</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4087F13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-0.07</w:t>
            </w:r>
          </w:p>
        </w:tc>
        <w:tc>
          <w:tcPr>
            <w:tcW w:w="787" w:type="pct"/>
            <w:tcBorders>
              <w:top w:val="nil"/>
              <w:left w:val="nil"/>
              <w:bottom w:val="nil"/>
              <w:right w:val="nil"/>
            </w:tcBorders>
            <w:shd w:val="clear" w:color="auto" w:fill="auto"/>
            <w:vAlign w:val="center"/>
            <w:hideMark/>
          </w:tcPr>
          <w:p w14:paraId="3A3CA397"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0.73</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435CB9F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-0.09</w:t>
            </w:r>
          </w:p>
        </w:tc>
      </w:tr>
      <w:tr w:rsidR="00390473" w:rsidRPr="00000849" w14:paraId="171D138E" w14:textId="77777777" w:rsidTr="00390473">
        <w:trPr>
          <w:trHeight w:val="295"/>
        </w:trPr>
        <w:tc>
          <w:tcPr>
            <w:tcW w:w="1852" w:type="pct"/>
            <w:tcBorders>
              <w:top w:val="nil"/>
              <w:left w:val="nil"/>
              <w:bottom w:val="nil"/>
              <w:right w:val="nil"/>
            </w:tcBorders>
            <w:shd w:val="clear" w:color="auto" w:fill="auto"/>
            <w:vAlign w:val="center"/>
            <w:hideMark/>
          </w:tcPr>
          <w:p w14:paraId="18DBFB9B"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Religious group</w:t>
            </w:r>
          </w:p>
        </w:tc>
        <w:tc>
          <w:tcPr>
            <w:tcW w:w="787" w:type="pct"/>
            <w:tcBorders>
              <w:top w:val="nil"/>
              <w:left w:val="nil"/>
              <w:bottom w:val="nil"/>
              <w:right w:val="nil"/>
            </w:tcBorders>
            <w:shd w:val="clear" w:color="auto" w:fill="auto"/>
            <w:vAlign w:val="center"/>
            <w:hideMark/>
          </w:tcPr>
          <w:p w14:paraId="4A503A61"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02DC899D"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6197EE80"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1CA593A0"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3F46A91F" w14:textId="77777777" w:rsidTr="00390473">
        <w:trPr>
          <w:trHeight w:val="295"/>
        </w:trPr>
        <w:tc>
          <w:tcPr>
            <w:tcW w:w="1852" w:type="pct"/>
            <w:tcBorders>
              <w:top w:val="nil"/>
              <w:left w:val="nil"/>
              <w:bottom w:val="nil"/>
              <w:right w:val="nil"/>
            </w:tcBorders>
            <w:shd w:val="clear" w:color="auto" w:fill="auto"/>
            <w:vAlign w:val="center"/>
            <w:hideMark/>
          </w:tcPr>
          <w:p w14:paraId="5183EB6D"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Christian</w:t>
            </w:r>
          </w:p>
        </w:tc>
        <w:tc>
          <w:tcPr>
            <w:tcW w:w="787" w:type="pct"/>
            <w:tcBorders>
              <w:top w:val="nil"/>
              <w:left w:val="nil"/>
              <w:bottom w:val="nil"/>
              <w:right w:val="nil"/>
            </w:tcBorders>
            <w:shd w:val="clear" w:color="auto" w:fill="auto"/>
            <w:vAlign w:val="center"/>
            <w:hideMark/>
          </w:tcPr>
          <w:p w14:paraId="4CEBA151"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06988FC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25D04F4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437D76E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3A80A453" w14:textId="77777777" w:rsidTr="00390473">
        <w:trPr>
          <w:trHeight w:val="310"/>
        </w:trPr>
        <w:tc>
          <w:tcPr>
            <w:tcW w:w="1852" w:type="pct"/>
            <w:tcBorders>
              <w:top w:val="nil"/>
              <w:left w:val="nil"/>
              <w:bottom w:val="nil"/>
              <w:right w:val="nil"/>
            </w:tcBorders>
            <w:shd w:val="clear" w:color="auto" w:fill="auto"/>
            <w:vAlign w:val="center"/>
            <w:hideMark/>
          </w:tcPr>
          <w:p w14:paraId="14D2EF1E"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Islam</w:t>
            </w:r>
          </w:p>
        </w:tc>
        <w:tc>
          <w:tcPr>
            <w:tcW w:w="787" w:type="pct"/>
            <w:tcBorders>
              <w:top w:val="nil"/>
              <w:left w:val="nil"/>
              <w:bottom w:val="nil"/>
              <w:right w:val="nil"/>
            </w:tcBorders>
            <w:shd w:val="clear" w:color="auto" w:fill="auto"/>
            <w:vAlign w:val="center"/>
            <w:hideMark/>
          </w:tcPr>
          <w:p w14:paraId="7B2C181A"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1.26</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65A5A53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-0.11</w:t>
            </w:r>
          </w:p>
        </w:tc>
        <w:tc>
          <w:tcPr>
            <w:tcW w:w="787" w:type="pct"/>
            <w:tcBorders>
              <w:top w:val="nil"/>
              <w:left w:val="nil"/>
              <w:bottom w:val="nil"/>
              <w:right w:val="nil"/>
            </w:tcBorders>
            <w:shd w:val="clear" w:color="auto" w:fill="auto"/>
            <w:vAlign w:val="center"/>
            <w:hideMark/>
          </w:tcPr>
          <w:p w14:paraId="1EC00DEB"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1.34</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48E2A92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-0.16</w:t>
            </w:r>
          </w:p>
        </w:tc>
      </w:tr>
      <w:tr w:rsidR="00390473" w:rsidRPr="00000849" w14:paraId="358344D7" w14:textId="77777777" w:rsidTr="00390473">
        <w:trPr>
          <w:trHeight w:val="295"/>
        </w:trPr>
        <w:tc>
          <w:tcPr>
            <w:tcW w:w="1852" w:type="pct"/>
            <w:tcBorders>
              <w:top w:val="nil"/>
              <w:left w:val="nil"/>
              <w:bottom w:val="nil"/>
              <w:right w:val="nil"/>
            </w:tcBorders>
            <w:shd w:val="clear" w:color="auto" w:fill="auto"/>
            <w:vAlign w:val="center"/>
            <w:hideMark/>
          </w:tcPr>
          <w:p w14:paraId="742CC57D"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Other</w:t>
            </w:r>
          </w:p>
        </w:tc>
        <w:tc>
          <w:tcPr>
            <w:tcW w:w="787" w:type="pct"/>
            <w:tcBorders>
              <w:top w:val="nil"/>
              <w:left w:val="nil"/>
              <w:bottom w:val="nil"/>
              <w:right w:val="nil"/>
            </w:tcBorders>
            <w:shd w:val="clear" w:color="auto" w:fill="auto"/>
            <w:vAlign w:val="center"/>
            <w:hideMark/>
          </w:tcPr>
          <w:p w14:paraId="74A1353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w:t>
            </w:r>
          </w:p>
        </w:tc>
        <w:tc>
          <w:tcPr>
            <w:tcW w:w="787" w:type="pct"/>
            <w:tcBorders>
              <w:top w:val="nil"/>
              <w:left w:val="nil"/>
              <w:bottom w:val="nil"/>
              <w:right w:val="nil"/>
            </w:tcBorders>
            <w:shd w:val="clear" w:color="auto" w:fill="auto"/>
            <w:vAlign w:val="center"/>
            <w:hideMark/>
          </w:tcPr>
          <w:p w14:paraId="67841D21"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w:t>
            </w:r>
          </w:p>
        </w:tc>
        <w:tc>
          <w:tcPr>
            <w:tcW w:w="787" w:type="pct"/>
            <w:tcBorders>
              <w:top w:val="nil"/>
              <w:left w:val="nil"/>
              <w:bottom w:val="nil"/>
              <w:right w:val="nil"/>
            </w:tcBorders>
            <w:shd w:val="clear" w:color="auto" w:fill="auto"/>
            <w:vAlign w:val="center"/>
            <w:hideMark/>
          </w:tcPr>
          <w:p w14:paraId="525E6F3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1.09</w:t>
            </w:r>
          </w:p>
        </w:tc>
        <w:tc>
          <w:tcPr>
            <w:tcW w:w="787" w:type="pct"/>
            <w:tcBorders>
              <w:top w:val="nil"/>
              <w:left w:val="nil"/>
              <w:bottom w:val="nil"/>
              <w:right w:val="nil"/>
            </w:tcBorders>
            <w:shd w:val="clear" w:color="auto" w:fill="auto"/>
            <w:vAlign w:val="center"/>
            <w:hideMark/>
          </w:tcPr>
          <w:p w14:paraId="0BDCED2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-0.13</w:t>
            </w:r>
          </w:p>
        </w:tc>
      </w:tr>
      <w:tr w:rsidR="00390473" w:rsidRPr="00000849" w14:paraId="7C63D675" w14:textId="77777777" w:rsidTr="00390473">
        <w:trPr>
          <w:trHeight w:val="295"/>
        </w:trPr>
        <w:tc>
          <w:tcPr>
            <w:tcW w:w="1852" w:type="pct"/>
            <w:tcBorders>
              <w:top w:val="nil"/>
              <w:left w:val="nil"/>
              <w:bottom w:val="nil"/>
              <w:right w:val="nil"/>
            </w:tcBorders>
            <w:shd w:val="clear" w:color="auto" w:fill="auto"/>
            <w:vAlign w:val="center"/>
            <w:hideMark/>
          </w:tcPr>
          <w:p w14:paraId="07F4CB1E"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Educational level</w:t>
            </w:r>
          </w:p>
        </w:tc>
        <w:tc>
          <w:tcPr>
            <w:tcW w:w="787" w:type="pct"/>
            <w:tcBorders>
              <w:top w:val="nil"/>
              <w:left w:val="nil"/>
              <w:bottom w:val="nil"/>
              <w:right w:val="nil"/>
            </w:tcBorders>
            <w:shd w:val="clear" w:color="auto" w:fill="auto"/>
            <w:vAlign w:val="center"/>
            <w:hideMark/>
          </w:tcPr>
          <w:p w14:paraId="5520FDA9"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6DB02C56"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1AA1C752"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4B6853CE"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6BD9F482" w14:textId="77777777" w:rsidTr="00390473">
        <w:trPr>
          <w:trHeight w:val="295"/>
        </w:trPr>
        <w:tc>
          <w:tcPr>
            <w:tcW w:w="1852" w:type="pct"/>
            <w:tcBorders>
              <w:top w:val="nil"/>
              <w:left w:val="nil"/>
              <w:bottom w:val="nil"/>
              <w:right w:val="nil"/>
            </w:tcBorders>
            <w:shd w:val="clear" w:color="auto" w:fill="auto"/>
            <w:vAlign w:val="center"/>
            <w:hideMark/>
          </w:tcPr>
          <w:p w14:paraId="1D27316E"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lastRenderedPageBreak/>
              <w:t>Nil</w:t>
            </w:r>
          </w:p>
        </w:tc>
        <w:tc>
          <w:tcPr>
            <w:tcW w:w="787" w:type="pct"/>
            <w:tcBorders>
              <w:top w:val="nil"/>
              <w:left w:val="nil"/>
              <w:bottom w:val="nil"/>
              <w:right w:val="nil"/>
            </w:tcBorders>
            <w:shd w:val="clear" w:color="auto" w:fill="auto"/>
            <w:vAlign w:val="center"/>
            <w:hideMark/>
          </w:tcPr>
          <w:p w14:paraId="03A0043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CCF18E9"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1FFB7571"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0CD53EE1"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227DFC27" w14:textId="77777777" w:rsidTr="00390473">
        <w:trPr>
          <w:trHeight w:val="295"/>
        </w:trPr>
        <w:tc>
          <w:tcPr>
            <w:tcW w:w="1852" w:type="pct"/>
            <w:tcBorders>
              <w:top w:val="nil"/>
              <w:left w:val="nil"/>
              <w:bottom w:val="nil"/>
              <w:right w:val="nil"/>
            </w:tcBorders>
            <w:shd w:val="clear" w:color="auto" w:fill="auto"/>
            <w:vAlign w:val="center"/>
            <w:hideMark/>
          </w:tcPr>
          <w:p w14:paraId="238616F7"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Primary or less</w:t>
            </w:r>
          </w:p>
        </w:tc>
        <w:tc>
          <w:tcPr>
            <w:tcW w:w="787" w:type="pct"/>
            <w:tcBorders>
              <w:top w:val="nil"/>
              <w:left w:val="nil"/>
              <w:bottom w:val="nil"/>
              <w:right w:val="nil"/>
            </w:tcBorders>
            <w:shd w:val="clear" w:color="auto" w:fill="auto"/>
            <w:vAlign w:val="center"/>
            <w:hideMark/>
          </w:tcPr>
          <w:p w14:paraId="6A2BBF6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B5A725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-0.07</w:t>
            </w:r>
          </w:p>
        </w:tc>
        <w:tc>
          <w:tcPr>
            <w:tcW w:w="787" w:type="pct"/>
            <w:tcBorders>
              <w:top w:val="nil"/>
              <w:left w:val="nil"/>
              <w:bottom w:val="nil"/>
              <w:right w:val="nil"/>
            </w:tcBorders>
            <w:shd w:val="clear" w:color="auto" w:fill="auto"/>
            <w:vAlign w:val="center"/>
            <w:hideMark/>
          </w:tcPr>
          <w:p w14:paraId="47E1359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5D2C93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w:t>
            </w:r>
          </w:p>
        </w:tc>
      </w:tr>
      <w:tr w:rsidR="00390473" w:rsidRPr="00000849" w14:paraId="33513590" w14:textId="77777777" w:rsidTr="00390473">
        <w:trPr>
          <w:trHeight w:val="295"/>
        </w:trPr>
        <w:tc>
          <w:tcPr>
            <w:tcW w:w="1852" w:type="pct"/>
            <w:tcBorders>
              <w:top w:val="nil"/>
              <w:left w:val="nil"/>
              <w:bottom w:val="nil"/>
              <w:right w:val="nil"/>
            </w:tcBorders>
            <w:shd w:val="clear" w:color="auto" w:fill="auto"/>
            <w:vAlign w:val="center"/>
            <w:hideMark/>
          </w:tcPr>
          <w:p w14:paraId="563F2E59"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Secondary or higher</w:t>
            </w:r>
          </w:p>
        </w:tc>
        <w:tc>
          <w:tcPr>
            <w:tcW w:w="787" w:type="pct"/>
            <w:tcBorders>
              <w:top w:val="nil"/>
              <w:left w:val="nil"/>
              <w:bottom w:val="nil"/>
              <w:right w:val="nil"/>
            </w:tcBorders>
            <w:shd w:val="clear" w:color="auto" w:fill="auto"/>
            <w:vAlign w:val="center"/>
            <w:hideMark/>
          </w:tcPr>
          <w:p w14:paraId="50E1DF6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0.91</w:t>
            </w:r>
          </w:p>
        </w:tc>
        <w:tc>
          <w:tcPr>
            <w:tcW w:w="787" w:type="pct"/>
            <w:tcBorders>
              <w:top w:val="nil"/>
              <w:left w:val="nil"/>
              <w:bottom w:val="nil"/>
              <w:right w:val="nil"/>
            </w:tcBorders>
            <w:shd w:val="clear" w:color="auto" w:fill="auto"/>
            <w:vAlign w:val="center"/>
            <w:hideMark/>
          </w:tcPr>
          <w:p w14:paraId="0445434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-0.07</w:t>
            </w:r>
          </w:p>
        </w:tc>
        <w:tc>
          <w:tcPr>
            <w:tcW w:w="787" w:type="pct"/>
            <w:tcBorders>
              <w:top w:val="nil"/>
              <w:left w:val="nil"/>
              <w:bottom w:val="nil"/>
              <w:right w:val="nil"/>
            </w:tcBorders>
            <w:shd w:val="clear" w:color="auto" w:fill="auto"/>
            <w:vAlign w:val="center"/>
            <w:hideMark/>
          </w:tcPr>
          <w:p w14:paraId="7033874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0.86</w:t>
            </w:r>
          </w:p>
        </w:tc>
        <w:tc>
          <w:tcPr>
            <w:tcW w:w="787" w:type="pct"/>
            <w:tcBorders>
              <w:top w:val="nil"/>
              <w:left w:val="nil"/>
              <w:bottom w:val="nil"/>
              <w:right w:val="nil"/>
            </w:tcBorders>
            <w:shd w:val="clear" w:color="auto" w:fill="auto"/>
            <w:vAlign w:val="center"/>
            <w:hideMark/>
          </w:tcPr>
          <w:p w14:paraId="03D8E83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-0.09</w:t>
            </w:r>
          </w:p>
        </w:tc>
      </w:tr>
      <w:tr w:rsidR="00390473" w:rsidRPr="00000849" w14:paraId="43058C83" w14:textId="77777777" w:rsidTr="00390473">
        <w:trPr>
          <w:trHeight w:val="490"/>
        </w:trPr>
        <w:tc>
          <w:tcPr>
            <w:tcW w:w="1852" w:type="pct"/>
            <w:tcBorders>
              <w:top w:val="nil"/>
              <w:left w:val="nil"/>
              <w:bottom w:val="nil"/>
              <w:right w:val="nil"/>
            </w:tcBorders>
            <w:shd w:val="clear" w:color="auto" w:fill="auto"/>
            <w:vAlign w:val="center"/>
            <w:hideMark/>
          </w:tcPr>
          <w:p w14:paraId="4D8095E6"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Employer in current or most recent job</w:t>
            </w:r>
          </w:p>
        </w:tc>
        <w:tc>
          <w:tcPr>
            <w:tcW w:w="787" w:type="pct"/>
            <w:tcBorders>
              <w:top w:val="nil"/>
              <w:left w:val="nil"/>
              <w:bottom w:val="nil"/>
              <w:right w:val="nil"/>
            </w:tcBorders>
            <w:shd w:val="clear" w:color="auto" w:fill="auto"/>
            <w:vAlign w:val="center"/>
            <w:hideMark/>
          </w:tcPr>
          <w:p w14:paraId="5903886C"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77957857"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3C368B08"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13807B44"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01E963E3" w14:textId="77777777" w:rsidTr="00390473">
        <w:trPr>
          <w:trHeight w:val="295"/>
        </w:trPr>
        <w:tc>
          <w:tcPr>
            <w:tcW w:w="1852" w:type="pct"/>
            <w:tcBorders>
              <w:top w:val="nil"/>
              <w:left w:val="nil"/>
              <w:bottom w:val="nil"/>
              <w:right w:val="nil"/>
            </w:tcBorders>
            <w:shd w:val="clear" w:color="auto" w:fill="auto"/>
            <w:vAlign w:val="center"/>
            <w:hideMark/>
          </w:tcPr>
          <w:p w14:paraId="46EC48E5"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Informal</w:t>
            </w:r>
          </w:p>
        </w:tc>
        <w:tc>
          <w:tcPr>
            <w:tcW w:w="787" w:type="pct"/>
            <w:tcBorders>
              <w:top w:val="nil"/>
              <w:left w:val="nil"/>
              <w:bottom w:val="nil"/>
              <w:right w:val="nil"/>
            </w:tcBorders>
            <w:shd w:val="clear" w:color="auto" w:fill="auto"/>
            <w:vAlign w:val="center"/>
            <w:hideMark/>
          </w:tcPr>
          <w:p w14:paraId="71B541B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51A7297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14EE197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0D549BC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501EB4BF" w14:textId="77777777" w:rsidTr="00390473">
        <w:trPr>
          <w:trHeight w:val="295"/>
        </w:trPr>
        <w:tc>
          <w:tcPr>
            <w:tcW w:w="1852" w:type="pct"/>
            <w:tcBorders>
              <w:top w:val="nil"/>
              <w:left w:val="nil"/>
              <w:bottom w:val="nil"/>
              <w:right w:val="nil"/>
            </w:tcBorders>
            <w:shd w:val="clear" w:color="auto" w:fill="auto"/>
            <w:vAlign w:val="center"/>
            <w:hideMark/>
          </w:tcPr>
          <w:p w14:paraId="71A9A439"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Self-employed</w:t>
            </w:r>
          </w:p>
        </w:tc>
        <w:tc>
          <w:tcPr>
            <w:tcW w:w="787" w:type="pct"/>
            <w:tcBorders>
              <w:top w:val="nil"/>
              <w:left w:val="nil"/>
              <w:bottom w:val="nil"/>
              <w:right w:val="nil"/>
            </w:tcBorders>
            <w:shd w:val="clear" w:color="auto" w:fill="auto"/>
            <w:vAlign w:val="center"/>
            <w:hideMark/>
          </w:tcPr>
          <w:p w14:paraId="140E17B9"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0.95</w:t>
            </w:r>
          </w:p>
        </w:tc>
        <w:tc>
          <w:tcPr>
            <w:tcW w:w="787" w:type="pct"/>
            <w:tcBorders>
              <w:top w:val="nil"/>
              <w:left w:val="nil"/>
              <w:bottom w:val="nil"/>
              <w:right w:val="nil"/>
            </w:tcBorders>
            <w:shd w:val="clear" w:color="auto" w:fill="auto"/>
            <w:vAlign w:val="center"/>
            <w:hideMark/>
          </w:tcPr>
          <w:p w14:paraId="7BB0C5B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-0.08</w:t>
            </w:r>
          </w:p>
        </w:tc>
        <w:tc>
          <w:tcPr>
            <w:tcW w:w="787" w:type="pct"/>
            <w:tcBorders>
              <w:top w:val="nil"/>
              <w:left w:val="nil"/>
              <w:bottom w:val="nil"/>
              <w:right w:val="nil"/>
            </w:tcBorders>
            <w:shd w:val="clear" w:color="auto" w:fill="auto"/>
            <w:vAlign w:val="center"/>
            <w:hideMark/>
          </w:tcPr>
          <w:p w14:paraId="479E999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0.94</w:t>
            </w:r>
          </w:p>
        </w:tc>
        <w:tc>
          <w:tcPr>
            <w:tcW w:w="787" w:type="pct"/>
            <w:tcBorders>
              <w:top w:val="nil"/>
              <w:left w:val="nil"/>
              <w:bottom w:val="nil"/>
              <w:right w:val="nil"/>
            </w:tcBorders>
            <w:shd w:val="clear" w:color="auto" w:fill="auto"/>
            <w:vAlign w:val="center"/>
            <w:hideMark/>
          </w:tcPr>
          <w:p w14:paraId="2A77C71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w:t>
            </w:r>
          </w:p>
        </w:tc>
      </w:tr>
      <w:tr w:rsidR="00390473" w:rsidRPr="00000849" w14:paraId="369927FC" w14:textId="77777777" w:rsidTr="00390473">
        <w:trPr>
          <w:trHeight w:val="295"/>
        </w:trPr>
        <w:tc>
          <w:tcPr>
            <w:tcW w:w="1852" w:type="pct"/>
            <w:tcBorders>
              <w:top w:val="nil"/>
              <w:left w:val="nil"/>
              <w:bottom w:val="nil"/>
              <w:right w:val="nil"/>
            </w:tcBorders>
            <w:shd w:val="clear" w:color="auto" w:fill="auto"/>
            <w:vAlign w:val="center"/>
            <w:hideMark/>
          </w:tcPr>
          <w:p w14:paraId="4508DDFA"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Public sector</w:t>
            </w:r>
          </w:p>
        </w:tc>
        <w:tc>
          <w:tcPr>
            <w:tcW w:w="787" w:type="pct"/>
            <w:tcBorders>
              <w:top w:val="nil"/>
              <w:left w:val="nil"/>
              <w:bottom w:val="nil"/>
              <w:right w:val="nil"/>
            </w:tcBorders>
            <w:shd w:val="clear" w:color="auto" w:fill="auto"/>
            <w:vAlign w:val="center"/>
            <w:hideMark/>
          </w:tcPr>
          <w:p w14:paraId="00388A7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1.02</w:t>
            </w:r>
          </w:p>
        </w:tc>
        <w:tc>
          <w:tcPr>
            <w:tcW w:w="787" w:type="pct"/>
            <w:tcBorders>
              <w:top w:val="nil"/>
              <w:left w:val="nil"/>
              <w:bottom w:val="nil"/>
              <w:right w:val="nil"/>
            </w:tcBorders>
            <w:shd w:val="clear" w:color="auto" w:fill="auto"/>
            <w:vAlign w:val="center"/>
            <w:hideMark/>
          </w:tcPr>
          <w:p w14:paraId="1424345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-0.13</w:t>
            </w:r>
          </w:p>
        </w:tc>
        <w:tc>
          <w:tcPr>
            <w:tcW w:w="787" w:type="pct"/>
            <w:tcBorders>
              <w:top w:val="nil"/>
              <w:left w:val="nil"/>
              <w:bottom w:val="nil"/>
              <w:right w:val="nil"/>
            </w:tcBorders>
            <w:shd w:val="clear" w:color="auto" w:fill="auto"/>
            <w:vAlign w:val="center"/>
            <w:hideMark/>
          </w:tcPr>
          <w:p w14:paraId="4BF7FFC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1.07</w:t>
            </w:r>
          </w:p>
        </w:tc>
        <w:tc>
          <w:tcPr>
            <w:tcW w:w="787" w:type="pct"/>
            <w:tcBorders>
              <w:top w:val="nil"/>
              <w:left w:val="nil"/>
              <w:bottom w:val="nil"/>
              <w:right w:val="nil"/>
            </w:tcBorders>
            <w:shd w:val="clear" w:color="auto" w:fill="auto"/>
            <w:vAlign w:val="center"/>
            <w:hideMark/>
          </w:tcPr>
          <w:p w14:paraId="041BB91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-0.18</w:t>
            </w:r>
          </w:p>
        </w:tc>
      </w:tr>
      <w:tr w:rsidR="00390473" w:rsidRPr="00000849" w14:paraId="1B191DF4" w14:textId="77777777" w:rsidTr="00390473">
        <w:trPr>
          <w:trHeight w:val="295"/>
        </w:trPr>
        <w:tc>
          <w:tcPr>
            <w:tcW w:w="1852" w:type="pct"/>
            <w:tcBorders>
              <w:top w:val="nil"/>
              <w:left w:val="nil"/>
              <w:bottom w:val="nil"/>
              <w:right w:val="nil"/>
            </w:tcBorders>
            <w:shd w:val="clear" w:color="auto" w:fill="auto"/>
            <w:vAlign w:val="center"/>
            <w:hideMark/>
          </w:tcPr>
          <w:p w14:paraId="2C9FCCF5"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Private sector</w:t>
            </w:r>
          </w:p>
        </w:tc>
        <w:tc>
          <w:tcPr>
            <w:tcW w:w="787" w:type="pct"/>
            <w:tcBorders>
              <w:top w:val="nil"/>
              <w:left w:val="nil"/>
              <w:bottom w:val="nil"/>
              <w:right w:val="nil"/>
            </w:tcBorders>
            <w:shd w:val="clear" w:color="auto" w:fill="auto"/>
            <w:vAlign w:val="center"/>
            <w:hideMark/>
          </w:tcPr>
          <w:p w14:paraId="0986A7C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1.15</w:t>
            </w:r>
          </w:p>
        </w:tc>
        <w:tc>
          <w:tcPr>
            <w:tcW w:w="787" w:type="pct"/>
            <w:tcBorders>
              <w:top w:val="nil"/>
              <w:left w:val="nil"/>
              <w:bottom w:val="nil"/>
              <w:right w:val="nil"/>
            </w:tcBorders>
            <w:shd w:val="clear" w:color="auto" w:fill="auto"/>
            <w:vAlign w:val="center"/>
            <w:hideMark/>
          </w:tcPr>
          <w:p w14:paraId="0DDE34F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-0.19</w:t>
            </w:r>
          </w:p>
        </w:tc>
        <w:tc>
          <w:tcPr>
            <w:tcW w:w="787" w:type="pct"/>
            <w:tcBorders>
              <w:top w:val="nil"/>
              <w:left w:val="nil"/>
              <w:bottom w:val="nil"/>
              <w:right w:val="nil"/>
            </w:tcBorders>
            <w:shd w:val="clear" w:color="auto" w:fill="auto"/>
            <w:vAlign w:val="center"/>
            <w:hideMark/>
          </w:tcPr>
          <w:p w14:paraId="20A199E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1.25</w:t>
            </w:r>
          </w:p>
        </w:tc>
        <w:tc>
          <w:tcPr>
            <w:tcW w:w="787" w:type="pct"/>
            <w:tcBorders>
              <w:top w:val="nil"/>
              <w:left w:val="nil"/>
              <w:bottom w:val="nil"/>
              <w:right w:val="nil"/>
            </w:tcBorders>
            <w:shd w:val="clear" w:color="auto" w:fill="auto"/>
            <w:vAlign w:val="center"/>
            <w:hideMark/>
          </w:tcPr>
          <w:p w14:paraId="729A0E0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-0.26</w:t>
            </w:r>
          </w:p>
        </w:tc>
      </w:tr>
      <w:tr w:rsidR="00390473" w:rsidRPr="00000849" w14:paraId="01F3D5EC" w14:textId="77777777" w:rsidTr="00390473">
        <w:trPr>
          <w:trHeight w:val="295"/>
        </w:trPr>
        <w:tc>
          <w:tcPr>
            <w:tcW w:w="1852" w:type="pct"/>
            <w:tcBorders>
              <w:top w:val="nil"/>
              <w:left w:val="nil"/>
              <w:bottom w:val="nil"/>
              <w:right w:val="nil"/>
            </w:tcBorders>
            <w:shd w:val="clear" w:color="auto" w:fill="auto"/>
            <w:vAlign w:val="center"/>
            <w:hideMark/>
          </w:tcPr>
          <w:p w14:paraId="2D9ED369"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Work history past 7 days</w:t>
            </w:r>
          </w:p>
        </w:tc>
        <w:tc>
          <w:tcPr>
            <w:tcW w:w="787" w:type="pct"/>
            <w:tcBorders>
              <w:top w:val="nil"/>
              <w:left w:val="nil"/>
              <w:bottom w:val="nil"/>
              <w:right w:val="nil"/>
            </w:tcBorders>
            <w:shd w:val="clear" w:color="auto" w:fill="auto"/>
            <w:vAlign w:val="center"/>
            <w:hideMark/>
          </w:tcPr>
          <w:p w14:paraId="41213EB5"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336F7E3F"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574AFE38"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307812F"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23651F0A" w14:textId="77777777" w:rsidTr="00390473">
        <w:trPr>
          <w:trHeight w:val="295"/>
        </w:trPr>
        <w:tc>
          <w:tcPr>
            <w:tcW w:w="1852" w:type="pct"/>
            <w:tcBorders>
              <w:top w:val="nil"/>
              <w:left w:val="nil"/>
              <w:bottom w:val="nil"/>
              <w:right w:val="nil"/>
            </w:tcBorders>
            <w:shd w:val="clear" w:color="auto" w:fill="auto"/>
            <w:vAlign w:val="center"/>
            <w:hideMark/>
          </w:tcPr>
          <w:p w14:paraId="02627D4E"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Not currently working</w:t>
            </w:r>
          </w:p>
        </w:tc>
        <w:tc>
          <w:tcPr>
            <w:tcW w:w="787" w:type="pct"/>
            <w:tcBorders>
              <w:top w:val="nil"/>
              <w:left w:val="nil"/>
              <w:bottom w:val="nil"/>
              <w:right w:val="nil"/>
            </w:tcBorders>
            <w:shd w:val="clear" w:color="auto" w:fill="auto"/>
            <w:vAlign w:val="center"/>
            <w:hideMark/>
          </w:tcPr>
          <w:p w14:paraId="176DC02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6871661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61664EF9"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CF08D2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01CA566B" w14:textId="77777777" w:rsidTr="00390473">
        <w:trPr>
          <w:trHeight w:val="310"/>
        </w:trPr>
        <w:tc>
          <w:tcPr>
            <w:tcW w:w="1852" w:type="pct"/>
            <w:tcBorders>
              <w:top w:val="nil"/>
              <w:left w:val="nil"/>
              <w:bottom w:val="nil"/>
              <w:right w:val="nil"/>
            </w:tcBorders>
            <w:shd w:val="clear" w:color="auto" w:fill="auto"/>
            <w:vAlign w:val="center"/>
            <w:hideMark/>
          </w:tcPr>
          <w:p w14:paraId="796489BD"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Currently working</w:t>
            </w:r>
          </w:p>
        </w:tc>
        <w:tc>
          <w:tcPr>
            <w:tcW w:w="787" w:type="pct"/>
            <w:tcBorders>
              <w:top w:val="nil"/>
              <w:left w:val="nil"/>
              <w:bottom w:val="nil"/>
              <w:right w:val="nil"/>
            </w:tcBorders>
            <w:shd w:val="clear" w:color="auto" w:fill="auto"/>
            <w:vAlign w:val="center"/>
            <w:hideMark/>
          </w:tcPr>
          <w:p w14:paraId="2104FFF6"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0.75</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7DC543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-0.05</w:t>
            </w:r>
          </w:p>
        </w:tc>
        <w:tc>
          <w:tcPr>
            <w:tcW w:w="787" w:type="pct"/>
            <w:tcBorders>
              <w:top w:val="nil"/>
              <w:left w:val="nil"/>
              <w:bottom w:val="nil"/>
              <w:right w:val="nil"/>
            </w:tcBorders>
            <w:shd w:val="clear" w:color="auto" w:fill="auto"/>
            <w:vAlign w:val="center"/>
            <w:hideMark/>
          </w:tcPr>
          <w:p w14:paraId="3A977F46"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0.70</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60FA6A3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-0.06</w:t>
            </w:r>
          </w:p>
        </w:tc>
      </w:tr>
      <w:tr w:rsidR="00390473" w:rsidRPr="00000849" w14:paraId="7F2400A3" w14:textId="77777777" w:rsidTr="00390473">
        <w:trPr>
          <w:trHeight w:val="295"/>
        </w:trPr>
        <w:tc>
          <w:tcPr>
            <w:tcW w:w="1852" w:type="pct"/>
            <w:tcBorders>
              <w:top w:val="nil"/>
              <w:left w:val="nil"/>
              <w:bottom w:val="nil"/>
              <w:right w:val="nil"/>
            </w:tcBorders>
            <w:shd w:val="clear" w:color="auto" w:fill="auto"/>
            <w:vAlign w:val="center"/>
            <w:hideMark/>
          </w:tcPr>
          <w:p w14:paraId="4A61F973"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xml:space="preserve">Wealth quintile </w:t>
            </w:r>
          </w:p>
        </w:tc>
        <w:tc>
          <w:tcPr>
            <w:tcW w:w="787" w:type="pct"/>
            <w:tcBorders>
              <w:top w:val="nil"/>
              <w:left w:val="nil"/>
              <w:bottom w:val="nil"/>
              <w:right w:val="nil"/>
            </w:tcBorders>
            <w:shd w:val="clear" w:color="auto" w:fill="auto"/>
            <w:vAlign w:val="center"/>
            <w:hideMark/>
          </w:tcPr>
          <w:p w14:paraId="2BAB7B8F"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6CAFF211"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34E65D34"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04926471"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6558F7A6" w14:textId="77777777" w:rsidTr="00390473">
        <w:trPr>
          <w:trHeight w:val="295"/>
        </w:trPr>
        <w:tc>
          <w:tcPr>
            <w:tcW w:w="1852" w:type="pct"/>
            <w:tcBorders>
              <w:top w:val="nil"/>
              <w:left w:val="nil"/>
              <w:bottom w:val="nil"/>
              <w:right w:val="nil"/>
            </w:tcBorders>
            <w:shd w:val="clear" w:color="auto" w:fill="auto"/>
            <w:vAlign w:val="center"/>
            <w:hideMark/>
          </w:tcPr>
          <w:p w14:paraId="23397942"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Q1 Poorest</w:t>
            </w:r>
          </w:p>
        </w:tc>
        <w:tc>
          <w:tcPr>
            <w:tcW w:w="787" w:type="pct"/>
            <w:tcBorders>
              <w:top w:val="nil"/>
              <w:left w:val="nil"/>
              <w:bottom w:val="nil"/>
              <w:right w:val="nil"/>
            </w:tcBorders>
            <w:shd w:val="clear" w:color="auto" w:fill="auto"/>
            <w:vAlign w:val="center"/>
            <w:hideMark/>
          </w:tcPr>
          <w:p w14:paraId="6EED9F2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D00AF7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0E58E09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02ADEC9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644B343B" w14:textId="77777777" w:rsidTr="00390473">
        <w:trPr>
          <w:trHeight w:val="295"/>
        </w:trPr>
        <w:tc>
          <w:tcPr>
            <w:tcW w:w="1852" w:type="pct"/>
            <w:tcBorders>
              <w:top w:val="nil"/>
              <w:left w:val="nil"/>
              <w:bottom w:val="nil"/>
              <w:right w:val="nil"/>
            </w:tcBorders>
            <w:shd w:val="clear" w:color="auto" w:fill="auto"/>
            <w:vAlign w:val="center"/>
            <w:hideMark/>
          </w:tcPr>
          <w:p w14:paraId="21218303"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Q2 Poor</w:t>
            </w:r>
          </w:p>
        </w:tc>
        <w:tc>
          <w:tcPr>
            <w:tcW w:w="787" w:type="pct"/>
            <w:tcBorders>
              <w:top w:val="nil"/>
              <w:left w:val="nil"/>
              <w:bottom w:val="nil"/>
              <w:right w:val="nil"/>
            </w:tcBorders>
            <w:shd w:val="clear" w:color="auto" w:fill="auto"/>
            <w:vAlign w:val="center"/>
            <w:hideMark/>
          </w:tcPr>
          <w:p w14:paraId="1DABBD3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1.04</w:t>
            </w:r>
          </w:p>
        </w:tc>
        <w:tc>
          <w:tcPr>
            <w:tcW w:w="787" w:type="pct"/>
            <w:tcBorders>
              <w:top w:val="nil"/>
              <w:left w:val="nil"/>
              <w:bottom w:val="nil"/>
              <w:right w:val="nil"/>
            </w:tcBorders>
            <w:shd w:val="clear" w:color="auto" w:fill="auto"/>
            <w:vAlign w:val="center"/>
            <w:hideMark/>
          </w:tcPr>
          <w:p w14:paraId="6085D5F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-0.09</w:t>
            </w:r>
          </w:p>
        </w:tc>
        <w:tc>
          <w:tcPr>
            <w:tcW w:w="787" w:type="pct"/>
            <w:tcBorders>
              <w:top w:val="nil"/>
              <w:left w:val="nil"/>
              <w:bottom w:val="nil"/>
              <w:right w:val="nil"/>
            </w:tcBorders>
            <w:shd w:val="clear" w:color="auto" w:fill="auto"/>
            <w:vAlign w:val="center"/>
            <w:hideMark/>
          </w:tcPr>
          <w:p w14:paraId="096F5F4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1.03</w:t>
            </w:r>
          </w:p>
        </w:tc>
        <w:tc>
          <w:tcPr>
            <w:tcW w:w="787" w:type="pct"/>
            <w:tcBorders>
              <w:top w:val="nil"/>
              <w:left w:val="nil"/>
              <w:bottom w:val="nil"/>
              <w:right w:val="nil"/>
            </w:tcBorders>
            <w:shd w:val="clear" w:color="auto" w:fill="auto"/>
            <w:vAlign w:val="center"/>
            <w:hideMark/>
          </w:tcPr>
          <w:p w14:paraId="10A6A66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-0.12</w:t>
            </w:r>
          </w:p>
        </w:tc>
      </w:tr>
      <w:tr w:rsidR="00390473" w:rsidRPr="00000849" w14:paraId="7E1BF15A" w14:textId="77777777" w:rsidTr="00390473">
        <w:trPr>
          <w:trHeight w:val="295"/>
        </w:trPr>
        <w:tc>
          <w:tcPr>
            <w:tcW w:w="1852" w:type="pct"/>
            <w:tcBorders>
              <w:top w:val="nil"/>
              <w:left w:val="nil"/>
              <w:bottom w:val="nil"/>
              <w:right w:val="nil"/>
            </w:tcBorders>
            <w:shd w:val="clear" w:color="auto" w:fill="auto"/>
            <w:vAlign w:val="center"/>
            <w:hideMark/>
          </w:tcPr>
          <w:p w14:paraId="341FA1B6"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Q3 Mod poor</w:t>
            </w:r>
          </w:p>
        </w:tc>
        <w:tc>
          <w:tcPr>
            <w:tcW w:w="787" w:type="pct"/>
            <w:tcBorders>
              <w:top w:val="nil"/>
              <w:left w:val="nil"/>
              <w:bottom w:val="nil"/>
              <w:right w:val="nil"/>
            </w:tcBorders>
            <w:shd w:val="clear" w:color="auto" w:fill="auto"/>
            <w:vAlign w:val="center"/>
            <w:hideMark/>
          </w:tcPr>
          <w:p w14:paraId="3C8B9AA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1.15</w:t>
            </w:r>
          </w:p>
        </w:tc>
        <w:tc>
          <w:tcPr>
            <w:tcW w:w="787" w:type="pct"/>
            <w:tcBorders>
              <w:top w:val="nil"/>
              <w:left w:val="nil"/>
              <w:bottom w:val="nil"/>
              <w:right w:val="nil"/>
            </w:tcBorders>
            <w:shd w:val="clear" w:color="auto" w:fill="auto"/>
            <w:vAlign w:val="center"/>
            <w:hideMark/>
          </w:tcPr>
          <w:p w14:paraId="52B818A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-0.11</w:t>
            </w:r>
          </w:p>
        </w:tc>
        <w:tc>
          <w:tcPr>
            <w:tcW w:w="787" w:type="pct"/>
            <w:tcBorders>
              <w:top w:val="nil"/>
              <w:left w:val="nil"/>
              <w:bottom w:val="nil"/>
              <w:right w:val="nil"/>
            </w:tcBorders>
            <w:shd w:val="clear" w:color="auto" w:fill="auto"/>
            <w:vAlign w:val="center"/>
            <w:hideMark/>
          </w:tcPr>
          <w:p w14:paraId="7B97D7A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1.19</w:t>
            </w:r>
          </w:p>
        </w:tc>
        <w:tc>
          <w:tcPr>
            <w:tcW w:w="787" w:type="pct"/>
            <w:tcBorders>
              <w:top w:val="nil"/>
              <w:left w:val="nil"/>
              <w:bottom w:val="nil"/>
              <w:right w:val="nil"/>
            </w:tcBorders>
            <w:shd w:val="clear" w:color="auto" w:fill="auto"/>
            <w:vAlign w:val="center"/>
            <w:hideMark/>
          </w:tcPr>
          <w:p w14:paraId="0B37FE1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-0.15</w:t>
            </w:r>
          </w:p>
        </w:tc>
      </w:tr>
      <w:tr w:rsidR="00390473" w:rsidRPr="00000849" w14:paraId="4838334A" w14:textId="77777777" w:rsidTr="00390473">
        <w:trPr>
          <w:trHeight w:val="295"/>
        </w:trPr>
        <w:tc>
          <w:tcPr>
            <w:tcW w:w="1852" w:type="pct"/>
            <w:tcBorders>
              <w:top w:val="nil"/>
              <w:left w:val="nil"/>
              <w:bottom w:val="nil"/>
              <w:right w:val="nil"/>
            </w:tcBorders>
            <w:shd w:val="clear" w:color="auto" w:fill="auto"/>
            <w:vAlign w:val="center"/>
            <w:hideMark/>
          </w:tcPr>
          <w:p w14:paraId="1106F598"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Q4 Rich</w:t>
            </w:r>
          </w:p>
        </w:tc>
        <w:tc>
          <w:tcPr>
            <w:tcW w:w="787" w:type="pct"/>
            <w:tcBorders>
              <w:top w:val="nil"/>
              <w:left w:val="nil"/>
              <w:bottom w:val="nil"/>
              <w:right w:val="nil"/>
            </w:tcBorders>
            <w:shd w:val="clear" w:color="auto" w:fill="auto"/>
            <w:vAlign w:val="center"/>
            <w:hideMark/>
          </w:tcPr>
          <w:p w14:paraId="5308914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1.09</w:t>
            </w:r>
          </w:p>
        </w:tc>
        <w:tc>
          <w:tcPr>
            <w:tcW w:w="787" w:type="pct"/>
            <w:tcBorders>
              <w:top w:val="nil"/>
              <w:left w:val="nil"/>
              <w:bottom w:val="nil"/>
              <w:right w:val="nil"/>
            </w:tcBorders>
            <w:shd w:val="clear" w:color="auto" w:fill="auto"/>
            <w:vAlign w:val="center"/>
            <w:hideMark/>
          </w:tcPr>
          <w:p w14:paraId="0ABA081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-0.11</w:t>
            </w:r>
          </w:p>
        </w:tc>
        <w:tc>
          <w:tcPr>
            <w:tcW w:w="787" w:type="pct"/>
            <w:tcBorders>
              <w:top w:val="nil"/>
              <w:left w:val="nil"/>
              <w:bottom w:val="nil"/>
              <w:right w:val="nil"/>
            </w:tcBorders>
            <w:shd w:val="clear" w:color="auto" w:fill="auto"/>
            <w:vAlign w:val="center"/>
            <w:hideMark/>
          </w:tcPr>
          <w:p w14:paraId="1DD5362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1.09</w:t>
            </w:r>
          </w:p>
        </w:tc>
        <w:tc>
          <w:tcPr>
            <w:tcW w:w="787" w:type="pct"/>
            <w:tcBorders>
              <w:top w:val="nil"/>
              <w:left w:val="nil"/>
              <w:bottom w:val="nil"/>
              <w:right w:val="nil"/>
            </w:tcBorders>
            <w:shd w:val="clear" w:color="auto" w:fill="auto"/>
            <w:vAlign w:val="center"/>
            <w:hideMark/>
          </w:tcPr>
          <w:p w14:paraId="178AF07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-0.15</w:t>
            </w:r>
          </w:p>
        </w:tc>
      </w:tr>
      <w:tr w:rsidR="00390473" w:rsidRPr="00000849" w14:paraId="41FC1E9D" w14:textId="77777777" w:rsidTr="00390473">
        <w:trPr>
          <w:trHeight w:val="295"/>
        </w:trPr>
        <w:tc>
          <w:tcPr>
            <w:tcW w:w="1852" w:type="pct"/>
            <w:tcBorders>
              <w:top w:val="nil"/>
              <w:left w:val="nil"/>
              <w:bottom w:val="nil"/>
              <w:right w:val="nil"/>
            </w:tcBorders>
            <w:shd w:val="clear" w:color="auto" w:fill="auto"/>
            <w:vAlign w:val="center"/>
            <w:hideMark/>
          </w:tcPr>
          <w:p w14:paraId="2F1475DA"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Q5 Richest</w:t>
            </w:r>
          </w:p>
        </w:tc>
        <w:tc>
          <w:tcPr>
            <w:tcW w:w="787" w:type="pct"/>
            <w:tcBorders>
              <w:top w:val="nil"/>
              <w:left w:val="nil"/>
              <w:bottom w:val="nil"/>
              <w:right w:val="nil"/>
            </w:tcBorders>
            <w:shd w:val="clear" w:color="auto" w:fill="auto"/>
            <w:vAlign w:val="center"/>
            <w:hideMark/>
          </w:tcPr>
          <w:p w14:paraId="3EF9E91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1.15</w:t>
            </w:r>
          </w:p>
        </w:tc>
        <w:tc>
          <w:tcPr>
            <w:tcW w:w="787" w:type="pct"/>
            <w:tcBorders>
              <w:top w:val="nil"/>
              <w:left w:val="nil"/>
              <w:bottom w:val="nil"/>
              <w:right w:val="nil"/>
            </w:tcBorders>
            <w:shd w:val="clear" w:color="auto" w:fill="auto"/>
            <w:vAlign w:val="center"/>
            <w:hideMark/>
          </w:tcPr>
          <w:p w14:paraId="1470CAD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-0.14</w:t>
            </w:r>
          </w:p>
        </w:tc>
        <w:tc>
          <w:tcPr>
            <w:tcW w:w="787" w:type="pct"/>
            <w:tcBorders>
              <w:top w:val="nil"/>
              <w:left w:val="nil"/>
              <w:bottom w:val="nil"/>
              <w:right w:val="nil"/>
            </w:tcBorders>
            <w:shd w:val="clear" w:color="auto" w:fill="auto"/>
            <w:vAlign w:val="center"/>
            <w:hideMark/>
          </w:tcPr>
          <w:p w14:paraId="4623452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1.19</w:t>
            </w:r>
          </w:p>
        </w:tc>
        <w:tc>
          <w:tcPr>
            <w:tcW w:w="787" w:type="pct"/>
            <w:tcBorders>
              <w:top w:val="nil"/>
              <w:left w:val="nil"/>
              <w:bottom w:val="nil"/>
              <w:right w:val="nil"/>
            </w:tcBorders>
            <w:shd w:val="clear" w:color="auto" w:fill="auto"/>
            <w:vAlign w:val="center"/>
            <w:hideMark/>
          </w:tcPr>
          <w:p w14:paraId="5220738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-0.2</w:t>
            </w:r>
          </w:p>
        </w:tc>
      </w:tr>
      <w:tr w:rsidR="00390473" w:rsidRPr="00000849" w14:paraId="22A8661D" w14:textId="77777777" w:rsidTr="00390473">
        <w:trPr>
          <w:trHeight w:val="295"/>
        </w:trPr>
        <w:tc>
          <w:tcPr>
            <w:tcW w:w="1852" w:type="pct"/>
            <w:tcBorders>
              <w:top w:val="nil"/>
              <w:left w:val="nil"/>
              <w:bottom w:val="nil"/>
              <w:right w:val="nil"/>
            </w:tcBorders>
            <w:shd w:val="clear" w:color="auto" w:fill="auto"/>
            <w:vAlign w:val="center"/>
            <w:hideMark/>
          </w:tcPr>
          <w:p w14:paraId="002F4574"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Physical activity level</w:t>
            </w:r>
          </w:p>
        </w:tc>
        <w:tc>
          <w:tcPr>
            <w:tcW w:w="787" w:type="pct"/>
            <w:tcBorders>
              <w:top w:val="nil"/>
              <w:left w:val="nil"/>
              <w:bottom w:val="nil"/>
              <w:right w:val="nil"/>
            </w:tcBorders>
            <w:shd w:val="clear" w:color="auto" w:fill="auto"/>
            <w:vAlign w:val="center"/>
            <w:hideMark/>
          </w:tcPr>
          <w:p w14:paraId="30883381"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742CB6D3"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26EB882"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1CA936CF"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4343AEF5" w14:textId="77777777" w:rsidTr="00390473">
        <w:trPr>
          <w:trHeight w:val="295"/>
        </w:trPr>
        <w:tc>
          <w:tcPr>
            <w:tcW w:w="1852" w:type="pct"/>
            <w:tcBorders>
              <w:top w:val="nil"/>
              <w:left w:val="nil"/>
              <w:bottom w:val="nil"/>
              <w:right w:val="nil"/>
            </w:tcBorders>
            <w:shd w:val="clear" w:color="auto" w:fill="auto"/>
            <w:vAlign w:val="center"/>
            <w:hideMark/>
          </w:tcPr>
          <w:p w14:paraId="316221E1"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Low physical activity</w:t>
            </w:r>
          </w:p>
        </w:tc>
        <w:tc>
          <w:tcPr>
            <w:tcW w:w="787" w:type="pct"/>
            <w:tcBorders>
              <w:top w:val="nil"/>
              <w:left w:val="nil"/>
              <w:bottom w:val="nil"/>
              <w:right w:val="nil"/>
            </w:tcBorders>
            <w:shd w:val="clear" w:color="auto" w:fill="auto"/>
            <w:vAlign w:val="center"/>
            <w:hideMark/>
          </w:tcPr>
          <w:p w14:paraId="1CBA892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3B2D9EC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602FFAF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BBB15E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27ED3919" w14:textId="77777777" w:rsidTr="00390473">
        <w:trPr>
          <w:trHeight w:val="310"/>
        </w:trPr>
        <w:tc>
          <w:tcPr>
            <w:tcW w:w="1852" w:type="pct"/>
            <w:tcBorders>
              <w:top w:val="nil"/>
              <w:left w:val="nil"/>
              <w:bottom w:val="nil"/>
              <w:right w:val="nil"/>
            </w:tcBorders>
            <w:shd w:val="clear" w:color="auto" w:fill="auto"/>
            <w:vAlign w:val="center"/>
            <w:hideMark/>
          </w:tcPr>
          <w:p w14:paraId="169BD2C2"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Moderate physical activity</w:t>
            </w:r>
          </w:p>
        </w:tc>
        <w:tc>
          <w:tcPr>
            <w:tcW w:w="787" w:type="pct"/>
            <w:tcBorders>
              <w:top w:val="nil"/>
              <w:left w:val="nil"/>
              <w:bottom w:val="nil"/>
              <w:right w:val="nil"/>
            </w:tcBorders>
            <w:shd w:val="clear" w:color="auto" w:fill="auto"/>
            <w:vAlign w:val="center"/>
            <w:hideMark/>
          </w:tcPr>
          <w:p w14:paraId="72F12993"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0.87</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28D4E91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-0.06</w:t>
            </w:r>
          </w:p>
        </w:tc>
        <w:tc>
          <w:tcPr>
            <w:tcW w:w="787" w:type="pct"/>
            <w:tcBorders>
              <w:top w:val="nil"/>
              <w:left w:val="nil"/>
              <w:bottom w:val="nil"/>
              <w:right w:val="nil"/>
            </w:tcBorders>
            <w:shd w:val="clear" w:color="auto" w:fill="auto"/>
            <w:vAlign w:val="center"/>
            <w:hideMark/>
          </w:tcPr>
          <w:p w14:paraId="0AFEAE10"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0.84</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676850B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-0.08</w:t>
            </w:r>
          </w:p>
        </w:tc>
      </w:tr>
      <w:tr w:rsidR="00390473" w:rsidRPr="00000849" w14:paraId="1720657B" w14:textId="77777777" w:rsidTr="00390473">
        <w:trPr>
          <w:trHeight w:val="295"/>
        </w:trPr>
        <w:tc>
          <w:tcPr>
            <w:tcW w:w="1852" w:type="pct"/>
            <w:tcBorders>
              <w:top w:val="nil"/>
              <w:left w:val="nil"/>
              <w:bottom w:val="nil"/>
              <w:right w:val="nil"/>
            </w:tcBorders>
            <w:shd w:val="clear" w:color="auto" w:fill="auto"/>
            <w:vAlign w:val="center"/>
            <w:hideMark/>
          </w:tcPr>
          <w:p w14:paraId="52B44BE6"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High physical activity</w:t>
            </w:r>
          </w:p>
        </w:tc>
        <w:tc>
          <w:tcPr>
            <w:tcW w:w="787" w:type="pct"/>
            <w:tcBorders>
              <w:top w:val="nil"/>
              <w:left w:val="nil"/>
              <w:bottom w:val="nil"/>
              <w:right w:val="nil"/>
            </w:tcBorders>
            <w:shd w:val="clear" w:color="auto" w:fill="auto"/>
            <w:vAlign w:val="center"/>
            <w:hideMark/>
          </w:tcPr>
          <w:p w14:paraId="69D08BE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1.05</w:t>
            </w:r>
          </w:p>
        </w:tc>
        <w:tc>
          <w:tcPr>
            <w:tcW w:w="787" w:type="pct"/>
            <w:tcBorders>
              <w:top w:val="nil"/>
              <w:left w:val="nil"/>
              <w:bottom w:val="nil"/>
              <w:right w:val="nil"/>
            </w:tcBorders>
            <w:shd w:val="clear" w:color="auto" w:fill="auto"/>
            <w:vAlign w:val="center"/>
            <w:hideMark/>
          </w:tcPr>
          <w:p w14:paraId="0093CC21"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-0.08</w:t>
            </w:r>
          </w:p>
        </w:tc>
        <w:tc>
          <w:tcPr>
            <w:tcW w:w="787" w:type="pct"/>
            <w:tcBorders>
              <w:top w:val="nil"/>
              <w:left w:val="nil"/>
              <w:bottom w:val="nil"/>
              <w:right w:val="nil"/>
            </w:tcBorders>
            <w:shd w:val="clear" w:color="auto" w:fill="auto"/>
            <w:vAlign w:val="center"/>
            <w:hideMark/>
          </w:tcPr>
          <w:p w14:paraId="410AABB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1.06</w:t>
            </w:r>
          </w:p>
        </w:tc>
        <w:tc>
          <w:tcPr>
            <w:tcW w:w="787" w:type="pct"/>
            <w:tcBorders>
              <w:top w:val="nil"/>
              <w:left w:val="nil"/>
              <w:bottom w:val="nil"/>
              <w:right w:val="nil"/>
            </w:tcBorders>
            <w:shd w:val="clear" w:color="auto" w:fill="auto"/>
            <w:vAlign w:val="center"/>
            <w:hideMark/>
          </w:tcPr>
          <w:p w14:paraId="516B296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w:t>
            </w:r>
          </w:p>
        </w:tc>
      </w:tr>
      <w:tr w:rsidR="00390473" w:rsidRPr="00000849" w14:paraId="0A945E88" w14:textId="77777777" w:rsidTr="00390473">
        <w:trPr>
          <w:trHeight w:val="295"/>
        </w:trPr>
        <w:tc>
          <w:tcPr>
            <w:tcW w:w="1852" w:type="pct"/>
            <w:tcBorders>
              <w:top w:val="nil"/>
              <w:left w:val="nil"/>
              <w:bottom w:val="nil"/>
              <w:right w:val="nil"/>
            </w:tcBorders>
            <w:shd w:val="clear" w:color="auto" w:fill="auto"/>
            <w:vAlign w:val="center"/>
            <w:hideMark/>
          </w:tcPr>
          <w:p w14:paraId="50E1EC56"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BMI category</w:t>
            </w:r>
          </w:p>
        </w:tc>
        <w:tc>
          <w:tcPr>
            <w:tcW w:w="787" w:type="pct"/>
            <w:tcBorders>
              <w:top w:val="nil"/>
              <w:left w:val="nil"/>
              <w:bottom w:val="nil"/>
              <w:right w:val="nil"/>
            </w:tcBorders>
            <w:shd w:val="clear" w:color="auto" w:fill="auto"/>
            <w:vAlign w:val="center"/>
            <w:hideMark/>
          </w:tcPr>
          <w:p w14:paraId="0634721E"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250A9854"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2282A788"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0961DE28"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60E88DE1" w14:textId="77777777" w:rsidTr="00390473">
        <w:trPr>
          <w:trHeight w:val="295"/>
        </w:trPr>
        <w:tc>
          <w:tcPr>
            <w:tcW w:w="1852" w:type="pct"/>
            <w:tcBorders>
              <w:top w:val="nil"/>
              <w:left w:val="nil"/>
              <w:bottom w:val="nil"/>
              <w:right w:val="nil"/>
            </w:tcBorders>
            <w:shd w:val="clear" w:color="auto" w:fill="auto"/>
            <w:vAlign w:val="center"/>
            <w:hideMark/>
          </w:tcPr>
          <w:p w14:paraId="78FB2B25"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Underweight</w:t>
            </w:r>
          </w:p>
        </w:tc>
        <w:tc>
          <w:tcPr>
            <w:tcW w:w="787" w:type="pct"/>
            <w:tcBorders>
              <w:top w:val="nil"/>
              <w:left w:val="nil"/>
              <w:bottom w:val="nil"/>
              <w:right w:val="nil"/>
            </w:tcBorders>
            <w:shd w:val="clear" w:color="auto" w:fill="auto"/>
            <w:vAlign w:val="center"/>
            <w:hideMark/>
          </w:tcPr>
          <w:p w14:paraId="56B31CE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3069C54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64C2276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076FA3B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3CDDC764" w14:textId="77777777" w:rsidTr="00390473">
        <w:trPr>
          <w:trHeight w:val="310"/>
        </w:trPr>
        <w:tc>
          <w:tcPr>
            <w:tcW w:w="1852" w:type="pct"/>
            <w:tcBorders>
              <w:top w:val="nil"/>
              <w:left w:val="nil"/>
              <w:bottom w:val="nil"/>
              <w:right w:val="nil"/>
            </w:tcBorders>
            <w:shd w:val="clear" w:color="auto" w:fill="auto"/>
            <w:vAlign w:val="center"/>
            <w:hideMark/>
          </w:tcPr>
          <w:p w14:paraId="5497C7E1"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Normal weight</w:t>
            </w:r>
          </w:p>
        </w:tc>
        <w:tc>
          <w:tcPr>
            <w:tcW w:w="787" w:type="pct"/>
            <w:tcBorders>
              <w:top w:val="nil"/>
              <w:left w:val="nil"/>
              <w:bottom w:val="nil"/>
              <w:right w:val="nil"/>
            </w:tcBorders>
            <w:shd w:val="clear" w:color="auto" w:fill="auto"/>
            <w:vAlign w:val="center"/>
            <w:hideMark/>
          </w:tcPr>
          <w:p w14:paraId="5DDBE617"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1.28</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816FB0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-0.11</w:t>
            </w:r>
          </w:p>
        </w:tc>
        <w:tc>
          <w:tcPr>
            <w:tcW w:w="787" w:type="pct"/>
            <w:tcBorders>
              <w:top w:val="nil"/>
              <w:left w:val="nil"/>
              <w:bottom w:val="nil"/>
              <w:right w:val="nil"/>
            </w:tcBorders>
            <w:shd w:val="clear" w:color="auto" w:fill="auto"/>
            <w:vAlign w:val="center"/>
            <w:hideMark/>
          </w:tcPr>
          <w:p w14:paraId="04A88932"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1.36</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0A3F43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-0.15</w:t>
            </w:r>
          </w:p>
        </w:tc>
      </w:tr>
      <w:tr w:rsidR="00390473" w:rsidRPr="00000849" w14:paraId="448A6752" w14:textId="77777777" w:rsidTr="00390473">
        <w:trPr>
          <w:trHeight w:val="310"/>
        </w:trPr>
        <w:tc>
          <w:tcPr>
            <w:tcW w:w="1852" w:type="pct"/>
            <w:tcBorders>
              <w:top w:val="nil"/>
              <w:left w:val="nil"/>
              <w:bottom w:val="nil"/>
              <w:right w:val="nil"/>
            </w:tcBorders>
            <w:shd w:val="clear" w:color="auto" w:fill="auto"/>
            <w:vAlign w:val="center"/>
            <w:hideMark/>
          </w:tcPr>
          <w:p w14:paraId="23370B24"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Overweight</w:t>
            </w:r>
          </w:p>
        </w:tc>
        <w:tc>
          <w:tcPr>
            <w:tcW w:w="787" w:type="pct"/>
            <w:tcBorders>
              <w:top w:val="nil"/>
              <w:left w:val="nil"/>
              <w:bottom w:val="nil"/>
              <w:right w:val="nil"/>
            </w:tcBorders>
            <w:shd w:val="clear" w:color="auto" w:fill="auto"/>
            <w:vAlign w:val="center"/>
            <w:hideMark/>
          </w:tcPr>
          <w:p w14:paraId="11B32651"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1.86</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20D1BAC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-0.21</w:t>
            </w:r>
          </w:p>
        </w:tc>
        <w:tc>
          <w:tcPr>
            <w:tcW w:w="787" w:type="pct"/>
            <w:tcBorders>
              <w:top w:val="nil"/>
              <w:left w:val="nil"/>
              <w:bottom w:val="nil"/>
              <w:right w:val="nil"/>
            </w:tcBorders>
            <w:shd w:val="clear" w:color="auto" w:fill="auto"/>
            <w:vAlign w:val="center"/>
            <w:hideMark/>
          </w:tcPr>
          <w:p w14:paraId="28F75DD4"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2.24</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34D7595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-0.33</w:t>
            </w:r>
          </w:p>
        </w:tc>
      </w:tr>
      <w:tr w:rsidR="00390473" w:rsidRPr="00000849" w14:paraId="47473C4A" w14:textId="77777777" w:rsidTr="00390473">
        <w:trPr>
          <w:trHeight w:val="310"/>
        </w:trPr>
        <w:tc>
          <w:tcPr>
            <w:tcW w:w="1852" w:type="pct"/>
            <w:tcBorders>
              <w:top w:val="nil"/>
              <w:left w:val="nil"/>
              <w:bottom w:val="nil"/>
              <w:right w:val="nil"/>
            </w:tcBorders>
            <w:shd w:val="clear" w:color="auto" w:fill="auto"/>
            <w:vAlign w:val="center"/>
            <w:hideMark/>
          </w:tcPr>
          <w:p w14:paraId="0CAA880A"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Obese</w:t>
            </w:r>
          </w:p>
        </w:tc>
        <w:tc>
          <w:tcPr>
            <w:tcW w:w="787" w:type="pct"/>
            <w:tcBorders>
              <w:top w:val="nil"/>
              <w:left w:val="nil"/>
              <w:bottom w:val="nil"/>
              <w:right w:val="nil"/>
            </w:tcBorders>
            <w:shd w:val="clear" w:color="auto" w:fill="auto"/>
            <w:vAlign w:val="center"/>
            <w:hideMark/>
          </w:tcPr>
          <w:p w14:paraId="0531938B"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2.07</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9F5FFE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-0.28</w:t>
            </w:r>
          </w:p>
        </w:tc>
        <w:tc>
          <w:tcPr>
            <w:tcW w:w="787" w:type="pct"/>
            <w:tcBorders>
              <w:top w:val="nil"/>
              <w:left w:val="nil"/>
              <w:bottom w:val="nil"/>
              <w:right w:val="nil"/>
            </w:tcBorders>
            <w:shd w:val="clear" w:color="auto" w:fill="auto"/>
            <w:vAlign w:val="center"/>
            <w:hideMark/>
          </w:tcPr>
          <w:p w14:paraId="4D673AE7"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2.53</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0C4B7EA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-0.46</w:t>
            </w:r>
          </w:p>
        </w:tc>
      </w:tr>
      <w:tr w:rsidR="00390473" w:rsidRPr="00000849" w14:paraId="399576B4" w14:textId="77777777" w:rsidTr="00390473">
        <w:trPr>
          <w:trHeight w:val="295"/>
        </w:trPr>
        <w:tc>
          <w:tcPr>
            <w:tcW w:w="1852" w:type="pct"/>
            <w:tcBorders>
              <w:top w:val="nil"/>
              <w:left w:val="nil"/>
              <w:bottom w:val="nil"/>
              <w:right w:val="nil"/>
            </w:tcBorders>
            <w:shd w:val="clear" w:color="auto" w:fill="auto"/>
            <w:vAlign w:val="center"/>
            <w:hideMark/>
          </w:tcPr>
          <w:p w14:paraId="12E0B861"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 xml:space="preserve">Waist circumference </w:t>
            </w:r>
          </w:p>
        </w:tc>
        <w:tc>
          <w:tcPr>
            <w:tcW w:w="787" w:type="pct"/>
            <w:tcBorders>
              <w:top w:val="nil"/>
              <w:left w:val="nil"/>
              <w:bottom w:val="nil"/>
              <w:right w:val="nil"/>
            </w:tcBorders>
            <w:shd w:val="clear" w:color="auto" w:fill="auto"/>
            <w:vAlign w:val="center"/>
            <w:hideMark/>
          </w:tcPr>
          <w:p w14:paraId="520E1E61"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02B05179"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41324774"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40EC0555"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5A7DC81B" w14:textId="77777777" w:rsidTr="00390473">
        <w:trPr>
          <w:trHeight w:val="295"/>
        </w:trPr>
        <w:tc>
          <w:tcPr>
            <w:tcW w:w="1852" w:type="pct"/>
            <w:tcBorders>
              <w:top w:val="nil"/>
              <w:left w:val="nil"/>
              <w:bottom w:val="nil"/>
              <w:right w:val="nil"/>
            </w:tcBorders>
            <w:shd w:val="clear" w:color="auto" w:fill="auto"/>
            <w:vAlign w:val="center"/>
            <w:hideMark/>
          </w:tcPr>
          <w:p w14:paraId="35F7B5A7"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&lt;80 cm</w:t>
            </w:r>
          </w:p>
        </w:tc>
        <w:tc>
          <w:tcPr>
            <w:tcW w:w="787" w:type="pct"/>
            <w:tcBorders>
              <w:top w:val="nil"/>
              <w:left w:val="nil"/>
              <w:bottom w:val="nil"/>
              <w:right w:val="nil"/>
            </w:tcBorders>
            <w:shd w:val="clear" w:color="auto" w:fill="auto"/>
            <w:vAlign w:val="center"/>
            <w:hideMark/>
          </w:tcPr>
          <w:p w14:paraId="7B008E79"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5F66AAB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00B145B8"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BCC5FA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3D72520D" w14:textId="77777777" w:rsidTr="00390473">
        <w:trPr>
          <w:trHeight w:val="295"/>
        </w:trPr>
        <w:tc>
          <w:tcPr>
            <w:tcW w:w="1852" w:type="pct"/>
            <w:tcBorders>
              <w:top w:val="nil"/>
              <w:left w:val="nil"/>
              <w:bottom w:val="nil"/>
              <w:right w:val="nil"/>
            </w:tcBorders>
            <w:shd w:val="clear" w:color="auto" w:fill="auto"/>
            <w:vAlign w:val="center"/>
            <w:hideMark/>
          </w:tcPr>
          <w:p w14:paraId="26729BA0"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&gt;=80 to &lt;90 cm</w:t>
            </w:r>
          </w:p>
        </w:tc>
        <w:tc>
          <w:tcPr>
            <w:tcW w:w="787" w:type="pct"/>
            <w:tcBorders>
              <w:top w:val="nil"/>
              <w:left w:val="nil"/>
              <w:bottom w:val="nil"/>
              <w:right w:val="nil"/>
            </w:tcBorders>
            <w:shd w:val="clear" w:color="auto" w:fill="auto"/>
            <w:vAlign w:val="center"/>
            <w:hideMark/>
          </w:tcPr>
          <w:p w14:paraId="15C902D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1.05</w:t>
            </w:r>
          </w:p>
        </w:tc>
        <w:tc>
          <w:tcPr>
            <w:tcW w:w="787" w:type="pct"/>
            <w:tcBorders>
              <w:top w:val="nil"/>
              <w:left w:val="nil"/>
              <w:bottom w:val="nil"/>
              <w:right w:val="nil"/>
            </w:tcBorders>
            <w:shd w:val="clear" w:color="auto" w:fill="auto"/>
            <w:vAlign w:val="center"/>
            <w:hideMark/>
          </w:tcPr>
          <w:p w14:paraId="5B7E06E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-0.08</w:t>
            </w:r>
          </w:p>
        </w:tc>
        <w:tc>
          <w:tcPr>
            <w:tcW w:w="787" w:type="pct"/>
            <w:tcBorders>
              <w:top w:val="nil"/>
              <w:left w:val="nil"/>
              <w:bottom w:val="nil"/>
              <w:right w:val="nil"/>
            </w:tcBorders>
            <w:shd w:val="clear" w:color="auto" w:fill="auto"/>
            <w:vAlign w:val="center"/>
            <w:hideMark/>
          </w:tcPr>
          <w:p w14:paraId="0CDAE8B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1.07</w:t>
            </w:r>
          </w:p>
        </w:tc>
        <w:tc>
          <w:tcPr>
            <w:tcW w:w="787" w:type="pct"/>
            <w:tcBorders>
              <w:top w:val="nil"/>
              <w:left w:val="nil"/>
              <w:bottom w:val="nil"/>
              <w:right w:val="nil"/>
            </w:tcBorders>
            <w:shd w:val="clear" w:color="auto" w:fill="auto"/>
            <w:vAlign w:val="center"/>
            <w:hideMark/>
          </w:tcPr>
          <w:p w14:paraId="451E7B7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-0.11</w:t>
            </w:r>
          </w:p>
        </w:tc>
      </w:tr>
      <w:tr w:rsidR="00390473" w:rsidRPr="00000849" w14:paraId="49383945" w14:textId="77777777" w:rsidTr="00390473">
        <w:trPr>
          <w:trHeight w:val="295"/>
        </w:trPr>
        <w:tc>
          <w:tcPr>
            <w:tcW w:w="1852" w:type="pct"/>
            <w:tcBorders>
              <w:top w:val="nil"/>
              <w:left w:val="nil"/>
              <w:bottom w:val="nil"/>
              <w:right w:val="nil"/>
            </w:tcBorders>
            <w:shd w:val="clear" w:color="auto" w:fill="auto"/>
            <w:vAlign w:val="center"/>
            <w:hideMark/>
          </w:tcPr>
          <w:p w14:paraId="65C298CF"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&gt;=90 cm</w:t>
            </w:r>
          </w:p>
        </w:tc>
        <w:tc>
          <w:tcPr>
            <w:tcW w:w="787" w:type="pct"/>
            <w:tcBorders>
              <w:top w:val="nil"/>
              <w:left w:val="nil"/>
              <w:bottom w:val="nil"/>
              <w:right w:val="nil"/>
            </w:tcBorders>
            <w:shd w:val="clear" w:color="auto" w:fill="auto"/>
            <w:vAlign w:val="center"/>
            <w:hideMark/>
          </w:tcPr>
          <w:p w14:paraId="756D201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1.19</w:t>
            </w:r>
          </w:p>
        </w:tc>
        <w:tc>
          <w:tcPr>
            <w:tcW w:w="787" w:type="pct"/>
            <w:tcBorders>
              <w:top w:val="nil"/>
              <w:left w:val="nil"/>
              <w:bottom w:val="nil"/>
              <w:right w:val="nil"/>
            </w:tcBorders>
            <w:shd w:val="clear" w:color="auto" w:fill="auto"/>
            <w:vAlign w:val="center"/>
            <w:hideMark/>
          </w:tcPr>
          <w:p w14:paraId="76757CA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-0.13</w:t>
            </w:r>
          </w:p>
        </w:tc>
        <w:tc>
          <w:tcPr>
            <w:tcW w:w="787" w:type="pct"/>
            <w:tcBorders>
              <w:top w:val="nil"/>
              <w:left w:val="nil"/>
              <w:bottom w:val="nil"/>
              <w:right w:val="nil"/>
            </w:tcBorders>
            <w:shd w:val="clear" w:color="auto" w:fill="auto"/>
            <w:vAlign w:val="center"/>
            <w:hideMark/>
          </w:tcPr>
          <w:p w14:paraId="143C129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1.27</w:t>
            </w:r>
          </w:p>
        </w:tc>
        <w:tc>
          <w:tcPr>
            <w:tcW w:w="787" w:type="pct"/>
            <w:tcBorders>
              <w:top w:val="nil"/>
              <w:left w:val="nil"/>
              <w:bottom w:val="nil"/>
              <w:right w:val="nil"/>
            </w:tcBorders>
            <w:shd w:val="clear" w:color="auto" w:fill="auto"/>
            <w:vAlign w:val="center"/>
            <w:hideMark/>
          </w:tcPr>
          <w:p w14:paraId="5FA1474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-0.18</w:t>
            </w:r>
          </w:p>
        </w:tc>
      </w:tr>
      <w:tr w:rsidR="00390473" w:rsidRPr="00000849" w14:paraId="40284A4B" w14:textId="77777777" w:rsidTr="00390473">
        <w:trPr>
          <w:trHeight w:val="295"/>
        </w:trPr>
        <w:tc>
          <w:tcPr>
            <w:tcW w:w="1852" w:type="pct"/>
            <w:tcBorders>
              <w:top w:val="nil"/>
              <w:left w:val="nil"/>
              <w:bottom w:val="nil"/>
              <w:right w:val="nil"/>
            </w:tcBorders>
            <w:shd w:val="clear" w:color="auto" w:fill="auto"/>
            <w:vAlign w:val="center"/>
            <w:hideMark/>
          </w:tcPr>
          <w:p w14:paraId="0CF9FB0A"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Hip circumference</w:t>
            </w:r>
          </w:p>
        </w:tc>
        <w:tc>
          <w:tcPr>
            <w:tcW w:w="787" w:type="pct"/>
            <w:tcBorders>
              <w:top w:val="nil"/>
              <w:left w:val="nil"/>
              <w:bottom w:val="nil"/>
              <w:right w:val="nil"/>
            </w:tcBorders>
            <w:shd w:val="clear" w:color="auto" w:fill="auto"/>
            <w:vAlign w:val="center"/>
            <w:hideMark/>
          </w:tcPr>
          <w:p w14:paraId="6D20627B"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0E6EFD33"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52F45263"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02097709"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6FEC056E" w14:textId="77777777" w:rsidTr="00390473">
        <w:trPr>
          <w:trHeight w:val="295"/>
        </w:trPr>
        <w:tc>
          <w:tcPr>
            <w:tcW w:w="1852" w:type="pct"/>
            <w:tcBorders>
              <w:top w:val="nil"/>
              <w:left w:val="nil"/>
              <w:bottom w:val="nil"/>
              <w:right w:val="nil"/>
            </w:tcBorders>
            <w:shd w:val="clear" w:color="auto" w:fill="auto"/>
            <w:vAlign w:val="center"/>
            <w:hideMark/>
          </w:tcPr>
          <w:p w14:paraId="64B6F7A9"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&lt;90 cm</w:t>
            </w:r>
          </w:p>
        </w:tc>
        <w:tc>
          <w:tcPr>
            <w:tcW w:w="787" w:type="pct"/>
            <w:tcBorders>
              <w:top w:val="nil"/>
              <w:left w:val="nil"/>
              <w:bottom w:val="nil"/>
              <w:right w:val="nil"/>
            </w:tcBorders>
            <w:shd w:val="clear" w:color="auto" w:fill="auto"/>
            <w:vAlign w:val="center"/>
            <w:hideMark/>
          </w:tcPr>
          <w:p w14:paraId="5A480C1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1905F98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1542519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C41B5E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4CE6E0C2" w14:textId="77777777" w:rsidTr="00390473">
        <w:trPr>
          <w:trHeight w:val="295"/>
        </w:trPr>
        <w:tc>
          <w:tcPr>
            <w:tcW w:w="1852" w:type="pct"/>
            <w:tcBorders>
              <w:top w:val="nil"/>
              <w:left w:val="nil"/>
              <w:bottom w:val="nil"/>
              <w:right w:val="nil"/>
            </w:tcBorders>
            <w:shd w:val="clear" w:color="auto" w:fill="auto"/>
            <w:vAlign w:val="center"/>
            <w:hideMark/>
          </w:tcPr>
          <w:p w14:paraId="4C9934BC"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&gt;=90 to &lt;100 cm</w:t>
            </w:r>
          </w:p>
        </w:tc>
        <w:tc>
          <w:tcPr>
            <w:tcW w:w="787" w:type="pct"/>
            <w:tcBorders>
              <w:top w:val="nil"/>
              <w:left w:val="nil"/>
              <w:bottom w:val="nil"/>
              <w:right w:val="nil"/>
            </w:tcBorders>
            <w:shd w:val="clear" w:color="auto" w:fill="auto"/>
            <w:vAlign w:val="center"/>
            <w:hideMark/>
          </w:tcPr>
          <w:p w14:paraId="2C89002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1.13</w:t>
            </w:r>
          </w:p>
        </w:tc>
        <w:tc>
          <w:tcPr>
            <w:tcW w:w="787" w:type="pct"/>
            <w:tcBorders>
              <w:top w:val="nil"/>
              <w:left w:val="nil"/>
              <w:bottom w:val="nil"/>
              <w:right w:val="nil"/>
            </w:tcBorders>
            <w:shd w:val="clear" w:color="auto" w:fill="auto"/>
            <w:vAlign w:val="center"/>
            <w:hideMark/>
          </w:tcPr>
          <w:p w14:paraId="1ED82C5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-0.09</w:t>
            </w:r>
          </w:p>
        </w:tc>
        <w:tc>
          <w:tcPr>
            <w:tcW w:w="787" w:type="pct"/>
            <w:tcBorders>
              <w:top w:val="nil"/>
              <w:left w:val="nil"/>
              <w:bottom w:val="nil"/>
              <w:right w:val="nil"/>
            </w:tcBorders>
            <w:shd w:val="clear" w:color="auto" w:fill="auto"/>
            <w:vAlign w:val="center"/>
            <w:hideMark/>
          </w:tcPr>
          <w:p w14:paraId="662AD53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1.14</w:t>
            </w:r>
          </w:p>
        </w:tc>
        <w:tc>
          <w:tcPr>
            <w:tcW w:w="787" w:type="pct"/>
            <w:tcBorders>
              <w:top w:val="nil"/>
              <w:left w:val="nil"/>
              <w:bottom w:val="nil"/>
              <w:right w:val="nil"/>
            </w:tcBorders>
            <w:shd w:val="clear" w:color="auto" w:fill="auto"/>
            <w:vAlign w:val="center"/>
            <w:hideMark/>
          </w:tcPr>
          <w:p w14:paraId="144241E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-0.12</w:t>
            </w:r>
          </w:p>
        </w:tc>
      </w:tr>
      <w:tr w:rsidR="00390473" w:rsidRPr="00000849" w14:paraId="25CAC400" w14:textId="77777777" w:rsidTr="00390473">
        <w:trPr>
          <w:trHeight w:val="295"/>
        </w:trPr>
        <w:tc>
          <w:tcPr>
            <w:tcW w:w="1852" w:type="pct"/>
            <w:tcBorders>
              <w:top w:val="nil"/>
              <w:left w:val="nil"/>
              <w:bottom w:val="nil"/>
              <w:right w:val="nil"/>
            </w:tcBorders>
            <w:shd w:val="clear" w:color="auto" w:fill="auto"/>
            <w:vAlign w:val="center"/>
            <w:hideMark/>
          </w:tcPr>
          <w:p w14:paraId="504941E6"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&gt;=100 cm</w:t>
            </w:r>
          </w:p>
        </w:tc>
        <w:tc>
          <w:tcPr>
            <w:tcW w:w="787" w:type="pct"/>
            <w:tcBorders>
              <w:top w:val="nil"/>
              <w:left w:val="nil"/>
              <w:bottom w:val="nil"/>
              <w:right w:val="nil"/>
            </w:tcBorders>
            <w:shd w:val="clear" w:color="auto" w:fill="auto"/>
            <w:vAlign w:val="center"/>
            <w:hideMark/>
          </w:tcPr>
          <w:p w14:paraId="2572031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0.99</w:t>
            </w:r>
          </w:p>
        </w:tc>
        <w:tc>
          <w:tcPr>
            <w:tcW w:w="787" w:type="pct"/>
            <w:tcBorders>
              <w:top w:val="nil"/>
              <w:left w:val="nil"/>
              <w:bottom w:val="nil"/>
              <w:right w:val="nil"/>
            </w:tcBorders>
            <w:shd w:val="clear" w:color="auto" w:fill="auto"/>
            <w:vAlign w:val="center"/>
            <w:hideMark/>
          </w:tcPr>
          <w:p w14:paraId="21ECC6A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-0.12</w:t>
            </w:r>
          </w:p>
        </w:tc>
        <w:tc>
          <w:tcPr>
            <w:tcW w:w="787" w:type="pct"/>
            <w:tcBorders>
              <w:top w:val="nil"/>
              <w:left w:val="nil"/>
              <w:bottom w:val="nil"/>
              <w:right w:val="nil"/>
            </w:tcBorders>
            <w:shd w:val="clear" w:color="auto" w:fill="auto"/>
            <w:vAlign w:val="center"/>
            <w:hideMark/>
          </w:tcPr>
          <w:p w14:paraId="138E7500"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0.99</w:t>
            </w:r>
          </w:p>
        </w:tc>
        <w:tc>
          <w:tcPr>
            <w:tcW w:w="787" w:type="pct"/>
            <w:tcBorders>
              <w:top w:val="nil"/>
              <w:left w:val="nil"/>
              <w:bottom w:val="nil"/>
              <w:right w:val="nil"/>
            </w:tcBorders>
            <w:shd w:val="clear" w:color="auto" w:fill="auto"/>
            <w:vAlign w:val="center"/>
            <w:hideMark/>
          </w:tcPr>
          <w:p w14:paraId="5B2B4389"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-0.15</w:t>
            </w:r>
          </w:p>
        </w:tc>
      </w:tr>
      <w:tr w:rsidR="00390473" w:rsidRPr="00000849" w14:paraId="518EA10D" w14:textId="77777777" w:rsidTr="00390473">
        <w:trPr>
          <w:trHeight w:val="295"/>
        </w:trPr>
        <w:tc>
          <w:tcPr>
            <w:tcW w:w="1852" w:type="pct"/>
            <w:tcBorders>
              <w:top w:val="nil"/>
              <w:left w:val="nil"/>
              <w:bottom w:val="nil"/>
              <w:right w:val="nil"/>
            </w:tcBorders>
            <w:shd w:val="clear" w:color="auto" w:fill="auto"/>
            <w:vAlign w:val="center"/>
            <w:hideMark/>
          </w:tcPr>
          <w:p w14:paraId="6ECDF6AF"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Smoke behaviour</w:t>
            </w:r>
          </w:p>
        </w:tc>
        <w:tc>
          <w:tcPr>
            <w:tcW w:w="787" w:type="pct"/>
            <w:tcBorders>
              <w:top w:val="nil"/>
              <w:left w:val="nil"/>
              <w:bottom w:val="nil"/>
              <w:right w:val="nil"/>
            </w:tcBorders>
            <w:shd w:val="clear" w:color="auto" w:fill="auto"/>
            <w:vAlign w:val="center"/>
            <w:hideMark/>
          </w:tcPr>
          <w:p w14:paraId="6E7D8ABD"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6140558A"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C1E8A16"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3AA470F8"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5BB2A3D0" w14:textId="77777777" w:rsidTr="00390473">
        <w:trPr>
          <w:trHeight w:val="295"/>
        </w:trPr>
        <w:tc>
          <w:tcPr>
            <w:tcW w:w="1852" w:type="pct"/>
            <w:tcBorders>
              <w:top w:val="nil"/>
              <w:left w:val="nil"/>
              <w:bottom w:val="nil"/>
              <w:right w:val="nil"/>
            </w:tcBorders>
            <w:shd w:val="clear" w:color="auto" w:fill="auto"/>
            <w:vAlign w:val="center"/>
            <w:hideMark/>
          </w:tcPr>
          <w:p w14:paraId="67C54A16"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never smoker</w:t>
            </w:r>
          </w:p>
        </w:tc>
        <w:tc>
          <w:tcPr>
            <w:tcW w:w="787" w:type="pct"/>
            <w:tcBorders>
              <w:top w:val="nil"/>
              <w:left w:val="nil"/>
              <w:bottom w:val="nil"/>
              <w:right w:val="nil"/>
            </w:tcBorders>
            <w:shd w:val="clear" w:color="auto" w:fill="auto"/>
            <w:vAlign w:val="center"/>
            <w:hideMark/>
          </w:tcPr>
          <w:p w14:paraId="16B80A1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D67842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77465CD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616430D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5A37BB1C" w14:textId="77777777" w:rsidTr="00390473">
        <w:trPr>
          <w:trHeight w:val="295"/>
        </w:trPr>
        <w:tc>
          <w:tcPr>
            <w:tcW w:w="1852" w:type="pct"/>
            <w:tcBorders>
              <w:top w:val="nil"/>
              <w:left w:val="nil"/>
              <w:bottom w:val="nil"/>
              <w:right w:val="nil"/>
            </w:tcBorders>
            <w:shd w:val="clear" w:color="auto" w:fill="auto"/>
            <w:vAlign w:val="center"/>
            <w:hideMark/>
          </w:tcPr>
          <w:p w14:paraId="6F433821"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former smoker</w:t>
            </w:r>
          </w:p>
        </w:tc>
        <w:tc>
          <w:tcPr>
            <w:tcW w:w="787" w:type="pct"/>
            <w:tcBorders>
              <w:top w:val="nil"/>
              <w:left w:val="nil"/>
              <w:bottom w:val="nil"/>
              <w:right w:val="nil"/>
            </w:tcBorders>
            <w:shd w:val="clear" w:color="auto" w:fill="auto"/>
            <w:vAlign w:val="center"/>
            <w:hideMark/>
          </w:tcPr>
          <w:p w14:paraId="00CD347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1.18</w:t>
            </w:r>
          </w:p>
        </w:tc>
        <w:tc>
          <w:tcPr>
            <w:tcW w:w="787" w:type="pct"/>
            <w:tcBorders>
              <w:top w:val="nil"/>
              <w:left w:val="nil"/>
              <w:bottom w:val="nil"/>
              <w:right w:val="nil"/>
            </w:tcBorders>
            <w:shd w:val="clear" w:color="auto" w:fill="auto"/>
            <w:vAlign w:val="center"/>
            <w:hideMark/>
          </w:tcPr>
          <w:p w14:paraId="5B62710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-0.11</w:t>
            </w:r>
          </w:p>
        </w:tc>
        <w:tc>
          <w:tcPr>
            <w:tcW w:w="787" w:type="pct"/>
            <w:tcBorders>
              <w:top w:val="nil"/>
              <w:left w:val="nil"/>
              <w:bottom w:val="nil"/>
              <w:right w:val="nil"/>
            </w:tcBorders>
            <w:shd w:val="clear" w:color="auto" w:fill="auto"/>
            <w:vAlign w:val="center"/>
            <w:hideMark/>
          </w:tcPr>
          <w:p w14:paraId="6A97E5E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1.25</w:t>
            </w:r>
          </w:p>
        </w:tc>
        <w:tc>
          <w:tcPr>
            <w:tcW w:w="787" w:type="pct"/>
            <w:tcBorders>
              <w:top w:val="nil"/>
              <w:left w:val="nil"/>
              <w:bottom w:val="nil"/>
              <w:right w:val="nil"/>
            </w:tcBorders>
            <w:shd w:val="clear" w:color="auto" w:fill="auto"/>
            <w:vAlign w:val="center"/>
            <w:hideMark/>
          </w:tcPr>
          <w:p w14:paraId="605C911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-0.16</w:t>
            </w:r>
          </w:p>
        </w:tc>
      </w:tr>
      <w:tr w:rsidR="00390473" w:rsidRPr="00000849" w14:paraId="3A6A8DDD" w14:textId="77777777" w:rsidTr="00390473">
        <w:trPr>
          <w:trHeight w:val="295"/>
        </w:trPr>
        <w:tc>
          <w:tcPr>
            <w:tcW w:w="1852" w:type="pct"/>
            <w:tcBorders>
              <w:top w:val="nil"/>
              <w:left w:val="nil"/>
              <w:bottom w:val="nil"/>
              <w:right w:val="nil"/>
            </w:tcBorders>
            <w:shd w:val="clear" w:color="auto" w:fill="auto"/>
            <w:vAlign w:val="center"/>
            <w:hideMark/>
          </w:tcPr>
          <w:p w14:paraId="2711F624"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current smoker</w:t>
            </w:r>
          </w:p>
        </w:tc>
        <w:tc>
          <w:tcPr>
            <w:tcW w:w="787" w:type="pct"/>
            <w:tcBorders>
              <w:top w:val="nil"/>
              <w:left w:val="nil"/>
              <w:bottom w:val="nil"/>
              <w:right w:val="nil"/>
            </w:tcBorders>
            <w:shd w:val="clear" w:color="auto" w:fill="auto"/>
            <w:vAlign w:val="center"/>
            <w:hideMark/>
          </w:tcPr>
          <w:p w14:paraId="771C9C2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0.94</w:t>
            </w:r>
          </w:p>
        </w:tc>
        <w:tc>
          <w:tcPr>
            <w:tcW w:w="787" w:type="pct"/>
            <w:tcBorders>
              <w:top w:val="nil"/>
              <w:left w:val="nil"/>
              <w:bottom w:val="nil"/>
              <w:right w:val="nil"/>
            </w:tcBorders>
            <w:shd w:val="clear" w:color="auto" w:fill="auto"/>
            <w:vAlign w:val="center"/>
            <w:hideMark/>
          </w:tcPr>
          <w:p w14:paraId="1F9FF65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w:t>
            </w:r>
          </w:p>
        </w:tc>
        <w:tc>
          <w:tcPr>
            <w:tcW w:w="787" w:type="pct"/>
            <w:tcBorders>
              <w:top w:val="nil"/>
              <w:left w:val="nil"/>
              <w:bottom w:val="nil"/>
              <w:right w:val="nil"/>
            </w:tcBorders>
            <w:shd w:val="clear" w:color="auto" w:fill="auto"/>
            <w:vAlign w:val="center"/>
            <w:hideMark/>
          </w:tcPr>
          <w:p w14:paraId="56BA1D7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0.91</w:t>
            </w:r>
          </w:p>
        </w:tc>
        <w:tc>
          <w:tcPr>
            <w:tcW w:w="787" w:type="pct"/>
            <w:tcBorders>
              <w:top w:val="nil"/>
              <w:left w:val="nil"/>
              <w:bottom w:val="nil"/>
              <w:right w:val="nil"/>
            </w:tcBorders>
            <w:shd w:val="clear" w:color="auto" w:fill="auto"/>
            <w:vAlign w:val="center"/>
            <w:hideMark/>
          </w:tcPr>
          <w:p w14:paraId="3D09C22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-0.12</w:t>
            </w:r>
          </w:p>
        </w:tc>
      </w:tr>
      <w:tr w:rsidR="00390473" w:rsidRPr="00000849" w14:paraId="00D93E2B" w14:textId="77777777" w:rsidTr="00390473">
        <w:trPr>
          <w:trHeight w:val="295"/>
        </w:trPr>
        <w:tc>
          <w:tcPr>
            <w:tcW w:w="1852" w:type="pct"/>
            <w:tcBorders>
              <w:top w:val="nil"/>
              <w:left w:val="nil"/>
              <w:bottom w:val="nil"/>
              <w:right w:val="nil"/>
            </w:tcBorders>
            <w:shd w:val="clear" w:color="auto" w:fill="auto"/>
            <w:vAlign w:val="center"/>
            <w:hideMark/>
          </w:tcPr>
          <w:p w14:paraId="24D13180"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Alcohol consumption</w:t>
            </w:r>
          </w:p>
        </w:tc>
        <w:tc>
          <w:tcPr>
            <w:tcW w:w="787" w:type="pct"/>
            <w:tcBorders>
              <w:top w:val="nil"/>
              <w:left w:val="nil"/>
              <w:bottom w:val="nil"/>
              <w:right w:val="nil"/>
            </w:tcBorders>
            <w:shd w:val="clear" w:color="auto" w:fill="auto"/>
            <w:vAlign w:val="center"/>
            <w:hideMark/>
          </w:tcPr>
          <w:p w14:paraId="0864C9A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1D98D07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0A81C23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2F057EA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38203AB0" w14:textId="77777777" w:rsidTr="00390473">
        <w:trPr>
          <w:trHeight w:val="295"/>
        </w:trPr>
        <w:tc>
          <w:tcPr>
            <w:tcW w:w="1852" w:type="pct"/>
            <w:tcBorders>
              <w:top w:val="nil"/>
              <w:left w:val="nil"/>
              <w:bottom w:val="nil"/>
              <w:right w:val="nil"/>
            </w:tcBorders>
            <w:shd w:val="clear" w:color="auto" w:fill="auto"/>
            <w:vAlign w:val="center"/>
            <w:hideMark/>
          </w:tcPr>
          <w:p w14:paraId="29329525"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Lifetime abstainer</w:t>
            </w:r>
          </w:p>
        </w:tc>
        <w:tc>
          <w:tcPr>
            <w:tcW w:w="787" w:type="pct"/>
            <w:tcBorders>
              <w:top w:val="nil"/>
              <w:left w:val="nil"/>
              <w:bottom w:val="nil"/>
              <w:right w:val="nil"/>
            </w:tcBorders>
            <w:shd w:val="clear" w:color="auto" w:fill="auto"/>
            <w:vAlign w:val="center"/>
            <w:hideMark/>
          </w:tcPr>
          <w:p w14:paraId="149075A7"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04FE320B"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26D28BD4"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64B0C35"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4AC4703B" w14:textId="77777777" w:rsidTr="00390473">
        <w:trPr>
          <w:trHeight w:val="295"/>
        </w:trPr>
        <w:tc>
          <w:tcPr>
            <w:tcW w:w="1852" w:type="pct"/>
            <w:tcBorders>
              <w:top w:val="nil"/>
              <w:left w:val="nil"/>
              <w:bottom w:val="nil"/>
              <w:right w:val="nil"/>
            </w:tcBorders>
            <w:shd w:val="clear" w:color="auto" w:fill="auto"/>
            <w:vAlign w:val="center"/>
            <w:hideMark/>
          </w:tcPr>
          <w:p w14:paraId="477843AF"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lastRenderedPageBreak/>
              <w:t>Non-heavy drinker</w:t>
            </w:r>
          </w:p>
        </w:tc>
        <w:tc>
          <w:tcPr>
            <w:tcW w:w="787" w:type="pct"/>
            <w:tcBorders>
              <w:top w:val="nil"/>
              <w:left w:val="nil"/>
              <w:bottom w:val="nil"/>
              <w:right w:val="nil"/>
            </w:tcBorders>
            <w:shd w:val="clear" w:color="auto" w:fill="auto"/>
            <w:vAlign w:val="center"/>
            <w:hideMark/>
          </w:tcPr>
          <w:p w14:paraId="6BC970E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1.03</w:t>
            </w:r>
          </w:p>
        </w:tc>
        <w:tc>
          <w:tcPr>
            <w:tcW w:w="787" w:type="pct"/>
            <w:tcBorders>
              <w:top w:val="nil"/>
              <w:left w:val="nil"/>
              <w:bottom w:val="nil"/>
              <w:right w:val="nil"/>
            </w:tcBorders>
            <w:shd w:val="clear" w:color="auto" w:fill="auto"/>
            <w:vAlign w:val="center"/>
            <w:hideMark/>
          </w:tcPr>
          <w:p w14:paraId="29FE4AE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-0.06</w:t>
            </w:r>
          </w:p>
        </w:tc>
        <w:tc>
          <w:tcPr>
            <w:tcW w:w="787" w:type="pct"/>
            <w:tcBorders>
              <w:top w:val="nil"/>
              <w:left w:val="nil"/>
              <w:bottom w:val="nil"/>
              <w:right w:val="nil"/>
            </w:tcBorders>
            <w:shd w:val="clear" w:color="auto" w:fill="auto"/>
            <w:vAlign w:val="center"/>
            <w:hideMark/>
          </w:tcPr>
          <w:p w14:paraId="1B8D58A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1.04</w:t>
            </w:r>
          </w:p>
        </w:tc>
        <w:tc>
          <w:tcPr>
            <w:tcW w:w="787" w:type="pct"/>
            <w:tcBorders>
              <w:top w:val="nil"/>
              <w:left w:val="nil"/>
              <w:bottom w:val="nil"/>
              <w:right w:val="nil"/>
            </w:tcBorders>
            <w:shd w:val="clear" w:color="auto" w:fill="auto"/>
            <w:vAlign w:val="center"/>
            <w:hideMark/>
          </w:tcPr>
          <w:p w14:paraId="188F412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-0.09</w:t>
            </w:r>
          </w:p>
        </w:tc>
      </w:tr>
      <w:tr w:rsidR="00390473" w:rsidRPr="00000849" w14:paraId="13956DBE" w14:textId="77777777" w:rsidTr="00390473">
        <w:trPr>
          <w:trHeight w:val="295"/>
        </w:trPr>
        <w:tc>
          <w:tcPr>
            <w:tcW w:w="1852" w:type="pct"/>
            <w:tcBorders>
              <w:top w:val="nil"/>
              <w:left w:val="nil"/>
              <w:bottom w:val="nil"/>
              <w:right w:val="nil"/>
            </w:tcBorders>
            <w:shd w:val="clear" w:color="auto" w:fill="auto"/>
            <w:vAlign w:val="center"/>
            <w:hideMark/>
          </w:tcPr>
          <w:p w14:paraId="6D125E33"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Heavy drinker</w:t>
            </w:r>
          </w:p>
        </w:tc>
        <w:tc>
          <w:tcPr>
            <w:tcW w:w="787" w:type="pct"/>
            <w:tcBorders>
              <w:top w:val="nil"/>
              <w:left w:val="nil"/>
              <w:bottom w:val="nil"/>
              <w:right w:val="nil"/>
            </w:tcBorders>
            <w:shd w:val="clear" w:color="auto" w:fill="auto"/>
            <w:vAlign w:val="center"/>
            <w:hideMark/>
          </w:tcPr>
          <w:p w14:paraId="74B4B167"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0.83</w:t>
            </w:r>
          </w:p>
        </w:tc>
        <w:tc>
          <w:tcPr>
            <w:tcW w:w="787" w:type="pct"/>
            <w:tcBorders>
              <w:top w:val="nil"/>
              <w:left w:val="nil"/>
              <w:bottom w:val="nil"/>
              <w:right w:val="nil"/>
            </w:tcBorders>
            <w:shd w:val="clear" w:color="auto" w:fill="auto"/>
            <w:vAlign w:val="center"/>
            <w:hideMark/>
          </w:tcPr>
          <w:p w14:paraId="5306A56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-0.17</w:t>
            </w:r>
          </w:p>
        </w:tc>
        <w:tc>
          <w:tcPr>
            <w:tcW w:w="787" w:type="pct"/>
            <w:tcBorders>
              <w:top w:val="nil"/>
              <w:left w:val="nil"/>
              <w:bottom w:val="nil"/>
              <w:right w:val="nil"/>
            </w:tcBorders>
            <w:shd w:val="clear" w:color="auto" w:fill="auto"/>
            <w:vAlign w:val="center"/>
            <w:hideMark/>
          </w:tcPr>
          <w:p w14:paraId="4103D99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0.78</w:t>
            </w:r>
          </w:p>
        </w:tc>
        <w:tc>
          <w:tcPr>
            <w:tcW w:w="787" w:type="pct"/>
            <w:tcBorders>
              <w:top w:val="nil"/>
              <w:left w:val="nil"/>
              <w:bottom w:val="nil"/>
              <w:right w:val="nil"/>
            </w:tcBorders>
            <w:shd w:val="clear" w:color="auto" w:fill="auto"/>
            <w:vAlign w:val="center"/>
            <w:hideMark/>
          </w:tcPr>
          <w:p w14:paraId="4BBFAE7A"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-0.21</w:t>
            </w:r>
          </w:p>
        </w:tc>
      </w:tr>
      <w:tr w:rsidR="00390473" w:rsidRPr="00000849" w14:paraId="5DAF20BB" w14:textId="77777777" w:rsidTr="00390473">
        <w:trPr>
          <w:trHeight w:val="295"/>
        </w:trPr>
        <w:tc>
          <w:tcPr>
            <w:tcW w:w="1852" w:type="pct"/>
            <w:tcBorders>
              <w:top w:val="nil"/>
              <w:left w:val="nil"/>
              <w:bottom w:val="nil"/>
              <w:right w:val="nil"/>
            </w:tcBorders>
            <w:shd w:val="clear" w:color="auto" w:fill="auto"/>
            <w:vAlign w:val="center"/>
            <w:hideMark/>
          </w:tcPr>
          <w:p w14:paraId="669FC952"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Daily fruit/veg serving</w:t>
            </w:r>
          </w:p>
        </w:tc>
        <w:tc>
          <w:tcPr>
            <w:tcW w:w="787" w:type="pct"/>
            <w:tcBorders>
              <w:top w:val="nil"/>
              <w:left w:val="nil"/>
              <w:bottom w:val="nil"/>
              <w:right w:val="nil"/>
            </w:tcBorders>
            <w:shd w:val="clear" w:color="auto" w:fill="auto"/>
            <w:vAlign w:val="center"/>
            <w:hideMark/>
          </w:tcPr>
          <w:p w14:paraId="1AFB2A94"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309D36CD"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1A4C1172"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345F404"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4F6D1503" w14:textId="77777777" w:rsidTr="00390473">
        <w:trPr>
          <w:trHeight w:val="295"/>
        </w:trPr>
        <w:tc>
          <w:tcPr>
            <w:tcW w:w="1852" w:type="pct"/>
            <w:tcBorders>
              <w:top w:val="nil"/>
              <w:left w:val="nil"/>
              <w:bottom w:val="nil"/>
              <w:right w:val="nil"/>
            </w:tcBorders>
            <w:shd w:val="clear" w:color="auto" w:fill="auto"/>
            <w:vAlign w:val="center"/>
            <w:hideMark/>
          </w:tcPr>
          <w:p w14:paraId="228799B3"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&gt;=5 daily fruit-veg serving</w:t>
            </w:r>
          </w:p>
        </w:tc>
        <w:tc>
          <w:tcPr>
            <w:tcW w:w="787" w:type="pct"/>
            <w:tcBorders>
              <w:top w:val="nil"/>
              <w:left w:val="nil"/>
              <w:bottom w:val="nil"/>
              <w:right w:val="nil"/>
            </w:tcBorders>
            <w:shd w:val="clear" w:color="auto" w:fill="auto"/>
            <w:vAlign w:val="center"/>
            <w:hideMark/>
          </w:tcPr>
          <w:p w14:paraId="472033DB"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39722B81"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6BFBD09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367F5F05"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2A5398AE" w14:textId="77777777" w:rsidTr="00390473">
        <w:trPr>
          <w:trHeight w:val="295"/>
        </w:trPr>
        <w:tc>
          <w:tcPr>
            <w:tcW w:w="1852" w:type="pct"/>
            <w:tcBorders>
              <w:top w:val="nil"/>
              <w:left w:val="nil"/>
              <w:bottom w:val="nil"/>
              <w:right w:val="nil"/>
            </w:tcBorders>
            <w:shd w:val="clear" w:color="auto" w:fill="auto"/>
            <w:vAlign w:val="center"/>
            <w:hideMark/>
          </w:tcPr>
          <w:p w14:paraId="26CBF7E5"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&lt;5 daily fruit-veg servings</w:t>
            </w:r>
          </w:p>
        </w:tc>
        <w:tc>
          <w:tcPr>
            <w:tcW w:w="787" w:type="pct"/>
            <w:tcBorders>
              <w:top w:val="nil"/>
              <w:left w:val="nil"/>
              <w:bottom w:val="nil"/>
              <w:right w:val="nil"/>
            </w:tcBorders>
            <w:shd w:val="clear" w:color="auto" w:fill="auto"/>
            <w:vAlign w:val="center"/>
            <w:hideMark/>
          </w:tcPr>
          <w:p w14:paraId="79F1E3EE"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0.92</w:t>
            </w:r>
          </w:p>
        </w:tc>
        <w:tc>
          <w:tcPr>
            <w:tcW w:w="787" w:type="pct"/>
            <w:tcBorders>
              <w:top w:val="nil"/>
              <w:left w:val="nil"/>
              <w:bottom w:val="nil"/>
              <w:right w:val="nil"/>
            </w:tcBorders>
            <w:shd w:val="clear" w:color="auto" w:fill="auto"/>
            <w:vAlign w:val="center"/>
            <w:hideMark/>
          </w:tcPr>
          <w:p w14:paraId="4FC21633"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-0.05</w:t>
            </w:r>
          </w:p>
        </w:tc>
        <w:tc>
          <w:tcPr>
            <w:tcW w:w="787" w:type="pct"/>
            <w:tcBorders>
              <w:top w:val="nil"/>
              <w:left w:val="nil"/>
              <w:bottom w:val="nil"/>
              <w:right w:val="nil"/>
            </w:tcBorders>
            <w:shd w:val="clear" w:color="auto" w:fill="auto"/>
            <w:vAlign w:val="center"/>
            <w:hideMark/>
          </w:tcPr>
          <w:p w14:paraId="63DA7C5D"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0.89</w:t>
            </w:r>
          </w:p>
        </w:tc>
        <w:tc>
          <w:tcPr>
            <w:tcW w:w="787" w:type="pct"/>
            <w:tcBorders>
              <w:top w:val="nil"/>
              <w:left w:val="nil"/>
              <w:bottom w:val="nil"/>
              <w:right w:val="nil"/>
            </w:tcBorders>
            <w:shd w:val="clear" w:color="auto" w:fill="auto"/>
            <w:vAlign w:val="center"/>
            <w:hideMark/>
          </w:tcPr>
          <w:p w14:paraId="4FE1F3D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-0.07</w:t>
            </w:r>
          </w:p>
        </w:tc>
      </w:tr>
      <w:tr w:rsidR="00390473" w:rsidRPr="00000849" w14:paraId="32104B8B" w14:textId="77777777" w:rsidTr="00390473">
        <w:trPr>
          <w:trHeight w:val="295"/>
        </w:trPr>
        <w:tc>
          <w:tcPr>
            <w:tcW w:w="1852" w:type="pct"/>
            <w:tcBorders>
              <w:top w:val="nil"/>
              <w:left w:val="nil"/>
              <w:bottom w:val="nil"/>
              <w:right w:val="nil"/>
            </w:tcBorders>
            <w:shd w:val="clear" w:color="auto" w:fill="auto"/>
            <w:vAlign w:val="center"/>
            <w:hideMark/>
          </w:tcPr>
          <w:p w14:paraId="6415196F" w14:textId="77777777" w:rsidR="00390473" w:rsidRPr="00000849" w:rsidRDefault="00390473" w:rsidP="00390473">
            <w:pPr>
              <w:spacing w:after="0" w:line="240" w:lineRule="auto"/>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Study wave</w:t>
            </w:r>
          </w:p>
        </w:tc>
        <w:tc>
          <w:tcPr>
            <w:tcW w:w="787" w:type="pct"/>
            <w:tcBorders>
              <w:top w:val="nil"/>
              <w:left w:val="nil"/>
              <w:bottom w:val="nil"/>
              <w:right w:val="nil"/>
            </w:tcBorders>
            <w:shd w:val="clear" w:color="auto" w:fill="auto"/>
            <w:vAlign w:val="center"/>
            <w:hideMark/>
          </w:tcPr>
          <w:p w14:paraId="187DA971" w14:textId="77777777" w:rsidR="00390473" w:rsidRPr="00000849" w:rsidRDefault="00390473" w:rsidP="00390473">
            <w:pPr>
              <w:spacing w:after="0" w:line="240" w:lineRule="auto"/>
              <w:rPr>
                <w:rFonts w:ascii="Calibri" w:eastAsia="Times New Roman" w:hAnsi="Calibri" w:cs="Calibri"/>
                <w:color w:val="000000"/>
                <w:sz w:val="18"/>
                <w:szCs w:val="18"/>
                <w:lang w:val="en-US"/>
              </w:rPr>
            </w:pPr>
          </w:p>
        </w:tc>
        <w:tc>
          <w:tcPr>
            <w:tcW w:w="787" w:type="pct"/>
            <w:tcBorders>
              <w:top w:val="nil"/>
              <w:left w:val="nil"/>
              <w:bottom w:val="nil"/>
              <w:right w:val="nil"/>
            </w:tcBorders>
            <w:shd w:val="clear" w:color="auto" w:fill="auto"/>
            <w:vAlign w:val="center"/>
            <w:hideMark/>
          </w:tcPr>
          <w:p w14:paraId="27DA2008"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760B8D6C"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c>
          <w:tcPr>
            <w:tcW w:w="787" w:type="pct"/>
            <w:tcBorders>
              <w:top w:val="nil"/>
              <w:left w:val="nil"/>
              <w:bottom w:val="nil"/>
              <w:right w:val="nil"/>
            </w:tcBorders>
            <w:shd w:val="clear" w:color="auto" w:fill="auto"/>
            <w:vAlign w:val="center"/>
            <w:hideMark/>
          </w:tcPr>
          <w:p w14:paraId="343D631E" w14:textId="77777777" w:rsidR="00390473" w:rsidRPr="00000849" w:rsidRDefault="00390473" w:rsidP="00390473">
            <w:pPr>
              <w:spacing w:after="0" w:line="240" w:lineRule="auto"/>
              <w:jc w:val="center"/>
              <w:rPr>
                <w:rFonts w:ascii="Times New Roman" w:eastAsia="Times New Roman" w:hAnsi="Times New Roman" w:cs="Times New Roman"/>
                <w:sz w:val="20"/>
                <w:szCs w:val="20"/>
                <w:lang w:val="en-US"/>
              </w:rPr>
            </w:pPr>
          </w:p>
        </w:tc>
      </w:tr>
      <w:tr w:rsidR="00390473" w:rsidRPr="00000849" w14:paraId="6CDE38EC" w14:textId="77777777" w:rsidTr="00390473">
        <w:trPr>
          <w:trHeight w:val="295"/>
        </w:trPr>
        <w:tc>
          <w:tcPr>
            <w:tcW w:w="1852" w:type="pct"/>
            <w:tcBorders>
              <w:top w:val="nil"/>
              <w:left w:val="nil"/>
              <w:bottom w:val="nil"/>
              <w:right w:val="nil"/>
            </w:tcBorders>
            <w:shd w:val="clear" w:color="auto" w:fill="auto"/>
            <w:vAlign w:val="center"/>
            <w:hideMark/>
          </w:tcPr>
          <w:p w14:paraId="362EDE93"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wave 1</w:t>
            </w:r>
          </w:p>
        </w:tc>
        <w:tc>
          <w:tcPr>
            <w:tcW w:w="787" w:type="pct"/>
            <w:tcBorders>
              <w:top w:val="nil"/>
              <w:left w:val="nil"/>
              <w:bottom w:val="nil"/>
              <w:right w:val="nil"/>
            </w:tcBorders>
            <w:shd w:val="clear" w:color="auto" w:fill="auto"/>
            <w:vAlign w:val="center"/>
            <w:hideMark/>
          </w:tcPr>
          <w:p w14:paraId="3F1D876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6ADFE6EF"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c>
          <w:tcPr>
            <w:tcW w:w="787" w:type="pct"/>
            <w:tcBorders>
              <w:top w:val="nil"/>
              <w:left w:val="nil"/>
              <w:bottom w:val="nil"/>
              <w:right w:val="nil"/>
            </w:tcBorders>
            <w:shd w:val="clear" w:color="auto" w:fill="auto"/>
            <w:vAlign w:val="center"/>
            <w:hideMark/>
          </w:tcPr>
          <w:p w14:paraId="2AAB5656"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1</w:t>
            </w:r>
          </w:p>
        </w:tc>
        <w:tc>
          <w:tcPr>
            <w:tcW w:w="787" w:type="pct"/>
            <w:tcBorders>
              <w:top w:val="nil"/>
              <w:left w:val="nil"/>
              <w:bottom w:val="nil"/>
              <w:right w:val="nil"/>
            </w:tcBorders>
            <w:shd w:val="clear" w:color="auto" w:fill="auto"/>
            <w:vAlign w:val="center"/>
            <w:hideMark/>
          </w:tcPr>
          <w:p w14:paraId="0A1BF04C"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w:t>
            </w:r>
          </w:p>
        </w:tc>
      </w:tr>
      <w:tr w:rsidR="00390473" w:rsidRPr="00000849" w14:paraId="0606D3B9" w14:textId="77777777" w:rsidTr="00390473">
        <w:trPr>
          <w:trHeight w:val="325"/>
        </w:trPr>
        <w:tc>
          <w:tcPr>
            <w:tcW w:w="1852" w:type="pct"/>
            <w:tcBorders>
              <w:top w:val="nil"/>
              <w:left w:val="nil"/>
              <w:bottom w:val="nil"/>
              <w:right w:val="nil"/>
            </w:tcBorders>
            <w:shd w:val="clear" w:color="auto" w:fill="auto"/>
            <w:vAlign w:val="center"/>
            <w:hideMark/>
          </w:tcPr>
          <w:p w14:paraId="243AA11C" w14:textId="77777777" w:rsidR="00390473" w:rsidRPr="00000849" w:rsidRDefault="00390473" w:rsidP="00390473">
            <w:pPr>
              <w:spacing w:after="0" w:line="240" w:lineRule="auto"/>
              <w:ind w:firstLineChars="100" w:firstLine="180"/>
              <w:rPr>
                <w:rFonts w:ascii="Calibri" w:eastAsia="Times New Roman" w:hAnsi="Calibri" w:cs="Calibri"/>
                <w:color w:val="000000"/>
                <w:sz w:val="18"/>
                <w:szCs w:val="18"/>
                <w:lang w:val="en-US"/>
              </w:rPr>
            </w:pPr>
            <w:r w:rsidRPr="00000849">
              <w:rPr>
                <w:rFonts w:ascii="Calibri" w:eastAsia="Times New Roman" w:hAnsi="Calibri" w:cs="Calibri"/>
                <w:color w:val="000000"/>
                <w:sz w:val="18"/>
                <w:szCs w:val="18"/>
                <w:lang w:val="en-US"/>
              </w:rPr>
              <w:t>wave 2</w:t>
            </w:r>
          </w:p>
        </w:tc>
        <w:tc>
          <w:tcPr>
            <w:tcW w:w="787" w:type="pct"/>
            <w:tcBorders>
              <w:top w:val="nil"/>
              <w:left w:val="nil"/>
              <w:bottom w:val="nil"/>
              <w:right w:val="nil"/>
            </w:tcBorders>
            <w:shd w:val="clear" w:color="auto" w:fill="auto"/>
            <w:vAlign w:val="center"/>
            <w:hideMark/>
          </w:tcPr>
          <w:p w14:paraId="78436DE2"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0.38</w:t>
            </w:r>
            <w:r w:rsidRPr="00000849">
              <w:rPr>
                <w:rFonts w:ascii="Calibri" w:eastAsia="Times New Roman" w:hAnsi="Calibri" w:cs="Calibri"/>
                <w:b/>
                <w:bCs/>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4DDB7894"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-0.02</w:t>
            </w:r>
          </w:p>
        </w:tc>
        <w:tc>
          <w:tcPr>
            <w:tcW w:w="787" w:type="pct"/>
            <w:tcBorders>
              <w:top w:val="nil"/>
              <w:left w:val="nil"/>
              <w:bottom w:val="nil"/>
              <w:right w:val="nil"/>
            </w:tcBorders>
            <w:shd w:val="clear" w:color="auto" w:fill="auto"/>
            <w:vAlign w:val="center"/>
            <w:hideMark/>
          </w:tcPr>
          <w:p w14:paraId="77AD9ACE" w14:textId="77777777" w:rsidR="00390473" w:rsidRPr="00000849" w:rsidRDefault="00390473" w:rsidP="00390473">
            <w:pPr>
              <w:spacing w:after="0" w:line="240" w:lineRule="auto"/>
              <w:jc w:val="center"/>
              <w:rPr>
                <w:rFonts w:ascii="Calibri" w:eastAsia="Times New Roman" w:hAnsi="Calibri" w:cs="Calibri"/>
                <w:b/>
                <w:bCs/>
                <w:color w:val="000000"/>
                <w:sz w:val="20"/>
                <w:szCs w:val="20"/>
                <w:lang w:val="en-US"/>
              </w:rPr>
            </w:pPr>
            <w:r w:rsidRPr="00000849">
              <w:rPr>
                <w:rFonts w:ascii="Calibri" w:eastAsia="Times New Roman" w:hAnsi="Calibri" w:cs="Calibri"/>
                <w:b/>
                <w:bCs/>
                <w:color w:val="000000"/>
                <w:sz w:val="20"/>
                <w:szCs w:val="20"/>
                <w:lang w:val="en-US"/>
              </w:rPr>
              <w:t>0.28</w:t>
            </w:r>
            <w:r w:rsidRPr="00000849">
              <w:rPr>
                <w:rFonts w:ascii="Calibri" w:eastAsia="Times New Roman" w:hAnsi="Calibri" w:cs="Calibri"/>
                <w:color w:val="000000"/>
                <w:sz w:val="20"/>
                <w:szCs w:val="20"/>
                <w:vertAlign w:val="superscript"/>
                <w:lang w:val="en-US"/>
              </w:rPr>
              <w:t>***</w:t>
            </w:r>
          </w:p>
        </w:tc>
        <w:tc>
          <w:tcPr>
            <w:tcW w:w="787" w:type="pct"/>
            <w:tcBorders>
              <w:top w:val="nil"/>
              <w:left w:val="nil"/>
              <w:bottom w:val="nil"/>
              <w:right w:val="nil"/>
            </w:tcBorders>
            <w:shd w:val="clear" w:color="auto" w:fill="auto"/>
            <w:vAlign w:val="center"/>
            <w:hideMark/>
          </w:tcPr>
          <w:p w14:paraId="5A18D742" w14:textId="77777777" w:rsidR="00390473" w:rsidRPr="00000849" w:rsidRDefault="00390473" w:rsidP="00390473">
            <w:pPr>
              <w:spacing w:after="0" w:line="240" w:lineRule="auto"/>
              <w:jc w:val="center"/>
              <w:rPr>
                <w:rFonts w:ascii="Calibri" w:eastAsia="Times New Roman" w:hAnsi="Calibri" w:cs="Calibri"/>
                <w:color w:val="000000"/>
                <w:sz w:val="20"/>
                <w:szCs w:val="20"/>
                <w:lang w:val="en-US"/>
              </w:rPr>
            </w:pPr>
            <w:r w:rsidRPr="00000849">
              <w:rPr>
                <w:rFonts w:ascii="Calibri" w:eastAsia="Times New Roman" w:hAnsi="Calibri" w:cs="Calibri"/>
                <w:color w:val="000000"/>
                <w:sz w:val="20"/>
                <w:szCs w:val="20"/>
                <w:lang w:val="en-US"/>
              </w:rPr>
              <w:t>-0.03</w:t>
            </w:r>
          </w:p>
        </w:tc>
      </w:tr>
    </w:tbl>
    <w:p w14:paraId="170348DA" w14:textId="740E87A4" w:rsidR="00390473" w:rsidRPr="00000849" w:rsidRDefault="00390473">
      <w:pPr>
        <w:spacing w:after="160" w:line="259" w:lineRule="auto"/>
        <w:rPr>
          <w:rFonts w:cstheme="minorHAnsi"/>
          <w:sz w:val="24"/>
          <w:szCs w:val="24"/>
          <w:lang w:val="en-US"/>
        </w:rPr>
      </w:pPr>
    </w:p>
    <w:p w14:paraId="6C76A479" w14:textId="33B893D1" w:rsidR="00390473" w:rsidRPr="00000849" w:rsidRDefault="00390473">
      <w:pPr>
        <w:spacing w:after="160" w:line="259" w:lineRule="auto"/>
        <w:rPr>
          <w:rFonts w:cstheme="minorHAnsi"/>
          <w:sz w:val="24"/>
          <w:szCs w:val="24"/>
          <w:lang w:val="en-US"/>
        </w:rPr>
      </w:pPr>
    </w:p>
    <w:p w14:paraId="37E2A6C0" w14:textId="77777777" w:rsidR="00325719" w:rsidRPr="00000849" w:rsidRDefault="00325719">
      <w:pPr>
        <w:spacing w:after="160" w:line="259" w:lineRule="auto"/>
        <w:rPr>
          <w:rFonts w:cstheme="minorHAnsi"/>
          <w:sz w:val="24"/>
          <w:szCs w:val="24"/>
          <w:lang w:val="en-US"/>
        </w:rPr>
        <w:sectPr w:rsidR="00325719" w:rsidRPr="00000849" w:rsidSect="009E605B">
          <w:pgSz w:w="11906" w:h="16838"/>
          <w:pgMar w:top="1440" w:right="1440" w:bottom="1440" w:left="2155" w:header="708" w:footer="708" w:gutter="0"/>
          <w:cols w:space="708"/>
          <w:docGrid w:linePitch="360"/>
        </w:sectPr>
      </w:pPr>
    </w:p>
    <w:p w14:paraId="5FB2664D" w14:textId="7BA98ED4" w:rsidR="008504FE" w:rsidRPr="00000849" w:rsidRDefault="008504FE" w:rsidP="00A61BAB">
      <w:pPr>
        <w:pStyle w:val="Heading2"/>
        <w:rPr>
          <w:lang w:val="en-US"/>
        </w:rPr>
      </w:pPr>
      <w:bookmarkStart w:id="155" w:name="_Toc51472184"/>
      <w:r w:rsidRPr="00000849">
        <w:rPr>
          <w:lang w:val="en-US"/>
        </w:rPr>
        <w:lastRenderedPageBreak/>
        <w:t xml:space="preserve">Appendix </w:t>
      </w:r>
      <w:r w:rsidR="009A56DE" w:rsidRPr="00000849">
        <w:rPr>
          <w:lang w:val="en-US"/>
        </w:rPr>
        <w:t>10</w:t>
      </w:r>
      <w:r w:rsidRPr="00000849">
        <w:rPr>
          <w:lang w:val="en-US"/>
        </w:rPr>
        <w:t>: Ordinal logistic regression</w:t>
      </w:r>
      <w:bookmarkEnd w:id="155"/>
      <w:r w:rsidRPr="00000849">
        <w:rPr>
          <w:lang w:val="en-US"/>
        </w:rPr>
        <w:t xml:space="preserve"> </w:t>
      </w:r>
    </w:p>
    <w:p w14:paraId="5A0B80CC" w14:textId="77777777" w:rsidR="008504FE" w:rsidRPr="00000849" w:rsidRDefault="008504FE" w:rsidP="008504FE">
      <w:pPr>
        <w:spacing w:after="160" w:line="259" w:lineRule="auto"/>
        <w:rPr>
          <w:rFonts w:cstheme="minorHAnsi"/>
          <w:sz w:val="24"/>
          <w:szCs w:val="24"/>
          <w:lang w:val="en-US"/>
        </w:rPr>
      </w:pPr>
    </w:p>
    <w:p w14:paraId="0658F05F" w14:textId="1155B307" w:rsidR="008504FE" w:rsidRPr="00000849" w:rsidRDefault="008504FE" w:rsidP="00382EA6">
      <w:pPr>
        <w:pStyle w:val="Heading3"/>
        <w:rPr>
          <w:lang w:val="en-US"/>
        </w:rPr>
      </w:pPr>
      <w:bookmarkStart w:id="156" w:name="_Toc51472185"/>
      <w:r w:rsidRPr="00000849">
        <w:rPr>
          <w:lang w:val="en-US"/>
        </w:rPr>
        <w:t xml:space="preserve">Table </w:t>
      </w:r>
      <w:r w:rsidR="00290D25" w:rsidRPr="00000849">
        <w:rPr>
          <w:lang w:val="en-US"/>
        </w:rPr>
        <w:t>A1</w:t>
      </w:r>
      <w:r w:rsidRPr="00000849">
        <w:rPr>
          <w:lang w:val="en-US"/>
        </w:rPr>
        <w:t>1:</w:t>
      </w:r>
      <w:r w:rsidRPr="00000849">
        <w:rPr>
          <w:lang w:val="en-US"/>
        </w:rPr>
        <w:tab/>
        <w:t xml:space="preserve"> Assessment of the proportional odds assumption using Brant</w:t>
      </w:r>
      <w:r w:rsidR="002F1CBD" w:rsidRPr="00000849">
        <w:rPr>
          <w:lang w:val="en-US"/>
        </w:rPr>
        <w:t>, Wolfe Gould and Score</w:t>
      </w:r>
      <w:r w:rsidRPr="00000849">
        <w:rPr>
          <w:lang w:val="en-US"/>
        </w:rPr>
        <w:t xml:space="preserve"> test</w:t>
      </w:r>
      <w:r w:rsidR="002F1CBD" w:rsidRPr="00000849">
        <w:rPr>
          <w:lang w:val="en-US"/>
        </w:rPr>
        <w:t>s</w:t>
      </w:r>
      <w:r w:rsidRPr="00000849">
        <w:rPr>
          <w:lang w:val="en-US"/>
        </w:rPr>
        <w:t xml:space="preserve"> with different outcomes of the grades of hypertension in the study waves</w:t>
      </w:r>
      <w:bookmarkEnd w:id="156"/>
      <w:r w:rsidRPr="00000849">
        <w:rPr>
          <w:lang w:val="en-US"/>
        </w:rPr>
        <w:t xml:space="preserve"> </w:t>
      </w:r>
    </w:p>
    <w:p w14:paraId="7F918452" w14:textId="380DD6E3" w:rsidR="00325719" w:rsidRPr="00000849" w:rsidRDefault="00325719" w:rsidP="00143B7E">
      <w:pPr>
        <w:widowControl w:val="0"/>
        <w:spacing w:line="360" w:lineRule="auto"/>
        <w:jc w:val="both"/>
        <w:rPr>
          <w:rFonts w:cstheme="minorHAnsi"/>
          <w:sz w:val="24"/>
          <w:szCs w:val="24"/>
          <w:lang w:val="en-US"/>
        </w:rPr>
      </w:pPr>
    </w:p>
    <w:tbl>
      <w:tblPr>
        <w:tblStyle w:val="PlainTable1"/>
        <w:tblW w:w="5000" w:type="pct"/>
        <w:tblInd w:w="0" w:type="dxa"/>
        <w:tblLook w:val="06A0" w:firstRow="1" w:lastRow="0" w:firstColumn="1" w:lastColumn="0" w:noHBand="1" w:noVBand="1"/>
      </w:tblPr>
      <w:tblGrid>
        <w:gridCol w:w="1862"/>
        <w:gridCol w:w="1016"/>
        <w:gridCol w:w="1088"/>
        <w:gridCol w:w="842"/>
        <w:gridCol w:w="946"/>
        <w:gridCol w:w="742"/>
        <w:gridCol w:w="1088"/>
        <w:gridCol w:w="842"/>
        <w:gridCol w:w="1088"/>
        <w:gridCol w:w="842"/>
        <w:gridCol w:w="842"/>
        <w:gridCol w:w="842"/>
        <w:gridCol w:w="1088"/>
        <w:gridCol w:w="820"/>
      </w:tblGrid>
      <w:tr w:rsidR="002F1CBD" w:rsidRPr="00000849" w14:paraId="014FC6EE" w14:textId="77777777" w:rsidTr="00143B7E">
        <w:trPr>
          <w:cnfStyle w:val="100000000000" w:firstRow="1" w:lastRow="0" w:firstColumn="0" w:lastColumn="0" w:oddVBand="0" w:evenVBand="0" w:oddHBand="0" w:evenHBand="0" w:firstRowFirstColumn="0" w:firstRowLastColumn="0" w:lastRowFirstColumn="0" w:lastRowLastColumn="0"/>
          <w:divId w:val="958150796"/>
          <w:trHeight w:val="540"/>
        </w:trPr>
        <w:tc>
          <w:tcPr>
            <w:cnfStyle w:val="001000000000" w:firstRow="0" w:lastRow="0" w:firstColumn="1" w:lastColumn="0" w:oddVBand="0" w:evenVBand="0" w:oddHBand="0" w:evenHBand="0" w:firstRowFirstColumn="0" w:firstRowLastColumn="0" w:lastRowFirstColumn="0" w:lastRowLastColumn="0"/>
            <w:tcW w:w="667" w:type="pct"/>
            <w:vMerge w:val="restart"/>
            <w:hideMark/>
          </w:tcPr>
          <w:p w14:paraId="608B7DFB" w14:textId="77777777" w:rsidR="002F1CBD" w:rsidRPr="00000849" w:rsidRDefault="002F1CBD" w:rsidP="00325719">
            <w:pPr>
              <w:spacing w:after="0" w:line="240" w:lineRule="auto"/>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Outcome categories</w:t>
            </w:r>
          </w:p>
        </w:tc>
        <w:tc>
          <w:tcPr>
            <w:tcW w:w="364" w:type="pct"/>
            <w:vMerge w:val="restart"/>
            <w:hideMark/>
          </w:tcPr>
          <w:p w14:paraId="626CF5E6" w14:textId="77777777" w:rsidR="002F1CBD" w:rsidRPr="00000849" w:rsidRDefault="002F1CBD" w:rsidP="003257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No. of category values</w:t>
            </w:r>
          </w:p>
        </w:tc>
        <w:tc>
          <w:tcPr>
            <w:tcW w:w="1989" w:type="pct"/>
            <w:gridSpan w:val="6"/>
            <w:hideMark/>
          </w:tcPr>
          <w:p w14:paraId="09227218" w14:textId="77777777" w:rsidR="002F1CBD" w:rsidRPr="00000849" w:rsidRDefault="002F1CBD" w:rsidP="003257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W1</w:t>
            </w:r>
          </w:p>
        </w:tc>
        <w:tc>
          <w:tcPr>
            <w:tcW w:w="1979" w:type="pct"/>
            <w:gridSpan w:val="6"/>
            <w:hideMark/>
          </w:tcPr>
          <w:p w14:paraId="097FA7A9" w14:textId="77777777" w:rsidR="002F1CBD" w:rsidRPr="00000849" w:rsidRDefault="002F1CBD" w:rsidP="003257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W2</w:t>
            </w:r>
          </w:p>
        </w:tc>
      </w:tr>
      <w:tr w:rsidR="002F1CBD" w:rsidRPr="00000849" w14:paraId="309C7A31" w14:textId="77777777" w:rsidTr="00143B7E">
        <w:trPr>
          <w:divId w:val="958150796"/>
          <w:trHeight w:val="540"/>
        </w:trPr>
        <w:tc>
          <w:tcPr>
            <w:cnfStyle w:val="001000000000" w:firstRow="0" w:lastRow="0" w:firstColumn="1" w:lastColumn="0" w:oddVBand="0" w:evenVBand="0" w:oddHBand="0" w:evenHBand="0" w:firstRowFirstColumn="0" w:firstRowLastColumn="0" w:lastRowFirstColumn="0" w:lastRowLastColumn="0"/>
            <w:tcW w:w="667" w:type="pct"/>
            <w:vMerge/>
            <w:hideMark/>
          </w:tcPr>
          <w:p w14:paraId="4F64133E" w14:textId="77777777" w:rsidR="002F1CBD" w:rsidRPr="00000849" w:rsidRDefault="002F1CBD" w:rsidP="00325719">
            <w:pPr>
              <w:spacing w:after="0" w:line="240" w:lineRule="auto"/>
              <w:rPr>
                <w:rFonts w:ascii="Calibri" w:eastAsia="Times New Roman" w:hAnsi="Calibri" w:cs="Calibri"/>
                <w:b w:val="0"/>
                <w:bCs w:val="0"/>
                <w:color w:val="000000"/>
                <w:sz w:val="18"/>
                <w:szCs w:val="18"/>
                <w:lang w:eastAsia="en-GB"/>
              </w:rPr>
            </w:pPr>
          </w:p>
        </w:tc>
        <w:tc>
          <w:tcPr>
            <w:tcW w:w="364" w:type="pct"/>
            <w:vMerge/>
            <w:hideMark/>
          </w:tcPr>
          <w:p w14:paraId="4D430179" w14:textId="77777777" w:rsidR="002F1CBD" w:rsidRPr="00000849" w:rsidRDefault="002F1CBD" w:rsidP="00325719">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p>
        </w:tc>
        <w:tc>
          <w:tcPr>
            <w:tcW w:w="390" w:type="pct"/>
            <w:noWrap/>
            <w:hideMark/>
          </w:tcPr>
          <w:p w14:paraId="1E9C5188"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Brant chi2</w:t>
            </w:r>
          </w:p>
        </w:tc>
        <w:tc>
          <w:tcPr>
            <w:tcW w:w="302" w:type="pct"/>
            <w:noWrap/>
            <w:hideMark/>
          </w:tcPr>
          <w:p w14:paraId="6DF08853"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p&gt;chi2</w:t>
            </w:r>
          </w:p>
        </w:tc>
        <w:tc>
          <w:tcPr>
            <w:tcW w:w="339" w:type="pct"/>
            <w:hideMark/>
          </w:tcPr>
          <w:p w14:paraId="3FAAC1A7"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Wolfe Gould chi2</w:t>
            </w:r>
          </w:p>
        </w:tc>
        <w:tc>
          <w:tcPr>
            <w:tcW w:w="266" w:type="pct"/>
            <w:hideMark/>
          </w:tcPr>
          <w:p w14:paraId="14D3F3EB"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p&gt;chi2</w:t>
            </w:r>
          </w:p>
        </w:tc>
        <w:tc>
          <w:tcPr>
            <w:tcW w:w="390" w:type="pct"/>
            <w:noWrap/>
            <w:hideMark/>
          </w:tcPr>
          <w:p w14:paraId="22414674"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Score chi2</w:t>
            </w:r>
          </w:p>
        </w:tc>
        <w:tc>
          <w:tcPr>
            <w:tcW w:w="302" w:type="pct"/>
            <w:hideMark/>
          </w:tcPr>
          <w:p w14:paraId="3D389FF1"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p&gt;chi2</w:t>
            </w:r>
          </w:p>
        </w:tc>
        <w:tc>
          <w:tcPr>
            <w:tcW w:w="390" w:type="pct"/>
            <w:noWrap/>
            <w:hideMark/>
          </w:tcPr>
          <w:p w14:paraId="405CA52F"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Brant chi2</w:t>
            </w:r>
          </w:p>
        </w:tc>
        <w:tc>
          <w:tcPr>
            <w:tcW w:w="302" w:type="pct"/>
            <w:noWrap/>
            <w:hideMark/>
          </w:tcPr>
          <w:p w14:paraId="3D39E49A"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p&gt;chi2</w:t>
            </w:r>
          </w:p>
        </w:tc>
        <w:tc>
          <w:tcPr>
            <w:tcW w:w="302" w:type="pct"/>
            <w:hideMark/>
          </w:tcPr>
          <w:p w14:paraId="7103AA54"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Wolfe Gould chi2</w:t>
            </w:r>
          </w:p>
        </w:tc>
        <w:tc>
          <w:tcPr>
            <w:tcW w:w="302" w:type="pct"/>
            <w:hideMark/>
          </w:tcPr>
          <w:p w14:paraId="34AA562C"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p&gt;chi2</w:t>
            </w:r>
          </w:p>
        </w:tc>
        <w:tc>
          <w:tcPr>
            <w:tcW w:w="390" w:type="pct"/>
            <w:noWrap/>
            <w:hideMark/>
          </w:tcPr>
          <w:p w14:paraId="05B8A0FE"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Score chi2</w:t>
            </w:r>
          </w:p>
        </w:tc>
        <w:tc>
          <w:tcPr>
            <w:tcW w:w="294" w:type="pct"/>
            <w:hideMark/>
          </w:tcPr>
          <w:p w14:paraId="1704DCEF"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eastAsia="en-GB"/>
              </w:rPr>
            </w:pPr>
            <w:r w:rsidRPr="00000849">
              <w:rPr>
                <w:rFonts w:ascii="Calibri" w:eastAsia="Times New Roman" w:hAnsi="Calibri" w:cs="Calibri"/>
                <w:b/>
                <w:bCs/>
                <w:color w:val="000000"/>
                <w:sz w:val="18"/>
                <w:szCs w:val="18"/>
                <w:lang w:eastAsia="en-GB"/>
              </w:rPr>
              <w:t>p&gt;chi2</w:t>
            </w:r>
          </w:p>
        </w:tc>
      </w:tr>
      <w:tr w:rsidR="002F1CBD" w:rsidRPr="00000849" w14:paraId="5677F95F" w14:textId="77777777" w:rsidTr="00143B7E">
        <w:trPr>
          <w:divId w:val="958150796"/>
          <w:trHeight w:val="616"/>
        </w:trPr>
        <w:tc>
          <w:tcPr>
            <w:cnfStyle w:val="001000000000" w:firstRow="0" w:lastRow="0" w:firstColumn="1" w:lastColumn="0" w:oddVBand="0" w:evenVBand="0" w:oddHBand="0" w:evenHBand="0" w:firstRowFirstColumn="0" w:firstRowLastColumn="0" w:lastRowFirstColumn="0" w:lastRowLastColumn="0"/>
            <w:tcW w:w="667" w:type="pct"/>
            <w:hideMark/>
          </w:tcPr>
          <w:p w14:paraId="26532BE6" w14:textId="77777777" w:rsidR="002F1CBD" w:rsidRPr="00000849" w:rsidRDefault="002F1CBD" w:rsidP="0032571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color w:val="000000"/>
                <w:sz w:val="18"/>
                <w:szCs w:val="18"/>
                <w:lang w:eastAsia="en-GB"/>
              </w:rPr>
              <w:t>Normal, mild, moderate, severe hypertension</w:t>
            </w:r>
          </w:p>
        </w:tc>
        <w:tc>
          <w:tcPr>
            <w:tcW w:w="364" w:type="pct"/>
            <w:hideMark/>
          </w:tcPr>
          <w:p w14:paraId="5FC7EFF1"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4</w:t>
            </w:r>
          </w:p>
        </w:tc>
        <w:tc>
          <w:tcPr>
            <w:tcW w:w="390" w:type="pct"/>
            <w:hideMark/>
          </w:tcPr>
          <w:p w14:paraId="144CE524"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110.77</w:t>
            </w:r>
          </w:p>
        </w:tc>
        <w:tc>
          <w:tcPr>
            <w:tcW w:w="302" w:type="pct"/>
            <w:hideMark/>
          </w:tcPr>
          <w:p w14:paraId="64FF61D4"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0.002</w:t>
            </w:r>
          </w:p>
        </w:tc>
        <w:tc>
          <w:tcPr>
            <w:tcW w:w="339" w:type="pct"/>
            <w:hideMark/>
          </w:tcPr>
          <w:p w14:paraId="3458F45B"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106.3</w:t>
            </w:r>
          </w:p>
        </w:tc>
        <w:tc>
          <w:tcPr>
            <w:tcW w:w="266" w:type="pct"/>
            <w:hideMark/>
          </w:tcPr>
          <w:p w14:paraId="53A327F1"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0.005</w:t>
            </w:r>
          </w:p>
        </w:tc>
        <w:tc>
          <w:tcPr>
            <w:tcW w:w="390" w:type="pct"/>
            <w:hideMark/>
          </w:tcPr>
          <w:p w14:paraId="35401D12"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108.5</w:t>
            </w:r>
          </w:p>
        </w:tc>
        <w:tc>
          <w:tcPr>
            <w:tcW w:w="302" w:type="pct"/>
            <w:hideMark/>
          </w:tcPr>
          <w:p w14:paraId="77A8112E"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0.004</w:t>
            </w:r>
          </w:p>
        </w:tc>
        <w:tc>
          <w:tcPr>
            <w:tcW w:w="390" w:type="pct"/>
            <w:hideMark/>
          </w:tcPr>
          <w:p w14:paraId="05A80328"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82.71</w:t>
            </w:r>
          </w:p>
        </w:tc>
        <w:tc>
          <w:tcPr>
            <w:tcW w:w="302" w:type="pct"/>
            <w:hideMark/>
          </w:tcPr>
          <w:p w14:paraId="198DC94F"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0.182</w:t>
            </w:r>
          </w:p>
        </w:tc>
        <w:tc>
          <w:tcPr>
            <w:tcW w:w="302" w:type="pct"/>
            <w:hideMark/>
          </w:tcPr>
          <w:p w14:paraId="6F70A2E1"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86.48</w:t>
            </w:r>
          </w:p>
        </w:tc>
        <w:tc>
          <w:tcPr>
            <w:tcW w:w="302" w:type="pct"/>
            <w:hideMark/>
          </w:tcPr>
          <w:p w14:paraId="4F258102"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0.117</w:t>
            </w:r>
          </w:p>
        </w:tc>
        <w:tc>
          <w:tcPr>
            <w:tcW w:w="390" w:type="pct"/>
            <w:hideMark/>
          </w:tcPr>
          <w:p w14:paraId="6CD2F986"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93.85</w:t>
            </w:r>
          </w:p>
        </w:tc>
        <w:tc>
          <w:tcPr>
            <w:tcW w:w="294" w:type="pct"/>
            <w:hideMark/>
          </w:tcPr>
          <w:p w14:paraId="74BB74AD"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0.043</w:t>
            </w:r>
          </w:p>
        </w:tc>
      </w:tr>
      <w:tr w:rsidR="002F1CBD" w:rsidRPr="00000849" w14:paraId="0B24FF14" w14:textId="77777777" w:rsidTr="00143B7E">
        <w:trPr>
          <w:divId w:val="958150796"/>
          <w:trHeight w:val="735"/>
        </w:trPr>
        <w:tc>
          <w:tcPr>
            <w:cnfStyle w:val="001000000000" w:firstRow="0" w:lastRow="0" w:firstColumn="1" w:lastColumn="0" w:oddVBand="0" w:evenVBand="0" w:oddHBand="0" w:evenHBand="0" w:firstRowFirstColumn="0" w:firstRowLastColumn="0" w:lastRowFirstColumn="0" w:lastRowLastColumn="0"/>
            <w:tcW w:w="667" w:type="pct"/>
            <w:hideMark/>
          </w:tcPr>
          <w:p w14:paraId="397BB381" w14:textId="77777777" w:rsidR="002F1CBD" w:rsidRPr="00000849" w:rsidRDefault="002F1CBD" w:rsidP="0032571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color w:val="000000"/>
                <w:sz w:val="18"/>
                <w:szCs w:val="18"/>
                <w:lang w:eastAsia="en-GB"/>
              </w:rPr>
              <w:t>Normal, mild, moderate+severe hypertension</w:t>
            </w:r>
          </w:p>
        </w:tc>
        <w:tc>
          <w:tcPr>
            <w:tcW w:w="364" w:type="pct"/>
            <w:noWrap/>
            <w:hideMark/>
          </w:tcPr>
          <w:p w14:paraId="59A222AB"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3</w:t>
            </w:r>
          </w:p>
        </w:tc>
        <w:tc>
          <w:tcPr>
            <w:tcW w:w="390" w:type="pct"/>
            <w:noWrap/>
            <w:hideMark/>
          </w:tcPr>
          <w:p w14:paraId="3C18ECE9"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62.4</w:t>
            </w:r>
          </w:p>
        </w:tc>
        <w:tc>
          <w:tcPr>
            <w:tcW w:w="302" w:type="pct"/>
            <w:noWrap/>
            <w:hideMark/>
          </w:tcPr>
          <w:p w14:paraId="23458AFA"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0.004</w:t>
            </w:r>
          </w:p>
        </w:tc>
        <w:tc>
          <w:tcPr>
            <w:tcW w:w="339" w:type="pct"/>
            <w:noWrap/>
            <w:hideMark/>
          </w:tcPr>
          <w:p w14:paraId="3DF1549D"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56.35</w:t>
            </w:r>
          </w:p>
        </w:tc>
        <w:tc>
          <w:tcPr>
            <w:tcW w:w="266" w:type="pct"/>
            <w:noWrap/>
            <w:hideMark/>
          </w:tcPr>
          <w:p w14:paraId="6E47E2EC"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0.017</w:t>
            </w:r>
          </w:p>
        </w:tc>
        <w:tc>
          <w:tcPr>
            <w:tcW w:w="390" w:type="pct"/>
            <w:noWrap/>
            <w:hideMark/>
          </w:tcPr>
          <w:p w14:paraId="56D97A69"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57.16</w:t>
            </w:r>
          </w:p>
        </w:tc>
        <w:tc>
          <w:tcPr>
            <w:tcW w:w="302" w:type="pct"/>
            <w:noWrap/>
            <w:hideMark/>
          </w:tcPr>
          <w:p w14:paraId="7039DF97"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0.014</w:t>
            </w:r>
          </w:p>
        </w:tc>
        <w:tc>
          <w:tcPr>
            <w:tcW w:w="390" w:type="pct"/>
            <w:noWrap/>
            <w:hideMark/>
          </w:tcPr>
          <w:p w14:paraId="77438EB3"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54.75</w:t>
            </w:r>
          </w:p>
        </w:tc>
        <w:tc>
          <w:tcPr>
            <w:tcW w:w="302" w:type="pct"/>
            <w:noWrap/>
            <w:hideMark/>
          </w:tcPr>
          <w:p w14:paraId="75C66A20"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0.023</w:t>
            </w:r>
          </w:p>
        </w:tc>
        <w:tc>
          <w:tcPr>
            <w:tcW w:w="302" w:type="pct"/>
            <w:noWrap/>
            <w:hideMark/>
          </w:tcPr>
          <w:p w14:paraId="57E24CA1"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54.92</w:t>
            </w:r>
          </w:p>
        </w:tc>
        <w:tc>
          <w:tcPr>
            <w:tcW w:w="302" w:type="pct"/>
            <w:noWrap/>
            <w:hideMark/>
          </w:tcPr>
          <w:p w14:paraId="1FA291D5"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0.023</w:t>
            </w:r>
          </w:p>
        </w:tc>
        <w:tc>
          <w:tcPr>
            <w:tcW w:w="390" w:type="pct"/>
            <w:noWrap/>
            <w:hideMark/>
          </w:tcPr>
          <w:p w14:paraId="3AC16DF3"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58.65</w:t>
            </w:r>
          </w:p>
        </w:tc>
        <w:tc>
          <w:tcPr>
            <w:tcW w:w="294" w:type="pct"/>
            <w:noWrap/>
            <w:hideMark/>
          </w:tcPr>
          <w:p w14:paraId="29A3C764"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0.01</w:t>
            </w:r>
          </w:p>
        </w:tc>
      </w:tr>
      <w:tr w:rsidR="002F1CBD" w:rsidRPr="00000849" w14:paraId="6F8CBA51" w14:textId="77777777" w:rsidTr="00143B7E">
        <w:trPr>
          <w:divId w:val="958150796"/>
          <w:trHeight w:val="735"/>
        </w:trPr>
        <w:tc>
          <w:tcPr>
            <w:cnfStyle w:val="001000000000" w:firstRow="0" w:lastRow="0" w:firstColumn="1" w:lastColumn="0" w:oddVBand="0" w:evenVBand="0" w:oddHBand="0" w:evenHBand="0" w:firstRowFirstColumn="0" w:firstRowLastColumn="0" w:lastRowFirstColumn="0" w:lastRowLastColumn="0"/>
            <w:tcW w:w="667" w:type="pct"/>
            <w:hideMark/>
          </w:tcPr>
          <w:p w14:paraId="16672263" w14:textId="77777777" w:rsidR="002F1CBD" w:rsidRPr="00000849" w:rsidRDefault="002F1CBD" w:rsidP="0032571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color w:val="000000"/>
                <w:sz w:val="18"/>
                <w:szCs w:val="18"/>
                <w:lang w:eastAsia="en-GB"/>
              </w:rPr>
              <w:t>Normal+ mild, moderate, severe hypertension</w:t>
            </w:r>
          </w:p>
        </w:tc>
        <w:tc>
          <w:tcPr>
            <w:tcW w:w="364" w:type="pct"/>
            <w:noWrap/>
            <w:hideMark/>
          </w:tcPr>
          <w:p w14:paraId="0D9EED2F"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3</w:t>
            </w:r>
          </w:p>
        </w:tc>
        <w:tc>
          <w:tcPr>
            <w:tcW w:w="390" w:type="pct"/>
            <w:noWrap/>
            <w:hideMark/>
          </w:tcPr>
          <w:p w14:paraId="24FDE6EA"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47.69</w:t>
            </w:r>
          </w:p>
        </w:tc>
        <w:tc>
          <w:tcPr>
            <w:tcW w:w="302" w:type="pct"/>
            <w:noWrap/>
            <w:hideMark/>
          </w:tcPr>
          <w:p w14:paraId="3B905362"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0.092</w:t>
            </w:r>
          </w:p>
        </w:tc>
        <w:tc>
          <w:tcPr>
            <w:tcW w:w="339" w:type="pct"/>
            <w:noWrap/>
            <w:hideMark/>
          </w:tcPr>
          <w:p w14:paraId="2ADBAF2B"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48.93</w:t>
            </w:r>
          </w:p>
        </w:tc>
        <w:tc>
          <w:tcPr>
            <w:tcW w:w="266" w:type="pct"/>
            <w:noWrap/>
            <w:hideMark/>
          </w:tcPr>
          <w:p w14:paraId="48DBD2EC"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0.074</w:t>
            </w:r>
          </w:p>
        </w:tc>
        <w:tc>
          <w:tcPr>
            <w:tcW w:w="390" w:type="pct"/>
            <w:noWrap/>
            <w:hideMark/>
          </w:tcPr>
          <w:p w14:paraId="34377A75"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50.56</w:t>
            </w:r>
          </w:p>
        </w:tc>
        <w:tc>
          <w:tcPr>
            <w:tcW w:w="302" w:type="pct"/>
            <w:noWrap/>
            <w:hideMark/>
          </w:tcPr>
          <w:p w14:paraId="4F61A25C"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0.054</w:t>
            </w:r>
          </w:p>
        </w:tc>
        <w:tc>
          <w:tcPr>
            <w:tcW w:w="390" w:type="pct"/>
            <w:noWrap/>
            <w:hideMark/>
          </w:tcPr>
          <w:p w14:paraId="6F9E84AD"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27.79</w:t>
            </w:r>
          </w:p>
        </w:tc>
        <w:tc>
          <w:tcPr>
            <w:tcW w:w="302" w:type="pct"/>
            <w:noWrap/>
            <w:hideMark/>
          </w:tcPr>
          <w:p w14:paraId="2F54D836"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0.834</w:t>
            </w:r>
          </w:p>
        </w:tc>
        <w:tc>
          <w:tcPr>
            <w:tcW w:w="302" w:type="pct"/>
            <w:noWrap/>
            <w:hideMark/>
          </w:tcPr>
          <w:p w14:paraId="64F750BA"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30.63</w:t>
            </w:r>
          </w:p>
        </w:tc>
        <w:tc>
          <w:tcPr>
            <w:tcW w:w="302" w:type="pct"/>
            <w:noWrap/>
            <w:hideMark/>
          </w:tcPr>
          <w:p w14:paraId="7EE0E9DA"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0.723</w:t>
            </w:r>
          </w:p>
        </w:tc>
        <w:tc>
          <w:tcPr>
            <w:tcW w:w="390" w:type="pct"/>
            <w:noWrap/>
            <w:hideMark/>
          </w:tcPr>
          <w:p w14:paraId="15783AD2"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34.26</w:t>
            </w:r>
          </w:p>
        </w:tc>
        <w:tc>
          <w:tcPr>
            <w:tcW w:w="294" w:type="pct"/>
            <w:noWrap/>
            <w:hideMark/>
          </w:tcPr>
          <w:p w14:paraId="4075500C"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0.834</w:t>
            </w:r>
          </w:p>
        </w:tc>
      </w:tr>
      <w:tr w:rsidR="002F1CBD" w:rsidRPr="00325719" w14:paraId="6220675C" w14:textId="77777777" w:rsidTr="00143B7E">
        <w:trPr>
          <w:divId w:val="958150796"/>
          <w:trHeight w:val="706"/>
        </w:trPr>
        <w:tc>
          <w:tcPr>
            <w:cnfStyle w:val="001000000000" w:firstRow="0" w:lastRow="0" w:firstColumn="1" w:lastColumn="0" w:oddVBand="0" w:evenVBand="0" w:oddHBand="0" w:evenHBand="0" w:firstRowFirstColumn="0" w:firstRowLastColumn="0" w:lastRowFirstColumn="0" w:lastRowLastColumn="0"/>
            <w:tcW w:w="667" w:type="pct"/>
            <w:hideMark/>
          </w:tcPr>
          <w:p w14:paraId="6E0101FA" w14:textId="77777777" w:rsidR="002F1CBD" w:rsidRPr="00000849" w:rsidRDefault="002F1CBD" w:rsidP="00325719">
            <w:pPr>
              <w:spacing w:after="0" w:line="240" w:lineRule="auto"/>
              <w:rPr>
                <w:rFonts w:ascii="Calibri" w:eastAsia="Times New Roman" w:hAnsi="Calibri" w:cs="Calibri"/>
                <w:b w:val="0"/>
                <w:bCs w:val="0"/>
                <w:color w:val="000000"/>
                <w:sz w:val="18"/>
                <w:szCs w:val="18"/>
                <w:lang w:eastAsia="en-GB"/>
              </w:rPr>
            </w:pPr>
            <w:r w:rsidRPr="00000849">
              <w:rPr>
                <w:rFonts w:ascii="Calibri" w:eastAsia="Times New Roman" w:hAnsi="Calibri" w:cs="Calibri"/>
                <w:color w:val="000000"/>
                <w:sz w:val="18"/>
                <w:szCs w:val="18"/>
                <w:lang w:eastAsia="en-GB"/>
              </w:rPr>
              <w:t>Mild, moderate, severe hypertension</w:t>
            </w:r>
          </w:p>
        </w:tc>
        <w:tc>
          <w:tcPr>
            <w:tcW w:w="364" w:type="pct"/>
            <w:noWrap/>
            <w:hideMark/>
          </w:tcPr>
          <w:p w14:paraId="37B5BD9F"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3</w:t>
            </w:r>
          </w:p>
        </w:tc>
        <w:tc>
          <w:tcPr>
            <w:tcW w:w="390" w:type="pct"/>
            <w:noWrap/>
            <w:hideMark/>
          </w:tcPr>
          <w:p w14:paraId="52384285"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45.67</w:t>
            </w:r>
          </w:p>
        </w:tc>
        <w:tc>
          <w:tcPr>
            <w:tcW w:w="302" w:type="pct"/>
            <w:noWrap/>
            <w:hideMark/>
          </w:tcPr>
          <w:p w14:paraId="535CC647"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0.13</w:t>
            </w:r>
          </w:p>
        </w:tc>
        <w:tc>
          <w:tcPr>
            <w:tcW w:w="339" w:type="pct"/>
            <w:noWrap/>
            <w:hideMark/>
          </w:tcPr>
          <w:p w14:paraId="292F6318"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45.55</w:t>
            </w:r>
          </w:p>
        </w:tc>
        <w:tc>
          <w:tcPr>
            <w:tcW w:w="266" w:type="pct"/>
            <w:noWrap/>
            <w:hideMark/>
          </w:tcPr>
          <w:p w14:paraId="19F94645"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0.132</w:t>
            </w:r>
          </w:p>
        </w:tc>
        <w:tc>
          <w:tcPr>
            <w:tcW w:w="390" w:type="pct"/>
            <w:noWrap/>
            <w:hideMark/>
          </w:tcPr>
          <w:p w14:paraId="0B098189"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47.09</w:t>
            </w:r>
          </w:p>
        </w:tc>
        <w:tc>
          <w:tcPr>
            <w:tcW w:w="302" w:type="pct"/>
            <w:noWrap/>
            <w:hideMark/>
          </w:tcPr>
          <w:p w14:paraId="06BB2EA7"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0.102</w:t>
            </w:r>
          </w:p>
        </w:tc>
        <w:tc>
          <w:tcPr>
            <w:tcW w:w="390" w:type="pct"/>
            <w:noWrap/>
            <w:hideMark/>
          </w:tcPr>
          <w:p w14:paraId="55F973E4"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27.43</w:t>
            </w:r>
          </w:p>
        </w:tc>
        <w:tc>
          <w:tcPr>
            <w:tcW w:w="302" w:type="pct"/>
            <w:noWrap/>
            <w:hideMark/>
          </w:tcPr>
          <w:p w14:paraId="5DDFC6A5"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0.847</w:t>
            </w:r>
          </w:p>
        </w:tc>
        <w:tc>
          <w:tcPr>
            <w:tcW w:w="302" w:type="pct"/>
            <w:noWrap/>
            <w:hideMark/>
          </w:tcPr>
          <w:p w14:paraId="6CD49975"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30.61</w:t>
            </w:r>
          </w:p>
        </w:tc>
        <w:tc>
          <w:tcPr>
            <w:tcW w:w="302" w:type="pct"/>
            <w:noWrap/>
            <w:hideMark/>
          </w:tcPr>
          <w:p w14:paraId="330FFE76"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0.722</w:t>
            </w:r>
          </w:p>
        </w:tc>
        <w:tc>
          <w:tcPr>
            <w:tcW w:w="390" w:type="pct"/>
            <w:noWrap/>
            <w:hideMark/>
          </w:tcPr>
          <w:p w14:paraId="07A1D082" w14:textId="77777777" w:rsidR="002F1CBD" w:rsidRPr="0000084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33.22</w:t>
            </w:r>
          </w:p>
        </w:tc>
        <w:tc>
          <w:tcPr>
            <w:tcW w:w="294" w:type="pct"/>
            <w:noWrap/>
            <w:hideMark/>
          </w:tcPr>
          <w:p w14:paraId="65C8C452" w14:textId="77777777" w:rsidR="002F1CBD" w:rsidRPr="00325719" w:rsidRDefault="002F1CBD" w:rsidP="003257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en-GB"/>
              </w:rPr>
            </w:pPr>
            <w:r w:rsidRPr="00000849">
              <w:rPr>
                <w:rFonts w:ascii="Calibri" w:eastAsia="Times New Roman" w:hAnsi="Calibri" w:cs="Calibri"/>
                <w:color w:val="000000"/>
                <w:sz w:val="18"/>
                <w:szCs w:val="18"/>
                <w:lang w:eastAsia="en-GB"/>
              </w:rPr>
              <w:t>0.601</w:t>
            </w:r>
          </w:p>
        </w:tc>
      </w:tr>
    </w:tbl>
    <w:p w14:paraId="4BB53C70" w14:textId="02DC6E4E" w:rsidR="008504FE" w:rsidRDefault="008504FE" w:rsidP="009E605B">
      <w:pPr>
        <w:widowControl w:val="0"/>
        <w:spacing w:line="360" w:lineRule="auto"/>
        <w:jc w:val="both"/>
        <w:rPr>
          <w:rFonts w:cstheme="minorHAnsi"/>
          <w:sz w:val="24"/>
          <w:szCs w:val="24"/>
          <w:lang w:val="en-US"/>
        </w:rPr>
      </w:pPr>
    </w:p>
    <w:p w14:paraId="42AA5103" w14:textId="77777777" w:rsidR="00325719" w:rsidRDefault="00325719" w:rsidP="009E605B">
      <w:pPr>
        <w:widowControl w:val="0"/>
        <w:spacing w:line="360" w:lineRule="auto"/>
        <w:jc w:val="both"/>
        <w:rPr>
          <w:rFonts w:cstheme="minorHAnsi"/>
          <w:sz w:val="24"/>
          <w:szCs w:val="24"/>
          <w:lang w:val="en-US"/>
        </w:rPr>
        <w:sectPr w:rsidR="00325719" w:rsidSect="00143B7E">
          <w:pgSz w:w="16838" w:h="11906" w:orient="landscape"/>
          <w:pgMar w:top="2155" w:right="1440" w:bottom="1440" w:left="1440" w:header="708" w:footer="708" w:gutter="0"/>
          <w:cols w:space="708"/>
          <w:docGrid w:linePitch="360"/>
        </w:sectPr>
      </w:pPr>
    </w:p>
    <w:p w14:paraId="5D80631A" w14:textId="2512F762" w:rsidR="008504FE" w:rsidRPr="00807B42" w:rsidRDefault="008504FE" w:rsidP="009E605B">
      <w:pPr>
        <w:widowControl w:val="0"/>
        <w:spacing w:line="360" w:lineRule="auto"/>
        <w:jc w:val="both"/>
        <w:rPr>
          <w:rFonts w:cstheme="minorHAnsi"/>
          <w:sz w:val="24"/>
          <w:szCs w:val="24"/>
          <w:lang w:val="en-US"/>
        </w:rPr>
      </w:pPr>
    </w:p>
    <w:sectPr w:rsidR="008504FE" w:rsidRPr="00807B42" w:rsidSect="009E605B">
      <w:pgSz w:w="11906" w:h="16838"/>
      <w:pgMar w:top="1440" w:right="1440" w:bottom="1440" w:left="2155"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AF429D" w14:textId="77777777" w:rsidR="00C84E75" w:rsidRDefault="00C84E75" w:rsidP="00E21D46">
      <w:pPr>
        <w:spacing w:after="0" w:line="240" w:lineRule="auto"/>
      </w:pPr>
      <w:r>
        <w:separator/>
      </w:r>
    </w:p>
  </w:endnote>
  <w:endnote w:type="continuationSeparator" w:id="0">
    <w:p w14:paraId="485899C2" w14:textId="77777777" w:rsidR="00C84E75" w:rsidRDefault="00C84E75" w:rsidP="00E21D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MS Mincho">
    <w:altName w:val="Yu Gothic"/>
    <w:panose1 w:val="02020609040205080304"/>
    <w:charset w:val="80"/>
    <w:family w:val="modern"/>
    <w:pitch w:val="fixed"/>
    <w:sig w:usb0="E00002FF" w:usb1="6AC7FDFB" w:usb2="08000012" w:usb3="00000000" w:csb0="0002009F" w:csb1="00000000"/>
  </w:font>
  <w:font w:name="HelveticaNeueLT Std Med">
    <w:altName w:val="Arial"/>
    <w:panose1 w:val="00000000000000000000"/>
    <w:charset w:val="00"/>
    <w:family w:val="swiss"/>
    <w:notTrueType/>
    <w:pitch w:val="default"/>
    <w:sig w:usb0="00000003" w:usb1="00000000" w:usb2="00000000" w:usb3="00000000" w:csb0="00000001" w:csb1="00000000"/>
  </w:font>
  <w:font w:name="Myriad Pro">
    <w:altName w:val="Segoe UI"/>
    <w:panose1 w:val="00000000000000000000"/>
    <w:charset w:val="00"/>
    <w:family w:val="swiss"/>
    <w:notTrueType/>
    <w:pitch w:val="default"/>
    <w:sig w:usb0="00000003" w:usb1="00000000" w:usb2="00000000" w:usb3="00000000" w:csb0="00000001" w:csb1="00000000"/>
  </w:font>
  <w:font w:name="Arabic Typesetting">
    <w:charset w:val="B2"/>
    <w:family w:val="script"/>
    <w:pitch w:val="variable"/>
    <w:sig w:usb0="80002007" w:usb1="80000000" w:usb2="00000008" w:usb3="00000000" w:csb0="000000D3" w:csb1="00000000"/>
  </w:font>
  <w:font w:name="Segoe Print">
    <w:panose1 w:val="02000600000000000000"/>
    <w:charset w:val="00"/>
    <w:family w:val="auto"/>
    <w:pitch w:val="variable"/>
    <w:sig w:usb0="0000028F"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Lucida Sans">
    <w:panose1 w:val="020B0602030504020204"/>
    <w:charset w:val="00"/>
    <w:family w:val="swiss"/>
    <w:pitch w:val="variable"/>
    <w:sig w:usb0="8100AAF7" w:usb1="0000807B" w:usb2="00000008" w:usb3="00000000" w:csb0="000100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Arial Bold">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4145905"/>
      <w:docPartObj>
        <w:docPartGallery w:val="Page Numbers (Bottom of Page)"/>
        <w:docPartUnique/>
      </w:docPartObj>
    </w:sdtPr>
    <w:sdtEndPr>
      <w:rPr>
        <w:noProof/>
      </w:rPr>
    </w:sdtEndPr>
    <w:sdtContent>
      <w:p w14:paraId="1175A35A" w14:textId="03D2247F" w:rsidR="00AC2BE6" w:rsidRDefault="00AC2BE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DC8E990" w14:textId="61ADC76C" w:rsidR="00AC2BE6" w:rsidRDefault="00AC2BE6" w:rsidP="00D27FB5">
    <w:pPr>
      <w:pStyle w:val="Footer"/>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6752342"/>
      <w:docPartObj>
        <w:docPartGallery w:val="Page Numbers (Bottom of Page)"/>
        <w:docPartUnique/>
      </w:docPartObj>
    </w:sdtPr>
    <w:sdtEndPr>
      <w:rPr>
        <w:noProof/>
      </w:rPr>
    </w:sdtEndPr>
    <w:sdtContent>
      <w:p w14:paraId="4D460835" w14:textId="5E655FBF" w:rsidR="00AC2BE6" w:rsidRDefault="00AC2BE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90B7EA" w14:textId="77777777" w:rsidR="00AC2BE6" w:rsidRDefault="00AC2BE6">
    <w:pPr>
      <w:spacing w:after="160" w:line="259"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BF535" w14:textId="77777777" w:rsidR="00AC2BE6" w:rsidRDefault="00AC2BE6">
    <w:pPr>
      <w:spacing w:after="160" w:line="259"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755AB" w14:textId="77777777" w:rsidR="00AC2BE6" w:rsidRDefault="00AC2BE6">
    <w:pPr>
      <w:spacing w:after="0" w:line="259" w:lineRule="auto"/>
      <w:ind w:left="-1134" w:right="9161"/>
    </w:pPr>
    <w:r>
      <w:rPr>
        <w:rFonts w:ascii="Calibri" w:eastAsia="Calibri" w:hAnsi="Calibri" w:cs="Calibri"/>
        <w:noProof/>
        <w:color w:val="000000"/>
      </w:rPr>
      <mc:AlternateContent>
        <mc:Choice Requires="wpg">
          <w:drawing>
            <wp:anchor distT="0" distB="0" distL="114300" distR="114300" simplePos="0" relativeHeight="251666432" behindDoc="0" locked="0" layoutInCell="1" allowOverlap="1" wp14:anchorId="6D35A51D" wp14:editId="3E0C4D2F">
              <wp:simplePos x="0" y="0"/>
              <wp:positionH relativeFrom="page">
                <wp:posOffset>721533</wp:posOffset>
              </wp:positionH>
              <wp:positionV relativeFrom="page">
                <wp:posOffset>7998473</wp:posOffset>
              </wp:positionV>
              <wp:extent cx="301592" cy="1289525"/>
              <wp:effectExtent l="0" t="0" r="0" b="0"/>
              <wp:wrapSquare wrapText="bothSides"/>
              <wp:docPr id="77409" name="Group 77409"/>
              <wp:cNvGraphicFramePr/>
              <a:graphic xmlns:a="http://schemas.openxmlformats.org/drawingml/2006/main">
                <a:graphicData uri="http://schemas.microsoft.com/office/word/2010/wordprocessingGroup">
                  <wpg:wgp>
                    <wpg:cNvGrpSpPr/>
                    <wpg:grpSpPr>
                      <a:xfrm>
                        <a:off x="0" y="0"/>
                        <a:ext cx="301592" cy="1289525"/>
                        <a:chOff x="0" y="0"/>
                        <a:chExt cx="301592" cy="1289525"/>
                      </a:xfrm>
                    </wpg:grpSpPr>
                    <wps:wsp>
                      <wps:cNvPr id="83189" name="Shape 83189"/>
                      <wps:cNvSpPr/>
                      <wps:spPr>
                        <a:xfrm>
                          <a:off x="299433" y="1078561"/>
                          <a:ext cx="9144" cy="210960"/>
                        </a:xfrm>
                        <a:custGeom>
                          <a:avLst/>
                          <a:gdLst/>
                          <a:ahLst/>
                          <a:cxnLst/>
                          <a:rect l="0" t="0" r="0" b="0"/>
                          <a:pathLst>
                            <a:path w="9144" h="210960">
                              <a:moveTo>
                                <a:pt x="0" y="0"/>
                              </a:moveTo>
                              <a:lnTo>
                                <a:pt x="9144" y="0"/>
                              </a:lnTo>
                              <a:lnTo>
                                <a:pt x="9144" y="210960"/>
                              </a:lnTo>
                              <a:lnTo>
                                <a:pt x="0" y="210960"/>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83190" name="Shape 83190"/>
                      <wps:cNvSpPr/>
                      <wps:spPr>
                        <a:xfrm>
                          <a:off x="299433" y="578168"/>
                          <a:ext cx="9144" cy="500405"/>
                        </a:xfrm>
                        <a:custGeom>
                          <a:avLst/>
                          <a:gdLst/>
                          <a:ahLst/>
                          <a:cxnLst/>
                          <a:rect l="0" t="0" r="0" b="0"/>
                          <a:pathLst>
                            <a:path w="9144" h="500405">
                              <a:moveTo>
                                <a:pt x="0" y="0"/>
                              </a:moveTo>
                              <a:lnTo>
                                <a:pt x="9144" y="0"/>
                              </a:lnTo>
                              <a:lnTo>
                                <a:pt x="9144" y="500405"/>
                              </a:lnTo>
                              <a:lnTo>
                                <a:pt x="0" y="500405"/>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83191" name="Shape 83191"/>
                      <wps:cNvSpPr/>
                      <wps:spPr>
                        <a:xfrm>
                          <a:off x="299433" y="0"/>
                          <a:ext cx="9144" cy="578155"/>
                        </a:xfrm>
                        <a:custGeom>
                          <a:avLst/>
                          <a:gdLst/>
                          <a:ahLst/>
                          <a:cxnLst/>
                          <a:rect l="0" t="0" r="0" b="0"/>
                          <a:pathLst>
                            <a:path w="9144" h="578155">
                              <a:moveTo>
                                <a:pt x="0" y="0"/>
                              </a:moveTo>
                              <a:lnTo>
                                <a:pt x="9144" y="0"/>
                              </a:lnTo>
                              <a:lnTo>
                                <a:pt x="9144" y="578155"/>
                              </a:lnTo>
                              <a:lnTo>
                                <a:pt x="0" y="578155"/>
                              </a:lnTo>
                              <a:lnTo>
                                <a:pt x="0" y="0"/>
                              </a:lnTo>
                            </a:path>
                          </a:pathLst>
                        </a:custGeom>
                        <a:ln w="0" cap="rnd">
                          <a:round/>
                        </a:ln>
                      </wps:spPr>
                      <wps:style>
                        <a:lnRef idx="1">
                          <a:srgbClr val="131313"/>
                        </a:lnRef>
                        <a:fillRef idx="1">
                          <a:srgbClr val="131313"/>
                        </a:fillRef>
                        <a:effectRef idx="0">
                          <a:scrgbClr r="0" g="0" b="0"/>
                        </a:effectRef>
                        <a:fontRef idx="none"/>
                      </wps:style>
                      <wps:bodyPr/>
                    </wps:wsp>
                    <wps:wsp>
                      <wps:cNvPr id="77413" name="Rectangle 77413"/>
                      <wps:cNvSpPr/>
                      <wps:spPr>
                        <a:xfrm rot="-5399999">
                          <a:off x="-180750" y="968918"/>
                          <a:ext cx="501359" cy="139857"/>
                        </a:xfrm>
                        <a:prstGeom prst="rect">
                          <a:avLst/>
                        </a:prstGeom>
                        <a:ln>
                          <a:noFill/>
                        </a:ln>
                      </wps:spPr>
                      <wps:txbx>
                        <w:txbxContent>
                          <w:p w14:paraId="6F8E1FEE" w14:textId="77777777" w:rsidR="00AC2BE6" w:rsidRDefault="00AC2BE6">
                            <w:pPr>
                              <w:spacing w:after="160" w:line="259" w:lineRule="auto"/>
                            </w:pPr>
                            <w:r>
                              <w:rPr>
                                <w:rFonts w:ascii="Calibri" w:eastAsia="Calibri" w:hAnsi="Calibri" w:cs="Calibri"/>
                                <w:sz w:val="18"/>
                              </w:rPr>
                              <w:t>Table5</w:t>
                            </w:r>
                          </w:p>
                        </w:txbxContent>
                      </wps:txbx>
                      <wps:bodyPr horzOverflow="overflow" vert="horz" lIns="0" tIns="0" rIns="0" bIns="0" rtlCol="0">
                        <a:noAutofit/>
                      </wps:bodyPr>
                    </wps:wsp>
                  </wpg:wgp>
                </a:graphicData>
              </a:graphic>
            </wp:anchor>
          </w:drawing>
        </mc:Choice>
        <mc:Fallback>
          <w:pict>
            <v:group w14:anchorId="6D35A51D" id="Group 77409" o:spid="_x0000_s1100" style="position:absolute;left:0;text-align:left;margin-left:56.8pt;margin-top:629.8pt;width:23.75pt;height:101.55pt;z-index:251666432;mso-position-horizontal-relative:page;mso-position-vertical-relative:page" coordsize="3015,1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">
              <v:shape id="Shape 83189" o:spid="_x0000_s1101" style="position:absolute;left:2994;top:10785;width:91;height:2110;visibility:visible;mso-wrap-style:square;v-text-anchor:top" coordsize="9144,21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" path="m,l9144,r,210960l,210960,,e" fillcolor="#131313" strokecolor="#131313" strokeweight="0">
                <v:stroke endcap="round"/>
                <v:path arrowok="t" textboxrect="0,0,9144,210960"/>
              </v:shape>
              <v:shape id="Shape 83190" o:spid="_x0000_s1102" style="position:absolute;left:2994;top:5781;width:91;height:5004;visibility:visible;mso-wrap-style:square;v-text-anchor:top" coordsize="9144,5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" path="m,l9144,r,500405l,500405,,e" fillcolor="#131313" strokecolor="#131313" strokeweight="0">
                <v:stroke endcap="round"/>
                <v:path arrowok="t" textboxrect="0,0,9144,500405"/>
              </v:shape>
              <v:shape id="Shape 83191" o:spid="_x0000_s1103" style="position:absolute;left:2994;width:91;height:5781;visibility:visible;mso-wrap-style:square;v-text-anchor:top" coordsize="9144,57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" path="m,l9144,r,578155l,578155,,e" fillcolor="#131313" strokecolor="#131313" strokeweight="0">
                <v:stroke endcap="round"/>
                <v:path arrowok="t" textboxrect="0,0,9144,578155"/>
              </v:shape>
              <v:rect id="Rectangle 77413" o:spid="_x0000_s1104" style="position:absolute;left:-1808;top:9689;width:5014;height:1398;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" filled="f" stroked="f">
                <v:textbox inset="0,0,0,0">
                  <w:txbxContent>
                    <w:p w14:paraId="6F8E1FEE" w14:textId="77777777" w:rsidR="00AC2BE6" w:rsidRDefault="00AC2BE6">
                      <w:pPr>
                        <w:spacing w:after="160" w:line="259" w:lineRule="auto"/>
                      </w:pPr>
                      <w:r>
                        <w:rPr>
                          <w:rFonts w:ascii="Calibri" w:eastAsia="Calibri" w:hAnsi="Calibri" w:cs="Calibri"/>
                          <w:sz w:val="18"/>
                        </w:rPr>
                        <w:t>Table5</w:t>
                      </w:r>
                    </w:p>
                  </w:txbxContent>
                </v:textbox>
              </v:rect>
              <w10:wrap type="square" anchorx="page" anchory="pag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492827"/>
      <w:docPartObj>
        <w:docPartGallery w:val="Page Numbers (Bottom of Page)"/>
        <w:docPartUnique/>
      </w:docPartObj>
    </w:sdtPr>
    <w:sdtEndPr>
      <w:rPr>
        <w:noProof/>
      </w:rPr>
    </w:sdtEndPr>
    <w:sdtContent>
      <w:p w14:paraId="363881AB" w14:textId="347FE6C7" w:rsidR="00AC2BE6" w:rsidRDefault="00AC2BE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83C8A6D" w14:textId="7FD0DEFC" w:rsidR="00AC2BE6" w:rsidRDefault="00AC2BE6">
    <w:pPr>
      <w:spacing w:after="0" w:line="259" w:lineRule="auto"/>
      <w:ind w:left="-1134" w:right="9161"/>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8077511"/>
      <w:docPartObj>
        <w:docPartGallery w:val="Page Numbers (Bottom of Page)"/>
        <w:docPartUnique/>
      </w:docPartObj>
    </w:sdtPr>
    <w:sdtEndPr>
      <w:rPr>
        <w:noProof/>
      </w:rPr>
    </w:sdtEndPr>
    <w:sdtContent>
      <w:p w14:paraId="3DC3553F" w14:textId="6039D1CB" w:rsidR="00AC2BE6" w:rsidRDefault="00AC2BE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DB3AF23" w14:textId="77777777" w:rsidR="00AC2BE6" w:rsidRDefault="00AC2BE6">
    <w:pPr>
      <w:spacing w:after="160" w:line="259"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2978570"/>
      <w:docPartObj>
        <w:docPartGallery w:val="Page Numbers (Bottom of Page)"/>
        <w:docPartUnique/>
      </w:docPartObj>
    </w:sdtPr>
    <w:sdtEndPr>
      <w:rPr>
        <w:noProof/>
      </w:rPr>
    </w:sdtEndPr>
    <w:sdtContent>
      <w:p w14:paraId="7D6FEFA3" w14:textId="147D2BD9" w:rsidR="00AC2BE6" w:rsidRDefault="00AC2BE6" w:rsidP="00367E15">
        <w:pPr>
          <w:pStyle w:val="Footer"/>
          <w:jc w:val="right"/>
        </w:pPr>
        <w:r w:rsidRPr="00DC3604">
          <w:fldChar w:fldCharType="begin"/>
        </w:r>
        <w:r w:rsidRPr="00DC3604">
          <w:instrText xml:space="preserve"> PAGE   \* MERGEFORMAT </w:instrText>
        </w:r>
        <w:r w:rsidRPr="00DC3604">
          <w:fldChar w:fldCharType="separate"/>
        </w:r>
        <w:r w:rsidRPr="00DC3604">
          <w:rPr>
            <w:noProof/>
          </w:rPr>
          <w:t>2</w:t>
        </w:r>
        <w:r w:rsidRPr="00DC3604">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96B4A" w14:textId="1541D358" w:rsidR="00AC2BE6" w:rsidRDefault="00AC2BE6">
    <w:pPr>
      <w:tabs>
        <w:tab w:val="center" w:pos="4631"/>
        <w:tab w:val="right" w:pos="10800"/>
      </w:tabs>
      <w:spacing w:after="0" w:line="259" w:lineRule="auto"/>
      <w:ind w:right="-1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2681061"/>
      <w:docPartObj>
        <w:docPartGallery w:val="Page Numbers (Bottom of Page)"/>
        <w:docPartUnique/>
      </w:docPartObj>
    </w:sdtPr>
    <w:sdtEndPr>
      <w:rPr>
        <w:noProof/>
      </w:rPr>
    </w:sdtEndPr>
    <w:sdtContent>
      <w:p w14:paraId="79C97290" w14:textId="7B714096" w:rsidR="00AC2BE6" w:rsidRDefault="00AC2BE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ADEB37B" w14:textId="5A3B067B" w:rsidR="00AC2BE6" w:rsidRPr="00CA74F0" w:rsidRDefault="00AC2BE6" w:rsidP="00143B7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179E7" w14:textId="77777777" w:rsidR="00AC2BE6" w:rsidRDefault="00AC2BE6">
    <w:pPr>
      <w:tabs>
        <w:tab w:val="center" w:pos="4631"/>
        <w:tab w:val="right" w:pos="10800"/>
      </w:tabs>
      <w:spacing w:after="0" w:line="259" w:lineRule="auto"/>
      <w:ind w:right="-13"/>
    </w:pPr>
    <w:r>
      <w:rPr>
        <w:noProof/>
      </w:rPr>
      <mc:AlternateContent>
        <mc:Choice Requires="wpg">
          <w:drawing>
            <wp:anchor distT="0" distB="0" distL="114300" distR="114300" simplePos="0" relativeHeight="251664384" behindDoc="0" locked="0" layoutInCell="1" allowOverlap="1" wp14:anchorId="64A7C887" wp14:editId="13C4D90F">
              <wp:simplePos x="0" y="0"/>
              <wp:positionH relativeFrom="page">
                <wp:posOffset>457200</wp:posOffset>
              </wp:positionH>
              <wp:positionV relativeFrom="page">
                <wp:posOffset>9448798</wp:posOffset>
              </wp:positionV>
              <wp:extent cx="6858000" cy="6350"/>
              <wp:effectExtent l="0" t="0" r="0" b="0"/>
              <wp:wrapSquare wrapText="bothSides"/>
              <wp:docPr id="133876" name="Group 133876"/>
              <wp:cNvGraphicFramePr/>
              <a:graphic xmlns:a="http://schemas.openxmlformats.org/drawingml/2006/main">
                <a:graphicData uri="http://schemas.microsoft.com/office/word/2010/wordprocessingGroup">
                  <wpg:wgp>
                    <wpg:cNvGrpSpPr/>
                    <wpg:grpSpPr>
                      <a:xfrm>
                        <a:off x="0" y="0"/>
                        <a:ext cx="6858000" cy="6350"/>
                        <a:chOff x="0" y="0"/>
                        <a:chExt cx="6858000" cy="6350"/>
                      </a:xfrm>
                    </wpg:grpSpPr>
                    <wps:wsp>
                      <wps:cNvPr id="143463" name="Shape 143463"/>
                      <wps:cNvSpPr/>
                      <wps:spPr>
                        <a:xfrm>
                          <a:off x="0" y="0"/>
                          <a:ext cx="6858000" cy="9144"/>
                        </a:xfrm>
                        <a:custGeom>
                          <a:avLst/>
                          <a:gdLst/>
                          <a:ahLst/>
                          <a:cxnLst/>
                          <a:rect l="0" t="0" r="0" b="0"/>
                          <a:pathLst>
                            <a:path w="6858000" h="9144">
                              <a:moveTo>
                                <a:pt x="0" y="0"/>
                              </a:moveTo>
                              <a:lnTo>
                                <a:pt x="6858000" y="0"/>
                              </a:lnTo>
                              <a:lnTo>
                                <a:pt x="6858000"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0A9832A" id="Group 133876" o:spid="_x0000_s1026" style="position:absolute;margin-left:36pt;margin-top:744pt;width:540pt;height:.5pt;z-index:251664384;mso-position-horizontal-relative:page;mso-position-vertical-relative:page" coordsize="685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">
              <v:shape id="Shape 143463" o:spid="_x0000_s1027" style="position:absolute;width:68580;height:91;visibility:visible;mso-wrap-style:square;v-text-anchor:top" coordsize="68580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" path="m,l6858000,r,9144l,9144,,e" fillcolor="black" stroked="f" strokeweight="0">
                <v:stroke endcap="round"/>
                <v:path arrowok="t" textboxrect="0,0,6858000,9144"/>
              </v:shape>
              <w10:wrap type="square" anchorx="page" anchory="page"/>
            </v:group>
          </w:pict>
        </mc:Fallback>
      </mc:AlternateContent>
    </w:r>
    <w:r>
      <w:rPr>
        <w:rFonts w:ascii="Arial" w:eastAsia="Arial" w:hAnsi="Arial" w:cs="Arial"/>
        <w:sz w:val="16"/>
      </w:rPr>
      <w:t xml:space="preserve">PLOS ONE | </w:t>
    </w:r>
    <w:r>
      <w:rPr>
        <w:rFonts w:ascii="Arial" w:eastAsia="Arial" w:hAnsi="Arial" w:cs="Arial"/>
        <w:color w:val="535C96"/>
        <w:sz w:val="16"/>
        <w:u w:val="single" w:color="535C96"/>
      </w:rPr>
      <w:t>https://doi.org/10.1371/journal.pone.0214934</w:t>
    </w:r>
    <w:r>
      <w:rPr>
        <w:rFonts w:ascii="Arial" w:eastAsia="Arial" w:hAnsi="Arial" w:cs="Arial"/>
        <w:color w:val="535C96"/>
        <w:sz w:val="16"/>
        <w:u w:val="single" w:color="535C96"/>
      </w:rPr>
      <w:tab/>
    </w:r>
    <w:r>
      <w:rPr>
        <w:rFonts w:ascii="Arial" w:eastAsia="Arial" w:hAnsi="Arial" w:cs="Arial"/>
        <w:sz w:val="16"/>
      </w:rPr>
      <w:t>April 5, 2019</w:t>
    </w:r>
    <w:r>
      <w:rPr>
        <w:rFonts w:ascii="Arial" w:eastAsia="Arial" w:hAnsi="Arial" w:cs="Arial"/>
        <w:sz w:val="16"/>
      </w:rPr>
      <w:tab/>
    </w:r>
    <w:r>
      <w:fldChar w:fldCharType="begin"/>
    </w:r>
    <w:r>
      <w:instrText xml:space="preserve"> PAGE   \* MERGEFORMAT </w:instrText>
    </w:r>
    <w:r>
      <w:fldChar w:fldCharType="separate"/>
    </w:r>
    <w:r>
      <w:rPr>
        <w:rFonts w:ascii="Arial" w:eastAsia="Arial" w:hAnsi="Arial" w:cs="Arial"/>
        <w:sz w:val="16"/>
      </w:rPr>
      <w:t>1</w:t>
    </w:r>
    <w:r>
      <w:rPr>
        <w:rFonts w:ascii="Arial" w:eastAsia="Arial" w:hAnsi="Arial" w:cs="Arial"/>
        <w:sz w:val="16"/>
      </w:rPr>
      <w:fldChar w:fldCharType="end"/>
    </w:r>
    <w:r>
      <w:rPr>
        <w:rFonts w:ascii="Arial" w:eastAsia="Arial" w:hAnsi="Arial" w:cs="Arial"/>
        <w:sz w:val="16"/>
      </w:rPr>
      <w:t xml:space="preserve"> / </w:t>
    </w:r>
    <w:fldSimple w:instr=" NUMPAGES   \* MERGEFORMAT ">
      <w:r>
        <w:rPr>
          <w:rFonts w:ascii="Arial" w:eastAsia="Arial" w:hAnsi="Arial" w:cs="Arial"/>
          <w:sz w:val="16"/>
        </w:rPr>
        <w:t>25</w:t>
      </w:r>
    </w:fldSimple>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AB642" w14:textId="77777777" w:rsidR="00AC2BE6" w:rsidRDefault="00AC2BE6">
    <w:pPr>
      <w:spacing w:after="160" w:line="259"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298664"/>
      <w:docPartObj>
        <w:docPartGallery w:val="Page Numbers (Bottom of Page)"/>
        <w:docPartUnique/>
      </w:docPartObj>
    </w:sdtPr>
    <w:sdtEndPr>
      <w:rPr>
        <w:noProof/>
      </w:rPr>
    </w:sdtEndPr>
    <w:sdtContent>
      <w:p w14:paraId="36C7E2F5" w14:textId="063A019B" w:rsidR="00AC2BE6" w:rsidRDefault="00AC2BE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92786FA" w14:textId="77777777" w:rsidR="00AC2BE6" w:rsidRDefault="00AC2BE6">
    <w:pPr>
      <w:spacing w:after="160" w:line="259"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710D8" w14:textId="77777777" w:rsidR="00AC2BE6" w:rsidRDefault="00AC2BE6">
    <w:pPr>
      <w:spacing w:after="160" w:line="259"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D1999" w14:textId="77777777" w:rsidR="00AC2BE6" w:rsidRDefault="00AC2BE6">
    <w:pPr>
      <w:spacing w:after="160" w:line="259"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1C4A96" w14:textId="77777777" w:rsidR="00C84E75" w:rsidRDefault="00C84E75" w:rsidP="00E21D46">
      <w:pPr>
        <w:spacing w:after="0" w:line="240" w:lineRule="auto"/>
      </w:pPr>
      <w:r>
        <w:separator/>
      </w:r>
    </w:p>
  </w:footnote>
  <w:footnote w:type="continuationSeparator" w:id="0">
    <w:p w14:paraId="4C70615F" w14:textId="77777777" w:rsidR="00C84E75" w:rsidRDefault="00C84E75" w:rsidP="00E21D46">
      <w:pPr>
        <w:spacing w:after="0" w:line="240" w:lineRule="auto"/>
      </w:pPr>
      <w:r>
        <w:continuationSeparator/>
      </w:r>
    </w:p>
  </w:footnote>
  <w:footnote w:id="1">
    <w:p w14:paraId="1E7906D9" w14:textId="37172788" w:rsidR="00AC2BE6" w:rsidRPr="009207A0" w:rsidRDefault="00AC2BE6" w:rsidP="009207A0">
      <w:pPr>
        <w:pStyle w:val="FootnoteText"/>
        <w:jc w:val="both"/>
        <w:rPr>
          <w:lang w:val="en-US"/>
        </w:rPr>
      </w:pPr>
      <w:r>
        <w:rPr>
          <w:rStyle w:val="FootnoteReference"/>
        </w:rPr>
        <w:footnoteRef/>
      </w:r>
      <w:r>
        <w:t xml:space="preserve"> For simplicity, </w:t>
      </w:r>
      <w:r>
        <w:rPr>
          <w:lang w:val="en-US"/>
        </w:rPr>
        <w:t xml:space="preserve">Ghana defines urban areas as localities with population of 5,000 or more.  In other countries, the definition considers other criteria </w:t>
      </w:r>
      <w:r w:rsidRPr="009207A0">
        <w:rPr>
          <w:lang w:val="en-US"/>
        </w:rPr>
        <w:t>such as population density, economic occupation or urban functions</w:t>
      </w:r>
      <w:r>
        <w:rPr>
          <w:lang w:val="en-US"/>
        </w:rPr>
        <w:t>.  The UN adopts the population used by each country, and so makes cross-country comparisons difficult.</w:t>
      </w:r>
    </w:p>
  </w:footnote>
  <w:footnote w:id="2">
    <w:p w14:paraId="4E0AEE12" w14:textId="7A456A7B" w:rsidR="00AC2BE6" w:rsidRPr="00DC387C" w:rsidRDefault="00AC2BE6" w:rsidP="00063693">
      <w:pPr>
        <w:pStyle w:val="FootnoteText"/>
        <w:jc w:val="both"/>
      </w:pPr>
      <w:r>
        <w:rPr>
          <w:rStyle w:val="FootnoteReference"/>
        </w:rPr>
        <w:footnoteRef/>
      </w:r>
      <w:r>
        <w:t xml:space="preserve"> Orthodox medical services are those services provided by trained health professionals such as doctors, nurses, and midwives in formal health facilities.  They are contrasted with traditional medical services in which </w:t>
      </w:r>
      <w:r w:rsidRPr="00063693">
        <w:t>plant</w:t>
      </w:r>
      <w:r>
        <w:t xml:space="preserve"> and</w:t>
      </w:r>
      <w:r w:rsidRPr="00063693">
        <w:t xml:space="preserve"> animal medicines</w:t>
      </w:r>
      <w:r>
        <w:t xml:space="preserve"> or</w:t>
      </w:r>
      <w:r w:rsidRPr="00063693">
        <w:t xml:space="preserve"> spiritual </w:t>
      </w:r>
      <w:r>
        <w:t>remedies are administered.</w:t>
      </w:r>
    </w:p>
  </w:footnote>
  <w:footnote w:id="3">
    <w:p w14:paraId="04469D40" w14:textId="77777777" w:rsidR="00AC2BE6" w:rsidRPr="00D44139" w:rsidRDefault="00AC2BE6" w:rsidP="00186ADC">
      <w:pPr>
        <w:spacing w:after="0" w:line="240" w:lineRule="auto"/>
        <w:jc w:val="both"/>
      </w:pPr>
      <w:r>
        <w:rPr>
          <w:rStyle w:val="FootnoteReference"/>
        </w:rPr>
        <w:footnoteRef/>
      </w:r>
      <w:r>
        <w:t xml:space="preserve"> </w:t>
      </w:r>
      <w:r w:rsidRPr="00355AAA">
        <w:rPr>
          <w:sz w:val="20"/>
          <w:szCs w:val="20"/>
        </w:rPr>
        <w:t xml:space="preserve">DALYs is a metric that represents the sum of years of potential life lost due to premature death and the years of productive life lost due to disability in a given population.  It combines the number of years of life lost with the number of </w:t>
      </w:r>
      <w:hyperlink r:id="rId1" w:tooltip="What are YLDs?" w:history="1">
        <w:r w:rsidRPr="00355AAA">
          <w:rPr>
            <w:sz w:val="20"/>
            <w:szCs w:val="20"/>
          </w:rPr>
          <w:t>years lived with disability</w:t>
        </w:r>
      </w:hyperlink>
      <w:r w:rsidRPr="00355AAA">
        <w:rPr>
          <w:sz w:val="20"/>
          <w:szCs w:val="20"/>
        </w:rPr>
        <w:t xml:space="preserve"> (YLDs) for a certain health condition</w:t>
      </w:r>
    </w:p>
  </w:footnote>
  <w:footnote w:id="4">
    <w:p w14:paraId="2AA4B50F" w14:textId="13AE723D" w:rsidR="00AC2BE6" w:rsidRPr="00F91DED" w:rsidRDefault="00AC2BE6" w:rsidP="00D7744C">
      <w:pPr>
        <w:pStyle w:val="FootnoteText"/>
        <w:jc w:val="both"/>
        <w:rPr>
          <w:sz w:val="16"/>
          <w:szCs w:val="16"/>
          <w:lang w:val="en-US"/>
        </w:rPr>
      </w:pPr>
      <w:r>
        <w:rPr>
          <w:rStyle w:val="FootnoteReference"/>
        </w:rPr>
        <w:footnoteRef/>
      </w:r>
      <w:r>
        <w:t xml:space="preserve"> </w:t>
      </w:r>
      <w:r>
        <w:rPr>
          <w:rFonts w:cstheme="minorHAnsi"/>
          <w:color w:val="000000"/>
        </w:rPr>
        <w:t>D</w:t>
      </w:r>
      <w:r w:rsidRPr="00F91DED">
        <w:rPr>
          <w:rFonts w:cstheme="minorHAnsi"/>
          <w:color w:val="000000"/>
        </w:rPr>
        <w:t>uring 2007–2010,</w:t>
      </w:r>
      <w:r>
        <w:rPr>
          <w:rFonts w:cstheme="minorHAnsi"/>
          <w:color w:val="000000"/>
        </w:rPr>
        <w:t xml:space="preserve"> the</w:t>
      </w:r>
      <w:r w:rsidRPr="00F91DED">
        <w:rPr>
          <w:rFonts w:cstheme="minorHAnsi"/>
          <w:color w:val="000000"/>
        </w:rPr>
        <w:t xml:space="preserve"> </w:t>
      </w:r>
      <w:r>
        <w:rPr>
          <w:rFonts w:cstheme="minorHAnsi"/>
          <w:color w:val="000000"/>
        </w:rPr>
        <w:t xml:space="preserve">World Bank classified </w:t>
      </w:r>
      <w:r w:rsidRPr="00F91DED">
        <w:rPr>
          <w:rFonts w:cstheme="minorHAnsi"/>
          <w:color w:val="000000"/>
        </w:rPr>
        <w:t xml:space="preserve">China as a lower-middle income country; Ghana as low income; India as low to lower-middle income; and Mexico, Russia, and South Africa as upper-middle income countries </w:t>
      </w:r>
      <w:r w:rsidRPr="00F91DED">
        <w:rPr>
          <w:rFonts w:cstheme="minorHAnsi"/>
          <w:sz w:val="16"/>
          <w:szCs w:val="16"/>
        </w:rPr>
        <w:t xml:space="preserve"> </w:t>
      </w:r>
    </w:p>
  </w:footnote>
  <w:footnote w:id="5">
    <w:p w14:paraId="3D7BB06C" w14:textId="065B4F68" w:rsidR="00AC2BE6" w:rsidRPr="00D7744C" w:rsidRDefault="00AC2BE6">
      <w:pPr>
        <w:pStyle w:val="FootnoteText"/>
        <w:rPr>
          <w:lang w:val="en-US"/>
        </w:rPr>
      </w:pPr>
      <w:r>
        <w:rPr>
          <w:rStyle w:val="FootnoteReference"/>
        </w:rPr>
        <w:footnoteRef/>
      </w:r>
      <w:r>
        <w:t xml:space="preserve"> </w:t>
      </w:r>
      <w:r>
        <w:rPr>
          <w:lang w:val="en-US"/>
        </w:rPr>
        <w:t>Wave 3 is not available</w:t>
      </w:r>
      <w:r w:rsidR="00B71EAB">
        <w:rPr>
          <w:lang w:val="en-US"/>
        </w:rPr>
        <w:t xml:space="preserve"> at the time of this study</w:t>
      </w:r>
    </w:p>
  </w:footnote>
  <w:footnote w:id="6">
    <w:p w14:paraId="03381AF2" w14:textId="58462B80" w:rsidR="00AC2BE6" w:rsidRPr="00EC50FD" w:rsidRDefault="00AC2BE6" w:rsidP="00EC50FD">
      <w:pPr>
        <w:pStyle w:val="FootnoteText"/>
        <w:jc w:val="both"/>
      </w:pPr>
      <w:r>
        <w:rPr>
          <w:rStyle w:val="FootnoteReference"/>
        </w:rPr>
        <w:footnoteRef/>
      </w:r>
      <w:r>
        <w:t xml:space="preserve"> The correlation between two variables is measured by a correlation coefficient, r which ranges from zero (indicating no correlation) to one (indicating perfect correlation)</w:t>
      </w:r>
    </w:p>
  </w:footnote>
  <w:footnote w:id="7">
    <w:p w14:paraId="6F0F6B7C" w14:textId="4ABAB791" w:rsidR="00AC2BE6" w:rsidRPr="0017469D" w:rsidRDefault="00AC2BE6">
      <w:pPr>
        <w:pStyle w:val="FootnoteText"/>
        <w:rPr>
          <w:lang w:val="en-US"/>
        </w:rPr>
      </w:pPr>
      <w:r>
        <w:rPr>
          <w:rStyle w:val="FootnoteReference"/>
        </w:rPr>
        <w:footnoteRef/>
      </w:r>
      <w:r>
        <w:t xml:space="preserve"> </w:t>
      </w:r>
      <w:r w:rsidRPr="00C86535">
        <w:rPr>
          <w:rFonts w:cstheme="minorHAnsi"/>
          <w:color w:val="383838"/>
        </w:rPr>
        <w:t>Gologit</w:t>
      </w:r>
      <w:r>
        <w:rPr>
          <w:rFonts w:cstheme="minorHAnsi"/>
          <w:color w:val="383838"/>
        </w:rPr>
        <w:t>2</w:t>
      </w:r>
      <w:r w:rsidRPr="00C86535">
        <w:rPr>
          <w:rFonts w:cstheme="minorHAnsi"/>
          <w:color w:val="383838"/>
        </w:rPr>
        <w:t xml:space="preserve"> constrains the</w:t>
      </w:r>
      <w:r>
        <w:rPr>
          <w:rFonts w:cstheme="minorHAnsi"/>
          <w:color w:val="383838"/>
        </w:rPr>
        <w:t xml:space="preserve"> sum of the</w:t>
      </w:r>
      <w:r w:rsidRPr="00C86535">
        <w:rPr>
          <w:rFonts w:cstheme="minorHAnsi"/>
          <w:color w:val="383838"/>
        </w:rPr>
        <w:t xml:space="preserve"> predicted probabilities </w:t>
      </w:r>
      <w:r>
        <w:rPr>
          <w:rFonts w:cstheme="minorHAnsi"/>
          <w:color w:val="383838"/>
        </w:rPr>
        <w:t xml:space="preserve">of </w:t>
      </w:r>
      <w:r w:rsidRPr="00C86535">
        <w:rPr>
          <w:rFonts w:cstheme="minorHAnsi"/>
          <w:color w:val="383838"/>
        </w:rPr>
        <w:t xml:space="preserve">all outcomes to add up to one for every </w:t>
      </w:r>
      <w:r>
        <w:rPr>
          <w:rFonts w:cstheme="minorHAnsi"/>
          <w:color w:val="383838"/>
        </w:rPr>
        <w:t>subject.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07BE3" w14:textId="5F0DB45D" w:rsidR="00AC2BE6" w:rsidRDefault="00AC2BE6">
    <w:pPr>
      <w:spacing w:after="0" w:line="259" w:lineRule="auto"/>
      <w:ind w:left="-720" w:right="11508"/>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93626" w14:textId="55A0AD41" w:rsidR="00AC2BE6" w:rsidRDefault="00AC2BE6">
    <w:pPr>
      <w:spacing w:after="0" w:line="259" w:lineRule="auto"/>
      <w:ind w:left="-306"/>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B341B" w14:textId="77777777" w:rsidR="00AC2BE6" w:rsidRDefault="00AC2BE6">
    <w:pPr>
      <w:tabs>
        <w:tab w:val="right" w:pos="9331"/>
      </w:tabs>
      <w:spacing w:after="930" w:line="259" w:lineRule="auto"/>
      <w:ind w:left="-306" w:right="-306"/>
    </w:pPr>
    <w:r>
      <w:rPr>
        <w:rFonts w:ascii="Calibri" w:eastAsia="Calibri" w:hAnsi="Calibri" w:cs="Calibri"/>
        <w:sz w:val="16"/>
      </w:rPr>
      <w:t xml:space="preserve">Bosu et al. BMC Cardiovascular Disorders         (2019) 19:173 </w:t>
    </w:r>
    <w:r>
      <w:rPr>
        <w:rFonts w:ascii="Calibri" w:eastAsia="Calibri" w:hAnsi="Calibri" w:cs="Calibri"/>
        <w:sz w:val="16"/>
      </w:rPr>
      <w:tab/>
      <w:t xml:space="preserve">Page </w:t>
    </w:r>
    <w:r>
      <w:fldChar w:fldCharType="begin"/>
    </w:r>
    <w:r>
      <w:instrText xml:space="preserve"> PAGE   \* MERGEFORMAT </w:instrText>
    </w:r>
    <w:r>
      <w:fldChar w:fldCharType="separate"/>
    </w:r>
    <w:r>
      <w:rPr>
        <w:rFonts w:ascii="Calibri" w:eastAsia="Calibri" w:hAnsi="Calibri" w:cs="Calibri"/>
        <w:sz w:val="16"/>
      </w:rPr>
      <w:t>12</w:t>
    </w:r>
    <w:r>
      <w:rPr>
        <w:rFonts w:ascii="Calibri" w:eastAsia="Calibri" w:hAnsi="Calibri" w:cs="Calibri"/>
        <w:sz w:val="16"/>
      </w:rPr>
      <w:fldChar w:fldCharType="end"/>
    </w:r>
    <w:r>
      <w:rPr>
        <w:rFonts w:ascii="Calibri" w:eastAsia="Calibri" w:hAnsi="Calibri" w:cs="Calibri"/>
        <w:sz w:val="16"/>
      </w:rPr>
      <w:t xml:space="preserve"> of </w:t>
    </w:r>
    <w:fldSimple w:instr=" NUMPAGES   \* MERGEFORMAT ">
      <w:r>
        <w:rPr>
          <w:rFonts w:ascii="Calibri" w:eastAsia="Calibri" w:hAnsi="Calibri" w:cs="Calibri"/>
          <w:sz w:val="16"/>
        </w:rPr>
        <w:t>24</w:t>
      </w:r>
    </w:fldSimple>
  </w:p>
  <w:p w14:paraId="00CAC4DB" w14:textId="77777777" w:rsidR="00AC2BE6" w:rsidRDefault="00AC2BE6">
    <w:pPr>
      <w:spacing w:after="0" w:line="259" w:lineRule="auto"/>
      <w:ind w:left="-306"/>
    </w:pPr>
    <w:r>
      <w:rPr>
        <w:rFonts w:ascii="Calibri" w:eastAsia="Calibri" w:hAnsi="Calibri" w:cs="Calibri"/>
        <w:sz w:val="18"/>
      </w:rPr>
      <w:t>Table 4 Demographic and socioeconomic determinants associated with hypertension in older adults in Africa</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6D8F" w14:textId="77777777" w:rsidR="00AC2BE6" w:rsidRDefault="00AC2BE6">
    <w:pPr>
      <w:tabs>
        <w:tab w:val="right" w:pos="9639"/>
      </w:tabs>
      <w:spacing w:after="0" w:line="259" w:lineRule="auto"/>
    </w:pPr>
    <w:r>
      <w:rPr>
        <w:rFonts w:ascii="Calibri" w:eastAsia="Calibri" w:hAnsi="Calibri" w:cs="Calibri"/>
        <w:sz w:val="16"/>
      </w:rPr>
      <w:t xml:space="preserve">Bosu et al. BMC Cardiovascular Disorders         (2019) 19:173 </w:t>
    </w:r>
    <w:r>
      <w:rPr>
        <w:rFonts w:ascii="Calibri" w:eastAsia="Calibri" w:hAnsi="Calibri" w:cs="Calibri"/>
        <w:sz w:val="16"/>
      </w:rPr>
      <w:tab/>
      <w:t xml:space="preserve">Page </w:t>
    </w:r>
    <w:r>
      <w:fldChar w:fldCharType="begin"/>
    </w:r>
    <w:r>
      <w:instrText xml:space="preserve"> PAGE   \* MERGEFORMAT </w:instrText>
    </w:r>
    <w:r>
      <w:fldChar w:fldCharType="separate"/>
    </w:r>
    <w:r>
      <w:rPr>
        <w:rFonts w:ascii="Calibri" w:eastAsia="Calibri" w:hAnsi="Calibri" w:cs="Calibri"/>
        <w:sz w:val="16"/>
      </w:rPr>
      <w:t>2</w:t>
    </w:r>
    <w:r>
      <w:rPr>
        <w:rFonts w:ascii="Calibri" w:eastAsia="Calibri" w:hAnsi="Calibri" w:cs="Calibri"/>
        <w:sz w:val="16"/>
      </w:rPr>
      <w:fldChar w:fldCharType="end"/>
    </w:r>
    <w:r>
      <w:rPr>
        <w:rFonts w:ascii="Calibri" w:eastAsia="Calibri" w:hAnsi="Calibri" w:cs="Calibri"/>
        <w:sz w:val="16"/>
      </w:rPr>
      <w:t xml:space="preserve"> of </w:t>
    </w:r>
    <w:fldSimple w:instr=" NUMPAGES   \* MERGEFORMAT ">
      <w:r>
        <w:rPr>
          <w:rFonts w:ascii="Calibri" w:eastAsia="Calibri" w:hAnsi="Calibri" w:cs="Calibri"/>
          <w:sz w:val="16"/>
        </w:rPr>
        <w:t>24</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FDEBE" w14:textId="09F7FFFE" w:rsidR="00AC2BE6" w:rsidRDefault="00AC2BE6">
    <w:pPr>
      <w:tabs>
        <w:tab w:val="right" w:pos="9639"/>
      </w:tabs>
      <w:spacing w:after="0" w:line="259" w:lineRule="aut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849B0" w14:textId="33D024DA" w:rsidR="00AC2BE6" w:rsidRPr="00265067" w:rsidRDefault="00AC2BE6" w:rsidP="0026506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0368F" w14:textId="26605341" w:rsidR="00AC2BE6" w:rsidRDefault="00AC2BE6">
    <w:pPr>
      <w:spacing w:after="0" w:line="259" w:lineRule="auto"/>
      <w:ind w:left="-720" w:right="1150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5805B" w14:textId="77777777" w:rsidR="00AC2BE6" w:rsidRDefault="00AC2BE6">
    <w:pPr>
      <w:spacing w:after="0" w:line="259" w:lineRule="auto"/>
      <w:ind w:left="-720" w:right="11508"/>
    </w:pPr>
    <w:r>
      <w:rPr>
        <w:noProof/>
      </w:rPr>
      <mc:AlternateContent>
        <mc:Choice Requires="wpg">
          <w:drawing>
            <wp:anchor distT="0" distB="0" distL="114300" distR="114300" simplePos="0" relativeHeight="251661312" behindDoc="0" locked="0" layoutInCell="1" allowOverlap="1" wp14:anchorId="3349922F" wp14:editId="2879D331">
              <wp:simplePos x="0" y="0"/>
              <wp:positionH relativeFrom="page">
                <wp:posOffset>457200</wp:posOffset>
              </wp:positionH>
              <wp:positionV relativeFrom="page">
                <wp:posOffset>690880</wp:posOffset>
              </wp:positionV>
              <wp:extent cx="6858000" cy="6350"/>
              <wp:effectExtent l="0" t="0" r="0" b="0"/>
              <wp:wrapSquare wrapText="bothSides"/>
              <wp:docPr id="133848" name="Group 133848"/>
              <wp:cNvGraphicFramePr/>
              <a:graphic xmlns:a="http://schemas.openxmlformats.org/drawingml/2006/main">
                <a:graphicData uri="http://schemas.microsoft.com/office/word/2010/wordprocessingGroup">
                  <wpg:wgp>
                    <wpg:cNvGrpSpPr/>
                    <wpg:grpSpPr>
                      <a:xfrm>
                        <a:off x="0" y="0"/>
                        <a:ext cx="6858000" cy="6350"/>
                        <a:chOff x="0" y="0"/>
                        <a:chExt cx="6858000" cy="6350"/>
                      </a:xfrm>
                    </wpg:grpSpPr>
                    <wps:wsp>
                      <wps:cNvPr id="143457" name="Shape 143457"/>
                      <wps:cNvSpPr/>
                      <wps:spPr>
                        <a:xfrm>
                          <a:off x="0" y="0"/>
                          <a:ext cx="6858000" cy="9144"/>
                        </a:xfrm>
                        <a:custGeom>
                          <a:avLst/>
                          <a:gdLst/>
                          <a:ahLst/>
                          <a:cxnLst/>
                          <a:rect l="0" t="0" r="0" b="0"/>
                          <a:pathLst>
                            <a:path w="6858000" h="9144">
                              <a:moveTo>
                                <a:pt x="0" y="0"/>
                              </a:moveTo>
                              <a:lnTo>
                                <a:pt x="6858000" y="0"/>
                              </a:lnTo>
                              <a:lnTo>
                                <a:pt x="6858000" y="9144"/>
                              </a:lnTo>
                              <a:lnTo>
                                <a:pt x="0" y="9144"/>
                              </a:lnTo>
                              <a:lnTo>
                                <a:pt x="0" y="0"/>
                              </a:lnTo>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4B233EB" id="Group 133848" o:spid="_x0000_s1026" style="position:absolute;margin-left:36pt;margin-top:54.4pt;width:540pt;height:.5pt;z-index:251661312;mso-position-horizontal-relative:page;mso-position-vertical-relative:page" coordsize="685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">
              <v:shape id="Shape 143457" o:spid="_x0000_s1027" style="position:absolute;width:68580;height:91;visibility:visible;mso-wrap-style:square;v-text-anchor:top" coordsize="68580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" path="m,l6858000,r,9144l,9144,,e" fillcolor="black" stroked="f" strokeweight="0">
                <v:stroke endcap="round"/>
                <v:path arrowok="t" textboxrect="0,0,6858000,9144"/>
              </v:shape>
              <w10:wrap type="square"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5784A" w14:textId="00E62EF5" w:rsidR="00AC2BE6" w:rsidRDefault="00AC2BE6">
    <w:pPr>
      <w:tabs>
        <w:tab w:val="right" w:pos="9637"/>
      </w:tabs>
      <w:spacing w:after="0" w:line="259" w:lineRule="auto"/>
      <w:ind w:right="-1"/>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C612A" w14:textId="60E32096" w:rsidR="00AC2BE6" w:rsidRDefault="00AC2BE6">
    <w:pPr>
      <w:tabs>
        <w:tab w:val="right" w:pos="9637"/>
      </w:tabs>
      <w:spacing w:after="0" w:line="259" w:lineRule="auto"/>
      <w:ind w:right="-1"/>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7CA2A" w14:textId="1836BFE0" w:rsidR="00AC2BE6" w:rsidRDefault="00AC2BE6">
    <w:pPr>
      <w:tabs>
        <w:tab w:val="right" w:pos="9596"/>
      </w:tabs>
      <w:spacing w:after="931" w:line="259" w:lineRule="auto"/>
      <w:ind w:right="-42"/>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BC1DB" w14:textId="627AB320" w:rsidR="00AC2BE6" w:rsidRDefault="00AC2BE6">
    <w:pPr>
      <w:spacing w:after="0" w:line="259" w:lineRule="aut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AEC8F" w14:textId="77777777" w:rsidR="00AC2BE6" w:rsidRDefault="00AC2BE6">
    <w:pPr>
      <w:tabs>
        <w:tab w:val="right" w:pos="9596"/>
      </w:tabs>
      <w:spacing w:after="931" w:line="259" w:lineRule="auto"/>
      <w:ind w:right="-42"/>
    </w:pPr>
    <w:r>
      <w:rPr>
        <w:rFonts w:ascii="Calibri" w:eastAsia="Calibri" w:hAnsi="Calibri" w:cs="Calibri"/>
        <w:sz w:val="16"/>
      </w:rPr>
      <w:t xml:space="preserve">Bosu et al. BMC Cardiovascular Disorders         (2019) 19:173 </w:t>
    </w:r>
    <w:r>
      <w:rPr>
        <w:rFonts w:ascii="Calibri" w:eastAsia="Calibri" w:hAnsi="Calibri" w:cs="Calibri"/>
        <w:sz w:val="16"/>
      </w:rPr>
      <w:tab/>
      <w:t xml:space="preserve">Page </w:t>
    </w:r>
    <w:r>
      <w:fldChar w:fldCharType="begin"/>
    </w:r>
    <w:r>
      <w:instrText xml:space="preserve"> PAGE   \* MERGEFORMAT </w:instrText>
    </w:r>
    <w:r>
      <w:fldChar w:fldCharType="separate"/>
    </w:r>
    <w:r>
      <w:rPr>
        <w:rFonts w:ascii="Calibri" w:eastAsia="Calibri" w:hAnsi="Calibri" w:cs="Calibri"/>
        <w:sz w:val="16"/>
      </w:rPr>
      <w:t>9</w:t>
    </w:r>
    <w:r>
      <w:rPr>
        <w:rFonts w:ascii="Calibri" w:eastAsia="Calibri" w:hAnsi="Calibri" w:cs="Calibri"/>
        <w:sz w:val="16"/>
      </w:rPr>
      <w:fldChar w:fldCharType="end"/>
    </w:r>
    <w:r>
      <w:rPr>
        <w:rFonts w:ascii="Calibri" w:eastAsia="Calibri" w:hAnsi="Calibri" w:cs="Calibri"/>
        <w:sz w:val="16"/>
      </w:rPr>
      <w:t xml:space="preserve"> of </w:t>
    </w:r>
    <w:fldSimple w:instr=" NUMPAGES   \* MERGEFORMAT ">
      <w:r>
        <w:rPr>
          <w:rFonts w:ascii="Calibri" w:eastAsia="Calibri" w:hAnsi="Calibri" w:cs="Calibri"/>
          <w:sz w:val="16"/>
        </w:rPr>
        <w:t>24</w:t>
      </w:r>
    </w:fldSimple>
  </w:p>
  <w:p w14:paraId="303222E3" w14:textId="77777777" w:rsidR="00AC2BE6" w:rsidRDefault="00AC2BE6">
    <w:pPr>
      <w:spacing w:after="0" w:line="259" w:lineRule="auto"/>
    </w:pPr>
    <w:r>
      <w:rPr>
        <w:rFonts w:ascii="Calibri" w:eastAsia="Calibri" w:hAnsi="Calibri" w:cs="Calibri"/>
        <w:sz w:val="18"/>
      </w:rPr>
      <w:t>Table 3 Overview of risk factors associated with hypertension among older adults in Africa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5F3EB" w14:textId="4E4D20E7" w:rsidR="00AC2BE6" w:rsidRDefault="00AC2BE6">
    <w:pPr>
      <w:spacing w:after="0" w:line="259" w:lineRule="auto"/>
      <w:ind w:left="-30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3710C"/>
    <w:multiLevelType w:val="hybridMultilevel"/>
    <w:tmpl w:val="3EACD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AD1531"/>
    <w:multiLevelType w:val="multilevel"/>
    <w:tmpl w:val="50203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AE1ED9"/>
    <w:multiLevelType w:val="multilevel"/>
    <w:tmpl w:val="25966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8D4488"/>
    <w:multiLevelType w:val="hybridMultilevel"/>
    <w:tmpl w:val="D0108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592C37"/>
    <w:multiLevelType w:val="hybridMultilevel"/>
    <w:tmpl w:val="D0C490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2E635F"/>
    <w:multiLevelType w:val="multilevel"/>
    <w:tmpl w:val="228CAF60"/>
    <w:lvl w:ilvl="0">
      <w:start w:val="8"/>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85B1975"/>
    <w:multiLevelType w:val="hybridMultilevel"/>
    <w:tmpl w:val="33302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2A201B"/>
    <w:multiLevelType w:val="hybridMultilevel"/>
    <w:tmpl w:val="E05A9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8E564F"/>
    <w:multiLevelType w:val="hybridMultilevel"/>
    <w:tmpl w:val="B5CE1D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AE334E"/>
    <w:multiLevelType w:val="multilevel"/>
    <w:tmpl w:val="03F05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1200D6"/>
    <w:multiLevelType w:val="hybridMultilevel"/>
    <w:tmpl w:val="6B96BD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6B0DEF"/>
    <w:multiLevelType w:val="hybridMultilevel"/>
    <w:tmpl w:val="CFFA408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F565DA"/>
    <w:multiLevelType w:val="hybridMultilevel"/>
    <w:tmpl w:val="50FEA1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58861E7"/>
    <w:multiLevelType w:val="hybridMultilevel"/>
    <w:tmpl w:val="7144C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AD5402"/>
    <w:multiLevelType w:val="multilevel"/>
    <w:tmpl w:val="1BC22EF6"/>
    <w:lvl w:ilvl="0">
      <w:start w:val="4"/>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774178B"/>
    <w:multiLevelType w:val="hybridMultilevel"/>
    <w:tmpl w:val="C4463B00"/>
    <w:lvl w:ilvl="0" w:tplc="EDEE71A8">
      <w:start w:val="1"/>
      <w:numFmt w:val="decimal"/>
      <w:lvlText w:val="%1."/>
      <w:lvlJc w:val="left"/>
      <w:pPr>
        <w:ind w:left="2975"/>
      </w:pPr>
      <w:rPr>
        <w:rFonts w:ascii="Arial" w:eastAsia="Arial" w:hAnsi="Arial" w:cs="Arial"/>
        <w:b/>
        <w:bCs/>
        <w:i w:val="0"/>
        <w:strike w:val="0"/>
        <w:dstrike w:val="0"/>
        <w:color w:val="000000"/>
        <w:sz w:val="16"/>
        <w:szCs w:val="16"/>
        <w:u w:val="none" w:color="000000"/>
        <w:bdr w:val="none" w:sz="0" w:space="0" w:color="auto"/>
        <w:shd w:val="clear" w:color="auto" w:fill="auto"/>
        <w:vertAlign w:val="baseline"/>
      </w:rPr>
    </w:lvl>
    <w:lvl w:ilvl="1" w:tplc="DE0E430E">
      <w:start w:val="1"/>
      <w:numFmt w:val="lowerLetter"/>
      <w:lvlText w:val="%2"/>
      <w:lvlJc w:val="left"/>
      <w:pPr>
        <w:ind w:left="1089"/>
      </w:pPr>
      <w:rPr>
        <w:rFonts w:ascii="Arial" w:eastAsia="Arial" w:hAnsi="Arial" w:cs="Arial"/>
        <w:b/>
        <w:bCs/>
        <w:i w:val="0"/>
        <w:strike w:val="0"/>
        <w:dstrike w:val="0"/>
        <w:color w:val="000000"/>
        <w:sz w:val="16"/>
        <w:szCs w:val="16"/>
        <w:u w:val="none" w:color="000000"/>
        <w:bdr w:val="none" w:sz="0" w:space="0" w:color="auto"/>
        <w:shd w:val="clear" w:color="auto" w:fill="auto"/>
        <w:vertAlign w:val="baseline"/>
      </w:rPr>
    </w:lvl>
    <w:lvl w:ilvl="2" w:tplc="FB1CFD82">
      <w:start w:val="1"/>
      <w:numFmt w:val="lowerRoman"/>
      <w:lvlText w:val="%3"/>
      <w:lvlJc w:val="left"/>
      <w:pPr>
        <w:ind w:left="1809"/>
      </w:pPr>
      <w:rPr>
        <w:rFonts w:ascii="Arial" w:eastAsia="Arial" w:hAnsi="Arial" w:cs="Arial"/>
        <w:b/>
        <w:bCs/>
        <w:i w:val="0"/>
        <w:strike w:val="0"/>
        <w:dstrike w:val="0"/>
        <w:color w:val="000000"/>
        <w:sz w:val="16"/>
        <w:szCs w:val="16"/>
        <w:u w:val="none" w:color="000000"/>
        <w:bdr w:val="none" w:sz="0" w:space="0" w:color="auto"/>
        <w:shd w:val="clear" w:color="auto" w:fill="auto"/>
        <w:vertAlign w:val="baseline"/>
      </w:rPr>
    </w:lvl>
    <w:lvl w:ilvl="3" w:tplc="F9C0CE38">
      <w:start w:val="1"/>
      <w:numFmt w:val="decimal"/>
      <w:lvlText w:val="%4"/>
      <w:lvlJc w:val="left"/>
      <w:pPr>
        <w:ind w:left="2529"/>
      </w:pPr>
      <w:rPr>
        <w:rFonts w:ascii="Arial" w:eastAsia="Arial" w:hAnsi="Arial" w:cs="Arial"/>
        <w:b/>
        <w:bCs/>
        <w:i w:val="0"/>
        <w:strike w:val="0"/>
        <w:dstrike w:val="0"/>
        <w:color w:val="000000"/>
        <w:sz w:val="16"/>
        <w:szCs w:val="16"/>
        <w:u w:val="none" w:color="000000"/>
        <w:bdr w:val="none" w:sz="0" w:space="0" w:color="auto"/>
        <w:shd w:val="clear" w:color="auto" w:fill="auto"/>
        <w:vertAlign w:val="baseline"/>
      </w:rPr>
    </w:lvl>
    <w:lvl w:ilvl="4" w:tplc="CCF4623E">
      <w:start w:val="1"/>
      <w:numFmt w:val="lowerLetter"/>
      <w:lvlText w:val="%5"/>
      <w:lvlJc w:val="left"/>
      <w:pPr>
        <w:ind w:left="3249"/>
      </w:pPr>
      <w:rPr>
        <w:rFonts w:ascii="Arial" w:eastAsia="Arial" w:hAnsi="Arial" w:cs="Arial"/>
        <w:b/>
        <w:bCs/>
        <w:i w:val="0"/>
        <w:strike w:val="0"/>
        <w:dstrike w:val="0"/>
        <w:color w:val="000000"/>
        <w:sz w:val="16"/>
        <w:szCs w:val="16"/>
        <w:u w:val="none" w:color="000000"/>
        <w:bdr w:val="none" w:sz="0" w:space="0" w:color="auto"/>
        <w:shd w:val="clear" w:color="auto" w:fill="auto"/>
        <w:vertAlign w:val="baseline"/>
      </w:rPr>
    </w:lvl>
    <w:lvl w:ilvl="5" w:tplc="794CD108">
      <w:start w:val="1"/>
      <w:numFmt w:val="lowerRoman"/>
      <w:lvlText w:val="%6"/>
      <w:lvlJc w:val="left"/>
      <w:pPr>
        <w:ind w:left="3969"/>
      </w:pPr>
      <w:rPr>
        <w:rFonts w:ascii="Arial" w:eastAsia="Arial" w:hAnsi="Arial" w:cs="Arial"/>
        <w:b/>
        <w:bCs/>
        <w:i w:val="0"/>
        <w:strike w:val="0"/>
        <w:dstrike w:val="0"/>
        <w:color w:val="000000"/>
        <w:sz w:val="16"/>
        <w:szCs w:val="16"/>
        <w:u w:val="none" w:color="000000"/>
        <w:bdr w:val="none" w:sz="0" w:space="0" w:color="auto"/>
        <w:shd w:val="clear" w:color="auto" w:fill="auto"/>
        <w:vertAlign w:val="baseline"/>
      </w:rPr>
    </w:lvl>
    <w:lvl w:ilvl="6" w:tplc="B6A4281A">
      <w:start w:val="1"/>
      <w:numFmt w:val="decimal"/>
      <w:lvlText w:val="%7"/>
      <w:lvlJc w:val="left"/>
      <w:pPr>
        <w:ind w:left="4689"/>
      </w:pPr>
      <w:rPr>
        <w:rFonts w:ascii="Arial" w:eastAsia="Arial" w:hAnsi="Arial" w:cs="Arial"/>
        <w:b/>
        <w:bCs/>
        <w:i w:val="0"/>
        <w:strike w:val="0"/>
        <w:dstrike w:val="0"/>
        <w:color w:val="000000"/>
        <w:sz w:val="16"/>
        <w:szCs w:val="16"/>
        <w:u w:val="none" w:color="000000"/>
        <w:bdr w:val="none" w:sz="0" w:space="0" w:color="auto"/>
        <w:shd w:val="clear" w:color="auto" w:fill="auto"/>
        <w:vertAlign w:val="baseline"/>
      </w:rPr>
    </w:lvl>
    <w:lvl w:ilvl="7" w:tplc="E30619BA">
      <w:start w:val="1"/>
      <w:numFmt w:val="lowerLetter"/>
      <w:lvlText w:val="%8"/>
      <w:lvlJc w:val="left"/>
      <w:pPr>
        <w:ind w:left="5409"/>
      </w:pPr>
      <w:rPr>
        <w:rFonts w:ascii="Arial" w:eastAsia="Arial" w:hAnsi="Arial" w:cs="Arial"/>
        <w:b/>
        <w:bCs/>
        <w:i w:val="0"/>
        <w:strike w:val="0"/>
        <w:dstrike w:val="0"/>
        <w:color w:val="000000"/>
        <w:sz w:val="16"/>
        <w:szCs w:val="16"/>
        <w:u w:val="none" w:color="000000"/>
        <w:bdr w:val="none" w:sz="0" w:space="0" w:color="auto"/>
        <w:shd w:val="clear" w:color="auto" w:fill="auto"/>
        <w:vertAlign w:val="baseline"/>
      </w:rPr>
    </w:lvl>
    <w:lvl w:ilvl="8" w:tplc="3460AC3E">
      <w:start w:val="1"/>
      <w:numFmt w:val="lowerRoman"/>
      <w:lvlText w:val="%9"/>
      <w:lvlJc w:val="left"/>
      <w:pPr>
        <w:ind w:left="6129"/>
      </w:pPr>
      <w:rPr>
        <w:rFonts w:ascii="Arial" w:eastAsia="Arial" w:hAnsi="Arial" w:cs="Arial"/>
        <w:b/>
        <w:bCs/>
        <w:i w:val="0"/>
        <w:strike w:val="0"/>
        <w:dstrike w:val="0"/>
        <w:color w:val="000000"/>
        <w:sz w:val="16"/>
        <w:szCs w:val="16"/>
        <w:u w:val="none" w:color="000000"/>
        <w:bdr w:val="none" w:sz="0" w:space="0" w:color="auto"/>
        <w:shd w:val="clear" w:color="auto" w:fill="auto"/>
        <w:vertAlign w:val="baseline"/>
      </w:rPr>
    </w:lvl>
  </w:abstractNum>
  <w:abstractNum w:abstractNumId="16" w15:restartNumberingAfterBreak="0">
    <w:nsid w:val="3AE80F26"/>
    <w:multiLevelType w:val="multilevel"/>
    <w:tmpl w:val="8528F5FE"/>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3EB308EF"/>
    <w:multiLevelType w:val="hybridMultilevel"/>
    <w:tmpl w:val="CCDE18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D95E0B"/>
    <w:multiLevelType w:val="hybridMultilevel"/>
    <w:tmpl w:val="2EE43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29A53F6"/>
    <w:multiLevelType w:val="multilevel"/>
    <w:tmpl w:val="A574C7F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46EA382B"/>
    <w:multiLevelType w:val="multilevel"/>
    <w:tmpl w:val="3454D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B826F16"/>
    <w:multiLevelType w:val="multilevel"/>
    <w:tmpl w:val="C19AC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E392C60"/>
    <w:multiLevelType w:val="hybridMultilevel"/>
    <w:tmpl w:val="D0C490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E3A4DAD"/>
    <w:multiLevelType w:val="multilevel"/>
    <w:tmpl w:val="7958B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E4856AC"/>
    <w:multiLevelType w:val="hybridMultilevel"/>
    <w:tmpl w:val="AA54F6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32A30AC"/>
    <w:multiLevelType w:val="hybridMultilevel"/>
    <w:tmpl w:val="D0C490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3E57BC"/>
    <w:multiLevelType w:val="hybridMultilevel"/>
    <w:tmpl w:val="427E66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A67781E"/>
    <w:multiLevelType w:val="hybridMultilevel"/>
    <w:tmpl w:val="B17C85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A925B1F"/>
    <w:multiLevelType w:val="hybridMultilevel"/>
    <w:tmpl w:val="297038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37140D9"/>
    <w:multiLevelType w:val="multilevel"/>
    <w:tmpl w:val="A574C7F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63CC4F37"/>
    <w:multiLevelType w:val="multilevel"/>
    <w:tmpl w:val="DD76B22A"/>
    <w:lvl w:ilvl="0">
      <w:start w:val="1"/>
      <w:numFmt w:val="decimal"/>
      <w:lvlText w:val="%1."/>
      <w:lvlJc w:val="left"/>
      <w:pPr>
        <w:ind w:left="720" w:hanging="360"/>
      </w:pPr>
      <w:rPr>
        <w:rFonts w:hint="default"/>
      </w:rPr>
    </w:lvl>
    <w:lvl w:ilvl="1">
      <w:start w:val="3"/>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15:restartNumberingAfterBreak="0">
    <w:nsid w:val="6830438C"/>
    <w:multiLevelType w:val="hybridMultilevel"/>
    <w:tmpl w:val="264CABF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2" w15:restartNumberingAfterBreak="0">
    <w:nsid w:val="688A34D9"/>
    <w:multiLevelType w:val="hybridMultilevel"/>
    <w:tmpl w:val="F364E66E"/>
    <w:lvl w:ilvl="0" w:tplc="7E3436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F66F0C"/>
    <w:multiLevelType w:val="hybridMultilevel"/>
    <w:tmpl w:val="CFFA408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D1F0A65"/>
    <w:multiLevelType w:val="multilevel"/>
    <w:tmpl w:val="8528F5FE"/>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5" w15:restartNumberingAfterBreak="0">
    <w:nsid w:val="6DA93311"/>
    <w:multiLevelType w:val="hybridMultilevel"/>
    <w:tmpl w:val="9AA413E2"/>
    <w:lvl w:ilvl="0" w:tplc="315CF55C">
      <w:start w:val="1"/>
      <w:numFmt w:val="decimal"/>
      <w:lvlText w:val="%1."/>
      <w:lvlJc w:val="left"/>
      <w:pPr>
        <w:ind w:left="10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E084DCC">
      <w:start w:val="1"/>
      <w:numFmt w:val="lowerLetter"/>
      <w:lvlText w:val="%2"/>
      <w:lvlJc w:val="left"/>
      <w:pPr>
        <w:ind w:left="10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EF03596">
      <w:start w:val="1"/>
      <w:numFmt w:val="lowerRoman"/>
      <w:lvlText w:val="%3"/>
      <w:lvlJc w:val="left"/>
      <w:pPr>
        <w:ind w:left="18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20BAF552">
      <w:start w:val="1"/>
      <w:numFmt w:val="decimal"/>
      <w:lvlText w:val="%4"/>
      <w:lvlJc w:val="left"/>
      <w:pPr>
        <w:ind w:left="25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F40E5044">
      <w:start w:val="1"/>
      <w:numFmt w:val="lowerLetter"/>
      <w:lvlText w:val="%5"/>
      <w:lvlJc w:val="left"/>
      <w:pPr>
        <w:ind w:left="3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68AA7B0">
      <w:start w:val="1"/>
      <w:numFmt w:val="lowerRoman"/>
      <w:lvlText w:val="%6"/>
      <w:lvlJc w:val="left"/>
      <w:pPr>
        <w:ind w:left="39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98706948">
      <w:start w:val="1"/>
      <w:numFmt w:val="decimal"/>
      <w:lvlText w:val="%7"/>
      <w:lvlJc w:val="left"/>
      <w:pPr>
        <w:ind w:left="46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4CF261C0">
      <w:start w:val="1"/>
      <w:numFmt w:val="lowerLetter"/>
      <w:lvlText w:val="%8"/>
      <w:lvlJc w:val="left"/>
      <w:pPr>
        <w:ind w:left="54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A0A2180C">
      <w:start w:val="1"/>
      <w:numFmt w:val="lowerRoman"/>
      <w:lvlText w:val="%9"/>
      <w:lvlJc w:val="left"/>
      <w:pPr>
        <w:ind w:left="61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6" w15:restartNumberingAfterBreak="0">
    <w:nsid w:val="6DDC5873"/>
    <w:multiLevelType w:val="multilevel"/>
    <w:tmpl w:val="0158D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7A73D5"/>
    <w:multiLevelType w:val="multilevel"/>
    <w:tmpl w:val="F9B8C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A3638D7"/>
    <w:multiLevelType w:val="hybridMultilevel"/>
    <w:tmpl w:val="A1C0AA8E"/>
    <w:lvl w:ilvl="0" w:tplc="A22E53F0">
      <w:start w:val="1"/>
      <w:numFmt w:val="decimal"/>
      <w:lvlText w:val="%1."/>
      <w:lvlJc w:val="left"/>
      <w:pPr>
        <w:ind w:left="301"/>
      </w:pPr>
      <w:rPr>
        <w:rFonts w:ascii="Calibri" w:eastAsia="Calibri" w:hAnsi="Calibri" w:cs="Calibri"/>
        <w:b w:val="0"/>
        <w:i w:val="0"/>
        <w:strike w:val="0"/>
        <w:dstrike w:val="0"/>
        <w:color w:val="131313"/>
        <w:sz w:val="15"/>
        <w:szCs w:val="15"/>
        <w:u w:val="none" w:color="000000"/>
        <w:bdr w:val="none" w:sz="0" w:space="0" w:color="auto"/>
        <w:shd w:val="clear" w:color="auto" w:fill="auto"/>
        <w:vertAlign w:val="baseline"/>
      </w:rPr>
    </w:lvl>
    <w:lvl w:ilvl="1" w:tplc="8250CBCA">
      <w:start w:val="1"/>
      <w:numFmt w:val="lowerLetter"/>
      <w:lvlText w:val="%2"/>
      <w:lvlJc w:val="left"/>
      <w:pPr>
        <w:ind w:left="1080"/>
      </w:pPr>
      <w:rPr>
        <w:rFonts w:ascii="Calibri" w:eastAsia="Calibri" w:hAnsi="Calibri" w:cs="Calibri"/>
        <w:b w:val="0"/>
        <w:i w:val="0"/>
        <w:strike w:val="0"/>
        <w:dstrike w:val="0"/>
        <w:color w:val="131313"/>
        <w:sz w:val="15"/>
        <w:szCs w:val="15"/>
        <w:u w:val="none" w:color="000000"/>
        <w:bdr w:val="none" w:sz="0" w:space="0" w:color="auto"/>
        <w:shd w:val="clear" w:color="auto" w:fill="auto"/>
        <w:vertAlign w:val="baseline"/>
      </w:rPr>
    </w:lvl>
    <w:lvl w:ilvl="2" w:tplc="92601676">
      <w:start w:val="1"/>
      <w:numFmt w:val="lowerRoman"/>
      <w:lvlText w:val="%3"/>
      <w:lvlJc w:val="left"/>
      <w:pPr>
        <w:ind w:left="1800"/>
      </w:pPr>
      <w:rPr>
        <w:rFonts w:ascii="Calibri" w:eastAsia="Calibri" w:hAnsi="Calibri" w:cs="Calibri"/>
        <w:b w:val="0"/>
        <w:i w:val="0"/>
        <w:strike w:val="0"/>
        <w:dstrike w:val="0"/>
        <w:color w:val="131313"/>
        <w:sz w:val="15"/>
        <w:szCs w:val="15"/>
        <w:u w:val="none" w:color="000000"/>
        <w:bdr w:val="none" w:sz="0" w:space="0" w:color="auto"/>
        <w:shd w:val="clear" w:color="auto" w:fill="auto"/>
        <w:vertAlign w:val="baseline"/>
      </w:rPr>
    </w:lvl>
    <w:lvl w:ilvl="3" w:tplc="21B2FF84">
      <w:start w:val="1"/>
      <w:numFmt w:val="decimal"/>
      <w:lvlText w:val="%4"/>
      <w:lvlJc w:val="left"/>
      <w:pPr>
        <w:ind w:left="2520"/>
      </w:pPr>
      <w:rPr>
        <w:rFonts w:ascii="Calibri" w:eastAsia="Calibri" w:hAnsi="Calibri" w:cs="Calibri"/>
        <w:b w:val="0"/>
        <w:i w:val="0"/>
        <w:strike w:val="0"/>
        <w:dstrike w:val="0"/>
        <w:color w:val="131313"/>
        <w:sz w:val="15"/>
        <w:szCs w:val="15"/>
        <w:u w:val="none" w:color="000000"/>
        <w:bdr w:val="none" w:sz="0" w:space="0" w:color="auto"/>
        <w:shd w:val="clear" w:color="auto" w:fill="auto"/>
        <w:vertAlign w:val="baseline"/>
      </w:rPr>
    </w:lvl>
    <w:lvl w:ilvl="4" w:tplc="3172424E">
      <w:start w:val="1"/>
      <w:numFmt w:val="lowerLetter"/>
      <w:lvlText w:val="%5"/>
      <w:lvlJc w:val="left"/>
      <w:pPr>
        <w:ind w:left="3240"/>
      </w:pPr>
      <w:rPr>
        <w:rFonts w:ascii="Calibri" w:eastAsia="Calibri" w:hAnsi="Calibri" w:cs="Calibri"/>
        <w:b w:val="0"/>
        <w:i w:val="0"/>
        <w:strike w:val="0"/>
        <w:dstrike w:val="0"/>
        <w:color w:val="131313"/>
        <w:sz w:val="15"/>
        <w:szCs w:val="15"/>
        <w:u w:val="none" w:color="000000"/>
        <w:bdr w:val="none" w:sz="0" w:space="0" w:color="auto"/>
        <w:shd w:val="clear" w:color="auto" w:fill="auto"/>
        <w:vertAlign w:val="baseline"/>
      </w:rPr>
    </w:lvl>
    <w:lvl w:ilvl="5" w:tplc="0CC07F84">
      <w:start w:val="1"/>
      <w:numFmt w:val="lowerRoman"/>
      <w:lvlText w:val="%6"/>
      <w:lvlJc w:val="left"/>
      <w:pPr>
        <w:ind w:left="3960"/>
      </w:pPr>
      <w:rPr>
        <w:rFonts w:ascii="Calibri" w:eastAsia="Calibri" w:hAnsi="Calibri" w:cs="Calibri"/>
        <w:b w:val="0"/>
        <w:i w:val="0"/>
        <w:strike w:val="0"/>
        <w:dstrike w:val="0"/>
        <w:color w:val="131313"/>
        <w:sz w:val="15"/>
        <w:szCs w:val="15"/>
        <w:u w:val="none" w:color="000000"/>
        <w:bdr w:val="none" w:sz="0" w:space="0" w:color="auto"/>
        <w:shd w:val="clear" w:color="auto" w:fill="auto"/>
        <w:vertAlign w:val="baseline"/>
      </w:rPr>
    </w:lvl>
    <w:lvl w:ilvl="6" w:tplc="5A9A1DCE">
      <w:start w:val="1"/>
      <w:numFmt w:val="decimal"/>
      <w:lvlText w:val="%7"/>
      <w:lvlJc w:val="left"/>
      <w:pPr>
        <w:ind w:left="4680"/>
      </w:pPr>
      <w:rPr>
        <w:rFonts w:ascii="Calibri" w:eastAsia="Calibri" w:hAnsi="Calibri" w:cs="Calibri"/>
        <w:b w:val="0"/>
        <w:i w:val="0"/>
        <w:strike w:val="0"/>
        <w:dstrike w:val="0"/>
        <w:color w:val="131313"/>
        <w:sz w:val="15"/>
        <w:szCs w:val="15"/>
        <w:u w:val="none" w:color="000000"/>
        <w:bdr w:val="none" w:sz="0" w:space="0" w:color="auto"/>
        <w:shd w:val="clear" w:color="auto" w:fill="auto"/>
        <w:vertAlign w:val="baseline"/>
      </w:rPr>
    </w:lvl>
    <w:lvl w:ilvl="7" w:tplc="DB12C16C">
      <w:start w:val="1"/>
      <w:numFmt w:val="lowerLetter"/>
      <w:lvlText w:val="%8"/>
      <w:lvlJc w:val="left"/>
      <w:pPr>
        <w:ind w:left="5400"/>
      </w:pPr>
      <w:rPr>
        <w:rFonts w:ascii="Calibri" w:eastAsia="Calibri" w:hAnsi="Calibri" w:cs="Calibri"/>
        <w:b w:val="0"/>
        <w:i w:val="0"/>
        <w:strike w:val="0"/>
        <w:dstrike w:val="0"/>
        <w:color w:val="131313"/>
        <w:sz w:val="15"/>
        <w:szCs w:val="15"/>
        <w:u w:val="none" w:color="000000"/>
        <w:bdr w:val="none" w:sz="0" w:space="0" w:color="auto"/>
        <w:shd w:val="clear" w:color="auto" w:fill="auto"/>
        <w:vertAlign w:val="baseline"/>
      </w:rPr>
    </w:lvl>
    <w:lvl w:ilvl="8" w:tplc="EEDC0D48">
      <w:start w:val="1"/>
      <w:numFmt w:val="lowerRoman"/>
      <w:lvlText w:val="%9"/>
      <w:lvlJc w:val="left"/>
      <w:pPr>
        <w:ind w:left="6120"/>
      </w:pPr>
      <w:rPr>
        <w:rFonts w:ascii="Calibri" w:eastAsia="Calibri" w:hAnsi="Calibri" w:cs="Calibri"/>
        <w:b w:val="0"/>
        <w:i w:val="0"/>
        <w:strike w:val="0"/>
        <w:dstrike w:val="0"/>
        <w:color w:val="131313"/>
        <w:sz w:val="15"/>
        <w:szCs w:val="15"/>
        <w:u w:val="none" w:color="000000"/>
        <w:bdr w:val="none" w:sz="0" w:space="0" w:color="auto"/>
        <w:shd w:val="clear" w:color="auto" w:fill="auto"/>
        <w:vertAlign w:val="baseline"/>
      </w:rPr>
    </w:lvl>
  </w:abstractNum>
  <w:abstractNum w:abstractNumId="39" w15:restartNumberingAfterBreak="0">
    <w:nsid w:val="7C6340E0"/>
    <w:multiLevelType w:val="hybridMultilevel"/>
    <w:tmpl w:val="072452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34"/>
  </w:num>
  <w:num w:numId="2">
    <w:abstractNumId w:val="19"/>
  </w:num>
  <w:num w:numId="3">
    <w:abstractNumId w:val="16"/>
  </w:num>
  <w:num w:numId="4">
    <w:abstractNumId w:val="30"/>
  </w:num>
  <w:num w:numId="5">
    <w:abstractNumId w:val="18"/>
  </w:num>
  <w:num w:numId="6">
    <w:abstractNumId w:val="31"/>
  </w:num>
  <w:num w:numId="7">
    <w:abstractNumId w:val="32"/>
  </w:num>
  <w:num w:numId="8">
    <w:abstractNumId w:val="1"/>
  </w:num>
  <w:num w:numId="9">
    <w:abstractNumId w:val="3"/>
  </w:num>
  <w:num w:numId="10">
    <w:abstractNumId w:val="14"/>
  </w:num>
  <w:num w:numId="11">
    <w:abstractNumId w:val="7"/>
  </w:num>
  <w:num w:numId="12">
    <w:abstractNumId w:val="17"/>
  </w:num>
  <w:num w:numId="13">
    <w:abstractNumId w:val="28"/>
  </w:num>
  <w:num w:numId="14">
    <w:abstractNumId w:val="26"/>
  </w:num>
  <w:num w:numId="15">
    <w:abstractNumId w:val="27"/>
  </w:num>
  <w:num w:numId="16">
    <w:abstractNumId w:val="0"/>
  </w:num>
  <w:num w:numId="17">
    <w:abstractNumId w:val="25"/>
  </w:num>
  <w:num w:numId="18">
    <w:abstractNumId w:val="8"/>
  </w:num>
  <w:num w:numId="19">
    <w:abstractNumId w:val="6"/>
  </w:num>
  <w:num w:numId="20">
    <w:abstractNumId w:val="22"/>
  </w:num>
  <w:num w:numId="2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num>
  <w:num w:numId="23">
    <w:abstractNumId w:val="11"/>
  </w:num>
  <w:num w:numId="24">
    <w:abstractNumId w:val="33"/>
  </w:num>
  <w:num w:numId="25">
    <w:abstractNumId w:val="5"/>
  </w:num>
  <w:num w:numId="26">
    <w:abstractNumId w:val="24"/>
  </w:num>
  <w:num w:numId="27">
    <w:abstractNumId w:val="13"/>
  </w:num>
  <w:num w:numId="28">
    <w:abstractNumId w:val="12"/>
  </w:num>
  <w:num w:numId="29">
    <w:abstractNumId w:val="29"/>
  </w:num>
  <w:num w:numId="30">
    <w:abstractNumId w:val="10"/>
  </w:num>
  <w:num w:numId="31">
    <w:abstractNumId w:val="21"/>
  </w:num>
  <w:num w:numId="32">
    <w:abstractNumId w:val="9"/>
  </w:num>
  <w:num w:numId="33">
    <w:abstractNumId w:val="20"/>
  </w:num>
  <w:num w:numId="34">
    <w:abstractNumId w:val="15"/>
  </w:num>
  <w:num w:numId="35">
    <w:abstractNumId w:val="38"/>
  </w:num>
  <w:num w:numId="36">
    <w:abstractNumId w:val="35"/>
  </w:num>
  <w:num w:numId="37">
    <w:abstractNumId w:val="36"/>
  </w:num>
  <w:num w:numId="38">
    <w:abstractNumId w:val="23"/>
  </w:num>
  <w:num w:numId="39">
    <w:abstractNumId w:val="2"/>
  </w:num>
  <w:num w:numId="40">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tzf2rda8re2a9es5tuxart3swzx2zws2s02&quot;&gt;SAGE GH Hypertension-Converted&lt;record-ids&gt;&lt;item&gt;1&lt;/item&gt;&lt;item&gt;2&lt;/item&gt;&lt;item&gt;4&lt;/item&gt;&lt;item&gt;5&lt;/item&gt;&lt;item&gt;6&lt;/item&gt;&lt;item&gt;9&lt;/item&gt;&lt;item&gt;11&lt;/item&gt;&lt;item&gt;14&lt;/item&gt;&lt;item&gt;16&lt;/item&gt;&lt;item&gt;18&lt;/item&gt;&lt;item&gt;19&lt;/item&gt;&lt;item&gt;23&lt;/item&gt;&lt;item&gt;24&lt;/item&gt;&lt;item&gt;35&lt;/item&gt;&lt;item&gt;40&lt;/item&gt;&lt;item&gt;42&lt;/item&gt;&lt;item&gt;47&lt;/item&gt;&lt;item&gt;48&lt;/item&gt;&lt;item&gt;56&lt;/item&gt;&lt;item&gt;57&lt;/item&gt;&lt;item&gt;59&lt;/item&gt;&lt;item&gt;60&lt;/item&gt;&lt;item&gt;61&lt;/item&gt;&lt;item&gt;71&lt;/item&gt;&lt;item&gt;72&lt;/item&gt;&lt;item&gt;84&lt;/item&gt;&lt;item&gt;86&lt;/item&gt;&lt;item&gt;88&lt;/item&gt;&lt;item&gt;95&lt;/item&gt;&lt;item&gt;110&lt;/item&gt;&lt;item&gt;129&lt;/item&gt;&lt;item&gt;134&lt;/item&gt;&lt;item&gt;136&lt;/item&gt;&lt;item&gt;145&lt;/item&gt;&lt;item&gt;151&lt;/item&gt;&lt;item&gt;152&lt;/item&gt;&lt;item&gt;155&lt;/item&gt;&lt;item&gt;157&lt;/item&gt;&lt;item&gt;161&lt;/item&gt;&lt;item&gt;166&lt;/item&gt;&lt;item&gt;172&lt;/item&gt;&lt;item&gt;306&lt;/item&gt;&lt;item&gt;339&lt;/item&gt;&lt;item&gt;414&lt;/item&gt;&lt;item&gt;437&lt;/item&gt;&lt;item&gt;438&lt;/item&gt;&lt;item&gt;442&lt;/item&gt;&lt;item&gt;455&lt;/item&gt;&lt;item&gt;456&lt;/item&gt;&lt;item&gt;458&lt;/item&gt;&lt;item&gt;492&lt;/item&gt;&lt;item&gt;499&lt;/item&gt;&lt;item&gt;516&lt;/item&gt;&lt;item&gt;534&lt;/item&gt;&lt;item&gt;541&lt;/item&gt;&lt;item&gt;543&lt;/item&gt;&lt;item&gt;544&lt;/item&gt;&lt;item&gt;545&lt;/item&gt;&lt;item&gt;547&lt;/item&gt;&lt;item&gt;548&lt;/item&gt;&lt;item&gt;550&lt;/item&gt;&lt;item&gt;551&lt;/item&gt;&lt;item&gt;552&lt;/item&gt;&lt;item&gt;553&lt;/item&gt;&lt;item&gt;557&lt;/item&gt;&lt;item&gt;558&lt;/item&gt;&lt;item&gt;574&lt;/item&gt;&lt;item&gt;579&lt;/item&gt;&lt;item&gt;582&lt;/item&gt;&lt;item&gt;583&lt;/item&gt;&lt;item&gt;586&lt;/item&gt;&lt;item&gt;587&lt;/item&gt;&lt;item&gt;589&lt;/item&gt;&lt;item&gt;590&lt;/item&gt;&lt;item&gt;591&lt;/item&gt;&lt;item&gt;594&lt;/item&gt;&lt;item&gt;599&lt;/item&gt;&lt;item&gt;632&lt;/item&gt;&lt;item&gt;639&lt;/item&gt;&lt;item&gt;640&lt;/item&gt;&lt;item&gt;642&lt;/item&gt;&lt;item&gt;643&lt;/item&gt;&lt;item&gt;645&lt;/item&gt;&lt;item&gt;647&lt;/item&gt;&lt;item&gt;650&lt;/item&gt;&lt;item&gt;656&lt;/item&gt;&lt;item&gt;665&lt;/item&gt;&lt;item&gt;685&lt;/item&gt;&lt;item&gt;686&lt;/item&gt;&lt;item&gt;691&lt;/item&gt;&lt;item&gt;703&lt;/item&gt;&lt;item&gt;710&lt;/item&gt;&lt;item&gt;711&lt;/item&gt;&lt;item&gt;725&lt;/item&gt;&lt;item&gt;729&lt;/item&gt;&lt;item&gt;733&lt;/item&gt;&lt;item&gt;736&lt;/item&gt;&lt;item&gt;738&lt;/item&gt;&lt;item&gt;739&lt;/item&gt;&lt;item&gt;740&lt;/item&gt;&lt;item&gt;744&lt;/item&gt;&lt;item&gt;748&lt;/item&gt;&lt;item&gt;750&lt;/item&gt;&lt;item&gt;753&lt;/item&gt;&lt;item&gt;758&lt;/item&gt;&lt;item&gt;760&lt;/item&gt;&lt;item&gt;948&lt;/item&gt;&lt;item&gt;966&lt;/item&gt;&lt;item&gt;967&lt;/item&gt;&lt;item&gt;970&lt;/item&gt;&lt;item&gt;971&lt;/item&gt;&lt;item&gt;974&lt;/item&gt;&lt;item&gt;975&lt;/item&gt;&lt;item&gt;976&lt;/item&gt;&lt;item&gt;979&lt;/item&gt;&lt;item&gt;980&lt;/item&gt;&lt;item&gt;981&lt;/item&gt;&lt;item&gt;982&lt;/item&gt;&lt;item&gt;983&lt;/item&gt;&lt;item&gt;986&lt;/item&gt;&lt;item&gt;987&lt;/item&gt;&lt;item&gt;988&lt;/item&gt;&lt;item&gt;989&lt;/item&gt;&lt;item&gt;990&lt;/item&gt;&lt;item&gt;991&lt;/item&gt;&lt;item&gt;1001&lt;/item&gt;&lt;item&gt;1003&lt;/item&gt;&lt;item&gt;1004&lt;/item&gt;&lt;item&gt;1012&lt;/item&gt;&lt;item&gt;1014&lt;/item&gt;&lt;item&gt;1015&lt;/item&gt;&lt;item&gt;1016&lt;/item&gt;&lt;item&gt;1018&lt;/item&gt;&lt;item&gt;1019&lt;/item&gt;&lt;item&gt;1020&lt;/item&gt;&lt;item&gt;1021&lt;/item&gt;&lt;item&gt;1022&lt;/item&gt;&lt;item&gt;1023&lt;/item&gt;&lt;item&gt;1025&lt;/item&gt;&lt;item&gt;1026&lt;/item&gt;&lt;item&gt;1028&lt;/item&gt;&lt;item&gt;1031&lt;/item&gt;&lt;item&gt;1032&lt;/item&gt;&lt;item&gt;1034&lt;/item&gt;&lt;item&gt;1036&lt;/item&gt;&lt;item&gt;1037&lt;/item&gt;&lt;item&gt;1040&lt;/item&gt;&lt;item&gt;1041&lt;/item&gt;&lt;item&gt;1042&lt;/item&gt;&lt;item&gt;1043&lt;/item&gt;&lt;item&gt;1044&lt;/item&gt;&lt;item&gt;1046&lt;/item&gt;&lt;item&gt;1047&lt;/item&gt;&lt;item&gt;1049&lt;/item&gt;&lt;item&gt;1051&lt;/item&gt;&lt;item&gt;1053&lt;/item&gt;&lt;item&gt;1062&lt;/item&gt;&lt;item&gt;1063&lt;/item&gt;&lt;item&gt;1064&lt;/item&gt;&lt;item&gt;1065&lt;/item&gt;&lt;item&gt;1066&lt;/item&gt;&lt;item&gt;1067&lt;/item&gt;&lt;item&gt;1079&lt;/item&gt;&lt;item&gt;1084&lt;/item&gt;&lt;item&gt;1090&lt;/item&gt;&lt;item&gt;1093&lt;/item&gt;&lt;item&gt;1096&lt;/item&gt;&lt;item&gt;1097&lt;/item&gt;&lt;item&gt;1098&lt;/item&gt;&lt;item&gt;1099&lt;/item&gt;&lt;item&gt;1100&lt;/item&gt;&lt;item&gt;1109&lt;/item&gt;&lt;item&gt;1123&lt;/item&gt;&lt;item&gt;1127&lt;/item&gt;&lt;item&gt;1128&lt;/item&gt;&lt;item&gt;1129&lt;/item&gt;&lt;item&gt;1130&lt;/item&gt;&lt;item&gt;1132&lt;/item&gt;&lt;item&gt;1133&lt;/item&gt;&lt;item&gt;1134&lt;/item&gt;&lt;item&gt;1138&lt;/item&gt;&lt;item&gt;1139&lt;/item&gt;&lt;item&gt;1143&lt;/item&gt;&lt;item&gt;1145&lt;/item&gt;&lt;item&gt;1147&lt;/item&gt;&lt;item&gt;1148&lt;/item&gt;&lt;item&gt;1150&lt;/item&gt;&lt;item&gt;1153&lt;/item&gt;&lt;item&gt;1158&lt;/item&gt;&lt;item&gt;1159&lt;/item&gt;&lt;item&gt;1632&lt;/item&gt;&lt;item&gt;1633&lt;/item&gt;&lt;item&gt;1635&lt;/item&gt;&lt;item&gt;1636&lt;/item&gt;&lt;item&gt;1637&lt;/item&gt;&lt;item&gt;1638&lt;/item&gt;&lt;item&gt;1639&lt;/item&gt;&lt;item&gt;1640&lt;/item&gt;&lt;item&gt;1641&lt;/item&gt;&lt;item&gt;1642&lt;/item&gt;&lt;item&gt;1644&lt;/item&gt;&lt;item&gt;1646&lt;/item&gt;&lt;item&gt;1647&lt;/item&gt;&lt;item&gt;1648&lt;/item&gt;&lt;item&gt;1649&lt;/item&gt;&lt;item&gt;1656&lt;/item&gt;&lt;item&gt;1659&lt;/item&gt;&lt;item&gt;1660&lt;/item&gt;&lt;item&gt;1661&lt;/item&gt;&lt;item&gt;1662&lt;/item&gt;&lt;item&gt;1663&lt;/item&gt;&lt;item&gt;1664&lt;/item&gt;&lt;item&gt;1665&lt;/item&gt;&lt;item&gt;1666&lt;/item&gt;&lt;item&gt;1667&lt;/item&gt;&lt;item&gt;1668&lt;/item&gt;&lt;item&gt;1669&lt;/item&gt;&lt;item&gt;1670&lt;/item&gt;&lt;item&gt;1671&lt;/item&gt;&lt;item&gt;1681&lt;/item&gt;&lt;item&gt;1682&lt;/item&gt;&lt;item&gt;1683&lt;/item&gt;&lt;item&gt;1684&lt;/item&gt;&lt;item&gt;1686&lt;/item&gt;&lt;item&gt;1687&lt;/item&gt;&lt;item&gt;1688&lt;/item&gt;&lt;item&gt;1691&lt;/item&gt;&lt;item&gt;1692&lt;/item&gt;&lt;item&gt;1694&lt;/item&gt;&lt;item&gt;1710&lt;/item&gt;&lt;item&gt;1720&lt;/item&gt;&lt;/record-ids&gt;&lt;/item&gt;&lt;/Libraries&gt;"/>
  </w:docVars>
  <w:rsids>
    <w:rsidRoot w:val="00D21E34"/>
    <w:rsid w:val="00000849"/>
    <w:rsid w:val="000010B3"/>
    <w:rsid w:val="00001AB9"/>
    <w:rsid w:val="00001C18"/>
    <w:rsid w:val="000028EB"/>
    <w:rsid w:val="000043AC"/>
    <w:rsid w:val="0000448D"/>
    <w:rsid w:val="00004B5A"/>
    <w:rsid w:val="00004B66"/>
    <w:rsid w:val="00004FC0"/>
    <w:rsid w:val="000054BF"/>
    <w:rsid w:val="00005E2D"/>
    <w:rsid w:val="00005E66"/>
    <w:rsid w:val="000064BE"/>
    <w:rsid w:val="000065D5"/>
    <w:rsid w:val="00006782"/>
    <w:rsid w:val="00006EAB"/>
    <w:rsid w:val="000075B0"/>
    <w:rsid w:val="00007A37"/>
    <w:rsid w:val="00007E47"/>
    <w:rsid w:val="000102B0"/>
    <w:rsid w:val="000111E3"/>
    <w:rsid w:val="000111EC"/>
    <w:rsid w:val="00011334"/>
    <w:rsid w:val="0001166C"/>
    <w:rsid w:val="000123C0"/>
    <w:rsid w:val="000127C5"/>
    <w:rsid w:val="000129DD"/>
    <w:rsid w:val="00012DF4"/>
    <w:rsid w:val="000137C2"/>
    <w:rsid w:val="00013B7A"/>
    <w:rsid w:val="00015020"/>
    <w:rsid w:val="0001504F"/>
    <w:rsid w:val="000152B8"/>
    <w:rsid w:val="00015A16"/>
    <w:rsid w:val="00016045"/>
    <w:rsid w:val="0001688A"/>
    <w:rsid w:val="00016A49"/>
    <w:rsid w:val="00016EF4"/>
    <w:rsid w:val="00017123"/>
    <w:rsid w:val="00020D33"/>
    <w:rsid w:val="00020F0D"/>
    <w:rsid w:val="00021249"/>
    <w:rsid w:val="0002149C"/>
    <w:rsid w:val="00021532"/>
    <w:rsid w:val="00022621"/>
    <w:rsid w:val="00022635"/>
    <w:rsid w:val="00022985"/>
    <w:rsid w:val="000231F8"/>
    <w:rsid w:val="00024AC5"/>
    <w:rsid w:val="00024B02"/>
    <w:rsid w:val="00024BB3"/>
    <w:rsid w:val="00024E30"/>
    <w:rsid w:val="00025AA5"/>
    <w:rsid w:val="000263EE"/>
    <w:rsid w:val="00026BF4"/>
    <w:rsid w:val="00026C42"/>
    <w:rsid w:val="00026F36"/>
    <w:rsid w:val="00026F48"/>
    <w:rsid w:val="00027866"/>
    <w:rsid w:val="00027B69"/>
    <w:rsid w:val="000304A5"/>
    <w:rsid w:val="000305B0"/>
    <w:rsid w:val="0003075C"/>
    <w:rsid w:val="00030ADD"/>
    <w:rsid w:val="00030EFD"/>
    <w:rsid w:val="00030FF0"/>
    <w:rsid w:val="00031168"/>
    <w:rsid w:val="00031410"/>
    <w:rsid w:val="00031534"/>
    <w:rsid w:val="00031DA8"/>
    <w:rsid w:val="00032DFC"/>
    <w:rsid w:val="000345C1"/>
    <w:rsid w:val="00034DE3"/>
    <w:rsid w:val="00035278"/>
    <w:rsid w:val="000352D1"/>
    <w:rsid w:val="00035BF4"/>
    <w:rsid w:val="0003600E"/>
    <w:rsid w:val="000363CC"/>
    <w:rsid w:val="00036995"/>
    <w:rsid w:val="00036A9F"/>
    <w:rsid w:val="000375B3"/>
    <w:rsid w:val="000409BE"/>
    <w:rsid w:val="00040B02"/>
    <w:rsid w:val="00040B4D"/>
    <w:rsid w:val="000414BF"/>
    <w:rsid w:val="00041E1D"/>
    <w:rsid w:val="000424CB"/>
    <w:rsid w:val="00042AC3"/>
    <w:rsid w:val="000444F9"/>
    <w:rsid w:val="000448FF"/>
    <w:rsid w:val="00045033"/>
    <w:rsid w:val="00045B62"/>
    <w:rsid w:val="00045DAE"/>
    <w:rsid w:val="00046837"/>
    <w:rsid w:val="00047A78"/>
    <w:rsid w:val="00047AF5"/>
    <w:rsid w:val="00047C38"/>
    <w:rsid w:val="00047EE7"/>
    <w:rsid w:val="00053ACF"/>
    <w:rsid w:val="00054D0C"/>
    <w:rsid w:val="000550C5"/>
    <w:rsid w:val="0005564D"/>
    <w:rsid w:val="00055797"/>
    <w:rsid w:val="00055E0A"/>
    <w:rsid w:val="00055F78"/>
    <w:rsid w:val="00056BF4"/>
    <w:rsid w:val="00056FC2"/>
    <w:rsid w:val="0005746A"/>
    <w:rsid w:val="00057C00"/>
    <w:rsid w:val="00057C09"/>
    <w:rsid w:val="0006169C"/>
    <w:rsid w:val="00061794"/>
    <w:rsid w:val="0006231E"/>
    <w:rsid w:val="00062495"/>
    <w:rsid w:val="00062883"/>
    <w:rsid w:val="00062939"/>
    <w:rsid w:val="00062BC7"/>
    <w:rsid w:val="00063372"/>
    <w:rsid w:val="00063693"/>
    <w:rsid w:val="00063B9D"/>
    <w:rsid w:val="00063CB9"/>
    <w:rsid w:val="00064068"/>
    <w:rsid w:val="00064B20"/>
    <w:rsid w:val="0006513C"/>
    <w:rsid w:val="00065A8C"/>
    <w:rsid w:val="00066345"/>
    <w:rsid w:val="00067834"/>
    <w:rsid w:val="00067C88"/>
    <w:rsid w:val="00067CBF"/>
    <w:rsid w:val="00070377"/>
    <w:rsid w:val="000741B2"/>
    <w:rsid w:val="0007477F"/>
    <w:rsid w:val="0007568B"/>
    <w:rsid w:val="000758AF"/>
    <w:rsid w:val="00077369"/>
    <w:rsid w:val="000775E6"/>
    <w:rsid w:val="00077AA2"/>
    <w:rsid w:val="00077BCB"/>
    <w:rsid w:val="00077C11"/>
    <w:rsid w:val="00080574"/>
    <w:rsid w:val="00081599"/>
    <w:rsid w:val="000819BF"/>
    <w:rsid w:val="00081B7F"/>
    <w:rsid w:val="00081D02"/>
    <w:rsid w:val="00082114"/>
    <w:rsid w:val="00082A15"/>
    <w:rsid w:val="00083AAD"/>
    <w:rsid w:val="00084CC3"/>
    <w:rsid w:val="000852DF"/>
    <w:rsid w:val="00085546"/>
    <w:rsid w:val="00085EF4"/>
    <w:rsid w:val="000861B4"/>
    <w:rsid w:val="000870BE"/>
    <w:rsid w:val="00087479"/>
    <w:rsid w:val="00087603"/>
    <w:rsid w:val="00087885"/>
    <w:rsid w:val="00087F13"/>
    <w:rsid w:val="00090820"/>
    <w:rsid w:val="00090904"/>
    <w:rsid w:val="00090C27"/>
    <w:rsid w:val="0009103F"/>
    <w:rsid w:val="00091841"/>
    <w:rsid w:val="0009201E"/>
    <w:rsid w:val="00092214"/>
    <w:rsid w:val="000937AE"/>
    <w:rsid w:val="00093978"/>
    <w:rsid w:val="000941E1"/>
    <w:rsid w:val="0009465D"/>
    <w:rsid w:val="00094A9D"/>
    <w:rsid w:val="00094FA6"/>
    <w:rsid w:val="000955D8"/>
    <w:rsid w:val="00096BC4"/>
    <w:rsid w:val="00096D6E"/>
    <w:rsid w:val="00097084"/>
    <w:rsid w:val="00097151"/>
    <w:rsid w:val="000977CC"/>
    <w:rsid w:val="00097CE0"/>
    <w:rsid w:val="00097E22"/>
    <w:rsid w:val="000A081B"/>
    <w:rsid w:val="000A1920"/>
    <w:rsid w:val="000A1C2D"/>
    <w:rsid w:val="000A252F"/>
    <w:rsid w:val="000A2D1A"/>
    <w:rsid w:val="000A3B11"/>
    <w:rsid w:val="000A463E"/>
    <w:rsid w:val="000A5121"/>
    <w:rsid w:val="000A5F22"/>
    <w:rsid w:val="000A609A"/>
    <w:rsid w:val="000A60A5"/>
    <w:rsid w:val="000A65C2"/>
    <w:rsid w:val="000A6A69"/>
    <w:rsid w:val="000A6A8F"/>
    <w:rsid w:val="000A6F72"/>
    <w:rsid w:val="000A73B3"/>
    <w:rsid w:val="000A7CF9"/>
    <w:rsid w:val="000A7F51"/>
    <w:rsid w:val="000B009D"/>
    <w:rsid w:val="000B0AF7"/>
    <w:rsid w:val="000B1737"/>
    <w:rsid w:val="000B2FF4"/>
    <w:rsid w:val="000B36C0"/>
    <w:rsid w:val="000B3761"/>
    <w:rsid w:val="000B3CDE"/>
    <w:rsid w:val="000B48CD"/>
    <w:rsid w:val="000B4FD0"/>
    <w:rsid w:val="000B549C"/>
    <w:rsid w:val="000B57DE"/>
    <w:rsid w:val="000B5B15"/>
    <w:rsid w:val="000B685E"/>
    <w:rsid w:val="000B6B1B"/>
    <w:rsid w:val="000B7264"/>
    <w:rsid w:val="000B7588"/>
    <w:rsid w:val="000B77E4"/>
    <w:rsid w:val="000B78F2"/>
    <w:rsid w:val="000B7B8D"/>
    <w:rsid w:val="000B7F34"/>
    <w:rsid w:val="000C00E4"/>
    <w:rsid w:val="000C01B4"/>
    <w:rsid w:val="000C08ED"/>
    <w:rsid w:val="000C0C54"/>
    <w:rsid w:val="000C1794"/>
    <w:rsid w:val="000C2377"/>
    <w:rsid w:val="000C23A4"/>
    <w:rsid w:val="000C2F2C"/>
    <w:rsid w:val="000C36F2"/>
    <w:rsid w:val="000C3828"/>
    <w:rsid w:val="000C3A77"/>
    <w:rsid w:val="000C3BC0"/>
    <w:rsid w:val="000C3CCA"/>
    <w:rsid w:val="000C49FC"/>
    <w:rsid w:val="000C506E"/>
    <w:rsid w:val="000C51AD"/>
    <w:rsid w:val="000C5440"/>
    <w:rsid w:val="000C5870"/>
    <w:rsid w:val="000C5B0D"/>
    <w:rsid w:val="000C621E"/>
    <w:rsid w:val="000C6435"/>
    <w:rsid w:val="000C66B6"/>
    <w:rsid w:val="000C6A31"/>
    <w:rsid w:val="000C7CD5"/>
    <w:rsid w:val="000D04C8"/>
    <w:rsid w:val="000D0F8C"/>
    <w:rsid w:val="000D1C8F"/>
    <w:rsid w:val="000D24E6"/>
    <w:rsid w:val="000D27D6"/>
    <w:rsid w:val="000D36B6"/>
    <w:rsid w:val="000D39BE"/>
    <w:rsid w:val="000D3FB7"/>
    <w:rsid w:val="000D4357"/>
    <w:rsid w:val="000D4F27"/>
    <w:rsid w:val="000D537A"/>
    <w:rsid w:val="000D5D13"/>
    <w:rsid w:val="000D70AB"/>
    <w:rsid w:val="000D757D"/>
    <w:rsid w:val="000E0140"/>
    <w:rsid w:val="000E085C"/>
    <w:rsid w:val="000E1435"/>
    <w:rsid w:val="000E16DB"/>
    <w:rsid w:val="000E2718"/>
    <w:rsid w:val="000E2946"/>
    <w:rsid w:val="000E31C4"/>
    <w:rsid w:val="000E32CF"/>
    <w:rsid w:val="000E484B"/>
    <w:rsid w:val="000E593C"/>
    <w:rsid w:val="000E641D"/>
    <w:rsid w:val="000E648B"/>
    <w:rsid w:val="000E65BA"/>
    <w:rsid w:val="000E6949"/>
    <w:rsid w:val="000E6BA8"/>
    <w:rsid w:val="000E71EA"/>
    <w:rsid w:val="000F0161"/>
    <w:rsid w:val="000F1324"/>
    <w:rsid w:val="000F1DEE"/>
    <w:rsid w:val="000F2CA6"/>
    <w:rsid w:val="000F328A"/>
    <w:rsid w:val="000F399E"/>
    <w:rsid w:val="000F3BB8"/>
    <w:rsid w:val="000F3DD3"/>
    <w:rsid w:val="000F44EF"/>
    <w:rsid w:val="000F47D9"/>
    <w:rsid w:val="000F4C08"/>
    <w:rsid w:val="000F503F"/>
    <w:rsid w:val="000F5898"/>
    <w:rsid w:val="000F5C80"/>
    <w:rsid w:val="000F66BF"/>
    <w:rsid w:val="000F731E"/>
    <w:rsid w:val="000F7A3B"/>
    <w:rsid w:val="00101630"/>
    <w:rsid w:val="00101755"/>
    <w:rsid w:val="00101978"/>
    <w:rsid w:val="00101F48"/>
    <w:rsid w:val="001024EA"/>
    <w:rsid w:val="00102B87"/>
    <w:rsid w:val="001034E6"/>
    <w:rsid w:val="00103768"/>
    <w:rsid w:val="00103B4A"/>
    <w:rsid w:val="0010429B"/>
    <w:rsid w:val="001045FB"/>
    <w:rsid w:val="00104786"/>
    <w:rsid w:val="001048F8"/>
    <w:rsid w:val="00104D96"/>
    <w:rsid w:val="001050FD"/>
    <w:rsid w:val="001056FF"/>
    <w:rsid w:val="00105A11"/>
    <w:rsid w:val="00106C9E"/>
    <w:rsid w:val="0010738A"/>
    <w:rsid w:val="00107F71"/>
    <w:rsid w:val="00107F9B"/>
    <w:rsid w:val="001103B2"/>
    <w:rsid w:val="001109A4"/>
    <w:rsid w:val="00110A7B"/>
    <w:rsid w:val="00110DA2"/>
    <w:rsid w:val="00110F5B"/>
    <w:rsid w:val="0011226C"/>
    <w:rsid w:val="00112312"/>
    <w:rsid w:val="0011286D"/>
    <w:rsid w:val="00112952"/>
    <w:rsid w:val="001130C1"/>
    <w:rsid w:val="00113710"/>
    <w:rsid w:val="00114195"/>
    <w:rsid w:val="00114374"/>
    <w:rsid w:val="001143C7"/>
    <w:rsid w:val="00116843"/>
    <w:rsid w:val="001169E4"/>
    <w:rsid w:val="0011783B"/>
    <w:rsid w:val="00120736"/>
    <w:rsid w:val="00120FBF"/>
    <w:rsid w:val="00121684"/>
    <w:rsid w:val="00122436"/>
    <w:rsid w:val="001226AD"/>
    <w:rsid w:val="001227E1"/>
    <w:rsid w:val="00122856"/>
    <w:rsid w:val="00122928"/>
    <w:rsid w:val="00122B7A"/>
    <w:rsid w:val="001233A9"/>
    <w:rsid w:val="00123E17"/>
    <w:rsid w:val="00124E2B"/>
    <w:rsid w:val="0012525D"/>
    <w:rsid w:val="00125548"/>
    <w:rsid w:val="001256F2"/>
    <w:rsid w:val="00125E0E"/>
    <w:rsid w:val="00125E47"/>
    <w:rsid w:val="0012651C"/>
    <w:rsid w:val="00126E0A"/>
    <w:rsid w:val="0012775A"/>
    <w:rsid w:val="00127BB7"/>
    <w:rsid w:val="00127F90"/>
    <w:rsid w:val="00131B32"/>
    <w:rsid w:val="00131E77"/>
    <w:rsid w:val="00132896"/>
    <w:rsid w:val="00132DA9"/>
    <w:rsid w:val="00132F51"/>
    <w:rsid w:val="00134E00"/>
    <w:rsid w:val="00135286"/>
    <w:rsid w:val="00135D6C"/>
    <w:rsid w:val="00136129"/>
    <w:rsid w:val="001361A5"/>
    <w:rsid w:val="001366CD"/>
    <w:rsid w:val="00137704"/>
    <w:rsid w:val="00137CA6"/>
    <w:rsid w:val="00137EAA"/>
    <w:rsid w:val="00137FB8"/>
    <w:rsid w:val="001404CB"/>
    <w:rsid w:val="00140625"/>
    <w:rsid w:val="0014200F"/>
    <w:rsid w:val="001435CB"/>
    <w:rsid w:val="00143B7E"/>
    <w:rsid w:val="0014414C"/>
    <w:rsid w:val="001444E6"/>
    <w:rsid w:val="001457F8"/>
    <w:rsid w:val="00145FB4"/>
    <w:rsid w:val="0014673D"/>
    <w:rsid w:val="00146893"/>
    <w:rsid w:val="00146AC0"/>
    <w:rsid w:val="00146B70"/>
    <w:rsid w:val="00147661"/>
    <w:rsid w:val="00147A02"/>
    <w:rsid w:val="00147DD5"/>
    <w:rsid w:val="00150021"/>
    <w:rsid w:val="00150C4E"/>
    <w:rsid w:val="00150DD4"/>
    <w:rsid w:val="00151207"/>
    <w:rsid w:val="0015152D"/>
    <w:rsid w:val="0015157B"/>
    <w:rsid w:val="0015166D"/>
    <w:rsid w:val="00151987"/>
    <w:rsid w:val="0015206B"/>
    <w:rsid w:val="001520F4"/>
    <w:rsid w:val="001525F3"/>
    <w:rsid w:val="00152659"/>
    <w:rsid w:val="001529A3"/>
    <w:rsid w:val="00152D84"/>
    <w:rsid w:val="00153A32"/>
    <w:rsid w:val="00153C1C"/>
    <w:rsid w:val="00153DA0"/>
    <w:rsid w:val="00153EFF"/>
    <w:rsid w:val="00154183"/>
    <w:rsid w:val="00154933"/>
    <w:rsid w:val="001553D6"/>
    <w:rsid w:val="0015565A"/>
    <w:rsid w:val="00155BA8"/>
    <w:rsid w:val="00155D81"/>
    <w:rsid w:val="00155FBC"/>
    <w:rsid w:val="001561ED"/>
    <w:rsid w:val="0015690D"/>
    <w:rsid w:val="0015701B"/>
    <w:rsid w:val="00157758"/>
    <w:rsid w:val="001609E9"/>
    <w:rsid w:val="00160EF8"/>
    <w:rsid w:val="00161E87"/>
    <w:rsid w:val="001620B4"/>
    <w:rsid w:val="001622DD"/>
    <w:rsid w:val="0016243A"/>
    <w:rsid w:val="001636A9"/>
    <w:rsid w:val="001639E4"/>
    <w:rsid w:val="00163A9F"/>
    <w:rsid w:val="00164308"/>
    <w:rsid w:val="0016498B"/>
    <w:rsid w:val="001649D8"/>
    <w:rsid w:val="00164C33"/>
    <w:rsid w:val="00164CD3"/>
    <w:rsid w:val="00165137"/>
    <w:rsid w:val="001652BA"/>
    <w:rsid w:val="00166202"/>
    <w:rsid w:val="00166B00"/>
    <w:rsid w:val="00167071"/>
    <w:rsid w:val="00167088"/>
    <w:rsid w:val="00167625"/>
    <w:rsid w:val="00167F83"/>
    <w:rsid w:val="00170281"/>
    <w:rsid w:val="0017029B"/>
    <w:rsid w:val="001704FE"/>
    <w:rsid w:val="00170F30"/>
    <w:rsid w:val="00171DCE"/>
    <w:rsid w:val="00172652"/>
    <w:rsid w:val="001727EC"/>
    <w:rsid w:val="00172C34"/>
    <w:rsid w:val="00172EC8"/>
    <w:rsid w:val="0017344A"/>
    <w:rsid w:val="00173B81"/>
    <w:rsid w:val="001740AB"/>
    <w:rsid w:val="00174113"/>
    <w:rsid w:val="0017469D"/>
    <w:rsid w:val="001758C4"/>
    <w:rsid w:val="00176005"/>
    <w:rsid w:val="00176418"/>
    <w:rsid w:val="0017696E"/>
    <w:rsid w:val="00177192"/>
    <w:rsid w:val="001772DC"/>
    <w:rsid w:val="0017762C"/>
    <w:rsid w:val="00177B67"/>
    <w:rsid w:val="0018020F"/>
    <w:rsid w:val="00180FD2"/>
    <w:rsid w:val="0018223B"/>
    <w:rsid w:val="001827C8"/>
    <w:rsid w:val="0018282B"/>
    <w:rsid w:val="00182B1B"/>
    <w:rsid w:val="00182BF3"/>
    <w:rsid w:val="00182C69"/>
    <w:rsid w:val="00183869"/>
    <w:rsid w:val="0018482A"/>
    <w:rsid w:val="00184A6F"/>
    <w:rsid w:val="001852CF"/>
    <w:rsid w:val="001856F7"/>
    <w:rsid w:val="00185D2A"/>
    <w:rsid w:val="0018655C"/>
    <w:rsid w:val="0018691E"/>
    <w:rsid w:val="00186ADC"/>
    <w:rsid w:val="00186F52"/>
    <w:rsid w:val="00186F9E"/>
    <w:rsid w:val="00187452"/>
    <w:rsid w:val="00187456"/>
    <w:rsid w:val="001874A5"/>
    <w:rsid w:val="00187C2B"/>
    <w:rsid w:val="001901B9"/>
    <w:rsid w:val="00191612"/>
    <w:rsid w:val="00191A0D"/>
    <w:rsid w:val="00191DCA"/>
    <w:rsid w:val="0019235D"/>
    <w:rsid w:val="001924E0"/>
    <w:rsid w:val="001929B0"/>
    <w:rsid w:val="001930AA"/>
    <w:rsid w:val="001936C2"/>
    <w:rsid w:val="00193B3D"/>
    <w:rsid w:val="001940E7"/>
    <w:rsid w:val="00194436"/>
    <w:rsid w:val="001951C3"/>
    <w:rsid w:val="00195A96"/>
    <w:rsid w:val="00195D9F"/>
    <w:rsid w:val="0019659C"/>
    <w:rsid w:val="00196BF1"/>
    <w:rsid w:val="001A05CE"/>
    <w:rsid w:val="001A0E90"/>
    <w:rsid w:val="001A186B"/>
    <w:rsid w:val="001A1C3A"/>
    <w:rsid w:val="001A1C3B"/>
    <w:rsid w:val="001A1E7B"/>
    <w:rsid w:val="001A258D"/>
    <w:rsid w:val="001A25CA"/>
    <w:rsid w:val="001A281B"/>
    <w:rsid w:val="001A2B95"/>
    <w:rsid w:val="001A3104"/>
    <w:rsid w:val="001A33B4"/>
    <w:rsid w:val="001A3855"/>
    <w:rsid w:val="001A4638"/>
    <w:rsid w:val="001A4FEA"/>
    <w:rsid w:val="001A5850"/>
    <w:rsid w:val="001A5E16"/>
    <w:rsid w:val="001A5F29"/>
    <w:rsid w:val="001A60D7"/>
    <w:rsid w:val="001A6BD1"/>
    <w:rsid w:val="001A75C5"/>
    <w:rsid w:val="001A7F1E"/>
    <w:rsid w:val="001B0018"/>
    <w:rsid w:val="001B02E3"/>
    <w:rsid w:val="001B10A3"/>
    <w:rsid w:val="001B1569"/>
    <w:rsid w:val="001B212E"/>
    <w:rsid w:val="001B24E4"/>
    <w:rsid w:val="001B2968"/>
    <w:rsid w:val="001B3829"/>
    <w:rsid w:val="001B38FA"/>
    <w:rsid w:val="001B410E"/>
    <w:rsid w:val="001B426A"/>
    <w:rsid w:val="001B4975"/>
    <w:rsid w:val="001B4977"/>
    <w:rsid w:val="001B4E64"/>
    <w:rsid w:val="001B4E72"/>
    <w:rsid w:val="001B5247"/>
    <w:rsid w:val="001B5746"/>
    <w:rsid w:val="001B62D9"/>
    <w:rsid w:val="001B7133"/>
    <w:rsid w:val="001B7223"/>
    <w:rsid w:val="001C0466"/>
    <w:rsid w:val="001C09C7"/>
    <w:rsid w:val="001C0EF3"/>
    <w:rsid w:val="001C1086"/>
    <w:rsid w:val="001C213C"/>
    <w:rsid w:val="001C251C"/>
    <w:rsid w:val="001C2A4F"/>
    <w:rsid w:val="001C2B80"/>
    <w:rsid w:val="001C2C5A"/>
    <w:rsid w:val="001C3313"/>
    <w:rsid w:val="001C3413"/>
    <w:rsid w:val="001C36E1"/>
    <w:rsid w:val="001C3AE9"/>
    <w:rsid w:val="001C3F17"/>
    <w:rsid w:val="001C3F46"/>
    <w:rsid w:val="001C45E5"/>
    <w:rsid w:val="001C5382"/>
    <w:rsid w:val="001C6F4C"/>
    <w:rsid w:val="001C70C5"/>
    <w:rsid w:val="001C79DC"/>
    <w:rsid w:val="001D1AED"/>
    <w:rsid w:val="001D24C3"/>
    <w:rsid w:val="001D2E40"/>
    <w:rsid w:val="001D354F"/>
    <w:rsid w:val="001D55B2"/>
    <w:rsid w:val="001D59DC"/>
    <w:rsid w:val="001D5A4E"/>
    <w:rsid w:val="001D5B94"/>
    <w:rsid w:val="001D5BC9"/>
    <w:rsid w:val="001D6721"/>
    <w:rsid w:val="001D711F"/>
    <w:rsid w:val="001D7987"/>
    <w:rsid w:val="001E00CE"/>
    <w:rsid w:val="001E03A2"/>
    <w:rsid w:val="001E066A"/>
    <w:rsid w:val="001E0870"/>
    <w:rsid w:val="001E0926"/>
    <w:rsid w:val="001E0EAB"/>
    <w:rsid w:val="001E209E"/>
    <w:rsid w:val="001E20B6"/>
    <w:rsid w:val="001E281A"/>
    <w:rsid w:val="001E2977"/>
    <w:rsid w:val="001E5123"/>
    <w:rsid w:val="001E59E8"/>
    <w:rsid w:val="001E6A6B"/>
    <w:rsid w:val="001E6B34"/>
    <w:rsid w:val="001E71E7"/>
    <w:rsid w:val="001F00A7"/>
    <w:rsid w:val="001F0293"/>
    <w:rsid w:val="001F0422"/>
    <w:rsid w:val="001F1014"/>
    <w:rsid w:val="001F1DB9"/>
    <w:rsid w:val="001F2033"/>
    <w:rsid w:val="001F34CE"/>
    <w:rsid w:val="001F3534"/>
    <w:rsid w:val="001F35EB"/>
    <w:rsid w:val="001F436F"/>
    <w:rsid w:val="001F4D0A"/>
    <w:rsid w:val="001F51DE"/>
    <w:rsid w:val="001F5289"/>
    <w:rsid w:val="001F58BF"/>
    <w:rsid w:val="001F5C29"/>
    <w:rsid w:val="001F5CF7"/>
    <w:rsid w:val="001F6239"/>
    <w:rsid w:val="001F68CE"/>
    <w:rsid w:val="001F7128"/>
    <w:rsid w:val="001F77D2"/>
    <w:rsid w:val="0020050E"/>
    <w:rsid w:val="002006AA"/>
    <w:rsid w:val="002006FA"/>
    <w:rsid w:val="002008DB"/>
    <w:rsid w:val="002009CC"/>
    <w:rsid w:val="002011C2"/>
    <w:rsid w:val="00201386"/>
    <w:rsid w:val="00201E48"/>
    <w:rsid w:val="00201FD4"/>
    <w:rsid w:val="002026A4"/>
    <w:rsid w:val="0020286B"/>
    <w:rsid w:val="00203143"/>
    <w:rsid w:val="0020393D"/>
    <w:rsid w:val="002039C4"/>
    <w:rsid w:val="002040B6"/>
    <w:rsid w:val="00204104"/>
    <w:rsid w:val="00204193"/>
    <w:rsid w:val="002042C2"/>
    <w:rsid w:val="00204CB1"/>
    <w:rsid w:val="002050F7"/>
    <w:rsid w:val="00205726"/>
    <w:rsid w:val="00205941"/>
    <w:rsid w:val="002061B8"/>
    <w:rsid w:val="002065D0"/>
    <w:rsid w:val="0020672B"/>
    <w:rsid w:val="00207294"/>
    <w:rsid w:val="002072A2"/>
    <w:rsid w:val="00210478"/>
    <w:rsid w:val="00210878"/>
    <w:rsid w:val="002108CD"/>
    <w:rsid w:val="00210AE7"/>
    <w:rsid w:val="00210C14"/>
    <w:rsid w:val="00210C7B"/>
    <w:rsid w:val="00212743"/>
    <w:rsid w:val="002128DE"/>
    <w:rsid w:val="002135CB"/>
    <w:rsid w:val="00213C67"/>
    <w:rsid w:val="0021522B"/>
    <w:rsid w:val="0021579E"/>
    <w:rsid w:val="00215C69"/>
    <w:rsid w:val="00216D5B"/>
    <w:rsid w:val="00216E13"/>
    <w:rsid w:val="002170A6"/>
    <w:rsid w:val="00217352"/>
    <w:rsid w:val="0021746C"/>
    <w:rsid w:val="00217EE3"/>
    <w:rsid w:val="002202B9"/>
    <w:rsid w:val="00220412"/>
    <w:rsid w:val="0022074E"/>
    <w:rsid w:val="002208E4"/>
    <w:rsid w:val="00220A84"/>
    <w:rsid w:val="00220C92"/>
    <w:rsid w:val="002211C8"/>
    <w:rsid w:val="00221411"/>
    <w:rsid w:val="0022144E"/>
    <w:rsid w:val="00221B69"/>
    <w:rsid w:val="002221AF"/>
    <w:rsid w:val="002230A8"/>
    <w:rsid w:val="00223437"/>
    <w:rsid w:val="00223859"/>
    <w:rsid w:val="002244C6"/>
    <w:rsid w:val="002254EC"/>
    <w:rsid w:val="002264B3"/>
    <w:rsid w:val="002266B2"/>
    <w:rsid w:val="00226761"/>
    <w:rsid w:val="00227307"/>
    <w:rsid w:val="00227DFC"/>
    <w:rsid w:val="00227E4F"/>
    <w:rsid w:val="0023023F"/>
    <w:rsid w:val="0023211D"/>
    <w:rsid w:val="00232DA4"/>
    <w:rsid w:val="002354B0"/>
    <w:rsid w:val="002354FE"/>
    <w:rsid w:val="00235C5A"/>
    <w:rsid w:val="00235F28"/>
    <w:rsid w:val="00236208"/>
    <w:rsid w:val="00236811"/>
    <w:rsid w:val="002375AB"/>
    <w:rsid w:val="0024004F"/>
    <w:rsid w:val="00240EFE"/>
    <w:rsid w:val="002415B8"/>
    <w:rsid w:val="002416B9"/>
    <w:rsid w:val="00241739"/>
    <w:rsid w:val="002417E8"/>
    <w:rsid w:val="00242147"/>
    <w:rsid w:val="00242D11"/>
    <w:rsid w:val="00242E6A"/>
    <w:rsid w:val="0024318E"/>
    <w:rsid w:val="00243C64"/>
    <w:rsid w:val="00243F79"/>
    <w:rsid w:val="00244724"/>
    <w:rsid w:val="00245BFE"/>
    <w:rsid w:val="00246AE4"/>
    <w:rsid w:val="002504AF"/>
    <w:rsid w:val="002507DF"/>
    <w:rsid w:val="00250802"/>
    <w:rsid w:val="00250892"/>
    <w:rsid w:val="002508CE"/>
    <w:rsid w:val="00250EFE"/>
    <w:rsid w:val="002510A7"/>
    <w:rsid w:val="002517B2"/>
    <w:rsid w:val="00251971"/>
    <w:rsid w:val="00251BE2"/>
    <w:rsid w:val="00251FEB"/>
    <w:rsid w:val="00252151"/>
    <w:rsid w:val="00252A29"/>
    <w:rsid w:val="00252ABF"/>
    <w:rsid w:val="00252ED4"/>
    <w:rsid w:val="00252EDD"/>
    <w:rsid w:val="00253636"/>
    <w:rsid w:val="0025383B"/>
    <w:rsid w:val="00253894"/>
    <w:rsid w:val="0025575E"/>
    <w:rsid w:val="00255B7D"/>
    <w:rsid w:val="002561CB"/>
    <w:rsid w:val="00256BC3"/>
    <w:rsid w:val="002575AC"/>
    <w:rsid w:val="002577EE"/>
    <w:rsid w:val="00257CE4"/>
    <w:rsid w:val="00257F10"/>
    <w:rsid w:val="0026023A"/>
    <w:rsid w:val="00260325"/>
    <w:rsid w:val="00260610"/>
    <w:rsid w:val="00260C0E"/>
    <w:rsid w:val="00260DDB"/>
    <w:rsid w:val="00261C53"/>
    <w:rsid w:val="00261CC7"/>
    <w:rsid w:val="00261D44"/>
    <w:rsid w:val="00262323"/>
    <w:rsid w:val="00262721"/>
    <w:rsid w:val="00262B5F"/>
    <w:rsid w:val="00263051"/>
    <w:rsid w:val="002639EB"/>
    <w:rsid w:val="00264022"/>
    <w:rsid w:val="0026444D"/>
    <w:rsid w:val="00265067"/>
    <w:rsid w:val="00265761"/>
    <w:rsid w:val="00266408"/>
    <w:rsid w:val="00267055"/>
    <w:rsid w:val="00267E20"/>
    <w:rsid w:val="0027040A"/>
    <w:rsid w:val="002710D4"/>
    <w:rsid w:val="002716BE"/>
    <w:rsid w:val="00271BC1"/>
    <w:rsid w:val="00272076"/>
    <w:rsid w:val="00272280"/>
    <w:rsid w:val="0027263E"/>
    <w:rsid w:val="00272BC8"/>
    <w:rsid w:val="00272BF7"/>
    <w:rsid w:val="00272FCB"/>
    <w:rsid w:val="00273565"/>
    <w:rsid w:val="00274212"/>
    <w:rsid w:val="00275A82"/>
    <w:rsid w:val="00275E9B"/>
    <w:rsid w:val="00276223"/>
    <w:rsid w:val="00276573"/>
    <w:rsid w:val="00276928"/>
    <w:rsid w:val="0027719F"/>
    <w:rsid w:val="002778EF"/>
    <w:rsid w:val="00277983"/>
    <w:rsid w:val="00277DE7"/>
    <w:rsid w:val="002803C6"/>
    <w:rsid w:val="00280F4C"/>
    <w:rsid w:val="00281CC2"/>
    <w:rsid w:val="00284280"/>
    <w:rsid w:val="00284B1A"/>
    <w:rsid w:val="00285CA1"/>
    <w:rsid w:val="00286270"/>
    <w:rsid w:val="002877A6"/>
    <w:rsid w:val="0029047B"/>
    <w:rsid w:val="00290D25"/>
    <w:rsid w:val="0029123B"/>
    <w:rsid w:val="0029203A"/>
    <w:rsid w:val="0029319D"/>
    <w:rsid w:val="00294B83"/>
    <w:rsid w:val="00294F0E"/>
    <w:rsid w:val="002950D1"/>
    <w:rsid w:val="002951C9"/>
    <w:rsid w:val="00295276"/>
    <w:rsid w:val="002967B0"/>
    <w:rsid w:val="00297D14"/>
    <w:rsid w:val="00297E03"/>
    <w:rsid w:val="002A02A6"/>
    <w:rsid w:val="002A067D"/>
    <w:rsid w:val="002A1633"/>
    <w:rsid w:val="002A2172"/>
    <w:rsid w:val="002A2485"/>
    <w:rsid w:val="002A2A21"/>
    <w:rsid w:val="002A31D0"/>
    <w:rsid w:val="002A3891"/>
    <w:rsid w:val="002A3AC7"/>
    <w:rsid w:val="002A4365"/>
    <w:rsid w:val="002A4A7C"/>
    <w:rsid w:val="002A4ACA"/>
    <w:rsid w:val="002A4DF9"/>
    <w:rsid w:val="002A531D"/>
    <w:rsid w:val="002A53B1"/>
    <w:rsid w:val="002A5465"/>
    <w:rsid w:val="002A57C2"/>
    <w:rsid w:val="002A5FAA"/>
    <w:rsid w:val="002A6812"/>
    <w:rsid w:val="002A6D33"/>
    <w:rsid w:val="002A76D5"/>
    <w:rsid w:val="002A7D12"/>
    <w:rsid w:val="002B0B4B"/>
    <w:rsid w:val="002B10E7"/>
    <w:rsid w:val="002B12FA"/>
    <w:rsid w:val="002B1374"/>
    <w:rsid w:val="002B1872"/>
    <w:rsid w:val="002B1873"/>
    <w:rsid w:val="002B1F08"/>
    <w:rsid w:val="002B2224"/>
    <w:rsid w:val="002B2333"/>
    <w:rsid w:val="002B26A1"/>
    <w:rsid w:val="002B2F25"/>
    <w:rsid w:val="002B3174"/>
    <w:rsid w:val="002B31A9"/>
    <w:rsid w:val="002B31D7"/>
    <w:rsid w:val="002B34E8"/>
    <w:rsid w:val="002B35D0"/>
    <w:rsid w:val="002B409B"/>
    <w:rsid w:val="002B442B"/>
    <w:rsid w:val="002B4A07"/>
    <w:rsid w:val="002B4D07"/>
    <w:rsid w:val="002B5319"/>
    <w:rsid w:val="002B5460"/>
    <w:rsid w:val="002B5E38"/>
    <w:rsid w:val="002B7077"/>
    <w:rsid w:val="002B7687"/>
    <w:rsid w:val="002B7A65"/>
    <w:rsid w:val="002C01F5"/>
    <w:rsid w:val="002C0428"/>
    <w:rsid w:val="002C0E35"/>
    <w:rsid w:val="002C1817"/>
    <w:rsid w:val="002C1884"/>
    <w:rsid w:val="002C261A"/>
    <w:rsid w:val="002C2C53"/>
    <w:rsid w:val="002C2C62"/>
    <w:rsid w:val="002C329D"/>
    <w:rsid w:val="002C32A4"/>
    <w:rsid w:val="002C3316"/>
    <w:rsid w:val="002C34F1"/>
    <w:rsid w:val="002C3AC5"/>
    <w:rsid w:val="002C3F25"/>
    <w:rsid w:val="002C4678"/>
    <w:rsid w:val="002C5147"/>
    <w:rsid w:val="002C5379"/>
    <w:rsid w:val="002C54C0"/>
    <w:rsid w:val="002C58BD"/>
    <w:rsid w:val="002C5AB9"/>
    <w:rsid w:val="002C5CEB"/>
    <w:rsid w:val="002C6410"/>
    <w:rsid w:val="002C6603"/>
    <w:rsid w:val="002C7211"/>
    <w:rsid w:val="002C786D"/>
    <w:rsid w:val="002C788E"/>
    <w:rsid w:val="002C7F8A"/>
    <w:rsid w:val="002D05FD"/>
    <w:rsid w:val="002D0C97"/>
    <w:rsid w:val="002D1C51"/>
    <w:rsid w:val="002D1E87"/>
    <w:rsid w:val="002D22BB"/>
    <w:rsid w:val="002D2545"/>
    <w:rsid w:val="002D297C"/>
    <w:rsid w:val="002D31FA"/>
    <w:rsid w:val="002D320F"/>
    <w:rsid w:val="002D3E3D"/>
    <w:rsid w:val="002D517C"/>
    <w:rsid w:val="002D56BE"/>
    <w:rsid w:val="002D58EB"/>
    <w:rsid w:val="002D5E08"/>
    <w:rsid w:val="002D5EDB"/>
    <w:rsid w:val="002D65BD"/>
    <w:rsid w:val="002D6A19"/>
    <w:rsid w:val="002D6B1B"/>
    <w:rsid w:val="002D6DB7"/>
    <w:rsid w:val="002E05AD"/>
    <w:rsid w:val="002E1A72"/>
    <w:rsid w:val="002E1D20"/>
    <w:rsid w:val="002E2331"/>
    <w:rsid w:val="002E2580"/>
    <w:rsid w:val="002E2ED4"/>
    <w:rsid w:val="002E3609"/>
    <w:rsid w:val="002E373B"/>
    <w:rsid w:val="002E384F"/>
    <w:rsid w:val="002E4B47"/>
    <w:rsid w:val="002E4BE5"/>
    <w:rsid w:val="002E508A"/>
    <w:rsid w:val="002E53EC"/>
    <w:rsid w:val="002E54A3"/>
    <w:rsid w:val="002E655C"/>
    <w:rsid w:val="002E6C31"/>
    <w:rsid w:val="002E78A9"/>
    <w:rsid w:val="002E7F10"/>
    <w:rsid w:val="002F0280"/>
    <w:rsid w:val="002F028A"/>
    <w:rsid w:val="002F033C"/>
    <w:rsid w:val="002F0380"/>
    <w:rsid w:val="002F0EB5"/>
    <w:rsid w:val="002F0F35"/>
    <w:rsid w:val="002F12DA"/>
    <w:rsid w:val="002F149E"/>
    <w:rsid w:val="002F1722"/>
    <w:rsid w:val="002F1CBD"/>
    <w:rsid w:val="002F1EE5"/>
    <w:rsid w:val="002F245B"/>
    <w:rsid w:val="002F28B1"/>
    <w:rsid w:val="002F3422"/>
    <w:rsid w:val="002F3C19"/>
    <w:rsid w:val="002F4602"/>
    <w:rsid w:val="002F48BA"/>
    <w:rsid w:val="002F6C42"/>
    <w:rsid w:val="002F6DA2"/>
    <w:rsid w:val="002F7481"/>
    <w:rsid w:val="002F7929"/>
    <w:rsid w:val="002F7B95"/>
    <w:rsid w:val="00301147"/>
    <w:rsid w:val="003011BC"/>
    <w:rsid w:val="0030122A"/>
    <w:rsid w:val="003023CE"/>
    <w:rsid w:val="0030286A"/>
    <w:rsid w:val="00302CBB"/>
    <w:rsid w:val="003034B7"/>
    <w:rsid w:val="00303C26"/>
    <w:rsid w:val="00303CC9"/>
    <w:rsid w:val="00304BC1"/>
    <w:rsid w:val="00304C16"/>
    <w:rsid w:val="00304C8C"/>
    <w:rsid w:val="00305B03"/>
    <w:rsid w:val="00306C3A"/>
    <w:rsid w:val="00310354"/>
    <w:rsid w:val="003104AB"/>
    <w:rsid w:val="00311AD3"/>
    <w:rsid w:val="00311E43"/>
    <w:rsid w:val="00312510"/>
    <w:rsid w:val="00312619"/>
    <w:rsid w:val="0031264F"/>
    <w:rsid w:val="003141BD"/>
    <w:rsid w:val="00314742"/>
    <w:rsid w:val="003147C0"/>
    <w:rsid w:val="00314C71"/>
    <w:rsid w:val="00315150"/>
    <w:rsid w:val="00315587"/>
    <w:rsid w:val="003156CE"/>
    <w:rsid w:val="00315A1F"/>
    <w:rsid w:val="00315B5F"/>
    <w:rsid w:val="003166BF"/>
    <w:rsid w:val="003178BC"/>
    <w:rsid w:val="0032005E"/>
    <w:rsid w:val="00320112"/>
    <w:rsid w:val="00320ED5"/>
    <w:rsid w:val="00321615"/>
    <w:rsid w:val="00321DA3"/>
    <w:rsid w:val="00322021"/>
    <w:rsid w:val="003227E1"/>
    <w:rsid w:val="00323589"/>
    <w:rsid w:val="00323C8A"/>
    <w:rsid w:val="00324411"/>
    <w:rsid w:val="00324870"/>
    <w:rsid w:val="00325293"/>
    <w:rsid w:val="00325719"/>
    <w:rsid w:val="00325964"/>
    <w:rsid w:val="00325C86"/>
    <w:rsid w:val="003263C6"/>
    <w:rsid w:val="003267F0"/>
    <w:rsid w:val="0032797C"/>
    <w:rsid w:val="0033008E"/>
    <w:rsid w:val="00330B78"/>
    <w:rsid w:val="0033196A"/>
    <w:rsid w:val="00331E0F"/>
    <w:rsid w:val="00332036"/>
    <w:rsid w:val="003329BD"/>
    <w:rsid w:val="00332B3D"/>
    <w:rsid w:val="00332CFE"/>
    <w:rsid w:val="00332D60"/>
    <w:rsid w:val="00333130"/>
    <w:rsid w:val="003331E1"/>
    <w:rsid w:val="00333870"/>
    <w:rsid w:val="00333A43"/>
    <w:rsid w:val="00333B6E"/>
    <w:rsid w:val="00333D7C"/>
    <w:rsid w:val="00335025"/>
    <w:rsid w:val="003363FD"/>
    <w:rsid w:val="00336494"/>
    <w:rsid w:val="00336ED1"/>
    <w:rsid w:val="003371D9"/>
    <w:rsid w:val="00337A20"/>
    <w:rsid w:val="003427F9"/>
    <w:rsid w:val="00342EF6"/>
    <w:rsid w:val="003431D1"/>
    <w:rsid w:val="00343809"/>
    <w:rsid w:val="00343EFD"/>
    <w:rsid w:val="00344B3C"/>
    <w:rsid w:val="00345B2F"/>
    <w:rsid w:val="00346008"/>
    <w:rsid w:val="0034622F"/>
    <w:rsid w:val="003478D6"/>
    <w:rsid w:val="00350803"/>
    <w:rsid w:val="00351237"/>
    <w:rsid w:val="00351F88"/>
    <w:rsid w:val="00352075"/>
    <w:rsid w:val="00352094"/>
    <w:rsid w:val="003521A5"/>
    <w:rsid w:val="0035302D"/>
    <w:rsid w:val="00353638"/>
    <w:rsid w:val="00353A94"/>
    <w:rsid w:val="00353C08"/>
    <w:rsid w:val="00354C9F"/>
    <w:rsid w:val="003550BC"/>
    <w:rsid w:val="00355AAA"/>
    <w:rsid w:val="00356045"/>
    <w:rsid w:val="00356471"/>
    <w:rsid w:val="00356715"/>
    <w:rsid w:val="00356C3F"/>
    <w:rsid w:val="0035737D"/>
    <w:rsid w:val="003576BB"/>
    <w:rsid w:val="00357F8A"/>
    <w:rsid w:val="00357FD6"/>
    <w:rsid w:val="003601B5"/>
    <w:rsid w:val="00360D9D"/>
    <w:rsid w:val="00360EAF"/>
    <w:rsid w:val="003613A7"/>
    <w:rsid w:val="0036165A"/>
    <w:rsid w:val="00362A97"/>
    <w:rsid w:val="00362BC5"/>
    <w:rsid w:val="0036384F"/>
    <w:rsid w:val="00364E22"/>
    <w:rsid w:val="00365F68"/>
    <w:rsid w:val="003660D8"/>
    <w:rsid w:val="003661A3"/>
    <w:rsid w:val="00366310"/>
    <w:rsid w:val="003664E9"/>
    <w:rsid w:val="0036792E"/>
    <w:rsid w:val="0036793A"/>
    <w:rsid w:val="00367A0C"/>
    <w:rsid w:val="00367E15"/>
    <w:rsid w:val="00367F9B"/>
    <w:rsid w:val="003701EE"/>
    <w:rsid w:val="00370B8D"/>
    <w:rsid w:val="00371043"/>
    <w:rsid w:val="003714B7"/>
    <w:rsid w:val="003714BC"/>
    <w:rsid w:val="00371DED"/>
    <w:rsid w:val="00371F29"/>
    <w:rsid w:val="00371FCD"/>
    <w:rsid w:val="00372230"/>
    <w:rsid w:val="00372895"/>
    <w:rsid w:val="00372FAC"/>
    <w:rsid w:val="0037370E"/>
    <w:rsid w:val="00373ECD"/>
    <w:rsid w:val="00374231"/>
    <w:rsid w:val="00374DAC"/>
    <w:rsid w:val="003752EB"/>
    <w:rsid w:val="003758DC"/>
    <w:rsid w:val="0037786A"/>
    <w:rsid w:val="00377EA3"/>
    <w:rsid w:val="003811FE"/>
    <w:rsid w:val="0038156E"/>
    <w:rsid w:val="003815EC"/>
    <w:rsid w:val="00381BF3"/>
    <w:rsid w:val="003821DA"/>
    <w:rsid w:val="0038273B"/>
    <w:rsid w:val="00382EA6"/>
    <w:rsid w:val="003834D1"/>
    <w:rsid w:val="0038388D"/>
    <w:rsid w:val="00383920"/>
    <w:rsid w:val="00383962"/>
    <w:rsid w:val="00383BD8"/>
    <w:rsid w:val="00383DDE"/>
    <w:rsid w:val="003842F5"/>
    <w:rsid w:val="00384753"/>
    <w:rsid w:val="00384C03"/>
    <w:rsid w:val="00384D91"/>
    <w:rsid w:val="00384E9B"/>
    <w:rsid w:val="003851D7"/>
    <w:rsid w:val="003863CE"/>
    <w:rsid w:val="00386758"/>
    <w:rsid w:val="00387109"/>
    <w:rsid w:val="00390473"/>
    <w:rsid w:val="003905DE"/>
    <w:rsid w:val="00390835"/>
    <w:rsid w:val="00390D77"/>
    <w:rsid w:val="0039140B"/>
    <w:rsid w:val="00391C8F"/>
    <w:rsid w:val="0039334E"/>
    <w:rsid w:val="00393357"/>
    <w:rsid w:val="00393BE4"/>
    <w:rsid w:val="00393CAB"/>
    <w:rsid w:val="00394994"/>
    <w:rsid w:val="003957AE"/>
    <w:rsid w:val="00395A3A"/>
    <w:rsid w:val="00395EF8"/>
    <w:rsid w:val="003966EA"/>
    <w:rsid w:val="003973DC"/>
    <w:rsid w:val="00397752"/>
    <w:rsid w:val="00397B3E"/>
    <w:rsid w:val="00397C82"/>
    <w:rsid w:val="00397F90"/>
    <w:rsid w:val="003A08C5"/>
    <w:rsid w:val="003A17AE"/>
    <w:rsid w:val="003A1B6E"/>
    <w:rsid w:val="003A1C05"/>
    <w:rsid w:val="003A1DFD"/>
    <w:rsid w:val="003A20C8"/>
    <w:rsid w:val="003A2983"/>
    <w:rsid w:val="003A3250"/>
    <w:rsid w:val="003A3346"/>
    <w:rsid w:val="003A3785"/>
    <w:rsid w:val="003A3CF1"/>
    <w:rsid w:val="003A4275"/>
    <w:rsid w:val="003A490A"/>
    <w:rsid w:val="003A4985"/>
    <w:rsid w:val="003A4D7C"/>
    <w:rsid w:val="003A5323"/>
    <w:rsid w:val="003A5CE4"/>
    <w:rsid w:val="003A687B"/>
    <w:rsid w:val="003A7570"/>
    <w:rsid w:val="003B009D"/>
    <w:rsid w:val="003B09C4"/>
    <w:rsid w:val="003B1733"/>
    <w:rsid w:val="003B17CD"/>
    <w:rsid w:val="003B189D"/>
    <w:rsid w:val="003B19AD"/>
    <w:rsid w:val="003B1EFC"/>
    <w:rsid w:val="003B2495"/>
    <w:rsid w:val="003B3C3F"/>
    <w:rsid w:val="003B3D22"/>
    <w:rsid w:val="003B4987"/>
    <w:rsid w:val="003B4AD5"/>
    <w:rsid w:val="003B4C61"/>
    <w:rsid w:val="003B5075"/>
    <w:rsid w:val="003B55EA"/>
    <w:rsid w:val="003B564D"/>
    <w:rsid w:val="003B5953"/>
    <w:rsid w:val="003B59CA"/>
    <w:rsid w:val="003B5E23"/>
    <w:rsid w:val="003C0192"/>
    <w:rsid w:val="003C08CC"/>
    <w:rsid w:val="003C0BD3"/>
    <w:rsid w:val="003C0F5F"/>
    <w:rsid w:val="003C1727"/>
    <w:rsid w:val="003C22EA"/>
    <w:rsid w:val="003C2363"/>
    <w:rsid w:val="003C2644"/>
    <w:rsid w:val="003C28B8"/>
    <w:rsid w:val="003C3939"/>
    <w:rsid w:val="003C3A5D"/>
    <w:rsid w:val="003C3C65"/>
    <w:rsid w:val="003C4F05"/>
    <w:rsid w:val="003C5176"/>
    <w:rsid w:val="003C5382"/>
    <w:rsid w:val="003C53AF"/>
    <w:rsid w:val="003C6244"/>
    <w:rsid w:val="003C660C"/>
    <w:rsid w:val="003C6E60"/>
    <w:rsid w:val="003C7215"/>
    <w:rsid w:val="003D01CC"/>
    <w:rsid w:val="003D0210"/>
    <w:rsid w:val="003D02A2"/>
    <w:rsid w:val="003D0363"/>
    <w:rsid w:val="003D1844"/>
    <w:rsid w:val="003D319B"/>
    <w:rsid w:val="003D33EC"/>
    <w:rsid w:val="003D34AD"/>
    <w:rsid w:val="003D4220"/>
    <w:rsid w:val="003D4A66"/>
    <w:rsid w:val="003D4C5B"/>
    <w:rsid w:val="003D4CC0"/>
    <w:rsid w:val="003D5ABF"/>
    <w:rsid w:val="003D5CCE"/>
    <w:rsid w:val="003D5D59"/>
    <w:rsid w:val="003D5F85"/>
    <w:rsid w:val="003D67F8"/>
    <w:rsid w:val="003D72F3"/>
    <w:rsid w:val="003D78D7"/>
    <w:rsid w:val="003E0BF6"/>
    <w:rsid w:val="003E120D"/>
    <w:rsid w:val="003E25D1"/>
    <w:rsid w:val="003E27CD"/>
    <w:rsid w:val="003E2E0B"/>
    <w:rsid w:val="003E3BC7"/>
    <w:rsid w:val="003E3D4A"/>
    <w:rsid w:val="003E40A2"/>
    <w:rsid w:val="003E4D5C"/>
    <w:rsid w:val="003E51FC"/>
    <w:rsid w:val="003E5848"/>
    <w:rsid w:val="003E5B57"/>
    <w:rsid w:val="003E6255"/>
    <w:rsid w:val="003E6344"/>
    <w:rsid w:val="003E660C"/>
    <w:rsid w:val="003E6A1D"/>
    <w:rsid w:val="003E7B21"/>
    <w:rsid w:val="003E7B2F"/>
    <w:rsid w:val="003E7EDB"/>
    <w:rsid w:val="003F00E3"/>
    <w:rsid w:val="003F010C"/>
    <w:rsid w:val="003F04FA"/>
    <w:rsid w:val="003F08E0"/>
    <w:rsid w:val="003F1DF0"/>
    <w:rsid w:val="003F2440"/>
    <w:rsid w:val="003F24DA"/>
    <w:rsid w:val="003F396A"/>
    <w:rsid w:val="003F3BB4"/>
    <w:rsid w:val="003F49C7"/>
    <w:rsid w:val="003F4C44"/>
    <w:rsid w:val="003F5886"/>
    <w:rsid w:val="003F5D05"/>
    <w:rsid w:val="003F5E97"/>
    <w:rsid w:val="003F64D7"/>
    <w:rsid w:val="003F6C5D"/>
    <w:rsid w:val="003F6CF5"/>
    <w:rsid w:val="003F6DA1"/>
    <w:rsid w:val="003F74DC"/>
    <w:rsid w:val="00400523"/>
    <w:rsid w:val="00401940"/>
    <w:rsid w:val="0040202C"/>
    <w:rsid w:val="00402094"/>
    <w:rsid w:val="004027DC"/>
    <w:rsid w:val="00402A68"/>
    <w:rsid w:val="00402EBD"/>
    <w:rsid w:val="0040340F"/>
    <w:rsid w:val="0040375E"/>
    <w:rsid w:val="00404AA6"/>
    <w:rsid w:val="00404ED6"/>
    <w:rsid w:val="00405331"/>
    <w:rsid w:val="00405599"/>
    <w:rsid w:val="00405E30"/>
    <w:rsid w:val="00406769"/>
    <w:rsid w:val="00406E22"/>
    <w:rsid w:val="0040743B"/>
    <w:rsid w:val="00407B96"/>
    <w:rsid w:val="004106D1"/>
    <w:rsid w:val="00410C93"/>
    <w:rsid w:val="00410FBA"/>
    <w:rsid w:val="0041100B"/>
    <w:rsid w:val="00411583"/>
    <w:rsid w:val="00411A66"/>
    <w:rsid w:val="00413949"/>
    <w:rsid w:val="00413E73"/>
    <w:rsid w:val="004141C2"/>
    <w:rsid w:val="004142F5"/>
    <w:rsid w:val="00414605"/>
    <w:rsid w:val="00414629"/>
    <w:rsid w:val="00414A12"/>
    <w:rsid w:val="00414C1F"/>
    <w:rsid w:val="00414E0D"/>
    <w:rsid w:val="00414E57"/>
    <w:rsid w:val="0041650C"/>
    <w:rsid w:val="00416A28"/>
    <w:rsid w:val="00416F81"/>
    <w:rsid w:val="00420BAF"/>
    <w:rsid w:val="00421244"/>
    <w:rsid w:val="00421FA0"/>
    <w:rsid w:val="00422023"/>
    <w:rsid w:val="0042223A"/>
    <w:rsid w:val="00422365"/>
    <w:rsid w:val="004237BD"/>
    <w:rsid w:val="00423EA6"/>
    <w:rsid w:val="004243E5"/>
    <w:rsid w:val="004249D6"/>
    <w:rsid w:val="00425259"/>
    <w:rsid w:val="0042589D"/>
    <w:rsid w:val="00425C8B"/>
    <w:rsid w:val="004268E5"/>
    <w:rsid w:val="00426B6F"/>
    <w:rsid w:val="004273F4"/>
    <w:rsid w:val="0042749D"/>
    <w:rsid w:val="004278DC"/>
    <w:rsid w:val="004305F2"/>
    <w:rsid w:val="00430A3B"/>
    <w:rsid w:val="00430DA4"/>
    <w:rsid w:val="004310D0"/>
    <w:rsid w:val="0043180E"/>
    <w:rsid w:val="004318C1"/>
    <w:rsid w:val="00431991"/>
    <w:rsid w:val="00431BF7"/>
    <w:rsid w:val="00431C60"/>
    <w:rsid w:val="00431DA0"/>
    <w:rsid w:val="00432F7B"/>
    <w:rsid w:val="004331AB"/>
    <w:rsid w:val="00433E5A"/>
    <w:rsid w:val="00433ED8"/>
    <w:rsid w:val="00434536"/>
    <w:rsid w:val="0043509D"/>
    <w:rsid w:val="00435377"/>
    <w:rsid w:val="004354CE"/>
    <w:rsid w:val="00435C72"/>
    <w:rsid w:val="00435FDA"/>
    <w:rsid w:val="004369D8"/>
    <w:rsid w:val="00436AF0"/>
    <w:rsid w:val="00437279"/>
    <w:rsid w:val="004373E1"/>
    <w:rsid w:val="00437441"/>
    <w:rsid w:val="00437A1B"/>
    <w:rsid w:val="00437DC3"/>
    <w:rsid w:val="00440BF5"/>
    <w:rsid w:val="00440C2B"/>
    <w:rsid w:val="00442990"/>
    <w:rsid w:val="004429F9"/>
    <w:rsid w:val="00442BC5"/>
    <w:rsid w:val="00442D7F"/>
    <w:rsid w:val="004433F5"/>
    <w:rsid w:val="00443464"/>
    <w:rsid w:val="004435CD"/>
    <w:rsid w:val="004436BA"/>
    <w:rsid w:val="004438E6"/>
    <w:rsid w:val="00443BB7"/>
    <w:rsid w:val="00443C21"/>
    <w:rsid w:val="00444025"/>
    <w:rsid w:val="0044437D"/>
    <w:rsid w:val="00444BC1"/>
    <w:rsid w:val="004454C3"/>
    <w:rsid w:val="00445A0B"/>
    <w:rsid w:val="00446D02"/>
    <w:rsid w:val="00447B99"/>
    <w:rsid w:val="00447F88"/>
    <w:rsid w:val="004505C0"/>
    <w:rsid w:val="0045062E"/>
    <w:rsid w:val="00450957"/>
    <w:rsid w:val="00450EE0"/>
    <w:rsid w:val="00451743"/>
    <w:rsid w:val="004521DB"/>
    <w:rsid w:val="00452493"/>
    <w:rsid w:val="00452B19"/>
    <w:rsid w:val="00453065"/>
    <w:rsid w:val="004535A3"/>
    <w:rsid w:val="00453620"/>
    <w:rsid w:val="00454350"/>
    <w:rsid w:val="00455928"/>
    <w:rsid w:val="00455CE8"/>
    <w:rsid w:val="0045704D"/>
    <w:rsid w:val="0045759F"/>
    <w:rsid w:val="00457B22"/>
    <w:rsid w:val="00457F6C"/>
    <w:rsid w:val="00460D6D"/>
    <w:rsid w:val="0046124D"/>
    <w:rsid w:val="00461E4D"/>
    <w:rsid w:val="00462375"/>
    <w:rsid w:val="0046259F"/>
    <w:rsid w:val="00462C2C"/>
    <w:rsid w:val="004633FB"/>
    <w:rsid w:val="00463448"/>
    <w:rsid w:val="00463759"/>
    <w:rsid w:val="004637FB"/>
    <w:rsid w:val="0046404A"/>
    <w:rsid w:val="0046502B"/>
    <w:rsid w:val="0046507C"/>
    <w:rsid w:val="004650CC"/>
    <w:rsid w:val="00465323"/>
    <w:rsid w:val="0046549F"/>
    <w:rsid w:val="00465799"/>
    <w:rsid w:val="00466C66"/>
    <w:rsid w:val="00466D06"/>
    <w:rsid w:val="00467A04"/>
    <w:rsid w:val="00470AB9"/>
    <w:rsid w:val="00470AD1"/>
    <w:rsid w:val="0047161A"/>
    <w:rsid w:val="00471B2D"/>
    <w:rsid w:val="00471DE4"/>
    <w:rsid w:val="00471EB4"/>
    <w:rsid w:val="00472259"/>
    <w:rsid w:val="004730E9"/>
    <w:rsid w:val="00473F3A"/>
    <w:rsid w:val="00473F70"/>
    <w:rsid w:val="00474CB0"/>
    <w:rsid w:val="00474E0F"/>
    <w:rsid w:val="004750AD"/>
    <w:rsid w:val="0047560F"/>
    <w:rsid w:val="00475629"/>
    <w:rsid w:val="00475F9F"/>
    <w:rsid w:val="00475FAA"/>
    <w:rsid w:val="00476326"/>
    <w:rsid w:val="004768F9"/>
    <w:rsid w:val="00477F38"/>
    <w:rsid w:val="0048066E"/>
    <w:rsid w:val="00480769"/>
    <w:rsid w:val="0048141D"/>
    <w:rsid w:val="00481C04"/>
    <w:rsid w:val="00481E03"/>
    <w:rsid w:val="0048202D"/>
    <w:rsid w:val="0048224E"/>
    <w:rsid w:val="00482280"/>
    <w:rsid w:val="0048273F"/>
    <w:rsid w:val="00484127"/>
    <w:rsid w:val="0048443D"/>
    <w:rsid w:val="00484646"/>
    <w:rsid w:val="004846E2"/>
    <w:rsid w:val="0048477B"/>
    <w:rsid w:val="004855FD"/>
    <w:rsid w:val="00486C10"/>
    <w:rsid w:val="00487695"/>
    <w:rsid w:val="00491A14"/>
    <w:rsid w:val="00491B75"/>
    <w:rsid w:val="0049204C"/>
    <w:rsid w:val="00493A5B"/>
    <w:rsid w:val="00493D90"/>
    <w:rsid w:val="00494A57"/>
    <w:rsid w:val="00494FF2"/>
    <w:rsid w:val="004953B6"/>
    <w:rsid w:val="004955CA"/>
    <w:rsid w:val="0049754C"/>
    <w:rsid w:val="004978FB"/>
    <w:rsid w:val="0049794D"/>
    <w:rsid w:val="004A119C"/>
    <w:rsid w:val="004A2266"/>
    <w:rsid w:val="004A2ABB"/>
    <w:rsid w:val="004A304A"/>
    <w:rsid w:val="004A3306"/>
    <w:rsid w:val="004A347E"/>
    <w:rsid w:val="004A3DBD"/>
    <w:rsid w:val="004A42AD"/>
    <w:rsid w:val="004A42F7"/>
    <w:rsid w:val="004A4A38"/>
    <w:rsid w:val="004A4F8F"/>
    <w:rsid w:val="004A5393"/>
    <w:rsid w:val="004A59C8"/>
    <w:rsid w:val="004A62ED"/>
    <w:rsid w:val="004A657F"/>
    <w:rsid w:val="004A7426"/>
    <w:rsid w:val="004A7568"/>
    <w:rsid w:val="004A764D"/>
    <w:rsid w:val="004A76B9"/>
    <w:rsid w:val="004A7834"/>
    <w:rsid w:val="004B01DA"/>
    <w:rsid w:val="004B0D1D"/>
    <w:rsid w:val="004B0FC5"/>
    <w:rsid w:val="004B1241"/>
    <w:rsid w:val="004B2D47"/>
    <w:rsid w:val="004B3080"/>
    <w:rsid w:val="004B3DDD"/>
    <w:rsid w:val="004B442F"/>
    <w:rsid w:val="004B4A73"/>
    <w:rsid w:val="004B5318"/>
    <w:rsid w:val="004B532D"/>
    <w:rsid w:val="004B59C1"/>
    <w:rsid w:val="004B5C93"/>
    <w:rsid w:val="004B60D8"/>
    <w:rsid w:val="004B60F8"/>
    <w:rsid w:val="004B6214"/>
    <w:rsid w:val="004B6502"/>
    <w:rsid w:val="004B6822"/>
    <w:rsid w:val="004B6C50"/>
    <w:rsid w:val="004B7107"/>
    <w:rsid w:val="004B79FE"/>
    <w:rsid w:val="004C0064"/>
    <w:rsid w:val="004C02C5"/>
    <w:rsid w:val="004C14B4"/>
    <w:rsid w:val="004C1636"/>
    <w:rsid w:val="004C17B5"/>
    <w:rsid w:val="004C2104"/>
    <w:rsid w:val="004C26A9"/>
    <w:rsid w:val="004C2776"/>
    <w:rsid w:val="004C31E1"/>
    <w:rsid w:val="004C33A3"/>
    <w:rsid w:val="004C37BC"/>
    <w:rsid w:val="004C38A5"/>
    <w:rsid w:val="004C3940"/>
    <w:rsid w:val="004C54FA"/>
    <w:rsid w:val="004C5EB0"/>
    <w:rsid w:val="004C6885"/>
    <w:rsid w:val="004D00ED"/>
    <w:rsid w:val="004D04E0"/>
    <w:rsid w:val="004D07C8"/>
    <w:rsid w:val="004D0B2C"/>
    <w:rsid w:val="004D0CBB"/>
    <w:rsid w:val="004D0FEC"/>
    <w:rsid w:val="004D13CC"/>
    <w:rsid w:val="004D16FC"/>
    <w:rsid w:val="004D234A"/>
    <w:rsid w:val="004D3768"/>
    <w:rsid w:val="004D3A4B"/>
    <w:rsid w:val="004D3B7D"/>
    <w:rsid w:val="004D454D"/>
    <w:rsid w:val="004D4792"/>
    <w:rsid w:val="004D4CA2"/>
    <w:rsid w:val="004D4FDF"/>
    <w:rsid w:val="004D504F"/>
    <w:rsid w:val="004D5568"/>
    <w:rsid w:val="004D5FE7"/>
    <w:rsid w:val="004D648A"/>
    <w:rsid w:val="004D6DFE"/>
    <w:rsid w:val="004D6FBD"/>
    <w:rsid w:val="004D710A"/>
    <w:rsid w:val="004D71B6"/>
    <w:rsid w:val="004D790B"/>
    <w:rsid w:val="004D7B39"/>
    <w:rsid w:val="004D7CE9"/>
    <w:rsid w:val="004D7DC1"/>
    <w:rsid w:val="004E02D5"/>
    <w:rsid w:val="004E1141"/>
    <w:rsid w:val="004E1236"/>
    <w:rsid w:val="004E171F"/>
    <w:rsid w:val="004E208F"/>
    <w:rsid w:val="004E2350"/>
    <w:rsid w:val="004E2B9E"/>
    <w:rsid w:val="004E2E5F"/>
    <w:rsid w:val="004E3727"/>
    <w:rsid w:val="004E4CFF"/>
    <w:rsid w:val="004E4F69"/>
    <w:rsid w:val="004E570F"/>
    <w:rsid w:val="004E5862"/>
    <w:rsid w:val="004E591D"/>
    <w:rsid w:val="004E6332"/>
    <w:rsid w:val="004F1933"/>
    <w:rsid w:val="004F1B50"/>
    <w:rsid w:val="004F2728"/>
    <w:rsid w:val="004F3079"/>
    <w:rsid w:val="004F32D4"/>
    <w:rsid w:val="004F3648"/>
    <w:rsid w:val="004F38F3"/>
    <w:rsid w:val="004F4DE5"/>
    <w:rsid w:val="004F4E4A"/>
    <w:rsid w:val="004F4F20"/>
    <w:rsid w:val="004F50D6"/>
    <w:rsid w:val="004F5392"/>
    <w:rsid w:val="004F57CF"/>
    <w:rsid w:val="004F5C19"/>
    <w:rsid w:val="004F61B0"/>
    <w:rsid w:val="004F6296"/>
    <w:rsid w:val="004F696D"/>
    <w:rsid w:val="004F72D1"/>
    <w:rsid w:val="004F7C1D"/>
    <w:rsid w:val="004F7DA5"/>
    <w:rsid w:val="004F7E62"/>
    <w:rsid w:val="00500612"/>
    <w:rsid w:val="00500C4A"/>
    <w:rsid w:val="00501030"/>
    <w:rsid w:val="00501851"/>
    <w:rsid w:val="0050207C"/>
    <w:rsid w:val="00502B6D"/>
    <w:rsid w:val="00502C60"/>
    <w:rsid w:val="00502DF2"/>
    <w:rsid w:val="00503E65"/>
    <w:rsid w:val="00504104"/>
    <w:rsid w:val="00504290"/>
    <w:rsid w:val="0050431A"/>
    <w:rsid w:val="00504A74"/>
    <w:rsid w:val="00504DB4"/>
    <w:rsid w:val="005050EE"/>
    <w:rsid w:val="00505437"/>
    <w:rsid w:val="00505B41"/>
    <w:rsid w:val="0050699D"/>
    <w:rsid w:val="00506BE3"/>
    <w:rsid w:val="00507098"/>
    <w:rsid w:val="00507F60"/>
    <w:rsid w:val="00511E9A"/>
    <w:rsid w:val="00511EAD"/>
    <w:rsid w:val="0051214A"/>
    <w:rsid w:val="005122F2"/>
    <w:rsid w:val="005123C5"/>
    <w:rsid w:val="00512F04"/>
    <w:rsid w:val="005130ED"/>
    <w:rsid w:val="00513634"/>
    <w:rsid w:val="00513E73"/>
    <w:rsid w:val="0051405C"/>
    <w:rsid w:val="005140CE"/>
    <w:rsid w:val="00514F26"/>
    <w:rsid w:val="005153A6"/>
    <w:rsid w:val="005154C8"/>
    <w:rsid w:val="00515B24"/>
    <w:rsid w:val="00515D23"/>
    <w:rsid w:val="00515F7B"/>
    <w:rsid w:val="00516BF6"/>
    <w:rsid w:val="00517182"/>
    <w:rsid w:val="0051767B"/>
    <w:rsid w:val="005200E3"/>
    <w:rsid w:val="005204EF"/>
    <w:rsid w:val="00520721"/>
    <w:rsid w:val="00520A0E"/>
    <w:rsid w:val="00520E38"/>
    <w:rsid w:val="0052138C"/>
    <w:rsid w:val="00521616"/>
    <w:rsid w:val="00521775"/>
    <w:rsid w:val="00521B7D"/>
    <w:rsid w:val="00521DFC"/>
    <w:rsid w:val="00521EF8"/>
    <w:rsid w:val="0052236A"/>
    <w:rsid w:val="00522561"/>
    <w:rsid w:val="00522937"/>
    <w:rsid w:val="00523668"/>
    <w:rsid w:val="00523DEF"/>
    <w:rsid w:val="00523F6E"/>
    <w:rsid w:val="0052445E"/>
    <w:rsid w:val="00524848"/>
    <w:rsid w:val="005248C2"/>
    <w:rsid w:val="00524F8F"/>
    <w:rsid w:val="005260CA"/>
    <w:rsid w:val="00526237"/>
    <w:rsid w:val="00526641"/>
    <w:rsid w:val="00526A73"/>
    <w:rsid w:val="00527877"/>
    <w:rsid w:val="0053021A"/>
    <w:rsid w:val="00530912"/>
    <w:rsid w:val="005313C9"/>
    <w:rsid w:val="00532391"/>
    <w:rsid w:val="00532D46"/>
    <w:rsid w:val="005334AE"/>
    <w:rsid w:val="0053362F"/>
    <w:rsid w:val="00533802"/>
    <w:rsid w:val="00533D4D"/>
    <w:rsid w:val="0053423B"/>
    <w:rsid w:val="005348A9"/>
    <w:rsid w:val="00534C4E"/>
    <w:rsid w:val="00535A29"/>
    <w:rsid w:val="00535AB5"/>
    <w:rsid w:val="00535FF9"/>
    <w:rsid w:val="0053615B"/>
    <w:rsid w:val="00536BB1"/>
    <w:rsid w:val="00536F6B"/>
    <w:rsid w:val="00537B19"/>
    <w:rsid w:val="00537C23"/>
    <w:rsid w:val="00540043"/>
    <w:rsid w:val="005403A6"/>
    <w:rsid w:val="005406A4"/>
    <w:rsid w:val="00541793"/>
    <w:rsid w:val="005419DB"/>
    <w:rsid w:val="00542193"/>
    <w:rsid w:val="005427CA"/>
    <w:rsid w:val="00542936"/>
    <w:rsid w:val="00542A30"/>
    <w:rsid w:val="00542D35"/>
    <w:rsid w:val="0054311E"/>
    <w:rsid w:val="005439E9"/>
    <w:rsid w:val="00543A4C"/>
    <w:rsid w:val="00543D4E"/>
    <w:rsid w:val="005448A9"/>
    <w:rsid w:val="00544D05"/>
    <w:rsid w:val="005457A8"/>
    <w:rsid w:val="005457BF"/>
    <w:rsid w:val="00545AC9"/>
    <w:rsid w:val="00545AFD"/>
    <w:rsid w:val="00545B0A"/>
    <w:rsid w:val="00545FA0"/>
    <w:rsid w:val="00546F0B"/>
    <w:rsid w:val="00547436"/>
    <w:rsid w:val="0054772D"/>
    <w:rsid w:val="0055008C"/>
    <w:rsid w:val="005503CD"/>
    <w:rsid w:val="00550DAD"/>
    <w:rsid w:val="005512B0"/>
    <w:rsid w:val="00552242"/>
    <w:rsid w:val="00553561"/>
    <w:rsid w:val="00554398"/>
    <w:rsid w:val="005543AA"/>
    <w:rsid w:val="005555BA"/>
    <w:rsid w:val="005560D5"/>
    <w:rsid w:val="005569C5"/>
    <w:rsid w:val="00556EA9"/>
    <w:rsid w:val="00556FC7"/>
    <w:rsid w:val="0055733A"/>
    <w:rsid w:val="00557993"/>
    <w:rsid w:val="00557BD7"/>
    <w:rsid w:val="00557D53"/>
    <w:rsid w:val="00560774"/>
    <w:rsid w:val="00560C39"/>
    <w:rsid w:val="0056119B"/>
    <w:rsid w:val="005614DC"/>
    <w:rsid w:val="0056259B"/>
    <w:rsid w:val="005626D9"/>
    <w:rsid w:val="005631B1"/>
    <w:rsid w:val="0056387F"/>
    <w:rsid w:val="00563AC9"/>
    <w:rsid w:val="00563D32"/>
    <w:rsid w:val="00564C41"/>
    <w:rsid w:val="00565DE7"/>
    <w:rsid w:val="00567A8B"/>
    <w:rsid w:val="005704EA"/>
    <w:rsid w:val="005706D9"/>
    <w:rsid w:val="00571052"/>
    <w:rsid w:val="005721AA"/>
    <w:rsid w:val="005722C4"/>
    <w:rsid w:val="005731CF"/>
    <w:rsid w:val="00573F27"/>
    <w:rsid w:val="00574032"/>
    <w:rsid w:val="005745F3"/>
    <w:rsid w:val="005748BE"/>
    <w:rsid w:val="00574AA5"/>
    <w:rsid w:val="0057520B"/>
    <w:rsid w:val="00575324"/>
    <w:rsid w:val="00576203"/>
    <w:rsid w:val="00576C40"/>
    <w:rsid w:val="00576EDF"/>
    <w:rsid w:val="00577996"/>
    <w:rsid w:val="00577D8A"/>
    <w:rsid w:val="00580594"/>
    <w:rsid w:val="005810A6"/>
    <w:rsid w:val="00581327"/>
    <w:rsid w:val="005819A7"/>
    <w:rsid w:val="00581CA3"/>
    <w:rsid w:val="00582880"/>
    <w:rsid w:val="005828B2"/>
    <w:rsid w:val="005832EC"/>
    <w:rsid w:val="005834BB"/>
    <w:rsid w:val="00583952"/>
    <w:rsid w:val="00583AA3"/>
    <w:rsid w:val="005842AE"/>
    <w:rsid w:val="00584301"/>
    <w:rsid w:val="0058437B"/>
    <w:rsid w:val="005844ED"/>
    <w:rsid w:val="0058490D"/>
    <w:rsid w:val="00585094"/>
    <w:rsid w:val="00586477"/>
    <w:rsid w:val="005867EA"/>
    <w:rsid w:val="00586A93"/>
    <w:rsid w:val="00586A9F"/>
    <w:rsid w:val="00586F2A"/>
    <w:rsid w:val="00586F5E"/>
    <w:rsid w:val="005877FC"/>
    <w:rsid w:val="00587934"/>
    <w:rsid w:val="00587BFC"/>
    <w:rsid w:val="00590015"/>
    <w:rsid w:val="00590234"/>
    <w:rsid w:val="00591408"/>
    <w:rsid w:val="00591A98"/>
    <w:rsid w:val="00593326"/>
    <w:rsid w:val="00593DBB"/>
    <w:rsid w:val="00593FC9"/>
    <w:rsid w:val="00594B44"/>
    <w:rsid w:val="00594CA3"/>
    <w:rsid w:val="00594F20"/>
    <w:rsid w:val="00595D82"/>
    <w:rsid w:val="00595E84"/>
    <w:rsid w:val="00595F4E"/>
    <w:rsid w:val="00596073"/>
    <w:rsid w:val="00597076"/>
    <w:rsid w:val="00597140"/>
    <w:rsid w:val="00597533"/>
    <w:rsid w:val="00597E47"/>
    <w:rsid w:val="005A0667"/>
    <w:rsid w:val="005A0844"/>
    <w:rsid w:val="005A0A8D"/>
    <w:rsid w:val="005A1274"/>
    <w:rsid w:val="005A1890"/>
    <w:rsid w:val="005A1B5F"/>
    <w:rsid w:val="005A2786"/>
    <w:rsid w:val="005A2DE2"/>
    <w:rsid w:val="005A31A6"/>
    <w:rsid w:val="005A4391"/>
    <w:rsid w:val="005A450C"/>
    <w:rsid w:val="005A4A0B"/>
    <w:rsid w:val="005A4D91"/>
    <w:rsid w:val="005A56DF"/>
    <w:rsid w:val="005A5803"/>
    <w:rsid w:val="005A5CFE"/>
    <w:rsid w:val="005A61DD"/>
    <w:rsid w:val="005A6A8B"/>
    <w:rsid w:val="005A7187"/>
    <w:rsid w:val="005A795A"/>
    <w:rsid w:val="005A7C4A"/>
    <w:rsid w:val="005B03D9"/>
    <w:rsid w:val="005B0D14"/>
    <w:rsid w:val="005B11E0"/>
    <w:rsid w:val="005B1240"/>
    <w:rsid w:val="005B1A13"/>
    <w:rsid w:val="005B2090"/>
    <w:rsid w:val="005B2583"/>
    <w:rsid w:val="005B3474"/>
    <w:rsid w:val="005B40AF"/>
    <w:rsid w:val="005B434F"/>
    <w:rsid w:val="005B469B"/>
    <w:rsid w:val="005B4AF7"/>
    <w:rsid w:val="005B4DBA"/>
    <w:rsid w:val="005B535D"/>
    <w:rsid w:val="005B576B"/>
    <w:rsid w:val="005B5962"/>
    <w:rsid w:val="005B5FCD"/>
    <w:rsid w:val="005B60D2"/>
    <w:rsid w:val="005B63AD"/>
    <w:rsid w:val="005B64D7"/>
    <w:rsid w:val="005B657C"/>
    <w:rsid w:val="005B68DF"/>
    <w:rsid w:val="005B696F"/>
    <w:rsid w:val="005B713C"/>
    <w:rsid w:val="005B7A0B"/>
    <w:rsid w:val="005C05B1"/>
    <w:rsid w:val="005C068F"/>
    <w:rsid w:val="005C095D"/>
    <w:rsid w:val="005C1709"/>
    <w:rsid w:val="005C1A63"/>
    <w:rsid w:val="005C1D6D"/>
    <w:rsid w:val="005C3312"/>
    <w:rsid w:val="005C39F5"/>
    <w:rsid w:val="005C3C26"/>
    <w:rsid w:val="005C3D63"/>
    <w:rsid w:val="005C3E25"/>
    <w:rsid w:val="005C4497"/>
    <w:rsid w:val="005C470F"/>
    <w:rsid w:val="005C4A39"/>
    <w:rsid w:val="005C5264"/>
    <w:rsid w:val="005C5A19"/>
    <w:rsid w:val="005C5C8E"/>
    <w:rsid w:val="005C5D96"/>
    <w:rsid w:val="005C6809"/>
    <w:rsid w:val="005C6A20"/>
    <w:rsid w:val="005C6B8F"/>
    <w:rsid w:val="005D08AB"/>
    <w:rsid w:val="005D0B8E"/>
    <w:rsid w:val="005D0C0F"/>
    <w:rsid w:val="005D0F28"/>
    <w:rsid w:val="005D1435"/>
    <w:rsid w:val="005D1465"/>
    <w:rsid w:val="005D18B5"/>
    <w:rsid w:val="005D18C1"/>
    <w:rsid w:val="005D1944"/>
    <w:rsid w:val="005D1B7A"/>
    <w:rsid w:val="005D25BE"/>
    <w:rsid w:val="005D272C"/>
    <w:rsid w:val="005D3ACF"/>
    <w:rsid w:val="005D3ED3"/>
    <w:rsid w:val="005D3F86"/>
    <w:rsid w:val="005D4040"/>
    <w:rsid w:val="005D5D9A"/>
    <w:rsid w:val="005D5DFE"/>
    <w:rsid w:val="005D675C"/>
    <w:rsid w:val="005D6C5D"/>
    <w:rsid w:val="005D74A9"/>
    <w:rsid w:val="005D78B2"/>
    <w:rsid w:val="005D7CAB"/>
    <w:rsid w:val="005D7CBC"/>
    <w:rsid w:val="005E0590"/>
    <w:rsid w:val="005E05C5"/>
    <w:rsid w:val="005E093E"/>
    <w:rsid w:val="005E0BEC"/>
    <w:rsid w:val="005E0C72"/>
    <w:rsid w:val="005E102E"/>
    <w:rsid w:val="005E10F2"/>
    <w:rsid w:val="005E17AE"/>
    <w:rsid w:val="005E1992"/>
    <w:rsid w:val="005E2297"/>
    <w:rsid w:val="005E2724"/>
    <w:rsid w:val="005E3108"/>
    <w:rsid w:val="005E385E"/>
    <w:rsid w:val="005E39BC"/>
    <w:rsid w:val="005E3A64"/>
    <w:rsid w:val="005E4087"/>
    <w:rsid w:val="005E4D60"/>
    <w:rsid w:val="005E4E02"/>
    <w:rsid w:val="005E4F72"/>
    <w:rsid w:val="005E4F85"/>
    <w:rsid w:val="005E50FF"/>
    <w:rsid w:val="005E5BA8"/>
    <w:rsid w:val="005E6067"/>
    <w:rsid w:val="005E631C"/>
    <w:rsid w:val="005E6B3A"/>
    <w:rsid w:val="005E6DAC"/>
    <w:rsid w:val="005E73DB"/>
    <w:rsid w:val="005F0A73"/>
    <w:rsid w:val="005F1536"/>
    <w:rsid w:val="005F15F6"/>
    <w:rsid w:val="005F178E"/>
    <w:rsid w:val="005F1C64"/>
    <w:rsid w:val="005F1EA1"/>
    <w:rsid w:val="005F2517"/>
    <w:rsid w:val="005F31C4"/>
    <w:rsid w:val="005F33D0"/>
    <w:rsid w:val="005F3BD2"/>
    <w:rsid w:val="005F4184"/>
    <w:rsid w:val="005F4348"/>
    <w:rsid w:val="005F4C97"/>
    <w:rsid w:val="005F51B5"/>
    <w:rsid w:val="005F63E5"/>
    <w:rsid w:val="005F7211"/>
    <w:rsid w:val="005F7D0B"/>
    <w:rsid w:val="005F7F29"/>
    <w:rsid w:val="005F7FEB"/>
    <w:rsid w:val="00600680"/>
    <w:rsid w:val="00600755"/>
    <w:rsid w:val="006019DA"/>
    <w:rsid w:val="00602654"/>
    <w:rsid w:val="00602703"/>
    <w:rsid w:val="0060305F"/>
    <w:rsid w:val="006030D2"/>
    <w:rsid w:val="006033B7"/>
    <w:rsid w:val="006037A7"/>
    <w:rsid w:val="0060392A"/>
    <w:rsid w:val="006039EA"/>
    <w:rsid w:val="00603AFF"/>
    <w:rsid w:val="0060404B"/>
    <w:rsid w:val="00604361"/>
    <w:rsid w:val="0060521A"/>
    <w:rsid w:val="00605CF0"/>
    <w:rsid w:val="00605DB0"/>
    <w:rsid w:val="0060706B"/>
    <w:rsid w:val="00607CDE"/>
    <w:rsid w:val="00607E4E"/>
    <w:rsid w:val="00610F12"/>
    <w:rsid w:val="0061179E"/>
    <w:rsid w:val="00611E10"/>
    <w:rsid w:val="00612408"/>
    <w:rsid w:val="00612944"/>
    <w:rsid w:val="00612BB6"/>
    <w:rsid w:val="00613B19"/>
    <w:rsid w:val="0061616E"/>
    <w:rsid w:val="00616764"/>
    <w:rsid w:val="00616993"/>
    <w:rsid w:val="00616B02"/>
    <w:rsid w:val="0061732C"/>
    <w:rsid w:val="00617556"/>
    <w:rsid w:val="00617A76"/>
    <w:rsid w:val="00617DF3"/>
    <w:rsid w:val="00620A27"/>
    <w:rsid w:val="006213C6"/>
    <w:rsid w:val="006214C5"/>
    <w:rsid w:val="00621DDE"/>
    <w:rsid w:val="00621F9F"/>
    <w:rsid w:val="00621FEF"/>
    <w:rsid w:val="00622270"/>
    <w:rsid w:val="00622591"/>
    <w:rsid w:val="00622E53"/>
    <w:rsid w:val="00622F80"/>
    <w:rsid w:val="00625107"/>
    <w:rsid w:val="0062672D"/>
    <w:rsid w:val="00626935"/>
    <w:rsid w:val="00626CEE"/>
    <w:rsid w:val="0063014B"/>
    <w:rsid w:val="00630B99"/>
    <w:rsid w:val="00631525"/>
    <w:rsid w:val="00631A79"/>
    <w:rsid w:val="00631EA0"/>
    <w:rsid w:val="0063222A"/>
    <w:rsid w:val="00632CBA"/>
    <w:rsid w:val="0063389A"/>
    <w:rsid w:val="00633DE8"/>
    <w:rsid w:val="00634119"/>
    <w:rsid w:val="00634231"/>
    <w:rsid w:val="00634ED2"/>
    <w:rsid w:val="006356E9"/>
    <w:rsid w:val="00635CE3"/>
    <w:rsid w:val="00636A9A"/>
    <w:rsid w:val="00636B29"/>
    <w:rsid w:val="00636C5C"/>
    <w:rsid w:val="006375DF"/>
    <w:rsid w:val="00637F02"/>
    <w:rsid w:val="006400F8"/>
    <w:rsid w:val="006406F3"/>
    <w:rsid w:val="00640B09"/>
    <w:rsid w:val="0064100A"/>
    <w:rsid w:val="00641082"/>
    <w:rsid w:val="00641735"/>
    <w:rsid w:val="006418B0"/>
    <w:rsid w:val="0064191D"/>
    <w:rsid w:val="00641A42"/>
    <w:rsid w:val="00641AED"/>
    <w:rsid w:val="00643090"/>
    <w:rsid w:val="00643399"/>
    <w:rsid w:val="006435B8"/>
    <w:rsid w:val="00643734"/>
    <w:rsid w:val="00643C68"/>
    <w:rsid w:val="00644804"/>
    <w:rsid w:val="0064496A"/>
    <w:rsid w:val="00644A04"/>
    <w:rsid w:val="00645294"/>
    <w:rsid w:val="006453AD"/>
    <w:rsid w:val="006453D5"/>
    <w:rsid w:val="00645915"/>
    <w:rsid w:val="00645DCF"/>
    <w:rsid w:val="00645FC2"/>
    <w:rsid w:val="00646193"/>
    <w:rsid w:val="006465AD"/>
    <w:rsid w:val="00646699"/>
    <w:rsid w:val="00646EDF"/>
    <w:rsid w:val="006472C7"/>
    <w:rsid w:val="00647EBD"/>
    <w:rsid w:val="006505F0"/>
    <w:rsid w:val="00650678"/>
    <w:rsid w:val="006511D8"/>
    <w:rsid w:val="0065149A"/>
    <w:rsid w:val="006526F9"/>
    <w:rsid w:val="006533FC"/>
    <w:rsid w:val="00653508"/>
    <w:rsid w:val="006549A9"/>
    <w:rsid w:val="00654A9E"/>
    <w:rsid w:val="006555CD"/>
    <w:rsid w:val="0065578E"/>
    <w:rsid w:val="00655C28"/>
    <w:rsid w:val="00655DFE"/>
    <w:rsid w:val="00656BF1"/>
    <w:rsid w:val="00656F43"/>
    <w:rsid w:val="00657122"/>
    <w:rsid w:val="0065717C"/>
    <w:rsid w:val="006575E5"/>
    <w:rsid w:val="00657605"/>
    <w:rsid w:val="0066024D"/>
    <w:rsid w:val="00660EAC"/>
    <w:rsid w:val="00661890"/>
    <w:rsid w:val="006619D4"/>
    <w:rsid w:val="00662646"/>
    <w:rsid w:val="006629B3"/>
    <w:rsid w:val="00662C87"/>
    <w:rsid w:val="006638ED"/>
    <w:rsid w:val="00664C26"/>
    <w:rsid w:val="006650C5"/>
    <w:rsid w:val="00665445"/>
    <w:rsid w:val="00665560"/>
    <w:rsid w:val="00665BD7"/>
    <w:rsid w:val="00665DEC"/>
    <w:rsid w:val="0066618B"/>
    <w:rsid w:val="00666C48"/>
    <w:rsid w:val="00667484"/>
    <w:rsid w:val="00667684"/>
    <w:rsid w:val="00670701"/>
    <w:rsid w:val="00670DEC"/>
    <w:rsid w:val="006712F6"/>
    <w:rsid w:val="006718B9"/>
    <w:rsid w:val="0067214C"/>
    <w:rsid w:val="006746E9"/>
    <w:rsid w:val="0067484D"/>
    <w:rsid w:val="00674BEC"/>
    <w:rsid w:val="00674E83"/>
    <w:rsid w:val="006758C6"/>
    <w:rsid w:val="006759FF"/>
    <w:rsid w:val="006766FC"/>
    <w:rsid w:val="006773D2"/>
    <w:rsid w:val="00677725"/>
    <w:rsid w:val="00681A05"/>
    <w:rsid w:val="00681EA4"/>
    <w:rsid w:val="00681EEE"/>
    <w:rsid w:val="0068285B"/>
    <w:rsid w:val="00682F64"/>
    <w:rsid w:val="006837F5"/>
    <w:rsid w:val="0068399F"/>
    <w:rsid w:val="00683DE5"/>
    <w:rsid w:val="006852D9"/>
    <w:rsid w:val="006855B4"/>
    <w:rsid w:val="006856B7"/>
    <w:rsid w:val="00686043"/>
    <w:rsid w:val="00686195"/>
    <w:rsid w:val="00686378"/>
    <w:rsid w:val="0068741A"/>
    <w:rsid w:val="00687C82"/>
    <w:rsid w:val="00687EA1"/>
    <w:rsid w:val="00690B87"/>
    <w:rsid w:val="006915AE"/>
    <w:rsid w:val="00692F37"/>
    <w:rsid w:val="006942E5"/>
    <w:rsid w:val="006944C7"/>
    <w:rsid w:val="0069478B"/>
    <w:rsid w:val="00695CC7"/>
    <w:rsid w:val="00696423"/>
    <w:rsid w:val="0069677B"/>
    <w:rsid w:val="00696858"/>
    <w:rsid w:val="00696DE9"/>
    <w:rsid w:val="006974B4"/>
    <w:rsid w:val="006979FD"/>
    <w:rsid w:val="00697F13"/>
    <w:rsid w:val="006A0269"/>
    <w:rsid w:val="006A101A"/>
    <w:rsid w:val="006A101B"/>
    <w:rsid w:val="006A15CA"/>
    <w:rsid w:val="006A25C2"/>
    <w:rsid w:val="006A263C"/>
    <w:rsid w:val="006A2FDF"/>
    <w:rsid w:val="006A3D31"/>
    <w:rsid w:val="006A3EC8"/>
    <w:rsid w:val="006A3FB5"/>
    <w:rsid w:val="006A475C"/>
    <w:rsid w:val="006A48C8"/>
    <w:rsid w:val="006A5530"/>
    <w:rsid w:val="006A57BE"/>
    <w:rsid w:val="006A589F"/>
    <w:rsid w:val="006A6C40"/>
    <w:rsid w:val="006A6DFD"/>
    <w:rsid w:val="006A71EB"/>
    <w:rsid w:val="006A7536"/>
    <w:rsid w:val="006A7A39"/>
    <w:rsid w:val="006B0801"/>
    <w:rsid w:val="006B0B56"/>
    <w:rsid w:val="006B1169"/>
    <w:rsid w:val="006B1857"/>
    <w:rsid w:val="006B1ED3"/>
    <w:rsid w:val="006B2565"/>
    <w:rsid w:val="006B2770"/>
    <w:rsid w:val="006B3167"/>
    <w:rsid w:val="006B34F2"/>
    <w:rsid w:val="006B36B5"/>
    <w:rsid w:val="006B3854"/>
    <w:rsid w:val="006B4720"/>
    <w:rsid w:val="006B48A5"/>
    <w:rsid w:val="006B5989"/>
    <w:rsid w:val="006B651C"/>
    <w:rsid w:val="006B751B"/>
    <w:rsid w:val="006B7BCE"/>
    <w:rsid w:val="006B7D86"/>
    <w:rsid w:val="006C033C"/>
    <w:rsid w:val="006C0595"/>
    <w:rsid w:val="006C067A"/>
    <w:rsid w:val="006C0E7F"/>
    <w:rsid w:val="006C15DF"/>
    <w:rsid w:val="006C18C3"/>
    <w:rsid w:val="006C2380"/>
    <w:rsid w:val="006C25BB"/>
    <w:rsid w:val="006C2DF8"/>
    <w:rsid w:val="006C3157"/>
    <w:rsid w:val="006C36A2"/>
    <w:rsid w:val="006C36E4"/>
    <w:rsid w:val="006C3764"/>
    <w:rsid w:val="006C4AA0"/>
    <w:rsid w:val="006C5379"/>
    <w:rsid w:val="006C5716"/>
    <w:rsid w:val="006C5F3A"/>
    <w:rsid w:val="006C6284"/>
    <w:rsid w:val="006C655F"/>
    <w:rsid w:val="006C6E2E"/>
    <w:rsid w:val="006C71C4"/>
    <w:rsid w:val="006C74C5"/>
    <w:rsid w:val="006D0118"/>
    <w:rsid w:val="006D07FE"/>
    <w:rsid w:val="006D142B"/>
    <w:rsid w:val="006D14DB"/>
    <w:rsid w:val="006D1C44"/>
    <w:rsid w:val="006D2D62"/>
    <w:rsid w:val="006D2F86"/>
    <w:rsid w:val="006D315D"/>
    <w:rsid w:val="006D3B7D"/>
    <w:rsid w:val="006D469A"/>
    <w:rsid w:val="006D539D"/>
    <w:rsid w:val="006D5441"/>
    <w:rsid w:val="006D5CB3"/>
    <w:rsid w:val="006D5F5A"/>
    <w:rsid w:val="006D7ECF"/>
    <w:rsid w:val="006E166D"/>
    <w:rsid w:val="006E17D8"/>
    <w:rsid w:val="006E31C2"/>
    <w:rsid w:val="006E3D2D"/>
    <w:rsid w:val="006E4B43"/>
    <w:rsid w:val="006E5402"/>
    <w:rsid w:val="006E561E"/>
    <w:rsid w:val="006E56AB"/>
    <w:rsid w:val="006E6179"/>
    <w:rsid w:val="006E788B"/>
    <w:rsid w:val="006E79C2"/>
    <w:rsid w:val="006F006A"/>
    <w:rsid w:val="006F0180"/>
    <w:rsid w:val="006F059B"/>
    <w:rsid w:val="006F0952"/>
    <w:rsid w:val="006F0DC8"/>
    <w:rsid w:val="006F11AC"/>
    <w:rsid w:val="006F122B"/>
    <w:rsid w:val="006F21FF"/>
    <w:rsid w:val="006F2BE6"/>
    <w:rsid w:val="006F2CE4"/>
    <w:rsid w:val="006F408D"/>
    <w:rsid w:val="006F4898"/>
    <w:rsid w:val="006F4DC0"/>
    <w:rsid w:val="006F5762"/>
    <w:rsid w:val="006F5AA7"/>
    <w:rsid w:val="006F614F"/>
    <w:rsid w:val="006F6597"/>
    <w:rsid w:val="006F6B72"/>
    <w:rsid w:val="006F7EB0"/>
    <w:rsid w:val="006F7EB8"/>
    <w:rsid w:val="00700046"/>
    <w:rsid w:val="00700109"/>
    <w:rsid w:val="00700697"/>
    <w:rsid w:val="00701379"/>
    <w:rsid w:val="00701B91"/>
    <w:rsid w:val="00701B9B"/>
    <w:rsid w:val="00701D4A"/>
    <w:rsid w:val="00702050"/>
    <w:rsid w:val="0070243F"/>
    <w:rsid w:val="00702864"/>
    <w:rsid w:val="00702C75"/>
    <w:rsid w:val="0070317E"/>
    <w:rsid w:val="007049F0"/>
    <w:rsid w:val="00705144"/>
    <w:rsid w:val="00705301"/>
    <w:rsid w:val="00705309"/>
    <w:rsid w:val="00705C00"/>
    <w:rsid w:val="00705D20"/>
    <w:rsid w:val="00706991"/>
    <w:rsid w:val="007079F3"/>
    <w:rsid w:val="00707BB1"/>
    <w:rsid w:val="007100DE"/>
    <w:rsid w:val="007101AC"/>
    <w:rsid w:val="0071134B"/>
    <w:rsid w:val="007120D2"/>
    <w:rsid w:val="007121C4"/>
    <w:rsid w:val="007122BB"/>
    <w:rsid w:val="00712879"/>
    <w:rsid w:val="00712E5C"/>
    <w:rsid w:val="007135AD"/>
    <w:rsid w:val="00713900"/>
    <w:rsid w:val="007147B0"/>
    <w:rsid w:val="00714DB8"/>
    <w:rsid w:val="00714E28"/>
    <w:rsid w:val="007154AB"/>
    <w:rsid w:val="00716187"/>
    <w:rsid w:val="00716866"/>
    <w:rsid w:val="00716D76"/>
    <w:rsid w:val="00717419"/>
    <w:rsid w:val="00717E0D"/>
    <w:rsid w:val="00717E92"/>
    <w:rsid w:val="007202CD"/>
    <w:rsid w:val="0072056F"/>
    <w:rsid w:val="00720F8D"/>
    <w:rsid w:val="00721EDA"/>
    <w:rsid w:val="00722B13"/>
    <w:rsid w:val="00722B53"/>
    <w:rsid w:val="0072348C"/>
    <w:rsid w:val="00723CED"/>
    <w:rsid w:val="007242CA"/>
    <w:rsid w:val="007263CC"/>
    <w:rsid w:val="00726BD2"/>
    <w:rsid w:val="0072755E"/>
    <w:rsid w:val="00730173"/>
    <w:rsid w:val="00730D32"/>
    <w:rsid w:val="007310DA"/>
    <w:rsid w:val="00731B3D"/>
    <w:rsid w:val="0073244D"/>
    <w:rsid w:val="00732618"/>
    <w:rsid w:val="007328A7"/>
    <w:rsid w:val="007334A6"/>
    <w:rsid w:val="0073387E"/>
    <w:rsid w:val="00733E98"/>
    <w:rsid w:val="0073428B"/>
    <w:rsid w:val="007346A6"/>
    <w:rsid w:val="0073488E"/>
    <w:rsid w:val="00734AD8"/>
    <w:rsid w:val="00734C57"/>
    <w:rsid w:val="00734E17"/>
    <w:rsid w:val="00734E51"/>
    <w:rsid w:val="00735217"/>
    <w:rsid w:val="00735975"/>
    <w:rsid w:val="00735CD5"/>
    <w:rsid w:val="00736321"/>
    <w:rsid w:val="00736B15"/>
    <w:rsid w:val="00736E8E"/>
    <w:rsid w:val="00737059"/>
    <w:rsid w:val="00737647"/>
    <w:rsid w:val="0074072F"/>
    <w:rsid w:val="007407EB"/>
    <w:rsid w:val="00740952"/>
    <w:rsid w:val="0074119D"/>
    <w:rsid w:val="007425B7"/>
    <w:rsid w:val="007428FD"/>
    <w:rsid w:val="00743686"/>
    <w:rsid w:val="007439B2"/>
    <w:rsid w:val="00743D0C"/>
    <w:rsid w:val="0074414D"/>
    <w:rsid w:val="00744809"/>
    <w:rsid w:val="00744CAE"/>
    <w:rsid w:val="00745E94"/>
    <w:rsid w:val="007463C0"/>
    <w:rsid w:val="007468E1"/>
    <w:rsid w:val="007470B0"/>
    <w:rsid w:val="007471D3"/>
    <w:rsid w:val="00747688"/>
    <w:rsid w:val="00747A1E"/>
    <w:rsid w:val="00750449"/>
    <w:rsid w:val="00751312"/>
    <w:rsid w:val="00751A7B"/>
    <w:rsid w:val="007522DF"/>
    <w:rsid w:val="0075246D"/>
    <w:rsid w:val="0075255B"/>
    <w:rsid w:val="00752C47"/>
    <w:rsid w:val="00752D0B"/>
    <w:rsid w:val="007530A8"/>
    <w:rsid w:val="00753127"/>
    <w:rsid w:val="00753261"/>
    <w:rsid w:val="007533CB"/>
    <w:rsid w:val="00753CD2"/>
    <w:rsid w:val="00753ECF"/>
    <w:rsid w:val="007548EA"/>
    <w:rsid w:val="00754DB8"/>
    <w:rsid w:val="00754EE6"/>
    <w:rsid w:val="0075526A"/>
    <w:rsid w:val="00755396"/>
    <w:rsid w:val="00755582"/>
    <w:rsid w:val="007556C5"/>
    <w:rsid w:val="007569DB"/>
    <w:rsid w:val="007574D6"/>
    <w:rsid w:val="00757E7E"/>
    <w:rsid w:val="00760A57"/>
    <w:rsid w:val="00761967"/>
    <w:rsid w:val="0076214B"/>
    <w:rsid w:val="0076233B"/>
    <w:rsid w:val="00762380"/>
    <w:rsid w:val="0076258C"/>
    <w:rsid w:val="00762666"/>
    <w:rsid w:val="00763042"/>
    <w:rsid w:val="00763521"/>
    <w:rsid w:val="0076393F"/>
    <w:rsid w:val="00763D8B"/>
    <w:rsid w:val="00763E42"/>
    <w:rsid w:val="00764723"/>
    <w:rsid w:val="00764B5C"/>
    <w:rsid w:val="00764E41"/>
    <w:rsid w:val="00764F5E"/>
    <w:rsid w:val="00765164"/>
    <w:rsid w:val="00765B15"/>
    <w:rsid w:val="00765D41"/>
    <w:rsid w:val="00765FF4"/>
    <w:rsid w:val="007661A7"/>
    <w:rsid w:val="00766CD6"/>
    <w:rsid w:val="007672F7"/>
    <w:rsid w:val="00767697"/>
    <w:rsid w:val="00770029"/>
    <w:rsid w:val="00770363"/>
    <w:rsid w:val="0077057F"/>
    <w:rsid w:val="00771F7D"/>
    <w:rsid w:val="0077248E"/>
    <w:rsid w:val="00772968"/>
    <w:rsid w:val="00772AEA"/>
    <w:rsid w:val="00773C30"/>
    <w:rsid w:val="00773DA3"/>
    <w:rsid w:val="00773FD7"/>
    <w:rsid w:val="007746E9"/>
    <w:rsid w:val="00774957"/>
    <w:rsid w:val="007752D5"/>
    <w:rsid w:val="007753FE"/>
    <w:rsid w:val="00775DBE"/>
    <w:rsid w:val="00777EB8"/>
    <w:rsid w:val="00777F3E"/>
    <w:rsid w:val="00780242"/>
    <w:rsid w:val="007817BC"/>
    <w:rsid w:val="00782539"/>
    <w:rsid w:val="007828CD"/>
    <w:rsid w:val="007838CC"/>
    <w:rsid w:val="00784226"/>
    <w:rsid w:val="00784244"/>
    <w:rsid w:val="00784365"/>
    <w:rsid w:val="007843B2"/>
    <w:rsid w:val="0078449E"/>
    <w:rsid w:val="00784945"/>
    <w:rsid w:val="00784E5C"/>
    <w:rsid w:val="00786260"/>
    <w:rsid w:val="00786724"/>
    <w:rsid w:val="00786FDC"/>
    <w:rsid w:val="007878B2"/>
    <w:rsid w:val="00787CC3"/>
    <w:rsid w:val="00790084"/>
    <w:rsid w:val="007900A9"/>
    <w:rsid w:val="0079081D"/>
    <w:rsid w:val="0079145B"/>
    <w:rsid w:val="00791A71"/>
    <w:rsid w:val="00792205"/>
    <w:rsid w:val="0079291B"/>
    <w:rsid w:val="00792CAE"/>
    <w:rsid w:val="0079311F"/>
    <w:rsid w:val="007935AE"/>
    <w:rsid w:val="007936BF"/>
    <w:rsid w:val="00793A33"/>
    <w:rsid w:val="00793CD5"/>
    <w:rsid w:val="00793EAC"/>
    <w:rsid w:val="007948EF"/>
    <w:rsid w:val="007949B6"/>
    <w:rsid w:val="00794DC2"/>
    <w:rsid w:val="007955EF"/>
    <w:rsid w:val="00796269"/>
    <w:rsid w:val="00796295"/>
    <w:rsid w:val="007969DC"/>
    <w:rsid w:val="007970B8"/>
    <w:rsid w:val="00797470"/>
    <w:rsid w:val="007974A1"/>
    <w:rsid w:val="007977BE"/>
    <w:rsid w:val="0079799C"/>
    <w:rsid w:val="00797F60"/>
    <w:rsid w:val="007A053A"/>
    <w:rsid w:val="007A1C74"/>
    <w:rsid w:val="007A2305"/>
    <w:rsid w:val="007A256F"/>
    <w:rsid w:val="007A2A29"/>
    <w:rsid w:val="007A2AD0"/>
    <w:rsid w:val="007A30FA"/>
    <w:rsid w:val="007A3839"/>
    <w:rsid w:val="007A4110"/>
    <w:rsid w:val="007A48DB"/>
    <w:rsid w:val="007A51FC"/>
    <w:rsid w:val="007A52A7"/>
    <w:rsid w:val="007A5A6D"/>
    <w:rsid w:val="007A5B7B"/>
    <w:rsid w:val="007A664C"/>
    <w:rsid w:val="007A6704"/>
    <w:rsid w:val="007A6CF3"/>
    <w:rsid w:val="007A6E35"/>
    <w:rsid w:val="007A6F0C"/>
    <w:rsid w:val="007A6FDF"/>
    <w:rsid w:val="007A7D5A"/>
    <w:rsid w:val="007B0402"/>
    <w:rsid w:val="007B19E6"/>
    <w:rsid w:val="007B1C62"/>
    <w:rsid w:val="007B227F"/>
    <w:rsid w:val="007B230C"/>
    <w:rsid w:val="007B24CF"/>
    <w:rsid w:val="007B2CA6"/>
    <w:rsid w:val="007B3D59"/>
    <w:rsid w:val="007B4007"/>
    <w:rsid w:val="007B40F6"/>
    <w:rsid w:val="007B44E4"/>
    <w:rsid w:val="007B4960"/>
    <w:rsid w:val="007B4975"/>
    <w:rsid w:val="007B4FA1"/>
    <w:rsid w:val="007B5FFC"/>
    <w:rsid w:val="007B6629"/>
    <w:rsid w:val="007B7276"/>
    <w:rsid w:val="007B7389"/>
    <w:rsid w:val="007B75FA"/>
    <w:rsid w:val="007B77FE"/>
    <w:rsid w:val="007C01ED"/>
    <w:rsid w:val="007C0D78"/>
    <w:rsid w:val="007C12EC"/>
    <w:rsid w:val="007C1DD6"/>
    <w:rsid w:val="007C2220"/>
    <w:rsid w:val="007C2239"/>
    <w:rsid w:val="007C2B60"/>
    <w:rsid w:val="007C2BF1"/>
    <w:rsid w:val="007C39CC"/>
    <w:rsid w:val="007C3B5D"/>
    <w:rsid w:val="007C46AE"/>
    <w:rsid w:val="007C5E12"/>
    <w:rsid w:val="007C6043"/>
    <w:rsid w:val="007C604E"/>
    <w:rsid w:val="007C65E8"/>
    <w:rsid w:val="007C76F1"/>
    <w:rsid w:val="007C7878"/>
    <w:rsid w:val="007C7C85"/>
    <w:rsid w:val="007C7E9A"/>
    <w:rsid w:val="007D2CAE"/>
    <w:rsid w:val="007D3149"/>
    <w:rsid w:val="007D3498"/>
    <w:rsid w:val="007D34DB"/>
    <w:rsid w:val="007D3DAA"/>
    <w:rsid w:val="007D3F44"/>
    <w:rsid w:val="007D4A59"/>
    <w:rsid w:val="007D4DAB"/>
    <w:rsid w:val="007D5A83"/>
    <w:rsid w:val="007D5F73"/>
    <w:rsid w:val="007D630A"/>
    <w:rsid w:val="007D664F"/>
    <w:rsid w:val="007D6690"/>
    <w:rsid w:val="007D7793"/>
    <w:rsid w:val="007D7980"/>
    <w:rsid w:val="007E04FF"/>
    <w:rsid w:val="007E16AE"/>
    <w:rsid w:val="007E1B52"/>
    <w:rsid w:val="007E1CED"/>
    <w:rsid w:val="007E1E26"/>
    <w:rsid w:val="007E2E11"/>
    <w:rsid w:val="007E312F"/>
    <w:rsid w:val="007E52CD"/>
    <w:rsid w:val="007E5392"/>
    <w:rsid w:val="007E55FB"/>
    <w:rsid w:val="007E5717"/>
    <w:rsid w:val="007E6372"/>
    <w:rsid w:val="007E66CD"/>
    <w:rsid w:val="007E68A7"/>
    <w:rsid w:val="007E6CC7"/>
    <w:rsid w:val="007E6CD5"/>
    <w:rsid w:val="007E6D54"/>
    <w:rsid w:val="007E6D76"/>
    <w:rsid w:val="007E760E"/>
    <w:rsid w:val="007E7A5B"/>
    <w:rsid w:val="007E7FEF"/>
    <w:rsid w:val="007F0161"/>
    <w:rsid w:val="007F06BC"/>
    <w:rsid w:val="007F07E1"/>
    <w:rsid w:val="007F1912"/>
    <w:rsid w:val="007F1B53"/>
    <w:rsid w:val="007F1DA0"/>
    <w:rsid w:val="007F2194"/>
    <w:rsid w:val="007F2B79"/>
    <w:rsid w:val="007F2BC8"/>
    <w:rsid w:val="007F3508"/>
    <w:rsid w:val="007F36EA"/>
    <w:rsid w:val="007F37B9"/>
    <w:rsid w:val="007F3AFF"/>
    <w:rsid w:val="007F4769"/>
    <w:rsid w:val="007F4B24"/>
    <w:rsid w:val="007F4BFB"/>
    <w:rsid w:val="007F5009"/>
    <w:rsid w:val="007F54C3"/>
    <w:rsid w:val="007F5511"/>
    <w:rsid w:val="007F5ECC"/>
    <w:rsid w:val="007F5ED5"/>
    <w:rsid w:val="007F5EEF"/>
    <w:rsid w:val="007F7992"/>
    <w:rsid w:val="007F7C84"/>
    <w:rsid w:val="007F7F10"/>
    <w:rsid w:val="00800381"/>
    <w:rsid w:val="00800973"/>
    <w:rsid w:val="00800BD5"/>
    <w:rsid w:val="0080117C"/>
    <w:rsid w:val="0080131C"/>
    <w:rsid w:val="00801BAE"/>
    <w:rsid w:val="00801D3F"/>
    <w:rsid w:val="00801DEF"/>
    <w:rsid w:val="00802742"/>
    <w:rsid w:val="00802769"/>
    <w:rsid w:val="00802C06"/>
    <w:rsid w:val="00803293"/>
    <w:rsid w:val="008032A4"/>
    <w:rsid w:val="0080351A"/>
    <w:rsid w:val="00803575"/>
    <w:rsid w:val="00803DF0"/>
    <w:rsid w:val="00803E6A"/>
    <w:rsid w:val="008059AA"/>
    <w:rsid w:val="00806201"/>
    <w:rsid w:val="00806613"/>
    <w:rsid w:val="00806B80"/>
    <w:rsid w:val="00806D98"/>
    <w:rsid w:val="0080794A"/>
    <w:rsid w:val="00807B42"/>
    <w:rsid w:val="00807B5A"/>
    <w:rsid w:val="00810212"/>
    <w:rsid w:val="008106B8"/>
    <w:rsid w:val="008110A7"/>
    <w:rsid w:val="00811248"/>
    <w:rsid w:val="008116A9"/>
    <w:rsid w:val="00811834"/>
    <w:rsid w:val="008118A0"/>
    <w:rsid w:val="00812283"/>
    <w:rsid w:val="00812501"/>
    <w:rsid w:val="00812CA1"/>
    <w:rsid w:val="00812D2B"/>
    <w:rsid w:val="00812F10"/>
    <w:rsid w:val="00813643"/>
    <w:rsid w:val="00813B88"/>
    <w:rsid w:val="00813FB8"/>
    <w:rsid w:val="00814DFC"/>
    <w:rsid w:val="008152B4"/>
    <w:rsid w:val="00821131"/>
    <w:rsid w:val="00821528"/>
    <w:rsid w:val="008216AF"/>
    <w:rsid w:val="008218DC"/>
    <w:rsid w:val="008225D8"/>
    <w:rsid w:val="00822877"/>
    <w:rsid w:val="00823254"/>
    <w:rsid w:val="008237BA"/>
    <w:rsid w:val="0082454E"/>
    <w:rsid w:val="0082472B"/>
    <w:rsid w:val="008247AB"/>
    <w:rsid w:val="00824F9D"/>
    <w:rsid w:val="0082545F"/>
    <w:rsid w:val="008261F9"/>
    <w:rsid w:val="0082683E"/>
    <w:rsid w:val="00826A8A"/>
    <w:rsid w:val="00827694"/>
    <w:rsid w:val="00827F04"/>
    <w:rsid w:val="00830585"/>
    <w:rsid w:val="008305B5"/>
    <w:rsid w:val="00830681"/>
    <w:rsid w:val="00830753"/>
    <w:rsid w:val="00831102"/>
    <w:rsid w:val="00831595"/>
    <w:rsid w:val="008324E2"/>
    <w:rsid w:val="0083251A"/>
    <w:rsid w:val="00833C15"/>
    <w:rsid w:val="00833E70"/>
    <w:rsid w:val="00834178"/>
    <w:rsid w:val="00834CF9"/>
    <w:rsid w:val="00835674"/>
    <w:rsid w:val="00836671"/>
    <w:rsid w:val="00837461"/>
    <w:rsid w:val="0083761E"/>
    <w:rsid w:val="0083769F"/>
    <w:rsid w:val="008378C4"/>
    <w:rsid w:val="00837E4D"/>
    <w:rsid w:val="00840ABF"/>
    <w:rsid w:val="00841000"/>
    <w:rsid w:val="00841DFF"/>
    <w:rsid w:val="00842288"/>
    <w:rsid w:val="008426D2"/>
    <w:rsid w:val="00843E70"/>
    <w:rsid w:val="00844A5E"/>
    <w:rsid w:val="008452BA"/>
    <w:rsid w:val="0084554E"/>
    <w:rsid w:val="008464FE"/>
    <w:rsid w:val="00846779"/>
    <w:rsid w:val="00846EAA"/>
    <w:rsid w:val="008470FA"/>
    <w:rsid w:val="008472B1"/>
    <w:rsid w:val="008477D8"/>
    <w:rsid w:val="00847B48"/>
    <w:rsid w:val="00847C8D"/>
    <w:rsid w:val="008504FE"/>
    <w:rsid w:val="008509BB"/>
    <w:rsid w:val="008509EC"/>
    <w:rsid w:val="008516A4"/>
    <w:rsid w:val="008527CC"/>
    <w:rsid w:val="00852C5E"/>
    <w:rsid w:val="0085388E"/>
    <w:rsid w:val="00853CE1"/>
    <w:rsid w:val="00853E17"/>
    <w:rsid w:val="0085427E"/>
    <w:rsid w:val="0085458A"/>
    <w:rsid w:val="00854A16"/>
    <w:rsid w:val="00854CE0"/>
    <w:rsid w:val="00854F01"/>
    <w:rsid w:val="008563FF"/>
    <w:rsid w:val="00856411"/>
    <w:rsid w:val="0085699E"/>
    <w:rsid w:val="008570AD"/>
    <w:rsid w:val="008573D0"/>
    <w:rsid w:val="00857D61"/>
    <w:rsid w:val="0086094E"/>
    <w:rsid w:val="00860969"/>
    <w:rsid w:val="00860D63"/>
    <w:rsid w:val="008613FF"/>
    <w:rsid w:val="008630D8"/>
    <w:rsid w:val="00863D14"/>
    <w:rsid w:val="008647F1"/>
    <w:rsid w:val="00864B55"/>
    <w:rsid w:val="00865611"/>
    <w:rsid w:val="008660F4"/>
    <w:rsid w:val="00866EB9"/>
    <w:rsid w:val="008676F8"/>
    <w:rsid w:val="00867726"/>
    <w:rsid w:val="0086777B"/>
    <w:rsid w:val="00867AE2"/>
    <w:rsid w:val="00870299"/>
    <w:rsid w:val="00870BED"/>
    <w:rsid w:val="00870DBF"/>
    <w:rsid w:val="00870F49"/>
    <w:rsid w:val="00871767"/>
    <w:rsid w:val="00871C1E"/>
    <w:rsid w:val="008729E0"/>
    <w:rsid w:val="00872E5D"/>
    <w:rsid w:val="008733CA"/>
    <w:rsid w:val="008747A8"/>
    <w:rsid w:val="008747B8"/>
    <w:rsid w:val="00875118"/>
    <w:rsid w:val="00875355"/>
    <w:rsid w:val="00875614"/>
    <w:rsid w:val="00875642"/>
    <w:rsid w:val="008757CC"/>
    <w:rsid w:val="00875A4C"/>
    <w:rsid w:val="008767D4"/>
    <w:rsid w:val="00876D59"/>
    <w:rsid w:val="00880BB6"/>
    <w:rsid w:val="008811CE"/>
    <w:rsid w:val="0088163F"/>
    <w:rsid w:val="00882258"/>
    <w:rsid w:val="00882544"/>
    <w:rsid w:val="008827B1"/>
    <w:rsid w:val="0088282F"/>
    <w:rsid w:val="00882906"/>
    <w:rsid w:val="008829D4"/>
    <w:rsid w:val="00883650"/>
    <w:rsid w:val="0088377F"/>
    <w:rsid w:val="00883C56"/>
    <w:rsid w:val="0088401A"/>
    <w:rsid w:val="00884968"/>
    <w:rsid w:val="00884E33"/>
    <w:rsid w:val="00884F5E"/>
    <w:rsid w:val="0088534F"/>
    <w:rsid w:val="008858CC"/>
    <w:rsid w:val="00885B0F"/>
    <w:rsid w:val="00886226"/>
    <w:rsid w:val="0088641D"/>
    <w:rsid w:val="0088673E"/>
    <w:rsid w:val="0088708D"/>
    <w:rsid w:val="008871B3"/>
    <w:rsid w:val="008872C2"/>
    <w:rsid w:val="00887322"/>
    <w:rsid w:val="00887E4F"/>
    <w:rsid w:val="0089033B"/>
    <w:rsid w:val="008912AF"/>
    <w:rsid w:val="00891846"/>
    <w:rsid w:val="00891F81"/>
    <w:rsid w:val="008920D2"/>
    <w:rsid w:val="00892976"/>
    <w:rsid w:val="00892F8E"/>
    <w:rsid w:val="0089349C"/>
    <w:rsid w:val="0089364D"/>
    <w:rsid w:val="00893733"/>
    <w:rsid w:val="00893E2F"/>
    <w:rsid w:val="00894769"/>
    <w:rsid w:val="00894CAA"/>
    <w:rsid w:val="00895392"/>
    <w:rsid w:val="00895493"/>
    <w:rsid w:val="00895C87"/>
    <w:rsid w:val="00896053"/>
    <w:rsid w:val="00896625"/>
    <w:rsid w:val="00897069"/>
    <w:rsid w:val="0089760F"/>
    <w:rsid w:val="00897D09"/>
    <w:rsid w:val="008A0308"/>
    <w:rsid w:val="008A0789"/>
    <w:rsid w:val="008A0A69"/>
    <w:rsid w:val="008A0E82"/>
    <w:rsid w:val="008A10B6"/>
    <w:rsid w:val="008A206F"/>
    <w:rsid w:val="008A3304"/>
    <w:rsid w:val="008A35EE"/>
    <w:rsid w:val="008A3894"/>
    <w:rsid w:val="008A3FC1"/>
    <w:rsid w:val="008A4D27"/>
    <w:rsid w:val="008A6070"/>
    <w:rsid w:val="008A67F6"/>
    <w:rsid w:val="008A6AB6"/>
    <w:rsid w:val="008A7530"/>
    <w:rsid w:val="008A7874"/>
    <w:rsid w:val="008A7BDF"/>
    <w:rsid w:val="008A7CA8"/>
    <w:rsid w:val="008B122E"/>
    <w:rsid w:val="008B12D5"/>
    <w:rsid w:val="008B1566"/>
    <w:rsid w:val="008B159F"/>
    <w:rsid w:val="008B1776"/>
    <w:rsid w:val="008B2354"/>
    <w:rsid w:val="008B26E3"/>
    <w:rsid w:val="008B27B1"/>
    <w:rsid w:val="008B2AB0"/>
    <w:rsid w:val="008B346C"/>
    <w:rsid w:val="008B3550"/>
    <w:rsid w:val="008B3598"/>
    <w:rsid w:val="008B35A0"/>
    <w:rsid w:val="008B3C61"/>
    <w:rsid w:val="008B4DCD"/>
    <w:rsid w:val="008B51F9"/>
    <w:rsid w:val="008B5307"/>
    <w:rsid w:val="008B603A"/>
    <w:rsid w:val="008B6A88"/>
    <w:rsid w:val="008B6BED"/>
    <w:rsid w:val="008C0D61"/>
    <w:rsid w:val="008C10EC"/>
    <w:rsid w:val="008C11D5"/>
    <w:rsid w:val="008C179B"/>
    <w:rsid w:val="008C1906"/>
    <w:rsid w:val="008C1F47"/>
    <w:rsid w:val="008C2C35"/>
    <w:rsid w:val="008C3057"/>
    <w:rsid w:val="008C34BC"/>
    <w:rsid w:val="008C408F"/>
    <w:rsid w:val="008C40DC"/>
    <w:rsid w:val="008C4383"/>
    <w:rsid w:val="008C4CCE"/>
    <w:rsid w:val="008C570B"/>
    <w:rsid w:val="008C5AAE"/>
    <w:rsid w:val="008C5E8B"/>
    <w:rsid w:val="008C7750"/>
    <w:rsid w:val="008C78D9"/>
    <w:rsid w:val="008D09C7"/>
    <w:rsid w:val="008D13E8"/>
    <w:rsid w:val="008D1D68"/>
    <w:rsid w:val="008D2B97"/>
    <w:rsid w:val="008D2B9D"/>
    <w:rsid w:val="008D2F48"/>
    <w:rsid w:val="008D40AF"/>
    <w:rsid w:val="008D42CE"/>
    <w:rsid w:val="008D4BED"/>
    <w:rsid w:val="008D53FB"/>
    <w:rsid w:val="008D5ECD"/>
    <w:rsid w:val="008D76E1"/>
    <w:rsid w:val="008D7CD0"/>
    <w:rsid w:val="008D7D01"/>
    <w:rsid w:val="008E07AC"/>
    <w:rsid w:val="008E0C2F"/>
    <w:rsid w:val="008E1829"/>
    <w:rsid w:val="008E3658"/>
    <w:rsid w:val="008E44E0"/>
    <w:rsid w:val="008E4BD6"/>
    <w:rsid w:val="008E4BD9"/>
    <w:rsid w:val="008E4BEA"/>
    <w:rsid w:val="008E4E91"/>
    <w:rsid w:val="008E533E"/>
    <w:rsid w:val="008E5C65"/>
    <w:rsid w:val="008E5E4A"/>
    <w:rsid w:val="008E656F"/>
    <w:rsid w:val="008E6C7D"/>
    <w:rsid w:val="008E75F2"/>
    <w:rsid w:val="008E7C46"/>
    <w:rsid w:val="008F1869"/>
    <w:rsid w:val="008F306E"/>
    <w:rsid w:val="008F32FD"/>
    <w:rsid w:val="008F34D0"/>
    <w:rsid w:val="008F34E9"/>
    <w:rsid w:val="008F350C"/>
    <w:rsid w:val="008F39C0"/>
    <w:rsid w:val="008F4BB9"/>
    <w:rsid w:val="008F505B"/>
    <w:rsid w:val="008F54EC"/>
    <w:rsid w:val="008F5C0D"/>
    <w:rsid w:val="008F7115"/>
    <w:rsid w:val="008F7195"/>
    <w:rsid w:val="008F7283"/>
    <w:rsid w:val="008F730F"/>
    <w:rsid w:val="008F732E"/>
    <w:rsid w:val="008F7850"/>
    <w:rsid w:val="008F7D4D"/>
    <w:rsid w:val="008F7EE3"/>
    <w:rsid w:val="008F7FDC"/>
    <w:rsid w:val="009017CF"/>
    <w:rsid w:val="00902355"/>
    <w:rsid w:val="00902699"/>
    <w:rsid w:val="00902BA5"/>
    <w:rsid w:val="00903255"/>
    <w:rsid w:val="00903849"/>
    <w:rsid w:val="00905B78"/>
    <w:rsid w:val="00905BD8"/>
    <w:rsid w:val="00907706"/>
    <w:rsid w:val="00907F16"/>
    <w:rsid w:val="009110D2"/>
    <w:rsid w:val="009116CF"/>
    <w:rsid w:val="009117D4"/>
    <w:rsid w:val="00911DB1"/>
    <w:rsid w:val="00913A83"/>
    <w:rsid w:val="00913D94"/>
    <w:rsid w:val="00913E64"/>
    <w:rsid w:val="00914216"/>
    <w:rsid w:val="00914643"/>
    <w:rsid w:val="00914A0F"/>
    <w:rsid w:val="00914A99"/>
    <w:rsid w:val="00915302"/>
    <w:rsid w:val="009155C9"/>
    <w:rsid w:val="00915AA3"/>
    <w:rsid w:val="00915D3E"/>
    <w:rsid w:val="009164C7"/>
    <w:rsid w:val="0091676B"/>
    <w:rsid w:val="00917599"/>
    <w:rsid w:val="00917726"/>
    <w:rsid w:val="009207A0"/>
    <w:rsid w:val="00920AA1"/>
    <w:rsid w:val="00921FDD"/>
    <w:rsid w:val="009222C3"/>
    <w:rsid w:val="00922565"/>
    <w:rsid w:val="00923000"/>
    <w:rsid w:val="0092326D"/>
    <w:rsid w:val="009236D6"/>
    <w:rsid w:val="00923B4A"/>
    <w:rsid w:val="00923E96"/>
    <w:rsid w:val="009240AC"/>
    <w:rsid w:val="0092443F"/>
    <w:rsid w:val="00924B60"/>
    <w:rsid w:val="00924C52"/>
    <w:rsid w:val="009252FB"/>
    <w:rsid w:val="00925C8F"/>
    <w:rsid w:val="00925FEE"/>
    <w:rsid w:val="009266C4"/>
    <w:rsid w:val="00927DC3"/>
    <w:rsid w:val="00930D1E"/>
    <w:rsid w:val="00930E5D"/>
    <w:rsid w:val="009311DF"/>
    <w:rsid w:val="00932273"/>
    <w:rsid w:val="00932811"/>
    <w:rsid w:val="009330D7"/>
    <w:rsid w:val="00934605"/>
    <w:rsid w:val="00934A88"/>
    <w:rsid w:val="009357C6"/>
    <w:rsid w:val="00935C14"/>
    <w:rsid w:val="0093644E"/>
    <w:rsid w:val="0093660B"/>
    <w:rsid w:val="009375EB"/>
    <w:rsid w:val="00937AF4"/>
    <w:rsid w:val="00937D95"/>
    <w:rsid w:val="00940DEA"/>
    <w:rsid w:val="009416FD"/>
    <w:rsid w:val="00941CDC"/>
    <w:rsid w:val="00942277"/>
    <w:rsid w:val="00943C72"/>
    <w:rsid w:val="00943CBB"/>
    <w:rsid w:val="00944D4D"/>
    <w:rsid w:val="0094506E"/>
    <w:rsid w:val="0094544B"/>
    <w:rsid w:val="00945513"/>
    <w:rsid w:val="00945657"/>
    <w:rsid w:val="00945931"/>
    <w:rsid w:val="0094624C"/>
    <w:rsid w:val="00947016"/>
    <w:rsid w:val="00947A1A"/>
    <w:rsid w:val="00947FE9"/>
    <w:rsid w:val="00950177"/>
    <w:rsid w:val="00950651"/>
    <w:rsid w:val="00950678"/>
    <w:rsid w:val="00950E54"/>
    <w:rsid w:val="00951403"/>
    <w:rsid w:val="009514CC"/>
    <w:rsid w:val="00953543"/>
    <w:rsid w:val="009538C4"/>
    <w:rsid w:val="00953DAD"/>
    <w:rsid w:val="00953E9C"/>
    <w:rsid w:val="0095591E"/>
    <w:rsid w:val="00955AFF"/>
    <w:rsid w:val="00957B02"/>
    <w:rsid w:val="0096046B"/>
    <w:rsid w:val="00960549"/>
    <w:rsid w:val="00960E95"/>
    <w:rsid w:val="00961276"/>
    <w:rsid w:val="00961CEA"/>
    <w:rsid w:val="0096246C"/>
    <w:rsid w:val="009624D4"/>
    <w:rsid w:val="00962843"/>
    <w:rsid w:val="00962C30"/>
    <w:rsid w:val="00962EBB"/>
    <w:rsid w:val="009634D5"/>
    <w:rsid w:val="009642BE"/>
    <w:rsid w:val="0096445A"/>
    <w:rsid w:val="00965923"/>
    <w:rsid w:val="0096770D"/>
    <w:rsid w:val="00967E2F"/>
    <w:rsid w:val="00970186"/>
    <w:rsid w:val="00970E29"/>
    <w:rsid w:val="0097167F"/>
    <w:rsid w:val="0097171B"/>
    <w:rsid w:val="009717FF"/>
    <w:rsid w:val="00971A33"/>
    <w:rsid w:val="00971D03"/>
    <w:rsid w:val="009727E2"/>
    <w:rsid w:val="00972857"/>
    <w:rsid w:val="00972996"/>
    <w:rsid w:val="0097430A"/>
    <w:rsid w:val="00974B1C"/>
    <w:rsid w:val="00974EBE"/>
    <w:rsid w:val="009753DE"/>
    <w:rsid w:val="00975455"/>
    <w:rsid w:val="0097572E"/>
    <w:rsid w:val="009758E8"/>
    <w:rsid w:val="00975AF7"/>
    <w:rsid w:val="00976817"/>
    <w:rsid w:val="00976CD2"/>
    <w:rsid w:val="00977021"/>
    <w:rsid w:val="00977321"/>
    <w:rsid w:val="0098061E"/>
    <w:rsid w:val="00980736"/>
    <w:rsid w:val="00980D73"/>
    <w:rsid w:val="00981402"/>
    <w:rsid w:val="009815F8"/>
    <w:rsid w:val="00981A0F"/>
    <w:rsid w:val="00982323"/>
    <w:rsid w:val="00982C50"/>
    <w:rsid w:val="00983366"/>
    <w:rsid w:val="00983776"/>
    <w:rsid w:val="00983860"/>
    <w:rsid w:val="00983B96"/>
    <w:rsid w:val="009840DA"/>
    <w:rsid w:val="00984F82"/>
    <w:rsid w:val="0098702A"/>
    <w:rsid w:val="00987D50"/>
    <w:rsid w:val="00987DF5"/>
    <w:rsid w:val="0099006A"/>
    <w:rsid w:val="00990328"/>
    <w:rsid w:val="009903D1"/>
    <w:rsid w:val="009908B0"/>
    <w:rsid w:val="00990B0A"/>
    <w:rsid w:val="009916A4"/>
    <w:rsid w:val="009917EC"/>
    <w:rsid w:val="00992073"/>
    <w:rsid w:val="00992A07"/>
    <w:rsid w:val="00992B15"/>
    <w:rsid w:val="00992BDA"/>
    <w:rsid w:val="00993005"/>
    <w:rsid w:val="00993417"/>
    <w:rsid w:val="009936B3"/>
    <w:rsid w:val="00993E2A"/>
    <w:rsid w:val="00993F25"/>
    <w:rsid w:val="009943A0"/>
    <w:rsid w:val="0099444D"/>
    <w:rsid w:val="009951C7"/>
    <w:rsid w:val="00995895"/>
    <w:rsid w:val="00995E9B"/>
    <w:rsid w:val="00996223"/>
    <w:rsid w:val="009964B2"/>
    <w:rsid w:val="009969BF"/>
    <w:rsid w:val="00996B59"/>
    <w:rsid w:val="009975E2"/>
    <w:rsid w:val="0099767A"/>
    <w:rsid w:val="009A036A"/>
    <w:rsid w:val="009A063F"/>
    <w:rsid w:val="009A0759"/>
    <w:rsid w:val="009A0A6A"/>
    <w:rsid w:val="009A0F12"/>
    <w:rsid w:val="009A12E5"/>
    <w:rsid w:val="009A1912"/>
    <w:rsid w:val="009A1C93"/>
    <w:rsid w:val="009A21C4"/>
    <w:rsid w:val="009A29CE"/>
    <w:rsid w:val="009A3A6C"/>
    <w:rsid w:val="009A4183"/>
    <w:rsid w:val="009A420F"/>
    <w:rsid w:val="009A4FDF"/>
    <w:rsid w:val="009A5116"/>
    <w:rsid w:val="009A56DE"/>
    <w:rsid w:val="009A5A00"/>
    <w:rsid w:val="009A619C"/>
    <w:rsid w:val="009A62D9"/>
    <w:rsid w:val="009A652B"/>
    <w:rsid w:val="009A6AB6"/>
    <w:rsid w:val="009A6C97"/>
    <w:rsid w:val="009A70DD"/>
    <w:rsid w:val="009A7266"/>
    <w:rsid w:val="009A7D94"/>
    <w:rsid w:val="009B0B47"/>
    <w:rsid w:val="009B1260"/>
    <w:rsid w:val="009B32C6"/>
    <w:rsid w:val="009B3B27"/>
    <w:rsid w:val="009B4356"/>
    <w:rsid w:val="009B4599"/>
    <w:rsid w:val="009B45C6"/>
    <w:rsid w:val="009B47FF"/>
    <w:rsid w:val="009B4B2D"/>
    <w:rsid w:val="009B4BC5"/>
    <w:rsid w:val="009B4C63"/>
    <w:rsid w:val="009B6027"/>
    <w:rsid w:val="009B6D09"/>
    <w:rsid w:val="009B7925"/>
    <w:rsid w:val="009B7B78"/>
    <w:rsid w:val="009B7DDF"/>
    <w:rsid w:val="009C080B"/>
    <w:rsid w:val="009C0C16"/>
    <w:rsid w:val="009C1482"/>
    <w:rsid w:val="009C1E21"/>
    <w:rsid w:val="009C27ED"/>
    <w:rsid w:val="009C2D4B"/>
    <w:rsid w:val="009C2E4E"/>
    <w:rsid w:val="009C36FA"/>
    <w:rsid w:val="009C4252"/>
    <w:rsid w:val="009C4267"/>
    <w:rsid w:val="009C6DB0"/>
    <w:rsid w:val="009C6FB2"/>
    <w:rsid w:val="009C74AB"/>
    <w:rsid w:val="009C74C5"/>
    <w:rsid w:val="009C751B"/>
    <w:rsid w:val="009C7C36"/>
    <w:rsid w:val="009C7F73"/>
    <w:rsid w:val="009D0E35"/>
    <w:rsid w:val="009D10BA"/>
    <w:rsid w:val="009D1979"/>
    <w:rsid w:val="009D1B11"/>
    <w:rsid w:val="009D2C51"/>
    <w:rsid w:val="009D2CAC"/>
    <w:rsid w:val="009D2FCD"/>
    <w:rsid w:val="009D33BF"/>
    <w:rsid w:val="009D363B"/>
    <w:rsid w:val="009D3690"/>
    <w:rsid w:val="009D3883"/>
    <w:rsid w:val="009D3D0F"/>
    <w:rsid w:val="009D4073"/>
    <w:rsid w:val="009D441E"/>
    <w:rsid w:val="009D515F"/>
    <w:rsid w:val="009D59AD"/>
    <w:rsid w:val="009D634A"/>
    <w:rsid w:val="009D640B"/>
    <w:rsid w:val="009D65DF"/>
    <w:rsid w:val="009D69B3"/>
    <w:rsid w:val="009D6FE8"/>
    <w:rsid w:val="009D7201"/>
    <w:rsid w:val="009D79D0"/>
    <w:rsid w:val="009E008B"/>
    <w:rsid w:val="009E0200"/>
    <w:rsid w:val="009E0BF7"/>
    <w:rsid w:val="009E0D55"/>
    <w:rsid w:val="009E173E"/>
    <w:rsid w:val="009E1D61"/>
    <w:rsid w:val="009E1E64"/>
    <w:rsid w:val="009E1F2C"/>
    <w:rsid w:val="009E2094"/>
    <w:rsid w:val="009E292D"/>
    <w:rsid w:val="009E29BA"/>
    <w:rsid w:val="009E2CA0"/>
    <w:rsid w:val="009E3371"/>
    <w:rsid w:val="009E3766"/>
    <w:rsid w:val="009E3CE6"/>
    <w:rsid w:val="009E4F93"/>
    <w:rsid w:val="009E59D4"/>
    <w:rsid w:val="009E605B"/>
    <w:rsid w:val="009E6129"/>
    <w:rsid w:val="009E67F7"/>
    <w:rsid w:val="009E76AC"/>
    <w:rsid w:val="009F11CA"/>
    <w:rsid w:val="009F1AF3"/>
    <w:rsid w:val="009F21FA"/>
    <w:rsid w:val="009F2A6B"/>
    <w:rsid w:val="009F305F"/>
    <w:rsid w:val="009F361E"/>
    <w:rsid w:val="009F3A87"/>
    <w:rsid w:val="009F3E10"/>
    <w:rsid w:val="009F4274"/>
    <w:rsid w:val="009F4E41"/>
    <w:rsid w:val="009F75F1"/>
    <w:rsid w:val="009F79A1"/>
    <w:rsid w:val="009F7B68"/>
    <w:rsid w:val="009F7C7D"/>
    <w:rsid w:val="00A0033D"/>
    <w:rsid w:val="00A00A3C"/>
    <w:rsid w:val="00A01508"/>
    <w:rsid w:val="00A01582"/>
    <w:rsid w:val="00A01A17"/>
    <w:rsid w:val="00A01C13"/>
    <w:rsid w:val="00A02440"/>
    <w:rsid w:val="00A02655"/>
    <w:rsid w:val="00A02C1D"/>
    <w:rsid w:val="00A02FEF"/>
    <w:rsid w:val="00A03E2C"/>
    <w:rsid w:val="00A04505"/>
    <w:rsid w:val="00A04D47"/>
    <w:rsid w:val="00A0525C"/>
    <w:rsid w:val="00A053B1"/>
    <w:rsid w:val="00A05B9D"/>
    <w:rsid w:val="00A05CA5"/>
    <w:rsid w:val="00A0643C"/>
    <w:rsid w:val="00A0725D"/>
    <w:rsid w:val="00A10151"/>
    <w:rsid w:val="00A10F48"/>
    <w:rsid w:val="00A11248"/>
    <w:rsid w:val="00A11A1E"/>
    <w:rsid w:val="00A12309"/>
    <w:rsid w:val="00A1293A"/>
    <w:rsid w:val="00A12D47"/>
    <w:rsid w:val="00A12DA8"/>
    <w:rsid w:val="00A12E52"/>
    <w:rsid w:val="00A12F83"/>
    <w:rsid w:val="00A13249"/>
    <w:rsid w:val="00A13C44"/>
    <w:rsid w:val="00A141EA"/>
    <w:rsid w:val="00A144BB"/>
    <w:rsid w:val="00A15128"/>
    <w:rsid w:val="00A16104"/>
    <w:rsid w:val="00A1641D"/>
    <w:rsid w:val="00A16AE6"/>
    <w:rsid w:val="00A17DE7"/>
    <w:rsid w:val="00A17E04"/>
    <w:rsid w:val="00A202CB"/>
    <w:rsid w:val="00A2138C"/>
    <w:rsid w:val="00A21412"/>
    <w:rsid w:val="00A214E8"/>
    <w:rsid w:val="00A22112"/>
    <w:rsid w:val="00A228F7"/>
    <w:rsid w:val="00A22F8E"/>
    <w:rsid w:val="00A23BAD"/>
    <w:rsid w:val="00A244DA"/>
    <w:rsid w:val="00A24B5A"/>
    <w:rsid w:val="00A24DEC"/>
    <w:rsid w:val="00A24EC1"/>
    <w:rsid w:val="00A24F7B"/>
    <w:rsid w:val="00A2514F"/>
    <w:rsid w:val="00A26BD8"/>
    <w:rsid w:val="00A27839"/>
    <w:rsid w:val="00A27F17"/>
    <w:rsid w:val="00A27FF9"/>
    <w:rsid w:val="00A30AB8"/>
    <w:rsid w:val="00A31778"/>
    <w:rsid w:val="00A31C35"/>
    <w:rsid w:val="00A3226D"/>
    <w:rsid w:val="00A3272A"/>
    <w:rsid w:val="00A32C81"/>
    <w:rsid w:val="00A32CEA"/>
    <w:rsid w:val="00A33E7E"/>
    <w:rsid w:val="00A3405A"/>
    <w:rsid w:val="00A35830"/>
    <w:rsid w:val="00A35899"/>
    <w:rsid w:val="00A358EC"/>
    <w:rsid w:val="00A35D09"/>
    <w:rsid w:val="00A35DE6"/>
    <w:rsid w:val="00A36045"/>
    <w:rsid w:val="00A362FD"/>
    <w:rsid w:val="00A36507"/>
    <w:rsid w:val="00A36B3B"/>
    <w:rsid w:val="00A36FBC"/>
    <w:rsid w:val="00A37FC4"/>
    <w:rsid w:val="00A406A8"/>
    <w:rsid w:val="00A410C2"/>
    <w:rsid w:val="00A414F9"/>
    <w:rsid w:val="00A426E8"/>
    <w:rsid w:val="00A42A79"/>
    <w:rsid w:val="00A42A8C"/>
    <w:rsid w:val="00A42FF8"/>
    <w:rsid w:val="00A430C1"/>
    <w:rsid w:val="00A4382A"/>
    <w:rsid w:val="00A43B39"/>
    <w:rsid w:val="00A44123"/>
    <w:rsid w:val="00A443DB"/>
    <w:rsid w:val="00A4444F"/>
    <w:rsid w:val="00A44C0E"/>
    <w:rsid w:val="00A44F90"/>
    <w:rsid w:val="00A4565E"/>
    <w:rsid w:val="00A46494"/>
    <w:rsid w:val="00A46FFA"/>
    <w:rsid w:val="00A47CC8"/>
    <w:rsid w:val="00A47F12"/>
    <w:rsid w:val="00A502C3"/>
    <w:rsid w:val="00A50B63"/>
    <w:rsid w:val="00A50BD9"/>
    <w:rsid w:val="00A51519"/>
    <w:rsid w:val="00A51D9D"/>
    <w:rsid w:val="00A52167"/>
    <w:rsid w:val="00A52C4F"/>
    <w:rsid w:val="00A53952"/>
    <w:rsid w:val="00A540C2"/>
    <w:rsid w:val="00A54549"/>
    <w:rsid w:val="00A54679"/>
    <w:rsid w:val="00A54C89"/>
    <w:rsid w:val="00A554E1"/>
    <w:rsid w:val="00A55E01"/>
    <w:rsid w:val="00A56997"/>
    <w:rsid w:val="00A57038"/>
    <w:rsid w:val="00A57C09"/>
    <w:rsid w:val="00A57C33"/>
    <w:rsid w:val="00A57E85"/>
    <w:rsid w:val="00A6028C"/>
    <w:rsid w:val="00A603A2"/>
    <w:rsid w:val="00A6058A"/>
    <w:rsid w:val="00A60F7D"/>
    <w:rsid w:val="00A60FC1"/>
    <w:rsid w:val="00A6104F"/>
    <w:rsid w:val="00A617B9"/>
    <w:rsid w:val="00A61BAB"/>
    <w:rsid w:val="00A61C18"/>
    <w:rsid w:val="00A61C30"/>
    <w:rsid w:val="00A6249D"/>
    <w:rsid w:val="00A624A9"/>
    <w:rsid w:val="00A6267A"/>
    <w:rsid w:val="00A62A15"/>
    <w:rsid w:val="00A62B77"/>
    <w:rsid w:val="00A6325A"/>
    <w:rsid w:val="00A635C6"/>
    <w:rsid w:val="00A63A70"/>
    <w:rsid w:val="00A63C7D"/>
    <w:rsid w:val="00A63C91"/>
    <w:rsid w:val="00A6453F"/>
    <w:rsid w:val="00A64542"/>
    <w:rsid w:val="00A64C85"/>
    <w:rsid w:val="00A65301"/>
    <w:rsid w:val="00A655B1"/>
    <w:rsid w:val="00A664BB"/>
    <w:rsid w:val="00A67296"/>
    <w:rsid w:val="00A67423"/>
    <w:rsid w:val="00A67B1F"/>
    <w:rsid w:val="00A70908"/>
    <w:rsid w:val="00A7165C"/>
    <w:rsid w:val="00A719CD"/>
    <w:rsid w:val="00A721C6"/>
    <w:rsid w:val="00A722B5"/>
    <w:rsid w:val="00A72568"/>
    <w:rsid w:val="00A72B93"/>
    <w:rsid w:val="00A73084"/>
    <w:rsid w:val="00A7341E"/>
    <w:rsid w:val="00A74C4A"/>
    <w:rsid w:val="00A74CE8"/>
    <w:rsid w:val="00A755D2"/>
    <w:rsid w:val="00A75C4A"/>
    <w:rsid w:val="00A75F43"/>
    <w:rsid w:val="00A769D0"/>
    <w:rsid w:val="00A76F12"/>
    <w:rsid w:val="00A77160"/>
    <w:rsid w:val="00A77A78"/>
    <w:rsid w:val="00A77C07"/>
    <w:rsid w:val="00A804D8"/>
    <w:rsid w:val="00A826DF"/>
    <w:rsid w:val="00A82B67"/>
    <w:rsid w:val="00A82E58"/>
    <w:rsid w:val="00A8498D"/>
    <w:rsid w:val="00A84A6E"/>
    <w:rsid w:val="00A84CA1"/>
    <w:rsid w:val="00A86B55"/>
    <w:rsid w:val="00A87656"/>
    <w:rsid w:val="00A8780E"/>
    <w:rsid w:val="00A87CB0"/>
    <w:rsid w:val="00A87E92"/>
    <w:rsid w:val="00A9017E"/>
    <w:rsid w:val="00A91536"/>
    <w:rsid w:val="00A915BC"/>
    <w:rsid w:val="00A917FD"/>
    <w:rsid w:val="00A91E5F"/>
    <w:rsid w:val="00A9261F"/>
    <w:rsid w:val="00A93129"/>
    <w:rsid w:val="00A9477E"/>
    <w:rsid w:val="00A94843"/>
    <w:rsid w:val="00A953E0"/>
    <w:rsid w:val="00A9593C"/>
    <w:rsid w:val="00A95C08"/>
    <w:rsid w:val="00A95D6B"/>
    <w:rsid w:val="00A95D89"/>
    <w:rsid w:val="00A95ECE"/>
    <w:rsid w:val="00A970E7"/>
    <w:rsid w:val="00A9710B"/>
    <w:rsid w:val="00A9772F"/>
    <w:rsid w:val="00A97B8B"/>
    <w:rsid w:val="00A97D79"/>
    <w:rsid w:val="00AA0087"/>
    <w:rsid w:val="00AA0298"/>
    <w:rsid w:val="00AA0577"/>
    <w:rsid w:val="00AA06BA"/>
    <w:rsid w:val="00AA0A34"/>
    <w:rsid w:val="00AA11C8"/>
    <w:rsid w:val="00AA17FF"/>
    <w:rsid w:val="00AA2538"/>
    <w:rsid w:val="00AA33D8"/>
    <w:rsid w:val="00AA36E5"/>
    <w:rsid w:val="00AA3760"/>
    <w:rsid w:val="00AA3A3B"/>
    <w:rsid w:val="00AA3B97"/>
    <w:rsid w:val="00AA3F14"/>
    <w:rsid w:val="00AA4397"/>
    <w:rsid w:val="00AA4C97"/>
    <w:rsid w:val="00AA4D27"/>
    <w:rsid w:val="00AA4D78"/>
    <w:rsid w:val="00AA5E4E"/>
    <w:rsid w:val="00AA5EFA"/>
    <w:rsid w:val="00AA5FC3"/>
    <w:rsid w:val="00AA605A"/>
    <w:rsid w:val="00AA694A"/>
    <w:rsid w:val="00AA6AEE"/>
    <w:rsid w:val="00AA6CC2"/>
    <w:rsid w:val="00AA6D0D"/>
    <w:rsid w:val="00AA6DF6"/>
    <w:rsid w:val="00AA70C9"/>
    <w:rsid w:val="00AA7250"/>
    <w:rsid w:val="00AB05DD"/>
    <w:rsid w:val="00AB06D3"/>
    <w:rsid w:val="00AB07EF"/>
    <w:rsid w:val="00AB0818"/>
    <w:rsid w:val="00AB0B44"/>
    <w:rsid w:val="00AB19F1"/>
    <w:rsid w:val="00AB2332"/>
    <w:rsid w:val="00AB2B3F"/>
    <w:rsid w:val="00AB2B7D"/>
    <w:rsid w:val="00AB2C87"/>
    <w:rsid w:val="00AB2DFF"/>
    <w:rsid w:val="00AB3BD7"/>
    <w:rsid w:val="00AB4258"/>
    <w:rsid w:val="00AB43DA"/>
    <w:rsid w:val="00AB44AF"/>
    <w:rsid w:val="00AB485B"/>
    <w:rsid w:val="00AB522B"/>
    <w:rsid w:val="00AB5660"/>
    <w:rsid w:val="00AB5C06"/>
    <w:rsid w:val="00AB5C3E"/>
    <w:rsid w:val="00AB7031"/>
    <w:rsid w:val="00AB79D4"/>
    <w:rsid w:val="00AB7DD1"/>
    <w:rsid w:val="00AC01C8"/>
    <w:rsid w:val="00AC0235"/>
    <w:rsid w:val="00AC0BC0"/>
    <w:rsid w:val="00AC2061"/>
    <w:rsid w:val="00AC259A"/>
    <w:rsid w:val="00AC2BE6"/>
    <w:rsid w:val="00AC31E1"/>
    <w:rsid w:val="00AC3909"/>
    <w:rsid w:val="00AC3F05"/>
    <w:rsid w:val="00AC523A"/>
    <w:rsid w:val="00AC53DE"/>
    <w:rsid w:val="00AC55BC"/>
    <w:rsid w:val="00AC5759"/>
    <w:rsid w:val="00AC6B3C"/>
    <w:rsid w:val="00AC6D4B"/>
    <w:rsid w:val="00AC739C"/>
    <w:rsid w:val="00AC76D3"/>
    <w:rsid w:val="00AC7724"/>
    <w:rsid w:val="00AC7CDA"/>
    <w:rsid w:val="00AD00E6"/>
    <w:rsid w:val="00AD09B2"/>
    <w:rsid w:val="00AD1358"/>
    <w:rsid w:val="00AD170F"/>
    <w:rsid w:val="00AD1B8C"/>
    <w:rsid w:val="00AD1FFD"/>
    <w:rsid w:val="00AD217B"/>
    <w:rsid w:val="00AD2A36"/>
    <w:rsid w:val="00AD2E0D"/>
    <w:rsid w:val="00AD3393"/>
    <w:rsid w:val="00AD3E1B"/>
    <w:rsid w:val="00AD3E30"/>
    <w:rsid w:val="00AD4360"/>
    <w:rsid w:val="00AD439B"/>
    <w:rsid w:val="00AD44B8"/>
    <w:rsid w:val="00AD44C7"/>
    <w:rsid w:val="00AD5511"/>
    <w:rsid w:val="00AD5774"/>
    <w:rsid w:val="00AD5934"/>
    <w:rsid w:val="00AD5D73"/>
    <w:rsid w:val="00AD66A6"/>
    <w:rsid w:val="00AD6E49"/>
    <w:rsid w:val="00AD7380"/>
    <w:rsid w:val="00AD7502"/>
    <w:rsid w:val="00AD754F"/>
    <w:rsid w:val="00AD7E1E"/>
    <w:rsid w:val="00AE02B6"/>
    <w:rsid w:val="00AE02F2"/>
    <w:rsid w:val="00AE0A83"/>
    <w:rsid w:val="00AE11D4"/>
    <w:rsid w:val="00AE148D"/>
    <w:rsid w:val="00AE34A1"/>
    <w:rsid w:val="00AE370E"/>
    <w:rsid w:val="00AE37D5"/>
    <w:rsid w:val="00AE391A"/>
    <w:rsid w:val="00AE4181"/>
    <w:rsid w:val="00AE430A"/>
    <w:rsid w:val="00AE4637"/>
    <w:rsid w:val="00AE4D7C"/>
    <w:rsid w:val="00AE50D3"/>
    <w:rsid w:val="00AE64DA"/>
    <w:rsid w:val="00AE6947"/>
    <w:rsid w:val="00AE6BBC"/>
    <w:rsid w:val="00AE72C2"/>
    <w:rsid w:val="00AE74F4"/>
    <w:rsid w:val="00AE7C99"/>
    <w:rsid w:val="00AE7CB6"/>
    <w:rsid w:val="00AE7ED9"/>
    <w:rsid w:val="00AF0320"/>
    <w:rsid w:val="00AF0A80"/>
    <w:rsid w:val="00AF12F6"/>
    <w:rsid w:val="00AF2731"/>
    <w:rsid w:val="00AF3622"/>
    <w:rsid w:val="00AF4681"/>
    <w:rsid w:val="00AF4CE1"/>
    <w:rsid w:val="00AF4D47"/>
    <w:rsid w:val="00AF5771"/>
    <w:rsid w:val="00AF59EA"/>
    <w:rsid w:val="00AF643D"/>
    <w:rsid w:val="00AF69A3"/>
    <w:rsid w:val="00AF6B75"/>
    <w:rsid w:val="00AF6B93"/>
    <w:rsid w:val="00AF6F34"/>
    <w:rsid w:val="00B007A3"/>
    <w:rsid w:val="00B00ED8"/>
    <w:rsid w:val="00B0134B"/>
    <w:rsid w:val="00B0277C"/>
    <w:rsid w:val="00B02858"/>
    <w:rsid w:val="00B03608"/>
    <w:rsid w:val="00B03C1A"/>
    <w:rsid w:val="00B048F6"/>
    <w:rsid w:val="00B04CDB"/>
    <w:rsid w:val="00B05360"/>
    <w:rsid w:val="00B055E1"/>
    <w:rsid w:val="00B05DAD"/>
    <w:rsid w:val="00B06B66"/>
    <w:rsid w:val="00B073E4"/>
    <w:rsid w:val="00B07902"/>
    <w:rsid w:val="00B100BB"/>
    <w:rsid w:val="00B1015E"/>
    <w:rsid w:val="00B10703"/>
    <w:rsid w:val="00B10DC9"/>
    <w:rsid w:val="00B11105"/>
    <w:rsid w:val="00B117F5"/>
    <w:rsid w:val="00B11A5A"/>
    <w:rsid w:val="00B11A8D"/>
    <w:rsid w:val="00B1238B"/>
    <w:rsid w:val="00B124FB"/>
    <w:rsid w:val="00B1315E"/>
    <w:rsid w:val="00B13C5E"/>
    <w:rsid w:val="00B140DD"/>
    <w:rsid w:val="00B141A0"/>
    <w:rsid w:val="00B1440B"/>
    <w:rsid w:val="00B145EF"/>
    <w:rsid w:val="00B14FD4"/>
    <w:rsid w:val="00B156F9"/>
    <w:rsid w:val="00B15BB2"/>
    <w:rsid w:val="00B1659B"/>
    <w:rsid w:val="00B16D90"/>
    <w:rsid w:val="00B17DE1"/>
    <w:rsid w:val="00B17F58"/>
    <w:rsid w:val="00B2042C"/>
    <w:rsid w:val="00B208BE"/>
    <w:rsid w:val="00B2090F"/>
    <w:rsid w:val="00B2139D"/>
    <w:rsid w:val="00B21B0B"/>
    <w:rsid w:val="00B21E85"/>
    <w:rsid w:val="00B21EAE"/>
    <w:rsid w:val="00B21F0A"/>
    <w:rsid w:val="00B22F52"/>
    <w:rsid w:val="00B23055"/>
    <w:rsid w:val="00B2358B"/>
    <w:rsid w:val="00B2513D"/>
    <w:rsid w:val="00B25534"/>
    <w:rsid w:val="00B257EF"/>
    <w:rsid w:val="00B26868"/>
    <w:rsid w:val="00B279B5"/>
    <w:rsid w:val="00B305E3"/>
    <w:rsid w:val="00B30A44"/>
    <w:rsid w:val="00B31031"/>
    <w:rsid w:val="00B31260"/>
    <w:rsid w:val="00B316AD"/>
    <w:rsid w:val="00B31A01"/>
    <w:rsid w:val="00B320E9"/>
    <w:rsid w:val="00B32665"/>
    <w:rsid w:val="00B32750"/>
    <w:rsid w:val="00B330A2"/>
    <w:rsid w:val="00B3356F"/>
    <w:rsid w:val="00B33B87"/>
    <w:rsid w:val="00B33C2C"/>
    <w:rsid w:val="00B3416A"/>
    <w:rsid w:val="00B34247"/>
    <w:rsid w:val="00B34256"/>
    <w:rsid w:val="00B352D4"/>
    <w:rsid w:val="00B3536F"/>
    <w:rsid w:val="00B35B1A"/>
    <w:rsid w:val="00B36490"/>
    <w:rsid w:val="00B36F1A"/>
    <w:rsid w:val="00B37736"/>
    <w:rsid w:val="00B40018"/>
    <w:rsid w:val="00B40340"/>
    <w:rsid w:val="00B40342"/>
    <w:rsid w:val="00B40609"/>
    <w:rsid w:val="00B40722"/>
    <w:rsid w:val="00B40905"/>
    <w:rsid w:val="00B40F74"/>
    <w:rsid w:val="00B40F91"/>
    <w:rsid w:val="00B411EA"/>
    <w:rsid w:val="00B41F3B"/>
    <w:rsid w:val="00B421D8"/>
    <w:rsid w:val="00B421F1"/>
    <w:rsid w:val="00B42C6E"/>
    <w:rsid w:val="00B4396C"/>
    <w:rsid w:val="00B448AD"/>
    <w:rsid w:val="00B448FE"/>
    <w:rsid w:val="00B44F49"/>
    <w:rsid w:val="00B4516A"/>
    <w:rsid w:val="00B45210"/>
    <w:rsid w:val="00B458A1"/>
    <w:rsid w:val="00B45AC3"/>
    <w:rsid w:val="00B45AEC"/>
    <w:rsid w:val="00B45DA8"/>
    <w:rsid w:val="00B45DB5"/>
    <w:rsid w:val="00B45FC0"/>
    <w:rsid w:val="00B4673F"/>
    <w:rsid w:val="00B46C8B"/>
    <w:rsid w:val="00B475DC"/>
    <w:rsid w:val="00B4794A"/>
    <w:rsid w:val="00B47C7B"/>
    <w:rsid w:val="00B50C26"/>
    <w:rsid w:val="00B50C97"/>
    <w:rsid w:val="00B51F3A"/>
    <w:rsid w:val="00B5328A"/>
    <w:rsid w:val="00B532C6"/>
    <w:rsid w:val="00B537FF"/>
    <w:rsid w:val="00B54092"/>
    <w:rsid w:val="00B54DC8"/>
    <w:rsid w:val="00B55663"/>
    <w:rsid w:val="00B565B9"/>
    <w:rsid w:val="00B56930"/>
    <w:rsid w:val="00B569D2"/>
    <w:rsid w:val="00B604FE"/>
    <w:rsid w:val="00B61395"/>
    <w:rsid w:val="00B62C01"/>
    <w:rsid w:val="00B62C62"/>
    <w:rsid w:val="00B642BC"/>
    <w:rsid w:val="00B643C1"/>
    <w:rsid w:val="00B6465A"/>
    <w:rsid w:val="00B6479E"/>
    <w:rsid w:val="00B64B93"/>
    <w:rsid w:val="00B654AE"/>
    <w:rsid w:val="00B65C7B"/>
    <w:rsid w:val="00B66345"/>
    <w:rsid w:val="00B66540"/>
    <w:rsid w:val="00B6745F"/>
    <w:rsid w:val="00B6755E"/>
    <w:rsid w:val="00B675F9"/>
    <w:rsid w:val="00B7026D"/>
    <w:rsid w:val="00B70664"/>
    <w:rsid w:val="00B70AF6"/>
    <w:rsid w:val="00B70CCC"/>
    <w:rsid w:val="00B710D5"/>
    <w:rsid w:val="00B715F4"/>
    <w:rsid w:val="00B7171A"/>
    <w:rsid w:val="00B71EAB"/>
    <w:rsid w:val="00B726AC"/>
    <w:rsid w:val="00B72D3D"/>
    <w:rsid w:val="00B73ED1"/>
    <w:rsid w:val="00B74477"/>
    <w:rsid w:val="00B75C0B"/>
    <w:rsid w:val="00B75C34"/>
    <w:rsid w:val="00B75DF7"/>
    <w:rsid w:val="00B76000"/>
    <w:rsid w:val="00B7638C"/>
    <w:rsid w:val="00B768CF"/>
    <w:rsid w:val="00B76ECB"/>
    <w:rsid w:val="00B77D13"/>
    <w:rsid w:val="00B80194"/>
    <w:rsid w:val="00B802F2"/>
    <w:rsid w:val="00B80525"/>
    <w:rsid w:val="00B80C44"/>
    <w:rsid w:val="00B81994"/>
    <w:rsid w:val="00B81CA5"/>
    <w:rsid w:val="00B8235B"/>
    <w:rsid w:val="00B82752"/>
    <w:rsid w:val="00B82A9F"/>
    <w:rsid w:val="00B82AE5"/>
    <w:rsid w:val="00B82B09"/>
    <w:rsid w:val="00B82FBA"/>
    <w:rsid w:val="00B830E9"/>
    <w:rsid w:val="00B832AC"/>
    <w:rsid w:val="00B8334E"/>
    <w:rsid w:val="00B833ED"/>
    <w:rsid w:val="00B836FC"/>
    <w:rsid w:val="00B8438F"/>
    <w:rsid w:val="00B8472C"/>
    <w:rsid w:val="00B849E5"/>
    <w:rsid w:val="00B84E49"/>
    <w:rsid w:val="00B861B0"/>
    <w:rsid w:val="00B8659C"/>
    <w:rsid w:val="00B86BCA"/>
    <w:rsid w:val="00B87AC8"/>
    <w:rsid w:val="00B87D05"/>
    <w:rsid w:val="00B87FEB"/>
    <w:rsid w:val="00B9001C"/>
    <w:rsid w:val="00B905A8"/>
    <w:rsid w:val="00B91702"/>
    <w:rsid w:val="00B91A58"/>
    <w:rsid w:val="00B91C30"/>
    <w:rsid w:val="00B91C61"/>
    <w:rsid w:val="00B9269B"/>
    <w:rsid w:val="00B926EE"/>
    <w:rsid w:val="00B92E5C"/>
    <w:rsid w:val="00B92EDE"/>
    <w:rsid w:val="00B9369B"/>
    <w:rsid w:val="00B942BF"/>
    <w:rsid w:val="00B94E02"/>
    <w:rsid w:val="00B95D0A"/>
    <w:rsid w:val="00B963B2"/>
    <w:rsid w:val="00B96422"/>
    <w:rsid w:val="00B9681C"/>
    <w:rsid w:val="00B96FAC"/>
    <w:rsid w:val="00B974AC"/>
    <w:rsid w:val="00B97862"/>
    <w:rsid w:val="00BA02AB"/>
    <w:rsid w:val="00BA0384"/>
    <w:rsid w:val="00BA16F0"/>
    <w:rsid w:val="00BA200A"/>
    <w:rsid w:val="00BA21ED"/>
    <w:rsid w:val="00BA240B"/>
    <w:rsid w:val="00BA24EF"/>
    <w:rsid w:val="00BA27FA"/>
    <w:rsid w:val="00BA2913"/>
    <w:rsid w:val="00BA2B4A"/>
    <w:rsid w:val="00BA31E3"/>
    <w:rsid w:val="00BA35F7"/>
    <w:rsid w:val="00BA3615"/>
    <w:rsid w:val="00BA4907"/>
    <w:rsid w:val="00BA4A04"/>
    <w:rsid w:val="00BA550B"/>
    <w:rsid w:val="00BA5512"/>
    <w:rsid w:val="00BA58A4"/>
    <w:rsid w:val="00BA59D2"/>
    <w:rsid w:val="00BA5C44"/>
    <w:rsid w:val="00BA657F"/>
    <w:rsid w:val="00BA7268"/>
    <w:rsid w:val="00BA7BE2"/>
    <w:rsid w:val="00BA7DBF"/>
    <w:rsid w:val="00BB04EE"/>
    <w:rsid w:val="00BB0A9E"/>
    <w:rsid w:val="00BB1AC3"/>
    <w:rsid w:val="00BB2B42"/>
    <w:rsid w:val="00BB30DA"/>
    <w:rsid w:val="00BB35F9"/>
    <w:rsid w:val="00BB38E8"/>
    <w:rsid w:val="00BB458E"/>
    <w:rsid w:val="00BB4BA8"/>
    <w:rsid w:val="00BB5472"/>
    <w:rsid w:val="00BB54EF"/>
    <w:rsid w:val="00BB5A4A"/>
    <w:rsid w:val="00BB66E9"/>
    <w:rsid w:val="00BB6C01"/>
    <w:rsid w:val="00BB6C9E"/>
    <w:rsid w:val="00BB751E"/>
    <w:rsid w:val="00BB75D3"/>
    <w:rsid w:val="00BB7CB6"/>
    <w:rsid w:val="00BC01D7"/>
    <w:rsid w:val="00BC0FA3"/>
    <w:rsid w:val="00BC1986"/>
    <w:rsid w:val="00BC1A90"/>
    <w:rsid w:val="00BC1D02"/>
    <w:rsid w:val="00BC1F88"/>
    <w:rsid w:val="00BC221F"/>
    <w:rsid w:val="00BC2700"/>
    <w:rsid w:val="00BC2B22"/>
    <w:rsid w:val="00BC2D3C"/>
    <w:rsid w:val="00BC30A2"/>
    <w:rsid w:val="00BC331F"/>
    <w:rsid w:val="00BC37B5"/>
    <w:rsid w:val="00BC44D4"/>
    <w:rsid w:val="00BC44E0"/>
    <w:rsid w:val="00BC45C0"/>
    <w:rsid w:val="00BC509A"/>
    <w:rsid w:val="00BC5511"/>
    <w:rsid w:val="00BC5580"/>
    <w:rsid w:val="00BC57CC"/>
    <w:rsid w:val="00BC581B"/>
    <w:rsid w:val="00BC5A8B"/>
    <w:rsid w:val="00BC7D1C"/>
    <w:rsid w:val="00BD016C"/>
    <w:rsid w:val="00BD0A73"/>
    <w:rsid w:val="00BD0E7F"/>
    <w:rsid w:val="00BD1DA8"/>
    <w:rsid w:val="00BD20A4"/>
    <w:rsid w:val="00BD22B7"/>
    <w:rsid w:val="00BD2A9C"/>
    <w:rsid w:val="00BD3BDD"/>
    <w:rsid w:val="00BD4D5D"/>
    <w:rsid w:val="00BD4E7E"/>
    <w:rsid w:val="00BD50B0"/>
    <w:rsid w:val="00BD5369"/>
    <w:rsid w:val="00BD5A9D"/>
    <w:rsid w:val="00BD5BA3"/>
    <w:rsid w:val="00BD5E01"/>
    <w:rsid w:val="00BD6510"/>
    <w:rsid w:val="00BD6631"/>
    <w:rsid w:val="00BD698E"/>
    <w:rsid w:val="00BD6B46"/>
    <w:rsid w:val="00BD6C74"/>
    <w:rsid w:val="00BD6F58"/>
    <w:rsid w:val="00BD736D"/>
    <w:rsid w:val="00BD75F6"/>
    <w:rsid w:val="00BD7CA9"/>
    <w:rsid w:val="00BD7CBB"/>
    <w:rsid w:val="00BE023E"/>
    <w:rsid w:val="00BE1747"/>
    <w:rsid w:val="00BE2280"/>
    <w:rsid w:val="00BE22A5"/>
    <w:rsid w:val="00BE26F6"/>
    <w:rsid w:val="00BE2AB5"/>
    <w:rsid w:val="00BE2E2C"/>
    <w:rsid w:val="00BE40B6"/>
    <w:rsid w:val="00BE42BB"/>
    <w:rsid w:val="00BE4918"/>
    <w:rsid w:val="00BE4AAF"/>
    <w:rsid w:val="00BE4AB0"/>
    <w:rsid w:val="00BE4F1C"/>
    <w:rsid w:val="00BE4F21"/>
    <w:rsid w:val="00BE5040"/>
    <w:rsid w:val="00BE5661"/>
    <w:rsid w:val="00BE5814"/>
    <w:rsid w:val="00BE6B6B"/>
    <w:rsid w:val="00BE6DFE"/>
    <w:rsid w:val="00BE7293"/>
    <w:rsid w:val="00BE7509"/>
    <w:rsid w:val="00BE79F7"/>
    <w:rsid w:val="00BE7E7D"/>
    <w:rsid w:val="00BE7FE1"/>
    <w:rsid w:val="00BF0A1A"/>
    <w:rsid w:val="00BF1BCE"/>
    <w:rsid w:val="00BF1C76"/>
    <w:rsid w:val="00BF204A"/>
    <w:rsid w:val="00BF23BB"/>
    <w:rsid w:val="00BF2402"/>
    <w:rsid w:val="00BF3517"/>
    <w:rsid w:val="00BF373F"/>
    <w:rsid w:val="00BF39CD"/>
    <w:rsid w:val="00BF3BB7"/>
    <w:rsid w:val="00BF4023"/>
    <w:rsid w:val="00BF46F3"/>
    <w:rsid w:val="00BF50DA"/>
    <w:rsid w:val="00BF595F"/>
    <w:rsid w:val="00BF5D6E"/>
    <w:rsid w:val="00BF6004"/>
    <w:rsid w:val="00BF60FF"/>
    <w:rsid w:val="00BF6233"/>
    <w:rsid w:val="00BF7734"/>
    <w:rsid w:val="00BF790E"/>
    <w:rsid w:val="00BF7EA2"/>
    <w:rsid w:val="00BF7FA4"/>
    <w:rsid w:val="00C00613"/>
    <w:rsid w:val="00C00722"/>
    <w:rsid w:val="00C00873"/>
    <w:rsid w:val="00C009D9"/>
    <w:rsid w:val="00C00F5B"/>
    <w:rsid w:val="00C0100F"/>
    <w:rsid w:val="00C012EC"/>
    <w:rsid w:val="00C01A91"/>
    <w:rsid w:val="00C01D88"/>
    <w:rsid w:val="00C034EC"/>
    <w:rsid w:val="00C03687"/>
    <w:rsid w:val="00C04223"/>
    <w:rsid w:val="00C044A7"/>
    <w:rsid w:val="00C04F2A"/>
    <w:rsid w:val="00C05066"/>
    <w:rsid w:val="00C05207"/>
    <w:rsid w:val="00C052BA"/>
    <w:rsid w:val="00C052D1"/>
    <w:rsid w:val="00C0540E"/>
    <w:rsid w:val="00C05A1E"/>
    <w:rsid w:val="00C065D8"/>
    <w:rsid w:val="00C06A17"/>
    <w:rsid w:val="00C07315"/>
    <w:rsid w:val="00C07716"/>
    <w:rsid w:val="00C11170"/>
    <w:rsid w:val="00C114DC"/>
    <w:rsid w:val="00C12151"/>
    <w:rsid w:val="00C1230D"/>
    <w:rsid w:val="00C12337"/>
    <w:rsid w:val="00C123A7"/>
    <w:rsid w:val="00C1254F"/>
    <w:rsid w:val="00C1295D"/>
    <w:rsid w:val="00C13DC7"/>
    <w:rsid w:val="00C14D36"/>
    <w:rsid w:val="00C151DA"/>
    <w:rsid w:val="00C15366"/>
    <w:rsid w:val="00C157CD"/>
    <w:rsid w:val="00C159C5"/>
    <w:rsid w:val="00C159F2"/>
    <w:rsid w:val="00C16160"/>
    <w:rsid w:val="00C16626"/>
    <w:rsid w:val="00C1662B"/>
    <w:rsid w:val="00C16D01"/>
    <w:rsid w:val="00C17391"/>
    <w:rsid w:val="00C17655"/>
    <w:rsid w:val="00C17FD3"/>
    <w:rsid w:val="00C22171"/>
    <w:rsid w:val="00C2273F"/>
    <w:rsid w:val="00C24407"/>
    <w:rsid w:val="00C24903"/>
    <w:rsid w:val="00C24B40"/>
    <w:rsid w:val="00C252B7"/>
    <w:rsid w:val="00C26800"/>
    <w:rsid w:val="00C26F0E"/>
    <w:rsid w:val="00C27275"/>
    <w:rsid w:val="00C272D7"/>
    <w:rsid w:val="00C2791D"/>
    <w:rsid w:val="00C27C8B"/>
    <w:rsid w:val="00C3038A"/>
    <w:rsid w:val="00C3059F"/>
    <w:rsid w:val="00C31415"/>
    <w:rsid w:val="00C31AA8"/>
    <w:rsid w:val="00C324D4"/>
    <w:rsid w:val="00C328FC"/>
    <w:rsid w:val="00C331F3"/>
    <w:rsid w:val="00C336EC"/>
    <w:rsid w:val="00C337F3"/>
    <w:rsid w:val="00C3419B"/>
    <w:rsid w:val="00C34470"/>
    <w:rsid w:val="00C3451C"/>
    <w:rsid w:val="00C3451F"/>
    <w:rsid w:val="00C35845"/>
    <w:rsid w:val="00C35949"/>
    <w:rsid w:val="00C35C09"/>
    <w:rsid w:val="00C360E9"/>
    <w:rsid w:val="00C36263"/>
    <w:rsid w:val="00C36CA4"/>
    <w:rsid w:val="00C36DC5"/>
    <w:rsid w:val="00C36FFC"/>
    <w:rsid w:val="00C370BD"/>
    <w:rsid w:val="00C3734B"/>
    <w:rsid w:val="00C37505"/>
    <w:rsid w:val="00C37A90"/>
    <w:rsid w:val="00C4029C"/>
    <w:rsid w:val="00C40F59"/>
    <w:rsid w:val="00C41796"/>
    <w:rsid w:val="00C418EE"/>
    <w:rsid w:val="00C42168"/>
    <w:rsid w:val="00C426A5"/>
    <w:rsid w:val="00C43038"/>
    <w:rsid w:val="00C4316E"/>
    <w:rsid w:val="00C43665"/>
    <w:rsid w:val="00C45238"/>
    <w:rsid w:val="00C463D1"/>
    <w:rsid w:val="00C4648A"/>
    <w:rsid w:val="00C46752"/>
    <w:rsid w:val="00C46B21"/>
    <w:rsid w:val="00C46D01"/>
    <w:rsid w:val="00C478B1"/>
    <w:rsid w:val="00C47D03"/>
    <w:rsid w:val="00C5105D"/>
    <w:rsid w:val="00C511FF"/>
    <w:rsid w:val="00C516A6"/>
    <w:rsid w:val="00C51BE0"/>
    <w:rsid w:val="00C51E33"/>
    <w:rsid w:val="00C531FD"/>
    <w:rsid w:val="00C53B9C"/>
    <w:rsid w:val="00C53F50"/>
    <w:rsid w:val="00C542F1"/>
    <w:rsid w:val="00C54A20"/>
    <w:rsid w:val="00C55162"/>
    <w:rsid w:val="00C55F5D"/>
    <w:rsid w:val="00C565ED"/>
    <w:rsid w:val="00C57723"/>
    <w:rsid w:val="00C57E04"/>
    <w:rsid w:val="00C603BC"/>
    <w:rsid w:val="00C60F8C"/>
    <w:rsid w:val="00C61605"/>
    <w:rsid w:val="00C61A63"/>
    <w:rsid w:val="00C61B85"/>
    <w:rsid w:val="00C61BD2"/>
    <w:rsid w:val="00C62424"/>
    <w:rsid w:val="00C62EF1"/>
    <w:rsid w:val="00C6309B"/>
    <w:rsid w:val="00C635D1"/>
    <w:rsid w:val="00C63924"/>
    <w:rsid w:val="00C645B5"/>
    <w:rsid w:val="00C64709"/>
    <w:rsid w:val="00C64CD6"/>
    <w:rsid w:val="00C65C3D"/>
    <w:rsid w:val="00C665B2"/>
    <w:rsid w:val="00C6694A"/>
    <w:rsid w:val="00C66F25"/>
    <w:rsid w:val="00C679E4"/>
    <w:rsid w:val="00C67EA8"/>
    <w:rsid w:val="00C700F1"/>
    <w:rsid w:val="00C705BD"/>
    <w:rsid w:val="00C706DE"/>
    <w:rsid w:val="00C710AD"/>
    <w:rsid w:val="00C712F3"/>
    <w:rsid w:val="00C7153F"/>
    <w:rsid w:val="00C717DC"/>
    <w:rsid w:val="00C71AEC"/>
    <w:rsid w:val="00C72312"/>
    <w:rsid w:val="00C72D97"/>
    <w:rsid w:val="00C72FE1"/>
    <w:rsid w:val="00C73058"/>
    <w:rsid w:val="00C73122"/>
    <w:rsid w:val="00C7326D"/>
    <w:rsid w:val="00C7396B"/>
    <w:rsid w:val="00C74466"/>
    <w:rsid w:val="00C75423"/>
    <w:rsid w:val="00C75E9D"/>
    <w:rsid w:val="00C764E5"/>
    <w:rsid w:val="00C77463"/>
    <w:rsid w:val="00C77530"/>
    <w:rsid w:val="00C779C0"/>
    <w:rsid w:val="00C77BBA"/>
    <w:rsid w:val="00C77C1C"/>
    <w:rsid w:val="00C80F16"/>
    <w:rsid w:val="00C8106F"/>
    <w:rsid w:val="00C811C2"/>
    <w:rsid w:val="00C81872"/>
    <w:rsid w:val="00C81E66"/>
    <w:rsid w:val="00C82386"/>
    <w:rsid w:val="00C82946"/>
    <w:rsid w:val="00C82CE5"/>
    <w:rsid w:val="00C82F62"/>
    <w:rsid w:val="00C832E0"/>
    <w:rsid w:val="00C83D19"/>
    <w:rsid w:val="00C84144"/>
    <w:rsid w:val="00C84492"/>
    <w:rsid w:val="00C84534"/>
    <w:rsid w:val="00C84E75"/>
    <w:rsid w:val="00C84EE4"/>
    <w:rsid w:val="00C855FC"/>
    <w:rsid w:val="00C8589D"/>
    <w:rsid w:val="00C85BEE"/>
    <w:rsid w:val="00C86535"/>
    <w:rsid w:val="00C874D9"/>
    <w:rsid w:val="00C87D77"/>
    <w:rsid w:val="00C904DB"/>
    <w:rsid w:val="00C90A8B"/>
    <w:rsid w:val="00C90AFA"/>
    <w:rsid w:val="00C918B2"/>
    <w:rsid w:val="00C91C92"/>
    <w:rsid w:val="00C91F47"/>
    <w:rsid w:val="00C924B0"/>
    <w:rsid w:val="00C929F2"/>
    <w:rsid w:val="00C93DCA"/>
    <w:rsid w:val="00C94EB9"/>
    <w:rsid w:val="00C94F6D"/>
    <w:rsid w:val="00C95179"/>
    <w:rsid w:val="00C956A2"/>
    <w:rsid w:val="00C9571C"/>
    <w:rsid w:val="00C95827"/>
    <w:rsid w:val="00C95AAA"/>
    <w:rsid w:val="00C95DFB"/>
    <w:rsid w:val="00C9637B"/>
    <w:rsid w:val="00C96AFC"/>
    <w:rsid w:val="00C96FF5"/>
    <w:rsid w:val="00C972B4"/>
    <w:rsid w:val="00CA1360"/>
    <w:rsid w:val="00CA1452"/>
    <w:rsid w:val="00CA17CB"/>
    <w:rsid w:val="00CA19D3"/>
    <w:rsid w:val="00CA2C10"/>
    <w:rsid w:val="00CA320D"/>
    <w:rsid w:val="00CA34EA"/>
    <w:rsid w:val="00CA364D"/>
    <w:rsid w:val="00CA3DB5"/>
    <w:rsid w:val="00CA403A"/>
    <w:rsid w:val="00CA46F3"/>
    <w:rsid w:val="00CA4BDB"/>
    <w:rsid w:val="00CA552D"/>
    <w:rsid w:val="00CA630C"/>
    <w:rsid w:val="00CA6A83"/>
    <w:rsid w:val="00CA7034"/>
    <w:rsid w:val="00CA7251"/>
    <w:rsid w:val="00CA74F0"/>
    <w:rsid w:val="00CA768C"/>
    <w:rsid w:val="00CA7BFE"/>
    <w:rsid w:val="00CA7CEE"/>
    <w:rsid w:val="00CB0139"/>
    <w:rsid w:val="00CB0A16"/>
    <w:rsid w:val="00CB1337"/>
    <w:rsid w:val="00CB1908"/>
    <w:rsid w:val="00CB1A70"/>
    <w:rsid w:val="00CB20EC"/>
    <w:rsid w:val="00CB279F"/>
    <w:rsid w:val="00CB27C3"/>
    <w:rsid w:val="00CB29AC"/>
    <w:rsid w:val="00CB3916"/>
    <w:rsid w:val="00CB3D67"/>
    <w:rsid w:val="00CB4993"/>
    <w:rsid w:val="00CB4DC7"/>
    <w:rsid w:val="00CB59F2"/>
    <w:rsid w:val="00CB65B3"/>
    <w:rsid w:val="00CB69DB"/>
    <w:rsid w:val="00CB7281"/>
    <w:rsid w:val="00CB77B4"/>
    <w:rsid w:val="00CC00E0"/>
    <w:rsid w:val="00CC0266"/>
    <w:rsid w:val="00CC0AC4"/>
    <w:rsid w:val="00CC0C6C"/>
    <w:rsid w:val="00CC1C42"/>
    <w:rsid w:val="00CC232A"/>
    <w:rsid w:val="00CC2AD1"/>
    <w:rsid w:val="00CC2B01"/>
    <w:rsid w:val="00CC2D28"/>
    <w:rsid w:val="00CC31B7"/>
    <w:rsid w:val="00CC33F2"/>
    <w:rsid w:val="00CC36F1"/>
    <w:rsid w:val="00CC495D"/>
    <w:rsid w:val="00CC551D"/>
    <w:rsid w:val="00CC5C8E"/>
    <w:rsid w:val="00CC673C"/>
    <w:rsid w:val="00CD05CC"/>
    <w:rsid w:val="00CD0990"/>
    <w:rsid w:val="00CD0E78"/>
    <w:rsid w:val="00CD1200"/>
    <w:rsid w:val="00CD2577"/>
    <w:rsid w:val="00CD312E"/>
    <w:rsid w:val="00CD3380"/>
    <w:rsid w:val="00CD42F6"/>
    <w:rsid w:val="00CD4FE1"/>
    <w:rsid w:val="00CD5832"/>
    <w:rsid w:val="00CD583E"/>
    <w:rsid w:val="00CD5B7D"/>
    <w:rsid w:val="00CD6181"/>
    <w:rsid w:val="00CD64BE"/>
    <w:rsid w:val="00CD6CD1"/>
    <w:rsid w:val="00CD6DBE"/>
    <w:rsid w:val="00CD6EC4"/>
    <w:rsid w:val="00CD707E"/>
    <w:rsid w:val="00CD71E7"/>
    <w:rsid w:val="00CD75DE"/>
    <w:rsid w:val="00CD7993"/>
    <w:rsid w:val="00CD7B29"/>
    <w:rsid w:val="00CD7EEC"/>
    <w:rsid w:val="00CD7F47"/>
    <w:rsid w:val="00CE128D"/>
    <w:rsid w:val="00CE22CA"/>
    <w:rsid w:val="00CE2F40"/>
    <w:rsid w:val="00CE36A3"/>
    <w:rsid w:val="00CE3778"/>
    <w:rsid w:val="00CE3D21"/>
    <w:rsid w:val="00CE4578"/>
    <w:rsid w:val="00CE594F"/>
    <w:rsid w:val="00CE5E5A"/>
    <w:rsid w:val="00CE604D"/>
    <w:rsid w:val="00CE627D"/>
    <w:rsid w:val="00CE6333"/>
    <w:rsid w:val="00CE6812"/>
    <w:rsid w:val="00CE6D1C"/>
    <w:rsid w:val="00CE70E9"/>
    <w:rsid w:val="00CE73DE"/>
    <w:rsid w:val="00CE792A"/>
    <w:rsid w:val="00CF0115"/>
    <w:rsid w:val="00CF0461"/>
    <w:rsid w:val="00CF13F9"/>
    <w:rsid w:val="00CF1491"/>
    <w:rsid w:val="00CF3020"/>
    <w:rsid w:val="00CF3030"/>
    <w:rsid w:val="00CF319E"/>
    <w:rsid w:val="00CF3AB2"/>
    <w:rsid w:val="00CF46DB"/>
    <w:rsid w:val="00CF49C1"/>
    <w:rsid w:val="00CF4ECB"/>
    <w:rsid w:val="00CF4F1E"/>
    <w:rsid w:val="00CF51B0"/>
    <w:rsid w:val="00CF5A27"/>
    <w:rsid w:val="00CF749D"/>
    <w:rsid w:val="00CF74B1"/>
    <w:rsid w:val="00CF78BB"/>
    <w:rsid w:val="00D0013A"/>
    <w:rsid w:val="00D004ED"/>
    <w:rsid w:val="00D01C40"/>
    <w:rsid w:val="00D01E01"/>
    <w:rsid w:val="00D02693"/>
    <w:rsid w:val="00D028F4"/>
    <w:rsid w:val="00D02BDC"/>
    <w:rsid w:val="00D03657"/>
    <w:rsid w:val="00D04A4F"/>
    <w:rsid w:val="00D05389"/>
    <w:rsid w:val="00D05541"/>
    <w:rsid w:val="00D058F5"/>
    <w:rsid w:val="00D05CE2"/>
    <w:rsid w:val="00D05FEA"/>
    <w:rsid w:val="00D06105"/>
    <w:rsid w:val="00D06869"/>
    <w:rsid w:val="00D06C6A"/>
    <w:rsid w:val="00D074C1"/>
    <w:rsid w:val="00D1036B"/>
    <w:rsid w:val="00D1046C"/>
    <w:rsid w:val="00D10525"/>
    <w:rsid w:val="00D1151D"/>
    <w:rsid w:val="00D118B2"/>
    <w:rsid w:val="00D11F66"/>
    <w:rsid w:val="00D12471"/>
    <w:rsid w:val="00D130D6"/>
    <w:rsid w:val="00D132FD"/>
    <w:rsid w:val="00D1359E"/>
    <w:rsid w:val="00D13755"/>
    <w:rsid w:val="00D13EE3"/>
    <w:rsid w:val="00D14655"/>
    <w:rsid w:val="00D1540D"/>
    <w:rsid w:val="00D154C2"/>
    <w:rsid w:val="00D1589B"/>
    <w:rsid w:val="00D16031"/>
    <w:rsid w:val="00D163A4"/>
    <w:rsid w:val="00D166CF"/>
    <w:rsid w:val="00D1695D"/>
    <w:rsid w:val="00D1712A"/>
    <w:rsid w:val="00D171ED"/>
    <w:rsid w:val="00D17845"/>
    <w:rsid w:val="00D17CB5"/>
    <w:rsid w:val="00D20927"/>
    <w:rsid w:val="00D214D4"/>
    <w:rsid w:val="00D21E34"/>
    <w:rsid w:val="00D22250"/>
    <w:rsid w:val="00D2380E"/>
    <w:rsid w:val="00D24175"/>
    <w:rsid w:val="00D249BD"/>
    <w:rsid w:val="00D24C87"/>
    <w:rsid w:val="00D254B1"/>
    <w:rsid w:val="00D25716"/>
    <w:rsid w:val="00D25813"/>
    <w:rsid w:val="00D266FC"/>
    <w:rsid w:val="00D2683B"/>
    <w:rsid w:val="00D26AD9"/>
    <w:rsid w:val="00D27D2B"/>
    <w:rsid w:val="00D27FB5"/>
    <w:rsid w:val="00D30C1E"/>
    <w:rsid w:val="00D30DF0"/>
    <w:rsid w:val="00D31652"/>
    <w:rsid w:val="00D318E0"/>
    <w:rsid w:val="00D32827"/>
    <w:rsid w:val="00D32BB1"/>
    <w:rsid w:val="00D32CDF"/>
    <w:rsid w:val="00D3358A"/>
    <w:rsid w:val="00D3397E"/>
    <w:rsid w:val="00D34E5D"/>
    <w:rsid w:val="00D34E97"/>
    <w:rsid w:val="00D3582A"/>
    <w:rsid w:val="00D35AF6"/>
    <w:rsid w:val="00D35E67"/>
    <w:rsid w:val="00D3611C"/>
    <w:rsid w:val="00D363A0"/>
    <w:rsid w:val="00D369E5"/>
    <w:rsid w:val="00D36B5C"/>
    <w:rsid w:val="00D37018"/>
    <w:rsid w:val="00D40026"/>
    <w:rsid w:val="00D403B6"/>
    <w:rsid w:val="00D4087B"/>
    <w:rsid w:val="00D40EFE"/>
    <w:rsid w:val="00D41178"/>
    <w:rsid w:val="00D412B4"/>
    <w:rsid w:val="00D4229A"/>
    <w:rsid w:val="00D42B3D"/>
    <w:rsid w:val="00D43BDB"/>
    <w:rsid w:val="00D44139"/>
    <w:rsid w:val="00D443DE"/>
    <w:rsid w:val="00D44547"/>
    <w:rsid w:val="00D4498A"/>
    <w:rsid w:val="00D4501B"/>
    <w:rsid w:val="00D4507C"/>
    <w:rsid w:val="00D45336"/>
    <w:rsid w:val="00D4576C"/>
    <w:rsid w:val="00D46926"/>
    <w:rsid w:val="00D503E9"/>
    <w:rsid w:val="00D50BB8"/>
    <w:rsid w:val="00D50FF8"/>
    <w:rsid w:val="00D516D2"/>
    <w:rsid w:val="00D52837"/>
    <w:rsid w:val="00D52DC9"/>
    <w:rsid w:val="00D53051"/>
    <w:rsid w:val="00D53246"/>
    <w:rsid w:val="00D533AD"/>
    <w:rsid w:val="00D5375C"/>
    <w:rsid w:val="00D53774"/>
    <w:rsid w:val="00D537B4"/>
    <w:rsid w:val="00D53B83"/>
    <w:rsid w:val="00D53CE1"/>
    <w:rsid w:val="00D542C9"/>
    <w:rsid w:val="00D5486D"/>
    <w:rsid w:val="00D54C8B"/>
    <w:rsid w:val="00D54F11"/>
    <w:rsid w:val="00D5583F"/>
    <w:rsid w:val="00D55DE8"/>
    <w:rsid w:val="00D56309"/>
    <w:rsid w:val="00D563E1"/>
    <w:rsid w:val="00D57062"/>
    <w:rsid w:val="00D571F6"/>
    <w:rsid w:val="00D60C29"/>
    <w:rsid w:val="00D61E11"/>
    <w:rsid w:val="00D62297"/>
    <w:rsid w:val="00D62359"/>
    <w:rsid w:val="00D62827"/>
    <w:rsid w:val="00D62DD9"/>
    <w:rsid w:val="00D62DDE"/>
    <w:rsid w:val="00D633AA"/>
    <w:rsid w:val="00D634EE"/>
    <w:rsid w:val="00D64549"/>
    <w:rsid w:val="00D647F1"/>
    <w:rsid w:val="00D64994"/>
    <w:rsid w:val="00D64A3A"/>
    <w:rsid w:val="00D64DEE"/>
    <w:rsid w:val="00D65CD0"/>
    <w:rsid w:val="00D65CD9"/>
    <w:rsid w:val="00D66452"/>
    <w:rsid w:val="00D66DBA"/>
    <w:rsid w:val="00D70289"/>
    <w:rsid w:val="00D70389"/>
    <w:rsid w:val="00D70742"/>
    <w:rsid w:val="00D708E3"/>
    <w:rsid w:val="00D70A6E"/>
    <w:rsid w:val="00D70E7B"/>
    <w:rsid w:val="00D71557"/>
    <w:rsid w:val="00D717DB"/>
    <w:rsid w:val="00D7312E"/>
    <w:rsid w:val="00D731DD"/>
    <w:rsid w:val="00D733C3"/>
    <w:rsid w:val="00D73593"/>
    <w:rsid w:val="00D742EB"/>
    <w:rsid w:val="00D744E5"/>
    <w:rsid w:val="00D74818"/>
    <w:rsid w:val="00D76588"/>
    <w:rsid w:val="00D76915"/>
    <w:rsid w:val="00D77436"/>
    <w:rsid w:val="00D7744C"/>
    <w:rsid w:val="00D775CF"/>
    <w:rsid w:val="00D778B1"/>
    <w:rsid w:val="00D80144"/>
    <w:rsid w:val="00D80196"/>
    <w:rsid w:val="00D805B1"/>
    <w:rsid w:val="00D806F2"/>
    <w:rsid w:val="00D80FC4"/>
    <w:rsid w:val="00D81240"/>
    <w:rsid w:val="00D8136B"/>
    <w:rsid w:val="00D8140D"/>
    <w:rsid w:val="00D81A90"/>
    <w:rsid w:val="00D82448"/>
    <w:rsid w:val="00D82784"/>
    <w:rsid w:val="00D82C09"/>
    <w:rsid w:val="00D82DE9"/>
    <w:rsid w:val="00D82F55"/>
    <w:rsid w:val="00D833BD"/>
    <w:rsid w:val="00D83F64"/>
    <w:rsid w:val="00D84CDA"/>
    <w:rsid w:val="00D850A8"/>
    <w:rsid w:val="00D85967"/>
    <w:rsid w:val="00D85B68"/>
    <w:rsid w:val="00D86B89"/>
    <w:rsid w:val="00D86BF6"/>
    <w:rsid w:val="00D86EB9"/>
    <w:rsid w:val="00D86F6D"/>
    <w:rsid w:val="00D86FC8"/>
    <w:rsid w:val="00D87008"/>
    <w:rsid w:val="00D87525"/>
    <w:rsid w:val="00D878B1"/>
    <w:rsid w:val="00D90431"/>
    <w:rsid w:val="00D90F65"/>
    <w:rsid w:val="00D9133C"/>
    <w:rsid w:val="00D91520"/>
    <w:rsid w:val="00D915FA"/>
    <w:rsid w:val="00D92056"/>
    <w:rsid w:val="00D92CA9"/>
    <w:rsid w:val="00D93758"/>
    <w:rsid w:val="00D93889"/>
    <w:rsid w:val="00D9612F"/>
    <w:rsid w:val="00D961E9"/>
    <w:rsid w:val="00D9711F"/>
    <w:rsid w:val="00D974E1"/>
    <w:rsid w:val="00D976B0"/>
    <w:rsid w:val="00D976D4"/>
    <w:rsid w:val="00D97B88"/>
    <w:rsid w:val="00D97CD0"/>
    <w:rsid w:val="00DA01EB"/>
    <w:rsid w:val="00DA0A03"/>
    <w:rsid w:val="00DA0C0F"/>
    <w:rsid w:val="00DA221E"/>
    <w:rsid w:val="00DA250E"/>
    <w:rsid w:val="00DA30AC"/>
    <w:rsid w:val="00DA431D"/>
    <w:rsid w:val="00DA5082"/>
    <w:rsid w:val="00DA576C"/>
    <w:rsid w:val="00DA580D"/>
    <w:rsid w:val="00DA6E01"/>
    <w:rsid w:val="00DA7127"/>
    <w:rsid w:val="00DA7447"/>
    <w:rsid w:val="00DA7E20"/>
    <w:rsid w:val="00DB0020"/>
    <w:rsid w:val="00DB0067"/>
    <w:rsid w:val="00DB024C"/>
    <w:rsid w:val="00DB0B74"/>
    <w:rsid w:val="00DB0E1E"/>
    <w:rsid w:val="00DB1316"/>
    <w:rsid w:val="00DB186F"/>
    <w:rsid w:val="00DB1D71"/>
    <w:rsid w:val="00DB1DA3"/>
    <w:rsid w:val="00DB2891"/>
    <w:rsid w:val="00DB321C"/>
    <w:rsid w:val="00DB3C7F"/>
    <w:rsid w:val="00DB40F3"/>
    <w:rsid w:val="00DB4AF4"/>
    <w:rsid w:val="00DB4F35"/>
    <w:rsid w:val="00DB6AC9"/>
    <w:rsid w:val="00DB750A"/>
    <w:rsid w:val="00DB7C36"/>
    <w:rsid w:val="00DC012E"/>
    <w:rsid w:val="00DC0B0B"/>
    <w:rsid w:val="00DC0C33"/>
    <w:rsid w:val="00DC15E6"/>
    <w:rsid w:val="00DC16A3"/>
    <w:rsid w:val="00DC2409"/>
    <w:rsid w:val="00DC2CE2"/>
    <w:rsid w:val="00DC316E"/>
    <w:rsid w:val="00DC31EE"/>
    <w:rsid w:val="00DC3567"/>
    <w:rsid w:val="00DC3604"/>
    <w:rsid w:val="00DC387C"/>
    <w:rsid w:val="00DC3996"/>
    <w:rsid w:val="00DC43C5"/>
    <w:rsid w:val="00DC456F"/>
    <w:rsid w:val="00DC5092"/>
    <w:rsid w:val="00DC5300"/>
    <w:rsid w:val="00DC5B05"/>
    <w:rsid w:val="00DC62BE"/>
    <w:rsid w:val="00DC6C1A"/>
    <w:rsid w:val="00DC6CE8"/>
    <w:rsid w:val="00DC6D9A"/>
    <w:rsid w:val="00DC778D"/>
    <w:rsid w:val="00DC7B99"/>
    <w:rsid w:val="00DD0B5D"/>
    <w:rsid w:val="00DD0C5A"/>
    <w:rsid w:val="00DD0EFB"/>
    <w:rsid w:val="00DD12B4"/>
    <w:rsid w:val="00DD1744"/>
    <w:rsid w:val="00DD1C2E"/>
    <w:rsid w:val="00DD2198"/>
    <w:rsid w:val="00DD28AA"/>
    <w:rsid w:val="00DD32FE"/>
    <w:rsid w:val="00DD34B4"/>
    <w:rsid w:val="00DD4397"/>
    <w:rsid w:val="00DD63C6"/>
    <w:rsid w:val="00DD6B3D"/>
    <w:rsid w:val="00DE0175"/>
    <w:rsid w:val="00DE023E"/>
    <w:rsid w:val="00DE025D"/>
    <w:rsid w:val="00DE034C"/>
    <w:rsid w:val="00DE0B7F"/>
    <w:rsid w:val="00DE0C98"/>
    <w:rsid w:val="00DE1422"/>
    <w:rsid w:val="00DE14C7"/>
    <w:rsid w:val="00DE1C57"/>
    <w:rsid w:val="00DE1E1E"/>
    <w:rsid w:val="00DE332B"/>
    <w:rsid w:val="00DE339A"/>
    <w:rsid w:val="00DE3575"/>
    <w:rsid w:val="00DE36C0"/>
    <w:rsid w:val="00DE4C21"/>
    <w:rsid w:val="00DE521D"/>
    <w:rsid w:val="00DE523A"/>
    <w:rsid w:val="00DE7095"/>
    <w:rsid w:val="00DE7A98"/>
    <w:rsid w:val="00DE7E60"/>
    <w:rsid w:val="00DF03DC"/>
    <w:rsid w:val="00DF09E0"/>
    <w:rsid w:val="00DF173E"/>
    <w:rsid w:val="00DF1914"/>
    <w:rsid w:val="00DF2144"/>
    <w:rsid w:val="00DF222D"/>
    <w:rsid w:val="00DF26A2"/>
    <w:rsid w:val="00DF2768"/>
    <w:rsid w:val="00DF2958"/>
    <w:rsid w:val="00DF34AA"/>
    <w:rsid w:val="00DF35B9"/>
    <w:rsid w:val="00DF3685"/>
    <w:rsid w:val="00DF4532"/>
    <w:rsid w:val="00DF5C8F"/>
    <w:rsid w:val="00DF6483"/>
    <w:rsid w:val="00DF65D8"/>
    <w:rsid w:val="00DF6B83"/>
    <w:rsid w:val="00DF6BA2"/>
    <w:rsid w:val="00DF6CC8"/>
    <w:rsid w:val="00DF720F"/>
    <w:rsid w:val="00DF79BE"/>
    <w:rsid w:val="00DF7A8B"/>
    <w:rsid w:val="00DF7CD7"/>
    <w:rsid w:val="00DF7FA5"/>
    <w:rsid w:val="00E00413"/>
    <w:rsid w:val="00E005DD"/>
    <w:rsid w:val="00E015BA"/>
    <w:rsid w:val="00E016CD"/>
    <w:rsid w:val="00E01A14"/>
    <w:rsid w:val="00E01CA7"/>
    <w:rsid w:val="00E02335"/>
    <w:rsid w:val="00E028EC"/>
    <w:rsid w:val="00E02A5A"/>
    <w:rsid w:val="00E02ED9"/>
    <w:rsid w:val="00E036BD"/>
    <w:rsid w:val="00E051DC"/>
    <w:rsid w:val="00E052C5"/>
    <w:rsid w:val="00E06797"/>
    <w:rsid w:val="00E06B69"/>
    <w:rsid w:val="00E12227"/>
    <w:rsid w:val="00E122AA"/>
    <w:rsid w:val="00E124B0"/>
    <w:rsid w:val="00E125F1"/>
    <w:rsid w:val="00E12790"/>
    <w:rsid w:val="00E12B8C"/>
    <w:rsid w:val="00E1375E"/>
    <w:rsid w:val="00E13AFB"/>
    <w:rsid w:val="00E14159"/>
    <w:rsid w:val="00E145B7"/>
    <w:rsid w:val="00E146C9"/>
    <w:rsid w:val="00E14EE7"/>
    <w:rsid w:val="00E17052"/>
    <w:rsid w:val="00E17484"/>
    <w:rsid w:val="00E1762E"/>
    <w:rsid w:val="00E2006E"/>
    <w:rsid w:val="00E2099C"/>
    <w:rsid w:val="00E20EB4"/>
    <w:rsid w:val="00E20F65"/>
    <w:rsid w:val="00E211A8"/>
    <w:rsid w:val="00E2152C"/>
    <w:rsid w:val="00E21BA9"/>
    <w:rsid w:val="00E21D46"/>
    <w:rsid w:val="00E21ECD"/>
    <w:rsid w:val="00E22F31"/>
    <w:rsid w:val="00E22F82"/>
    <w:rsid w:val="00E24503"/>
    <w:rsid w:val="00E26408"/>
    <w:rsid w:val="00E26854"/>
    <w:rsid w:val="00E273ED"/>
    <w:rsid w:val="00E27ACA"/>
    <w:rsid w:val="00E30812"/>
    <w:rsid w:val="00E30824"/>
    <w:rsid w:val="00E313DA"/>
    <w:rsid w:val="00E3158A"/>
    <w:rsid w:val="00E316C5"/>
    <w:rsid w:val="00E31B6F"/>
    <w:rsid w:val="00E328C5"/>
    <w:rsid w:val="00E32E82"/>
    <w:rsid w:val="00E3351C"/>
    <w:rsid w:val="00E33B86"/>
    <w:rsid w:val="00E34063"/>
    <w:rsid w:val="00E34CF2"/>
    <w:rsid w:val="00E35AF1"/>
    <w:rsid w:val="00E35B90"/>
    <w:rsid w:val="00E36CFF"/>
    <w:rsid w:val="00E37554"/>
    <w:rsid w:val="00E37694"/>
    <w:rsid w:val="00E40209"/>
    <w:rsid w:val="00E40D90"/>
    <w:rsid w:val="00E4120F"/>
    <w:rsid w:val="00E42648"/>
    <w:rsid w:val="00E43239"/>
    <w:rsid w:val="00E4477C"/>
    <w:rsid w:val="00E448B6"/>
    <w:rsid w:val="00E44969"/>
    <w:rsid w:val="00E45482"/>
    <w:rsid w:val="00E46354"/>
    <w:rsid w:val="00E4687B"/>
    <w:rsid w:val="00E468F3"/>
    <w:rsid w:val="00E46D63"/>
    <w:rsid w:val="00E47CDD"/>
    <w:rsid w:val="00E506DA"/>
    <w:rsid w:val="00E50AB2"/>
    <w:rsid w:val="00E513EA"/>
    <w:rsid w:val="00E514C9"/>
    <w:rsid w:val="00E51C9B"/>
    <w:rsid w:val="00E52DCB"/>
    <w:rsid w:val="00E52E19"/>
    <w:rsid w:val="00E54000"/>
    <w:rsid w:val="00E54735"/>
    <w:rsid w:val="00E5481B"/>
    <w:rsid w:val="00E54CA4"/>
    <w:rsid w:val="00E54EDA"/>
    <w:rsid w:val="00E5566B"/>
    <w:rsid w:val="00E55F03"/>
    <w:rsid w:val="00E56870"/>
    <w:rsid w:val="00E56A07"/>
    <w:rsid w:val="00E56A21"/>
    <w:rsid w:val="00E56A30"/>
    <w:rsid w:val="00E56E0B"/>
    <w:rsid w:val="00E57293"/>
    <w:rsid w:val="00E57580"/>
    <w:rsid w:val="00E57A40"/>
    <w:rsid w:val="00E57EDB"/>
    <w:rsid w:val="00E60A2B"/>
    <w:rsid w:val="00E6132E"/>
    <w:rsid w:val="00E61F63"/>
    <w:rsid w:val="00E6203D"/>
    <w:rsid w:val="00E62F66"/>
    <w:rsid w:val="00E6309E"/>
    <w:rsid w:val="00E63661"/>
    <w:rsid w:val="00E63B32"/>
    <w:rsid w:val="00E63D0B"/>
    <w:rsid w:val="00E64390"/>
    <w:rsid w:val="00E6453A"/>
    <w:rsid w:val="00E64E20"/>
    <w:rsid w:val="00E65450"/>
    <w:rsid w:val="00E65898"/>
    <w:rsid w:val="00E65C88"/>
    <w:rsid w:val="00E65DDC"/>
    <w:rsid w:val="00E663D6"/>
    <w:rsid w:val="00E66565"/>
    <w:rsid w:val="00E6703E"/>
    <w:rsid w:val="00E677D0"/>
    <w:rsid w:val="00E67A1B"/>
    <w:rsid w:val="00E70525"/>
    <w:rsid w:val="00E70836"/>
    <w:rsid w:val="00E70C16"/>
    <w:rsid w:val="00E70DA7"/>
    <w:rsid w:val="00E71694"/>
    <w:rsid w:val="00E71AD3"/>
    <w:rsid w:val="00E71CA2"/>
    <w:rsid w:val="00E71CD5"/>
    <w:rsid w:val="00E71D61"/>
    <w:rsid w:val="00E7222F"/>
    <w:rsid w:val="00E7321D"/>
    <w:rsid w:val="00E73CD7"/>
    <w:rsid w:val="00E73F93"/>
    <w:rsid w:val="00E745E7"/>
    <w:rsid w:val="00E74A54"/>
    <w:rsid w:val="00E74CB6"/>
    <w:rsid w:val="00E75230"/>
    <w:rsid w:val="00E756CD"/>
    <w:rsid w:val="00E759F9"/>
    <w:rsid w:val="00E75BAB"/>
    <w:rsid w:val="00E75D58"/>
    <w:rsid w:val="00E761AD"/>
    <w:rsid w:val="00E7622D"/>
    <w:rsid w:val="00E765A6"/>
    <w:rsid w:val="00E76DA4"/>
    <w:rsid w:val="00E77356"/>
    <w:rsid w:val="00E77BE4"/>
    <w:rsid w:val="00E77D59"/>
    <w:rsid w:val="00E77E62"/>
    <w:rsid w:val="00E77ED2"/>
    <w:rsid w:val="00E802D2"/>
    <w:rsid w:val="00E802F6"/>
    <w:rsid w:val="00E80465"/>
    <w:rsid w:val="00E805DA"/>
    <w:rsid w:val="00E81116"/>
    <w:rsid w:val="00E81D8D"/>
    <w:rsid w:val="00E82085"/>
    <w:rsid w:val="00E830ED"/>
    <w:rsid w:val="00E8317B"/>
    <w:rsid w:val="00E831F6"/>
    <w:rsid w:val="00E83430"/>
    <w:rsid w:val="00E839B5"/>
    <w:rsid w:val="00E83A8C"/>
    <w:rsid w:val="00E83CEC"/>
    <w:rsid w:val="00E8423F"/>
    <w:rsid w:val="00E8513F"/>
    <w:rsid w:val="00E86A35"/>
    <w:rsid w:val="00E86EE0"/>
    <w:rsid w:val="00E87F78"/>
    <w:rsid w:val="00E90521"/>
    <w:rsid w:val="00E908DB"/>
    <w:rsid w:val="00E90C7F"/>
    <w:rsid w:val="00E911B6"/>
    <w:rsid w:val="00E9229A"/>
    <w:rsid w:val="00E938D8"/>
    <w:rsid w:val="00E93D4C"/>
    <w:rsid w:val="00E94085"/>
    <w:rsid w:val="00E9420B"/>
    <w:rsid w:val="00E94442"/>
    <w:rsid w:val="00E945EA"/>
    <w:rsid w:val="00E9503D"/>
    <w:rsid w:val="00E95367"/>
    <w:rsid w:val="00E953A9"/>
    <w:rsid w:val="00E955CF"/>
    <w:rsid w:val="00E95A4C"/>
    <w:rsid w:val="00E95F11"/>
    <w:rsid w:val="00E9613C"/>
    <w:rsid w:val="00E965C5"/>
    <w:rsid w:val="00E97336"/>
    <w:rsid w:val="00E9745B"/>
    <w:rsid w:val="00E97760"/>
    <w:rsid w:val="00E97CC9"/>
    <w:rsid w:val="00E97EC8"/>
    <w:rsid w:val="00EA05E5"/>
    <w:rsid w:val="00EA063D"/>
    <w:rsid w:val="00EA20D7"/>
    <w:rsid w:val="00EA2266"/>
    <w:rsid w:val="00EA23CE"/>
    <w:rsid w:val="00EA24C7"/>
    <w:rsid w:val="00EA2BEC"/>
    <w:rsid w:val="00EA2E4C"/>
    <w:rsid w:val="00EA33B1"/>
    <w:rsid w:val="00EA5F36"/>
    <w:rsid w:val="00EA64AA"/>
    <w:rsid w:val="00EA6830"/>
    <w:rsid w:val="00EA693F"/>
    <w:rsid w:val="00EA6E2D"/>
    <w:rsid w:val="00EA6E65"/>
    <w:rsid w:val="00EA708B"/>
    <w:rsid w:val="00EA7DED"/>
    <w:rsid w:val="00EA7EA1"/>
    <w:rsid w:val="00EA7FF7"/>
    <w:rsid w:val="00EB1417"/>
    <w:rsid w:val="00EB1820"/>
    <w:rsid w:val="00EB1A8B"/>
    <w:rsid w:val="00EB20D5"/>
    <w:rsid w:val="00EB2256"/>
    <w:rsid w:val="00EB2651"/>
    <w:rsid w:val="00EB2D87"/>
    <w:rsid w:val="00EB2FE5"/>
    <w:rsid w:val="00EB342C"/>
    <w:rsid w:val="00EB3446"/>
    <w:rsid w:val="00EB3D7A"/>
    <w:rsid w:val="00EB4726"/>
    <w:rsid w:val="00EB4BFD"/>
    <w:rsid w:val="00EB5021"/>
    <w:rsid w:val="00EB5A46"/>
    <w:rsid w:val="00EB609A"/>
    <w:rsid w:val="00EB6B48"/>
    <w:rsid w:val="00EB7453"/>
    <w:rsid w:val="00EB77DB"/>
    <w:rsid w:val="00EB7A6F"/>
    <w:rsid w:val="00EB7DD5"/>
    <w:rsid w:val="00EC05D7"/>
    <w:rsid w:val="00EC1047"/>
    <w:rsid w:val="00EC206E"/>
    <w:rsid w:val="00EC2275"/>
    <w:rsid w:val="00EC2AFF"/>
    <w:rsid w:val="00EC507A"/>
    <w:rsid w:val="00EC50F4"/>
    <w:rsid w:val="00EC50FD"/>
    <w:rsid w:val="00EC59B4"/>
    <w:rsid w:val="00EC66F3"/>
    <w:rsid w:val="00EC6DB5"/>
    <w:rsid w:val="00EC6F2D"/>
    <w:rsid w:val="00EC73BF"/>
    <w:rsid w:val="00EC76EF"/>
    <w:rsid w:val="00EC7FA1"/>
    <w:rsid w:val="00ED0091"/>
    <w:rsid w:val="00ED05A1"/>
    <w:rsid w:val="00ED079E"/>
    <w:rsid w:val="00ED10E0"/>
    <w:rsid w:val="00ED14D9"/>
    <w:rsid w:val="00ED1CF4"/>
    <w:rsid w:val="00ED1EA5"/>
    <w:rsid w:val="00ED1FD9"/>
    <w:rsid w:val="00ED219B"/>
    <w:rsid w:val="00ED2658"/>
    <w:rsid w:val="00ED3AB4"/>
    <w:rsid w:val="00ED3B8B"/>
    <w:rsid w:val="00ED3D14"/>
    <w:rsid w:val="00ED4046"/>
    <w:rsid w:val="00ED4D24"/>
    <w:rsid w:val="00ED5B8A"/>
    <w:rsid w:val="00ED5DE9"/>
    <w:rsid w:val="00ED5E16"/>
    <w:rsid w:val="00ED6540"/>
    <w:rsid w:val="00ED6C6A"/>
    <w:rsid w:val="00ED6E65"/>
    <w:rsid w:val="00ED7403"/>
    <w:rsid w:val="00ED7693"/>
    <w:rsid w:val="00ED7F82"/>
    <w:rsid w:val="00EE01E0"/>
    <w:rsid w:val="00EE06C8"/>
    <w:rsid w:val="00EE078F"/>
    <w:rsid w:val="00EE20BA"/>
    <w:rsid w:val="00EE2108"/>
    <w:rsid w:val="00EE331C"/>
    <w:rsid w:val="00EE332D"/>
    <w:rsid w:val="00EE38C3"/>
    <w:rsid w:val="00EE3D4A"/>
    <w:rsid w:val="00EE3D94"/>
    <w:rsid w:val="00EE4A93"/>
    <w:rsid w:val="00EE5271"/>
    <w:rsid w:val="00EE5D9E"/>
    <w:rsid w:val="00EE6028"/>
    <w:rsid w:val="00EE61A0"/>
    <w:rsid w:val="00EF06A2"/>
    <w:rsid w:val="00EF0D21"/>
    <w:rsid w:val="00EF1097"/>
    <w:rsid w:val="00EF1C90"/>
    <w:rsid w:val="00EF34CB"/>
    <w:rsid w:val="00EF3A79"/>
    <w:rsid w:val="00EF3AC2"/>
    <w:rsid w:val="00EF3E08"/>
    <w:rsid w:val="00EF41EF"/>
    <w:rsid w:val="00EF446E"/>
    <w:rsid w:val="00EF44AD"/>
    <w:rsid w:val="00EF4652"/>
    <w:rsid w:val="00EF4955"/>
    <w:rsid w:val="00EF4B63"/>
    <w:rsid w:val="00EF5439"/>
    <w:rsid w:val="00EF544B"/>
    <w:rsid w:val="00EF58AB"/>
    <w:rsid w:val="00EF60A8"/>
    <w:rsid w:val="00EF63BD"/>
    <w:rsid w:val="00EF63CE"/>
    <w:rsid w:val="00EF7466"/>
    <w:rsid w:val="00EF7563"/>
    <w:rsid w:val="00EF7D68"/>
    <w:rsid w:val="00F00349"/>
    <w:rsid w:val="00F00714"/>
    <w:rsid w:val="00F00972"/>
    <w:rsid w:val="00F016F4"/>
    <w:rsid w:val="00F01A96"/>
    <w:rsid w:val="00F01C52"/>
    <w:rsid w:val="00F02986"/>
    <w:rsid w:val="00F0308C"/>
    <w:rsid w:val="00F03A05"/>
    <w:rsid w:val="00F03D78"/>
    <w:rsid w:val="00F04BCB"/>
    <w:rsid w:val="00F04E1D"/>
    <w:rsid w:val="00F051B4"/>
    <w:rsid w:val="00F051EA"/>
    <w:rsid w:val="00F05525"/>
    <w:rsid w:val="00F05DCB"/>
    <w:rsid w:val="00F05E7B"/>
    <w:rsid w:val="00F06E28"/>
    <w:rsid w:val="00F06F94"/>
    <w:rsid w:val="00F071DF"/>
    <w:rsid w:val="00F07305"/>
    <w:rsid w:val="00F07745"/>
    <w:rsid w:val="00F1057B"/>
    <w:rsid w:val="00F10749"/>
    <w:rsid w:val="00F11239"/>
    <w:rsid w:val="00F1179D"/>
    <w:rsid w:val="00F120B3"/>
    <w:rsid w:val="00F12D2C"/>
    <w:rsid w:val="00F13075"/>
    <w:rsid w:val="00F130C3"/>
    <w:rsid w:val="00F131BF"/>
    <w:rsid w:val="00F132E4"/>
    <w:rsid w:val="00F1350D"/>
    <w:rsid w:val="00F13BEA"/>
    <w:rsid w:val="00F13C31"/>
    <w:rsid w:val="00F14AD4"/>
    <w:rsid w:val="00F14CCA"/>
    <w:rsid w:val="00F14E8E"/>
    <w:rsid w:val="00F150DB"/>
    <w:rsid w:val="00F15269"/>
    <w:rsid w:val="00F15A7D"/>
    <w:rsid w:val="00F160E4"/>
    <w:rsid w:val="00F1676E"/>
    <w:rsid w:val="00F17104"/>
    <w:rsid w:val="00F172DD"/>
    <w:rsid w:val="00F173E4"/>
    <w:rsid w:val="00F1750A"/>
    <w:rsid w:val="00F17681"/>
    <w:rsid w:val="00F17737"/>
    <w:rsid w:val="00F17FA9"/>
    <w:rsid w:val="00F2052F"/>
    <w:rsid w:val="00F2086C"/>
    <w:rsid w:val="00F20B89"/>
    <w:rsid w:val="00F20C59"/>
    <w:rsid w:val="00F216C8"/>
    <w:rsid w:val="00F21B9A"/>
    <w:rsid w:val="00F22539"/>
    <w:rsid w:val="00F22649"/>
    <w:rsid w:val="00F2358F"/>
    <w:rsid w:val="00F23768"/>
    <w:rsid w:val="00F23A72"/>
    <w:rsid w:val="00F23C25"/>
    <w:rsid w:val="00F23FD1"/>
    <w:rsid w:val="00F24209"/>
    <w:rsid w:val="00F24412"/>
    <w:rsid w:val="00F24C78"/>
    <w:rsid w:val="00F24CEF"/>
    <w:rsid w:val="00F24F7E"/>
    <w:rsid w:val="00F250BD"/>
    <w:rsid w:val="00F2599F"/>
    <w:rsid w:val="00F26798"/>
    <w:rsid w:val="00F2688A"/>
    <w:rsid w:val="00F26A99"/>
    <w:rsid w:val="00F26AB8"/>
    <w:rsid w:val="00F26F7A"/>
    <w:rsid w:val="00F278C7"/>
    <w:rsid w:val="00F27A37"/>
    <w:rsid w:val="00F27A71"/>
    <w:rsid w:val="00F27A78"/>
    <w:rsid w:val="00F27D58"/>
    <w:rsid w:val="00F304A7"/>
    <w:rsid w:val="00F304EF"/>
    <w:rsid w:val="00F30967"/>
    <w:rsid w:val="00F30C61"/>
    <w:rsid w:val="00F31301"/>
    <w:rsid w:val="00F31A87"/>
    <w:rsid w:val="00F31AA3"/>
    <w:rsid w:val="00F32985"/>
    <w:rsid w:val="00F32AE1"/>
    <w:rsid w:val="00F333C9"/>
    <w:rsid w:val="00F33653"/>
    <w:rsid w:val="00F3367D"/>
    <w:rsid w:val="00F33A6F"/>
    <w:rsid w:val="00F33D09"/>
    <w:rsid w:val="00F34060"/>
    <w:rsid w:val="00F35237"/>
    <w:rsid w:val="00F35CB4"/>
    <w:rsid w:val="00F36A04"/>
    <w:rsid w:val="00F36AEE"/>
    <w:rsid w:val="00F36F9C"/>
    <w:rsid w:val="00F370DC"/>
    <w:rsid w:val="00F373A6"/>
    <w:rsid w:val="00F3743D"/>
    <w:rsid w:val="00F378B4"/>
    <w:rsid w:val="00F4044C"/>
    <w:rsid w:val="00F40769"/>
    <w:rsid w:val="00F40D4D"/>
    <w:rsid w:val="00F40DB0"/>
    <w:rsid w:val="00F413C6"/>
    <w:rsid w:val="00F41DFD"/>
    <w:rsid w:val="00F41E01"/>
    <w:rsid w:val="00F41E8C"/>
    <w:rsid w:val="00F43441"/>
    <w:rsid w:val="00F43820"/>
    <w:rsid w:val="00F440AD"/>
    <w:rsid w:val="00F44B6E"/>
    <w:rsid w:val="00F44CBF"/>
    <w:rsid w:val="00F44E5F"/>
    <w:rsid w:val="00F45ACA"/>
    <w:rsid w:val="00F464BB"/>
    <w:rsid w:val="00F46AE9"/>
    <w:rsid w:val="00F47C0A"/>
    <w:rsid w:val="00F5000D"/>
    <w:rsid w:val="00F503AA"/>
    <w:rsid w:val="00F506F1"/>
    <w:rsid w:val="00F50BD2"/>
    <w:rsid w:val="00F51081"/>
    <w:rsid w:val="00F51902"/>
    <w:rsid w:val="00F51E5C"/>
    <w:rsid w:val="00F520A2"/>
    <w:rsid w:val="00F524A4"/>
    <w:rsid w:val="00F5265E"/>
    <w:rsid w:val="00F52EB2"/>
    <w:rsid w:val="00F5322F"/>
    <w:rsid w:val="00F538C4"/>
    <w:rsid w:val="00F53D9F"/>
    <w:rsid w:val="00F53F45"/>
    <w:rsid w:val="00F545B6"/>
    <w:rsid w:val="00F54A3D"/>
    <w:rsid w:val="00F54D1B"/>
    <w:rsid w:val="00F5552E"/>
    <w:rsid w:val="00F5583C"/>
    <w:rsid w:val="00F56471"/>
    <w:rsid w:val="00F56A01"/>
    <w:rsid w:val="00F56F82"/>
    <w:rsid w:val="00F57189"/>
    <w:rsid w:val="00F5730A"/>
    <w:rsid w:val="00F57FD1"/>
    <w:rsid w:val="00F6006F"/>
    <w:rsid w:val="00F60809"/>
    <w:rsid w:val="00F61D42"/>
    <w:rsid w:val="00F61D75"/>
    <w:rsid w:val="00F61F85"/>
    <w:rsid w:val="00F6201C"/>
    <w:rsid w:val="00F62555"/>
    <w:rsid w:val="00F625E7"/>
    <w:rsid w:val="00F62EE2"/>
    <w:rsid w:val="00F62F96"/>
    <w:rsid w:val="00F63D9D"/>
    <w:rsid w:val="00F643BE"/>
    <w:rsid w:val="00F65689"/>
    <w:rsid w:val="00F66D36"/>
    <w:rsid w:val="00F66DF9"/>
    <w:rsid w:val="00F670E8"/>
    <w:rsid w:val="00F67529"/>
    <w:rsid w:val="00F6777C"/>
    <w:rsid w:val="00F67BF4"/>
    <w:rsid w:val="00F70237"/>
    <w:rsid w:val="00F70564"/>
    <w:rsid w:val="00F70E44"/>
    <w:rsid w:val="00F71497"/>
    <w:rsid w:val="00F716BF"/>
    <w:rsid w:val="00F7170B"/>
    <w:rsid w:val="00F7222A"/>
    <w:rsid w:val="00F72340"/>
    <w:rsid w:val="00F729F0"/>
    <w:rsid w:val="00F72D85"/>
    <w:rsid w:val="00F7302C"/>
    <w:rsid w:val="00F73248"/>
    <w:rsid w:val="00F73602"/>
    <w:rsid w:val="00F73832"/>
    <w:rsid w:val="00F73BDB"/>
    <w:rsid w:val="00F73D6E"/>
    <w:rsid w:val="00F7456C"/>
    <w:rsid w:val="00F75095"/>
    <w:rsid w:val="00F752D8"/>
    <w:rsid w:val="00F75336"/>
    <w:rsid w:val="00F75930"/>
    <w:rsid w:val="00F76000"/>
    <w:rsid w:val="00F7604C"/>
    <w:rsid w:val="00F771A2"/>
    <w:rsid w:val="00F773BB"/>
    <w:rsid w:val="00F77CD4"/>
    <w:rsid w:val="00F8012E"/>
    <w:rsid w:val="00F80427"/>
    <w:rsid w:val="00F805E4"/>
    <w:rsid w:val="00F807B4"/>
    <w:rsid w:val="00F808E3"/>
    <w:rsid w:val="00F8297B"/>
    <w:rsid w:val="00F846CD"/>
    <w:rsid w:val="00F8487E"/>
    <w:rsid w:val="00F849B6"/>
    <w:rsid w:val="00F852F2"/>
    <w:rsid w:val="00F854DF"/>
    <w:rsid w:val="00F85918"/>
    <w:rsid w:val="00F85AC7"/>
    <w:rsid w:val="00F85F78"/>
    <w:rsid w:val="00F861D4"/>
    <w:rsid w:val="00F86C09"/>
    <w:rsid w:val="00F86D61"/>
    <w:rsid w:val="00F8715D"/>
    <w:rsid w:val="00F8744B"/>
    <w:rsid w:val="00F900A4"/>
    <w:rsid w:val="00F903A2"/>
    <w:rsid w:val="00F90924"/>
    <w:rsid w:val="00F910C7"/>
    <w:rsid w:val="00F9150A"/>
    <w:rsid w:val="00F91797"/>
    <w:rsid w:val="00F91C47"/>
    <w:rsid w:val="00F91D2B"/>
    <w:rsid w:val="00F91DED"/>
    <w:rsid w:val="00F92243"/>
    <w:rsid w:val="00F92BAE"/>
    <w:rsid w:val="00F93997"/>
    <w:rsid w:val="00F93ED1"/>
    <w:rsid w:val="00F94351"/>
    <w:rsid w:val="00F948D3"/>
    <w:rsid w:val="00F94C26"/>
    <w:rsid w:val="00F94EC8"/>
    <w:rsid w:val="00F955C2"/>
    <w:rsid w:val="00F95DF7"/>
    <w:rsid w:val="00F96174"/>
    <w:rsid w:val="00F962CF"/>
    <w:rsid w:val="00F96CC2"/>
    <w:rsid w:val="00F970F5"/>
    <w:rsid w:val="00F97DBC"/>
    <w:rsid w:val="00F97EB1"/>
    <w:rsid w:val="00FA003D"/>
    <w:rsid w:val="00FA052B"/>
    <w:rsid w:val="00FA0E70"/>
    <w:rsid w:val="00FA15BF"/>
    <w:rsid w:val="00FA1910"/>
    <w:rsid w:val="00FA1BD1"/>
    <w:rsid w:val="00FA22AD"/>
    <w:rsid w:val="00FA2A8D"/>
    <w:rsid w:val="00FA2C3D"/>
    <w:rsid w:val="00FA2C62"/>
    <w:rsid w:val="00FA3693"/>
    <w:rsid w:val="00FA3823"/>
    <w:rsid w:val="00FA38B1"/>
    <w:rsid w:val="00FA3E46"/>
    <w:rsid w:val="00FA429E"/>
    <w:rsid w:val="00FA4370"/>
    <w:rsid w:val="00FA4614"/>
    <w:rsid w:val="00FA4664"/>
    <w:rsid w:val="00FA5FF4"/>
    <w:rsid w:val="00FA6182"/>
    <w:rsid w:val="00FA682B"/>
    <w:rsid w:val="00FB1C31"/>
    <w:rsid w:val="00FB1D97"/>
    <w:rsid w:val="00FB20C4"/>
    <w:rsid w:val="00FB285B"/>
    <w:rsid w:val="00FB296F"/>
    <w:rsid w:val="00FB3955"/>
    <w:rsid w:val="00FB3D3A"/>
    <w:rsid w:val="00FB5846"/>
    <w:rsid w:val="00FB5F2C"/>
    <w:rsid w:val="00FB605C"/>
    <w:rsid w:val="00FB63F7"/>
    <w:rsid w:val="00FB6656"/>
    <w:rsid w:val="00FB6C6C"/>
    <w:rsid w:val="00FB6DE4"/>
    <w:rsid w:val="00FB7197"/>
    <w:rsid w:val="00FC0283"/>
    <w:rsid w:val="00FC0314"/>
    <w:rsid w:val="00FC12EE"/>
    <w:rsid w:val="00FC1318"/>
    <w:rsid w:val="00FC155C"/>
    <w:rsid w:val="00FC1C01"/>
    <w:rsid w:val="00FC1E0D"/>
    <w:rsid w:val="00FC21EC"/>
    <w:rsid w:val="00FC3593"/>
    <w:rsid w:val="00FC3B35"/>
    <w:rsid w:val="00FC408D"/>
    <w:rsid w:val="00FC4316"/>
    <w:rsid w:val="00FC43BD"/>
    <w:rsid w:val="00FC53BF"/>
    <w:rsid w:val="00FC5E1A"/>
    <w:rsid w:val="00FC662C"/>
    <w:rsid w:val="00FC6CF3"/>
    <w:rsid w:val="00FC71F4"/>
    <w:rsid w:val="00FC77CA"/>
    <w:rsid w:val="00FC7E67"/>
    <w:rsid w:val="00FD01AA"/>
    <w:rsid w:val="00FD0551"/>
    <w:rsid w:val="00FD07DE"/>
    <w:rsid w:val="00FD0D9D"/>
    <w:rsid w:val="00FD1220"/>
    <w:rsid w:val="00FD15BB"/>
    <w:rsid w:val="00FD24BD"/>
    <w:rsid w:val="00FD2631"/>
    <w:rsid w:val="00FD2873"/>
    <w:rsid w:val="00FD398E"/>
    <w:rsid w:val="00FD39A5"/>
    <w:rsid w:val="00FD3BF5"/>
    <w:rsid w:val="00FD4327"/>
    <w:rsid w:val="00FD435F"/>
    <w:rsid w:val="00FD4A6D"/>
    <w:rsid w:val="00FD5787"/>
    <w:rsid w:val="00FD5DAA"/>
    <w:rsid w:val="00FD6E25"/>
    <w:rsid w:val="00FE056C"/>
    <w:rsid w:val="00FE09D9"/>
    <w:rsid w:val="00FE0D8C"/>
    <w:rsid w:val="00FE19C0"/>
    <w:rsid w:val="00FE1EC6"/>
    <w:rsid w:val="00FE1FBC"/>
    <w:rsid w:val="00FE213D"/>
    <w:rsid w:val="00FE220B"/>
    <w:rsid w:val="00FE2305"/>
    <w:rsid w:val="00FE24FC"/>
    <w:rsid w:val="00FE2CE0"/>
    <w:rsid w:val="00FE2F59"/>
    <w:rsid w:val="00FE3E12"/>
    <w:rsid w:val="00FE3EB9"/>
    <w:rsid w:val="00FE42D2"/>
    <w:rsid w:val="00FE5081"/>
    <w:rsid w:val="00FE546C"/>
    <w:rsid w:val="00FE583F"/>
    <w:rsid w:val="00FE5E27"/>
    <w:rsid w:val="00FE6075"/>
    <w:rsid w:val="00FE681F"/>
    <w:rsid w:val="00FE688C"/>
    <w:rsid w:val="00FE7A4B"/>
    <w:rsid w:val="00FE7D3B"/>
    <w:rsid w:val="00FE7E20"/>
    <w:rsid w:val="00FE7F54"/>
    <w:rsid w:val="00FF061B"/>
    <w:rsid w:val="00FF063D"/>
    <w:rsid w:val="00FF080C"/>
    <w:rsid w:val="00FF088F"/>
    <w:rsid w:val="00FF0A89"/>
    <w:rsid w:val="00FF0DFB"/>
    <w:rsid w:val="00FF1066"/>
    <w:rsid w:val="00FF1188"/>
    <w:rsid w:val="00FF148D"/>
    <w:rsid w:val="00FF16B1"/>
    <w:rsid w:val="00FF1D71"/>
    <w:rsid w:val="00FF1E74"/>
    <w:rsid w:val="00FF3064"/>
    <w:rsid w:val="00FF3723"/>
    <w:rsid w:val="00FF54FF"/>
    <w:rsid w:val="00FF56F0"/>
    <w:rsid w:val="00FF5BF6"/>
    <w:rsid w:val="00FF69EB"/>
    <w:rsid w:val="00FF6D80"/>
    <w:rsid w:val="00FF6DBC"/>
    <w:rsid w:val="00FF6FC9"/>
    <w:rsid w:val="00FF7439"/>
    <w:rsid w:val="00FF7A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F4489B"/>
  <w15:docId w15:val="{3C2B37CA-DC6C-44E1-B26C-8EB08BA23C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1E34"/>
    <w:pPr>
      <w:spacing w:after="200" w:line="276" w:lineRule="auto"/>
    </w:pPr>
  </w:style>
  <w:style w:type="paragraph" w:styleId="Heading1">
    <w:name w:val="heading 1"/>
    <w:basedOn w:val="Normal"/>
    <w:link w:val="Heading1Char"/>
    <w:autoRedefine/>
    <w:uiPriority w:val="9"/>
    <w:qFormat/>
    <w:rsid w:val="00D92056"/>
    <w:pPr>
      <w:spacing w:before="100" w:beforeAutospacing="1" w:after="120" w:line="480" w:lineRule="auto"/>
      <w:jc w:val="both"/>
      <w:outlineLvl w:val="0"/>
    </w:pPr>
    <w:rPr>
      <w:rFonts w:ascii="Calibri" w:eastAsia="Times New Roman" w:hAnsi="Calibri" w:cs="Times New Roman"/>
      <w:b/>
      <w:bCs/>
      <w:kern w:val="36"/>
      <w:sz w:val="32"/>
      <w:szCs w:val="48"/>
      <w:lang w:eastAsia="en-GB"/>
    </w:rPr>
  </w:style>
  <w:style w:type="paragraph" w:styleId="Heading2">
    <w:name w:val="heading 2"/>
    <w:basedOn w:val="Normal"/>
    <w:next w:val="Normal"/>
    <w:link w:val="Heading2Char"/>
    <w:autoRedefine/>
    <w:uiPriority w:val="9"/>
    <w:unhideWhenUsed/>
    <w:qFormat/>
    <w:rsid w:val="00A61BAB"/>
    <w:pPr>
      <w:keepNext/>
      <w:keepLines/>
      <w:tabs>
        <w:tab w:val="left" w:pos="1134"/>
      </w:tabs>
      <w:spacing w:after="0" w:line="480" w:lineRule="auto"/>
      <w:ind w:left="810" w:hanging="810"/>
      <w:jc w:val="both"/>
      <w:outlineLvl w:val="1"/>
    </w:pPr>
    <w:rPr>
      <w:rFonts w:eastAsiaTheme="majorEastAsia" w:cstheme="minorHAnsi"/>
      <w:b/>
      <w:bCs/>
      <w:color w:val="0070C0"/>
      <w:sz w:val="28"/>
      <w:szCs w:val="26"/>
    </w:rPr>
  </w:style>
  <w:style w:type="paragraph" w:styleId="Heading3">
    <w:name w:val="heading 3"/>
    <w:basedOn w:val="Normal"/>
    <w:next w:val="Normal"/>
    <w:link w:val="Heading3Char"/>
    <w:autoRedefine/>
    <w:uiPriority w:val="9"/>
    <w:unhideWhenUsed/>
    <w:qFormat/>
    <w:rsid w:val="004E2350"/>
    <w:pPr>
      <w:keepNext/>
      <w:keepLines/>
      <w:spacing w:after="120" w:line="480" w:lineRule="auto"/>
      <w:ind w:left="709" w:hanging="709"/>
      <w:jc w:val="both"/>
      <w:outlineLvl w:val="2"/>
    </w:pPr>
    <w:rPr>
      <w:rFonts w:ascii="Calibri" w:eastAsiaTheme="majorEastAsia" w:hAnsi="Calibri" w:cstheme="majorBidi"/>
      <w:b/>
      <w:color w:val="1F4D78" w:themeColor="accent1" w:themeShade="7F"/>
      <w:sz w:val="26"/>
      <w:szCs w:val="24"/>
    </w:rPr>
  </w:style>
  <w:style w:type="paragraph" w:styleId="Heading4">
    <w:name w:val="heading 4"/>
    <w:basedOn w:val="Normal"/>
    <w:next w:val="Normal"/>
    <w:link w:val="Heading4Char"/>
    <w:uiPriority w:val="9"/>
    <w:unhideWhenUsed/>
    <w:qFormat/>
    <w:rsid w:val="0075255B"/>
    <w:pPr>
      <w:keepNext/>
      <w:keepLines/>
      <w:spacing w:before="40" w:after="0"/>
      <w:outlineLvl w:val="3"/>
    </w:pPr>
    <w:rPr>
      <w:rFonts w:eastAsiaTheme="majorEastAsia" w:cstheme="minorHAnsi"/>
      <w:b/>
      <w:i/>
      <w:iCs/>
      <w:color w:val="2E74B5" w:themeColor="accent1" w:themeShade="BF"/>
      <w:sz w:val="24"/>
    </w:rPr>
  </w:style>
  <w:style w:type="paragraph" w:styleId="Heading5">
    <w:name w:val="heading 5"/>
    <w:basedOn w:val="Normal"/>
    <w:next w:val="Normal"/>
    <w:link w:val="Heading5Char"/>
    <w:uiPriority w:val="9"/>
    <w:unhideWhenUsed/>
    <w:qFormat/>
    <w:rsid w:val="00433E5A"/>
    <w:pPr>
      <w:keepNext/>
      <w:keepLines/>
      <w:spacing w:before="40" w:after="0"/>
      <w:outlineLvl w:val="4"/>
    </w:pPr>
    <w:rPr>
      <w:rFonts w:eastAsiaTheme="majorEastAsia" w:cstheme="minorHAnsi"/>
      <w:color w:val="2E74B5" w:themeColor="accent1" w:themeShade="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2056"/>
    <w:rPr>
      <w:rFonts w:ascii="Calibri" w:eastAsia="Times New Roman" w:hAnsi="Calibri" w:cs="Times New Roman"/>
      <w:b/>
      <w:bCs/>
      <w:kern w:val="36"/>
      <w:sz w:val="32"/>
      <w:szCs w:val="48"/>
      <w:lang w:eastAsia="en-GB"/>
    </w:rPr>
  </w:style>
  <w:style w:type="character" w:customStyle="1" w:styleId="Heading2Char">
    <w:name w:val="Heading 2 Char"/>
    <w:basedOn w:val="DefaultParagraphFont"/>
    <w:link w:val="Heading2"/>
    <w:uiPriority w:val="9"/>
    <w:rsid w:val="00A61BAB"/>
    <w:rPr>
      <w:rFonts w:eastAsiaTheme="majorEastAsia" w:cstheme="minorHAnsi"/>
      <w:b/>
      <w:bCs/>
      <w:color w:val="0070C0"/>
      <w:sz w:val="28"/>
      <w:szCs w:val="26"/>
    </w:rPr>
  </w:style>
  <w:style w:type="character" w:customStyle="1" w:styleId="Heading3Char">
    <w:name w:val="Heading 3 Char"/>
    <w:basedOn w:val="DefaultParagraphFont"/>
    <w:link w:val="Heading3"/>
    <w:uiPriority w:val="9"/>
    <w:rsid w:val="004E2350"/>
    <w:rPr>
      <w:rFonts w:ascii="Calibri" w:eastAsiaTheme="majorEastAsia" w:hAnsi="Calibri" w:cstheme="majorBidi"/>
      <w:b/>
      <w:color w:val="1F4D78" w:themeColor="accent1" w:themeShade="7F"/>
      <w:sz w:val="26"/>
      <w:szCs w:val="24"/>
    </w:rPr>
  </w:style>
  <w:style w:type="character" w:customStyle="1" w:styleId="Heading4Char">
    <w:name w:val="Heading 4 Char"/>
    <w:basedOn w:val="DefaultParagraphFont"/>
    <w:link w:val="Heading4"/>
    <w:uiPriority w:val="9"/>
    <w:rsid w:val="0075255B"/>
    <w:rPr>
      <w:rFonts w:eastAsiaTheme="majorEastAsia" w:cstheme="minorHAnsi"/>
      <w:b/>
      <w:i/>
      <w:iCs/>
      <w:color w:val="2E74B5" w:themeColor="accent1" w:themeShade="BF"/>
      <w:sz w:val="24"/>
    </w:rPr>
  </w:style>
  <w:style w:type="paragraph" w:customStyle="1" w:styleId="Default">
    <w:name w:val="Default"/>
    <w:rsid w:val="00D21E34"/>
    <w:pPr>
      <w:autoSpaceDE w:val="0"/>
      <w:autoSpaceDN w:val="0"/>
      <w:adjustRightInd w:val="0"/>
      <w:spacing w:after="0" w:line="240" w:lineRule="auto"/>
    </w:pPr>
    <w:rPr>
      <w:rFonts w:ascii="Calibri" w:hAnsi="Calibri" w:cs="Calibri"/>
      <w:color w:val="000000"/>
      <w:sz w:val="24"/>
      <w:szCs w:val="24"/>
    </w:rPr>
  </w:style>
  <w:style w:type="paragraph" w:styleId="ListParagraph">
    <w:name w:val="List Paragraph"/>
    <w:basedOn w:val="Normal"/>
    <w:uiPriority w:val="34"/>
    <w:qFormat/>
    <w:rsid w:val="002B0B4B"/>
    <w:pPr>
      <w:ind w:left="720"/>
      <w:contextualSpacing/>
    </w:pPr>
  </w:style>
  <w:style w:type="paragraph" w:styleId="NormalWeb">
    <w:name w:val="Normal (Web)"/>
    <w:basedOn w:val="Normal"/>
    <w:link w:val="NormalWebChar"/>
    <w:uiPriority w:val="99"/>
    <w:unhideWhenUsed/>
    <w:rsid w:val="00CD75D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BA21ED"/>
    <w:pPr>
      <w:spacing w:after="0" w:line="240" w:lineRule="auto"/>
    </w:pPr>
    <w:rPr>
      <w:rFonts w:ascii="Calibri" w:eastAsia="Calibri" w:hAnsi="Calibri" w:cs="Times New Roman"/>
      <w:lang w:eastAsia="en-GB"/>
    </w:rPr>
  </w:style>
  <w:style w:type="paragraph" w:customStyle="1" w:styleId="EndNoteBibliographyTitle">
    <w:name w:val="EndNote Bibliography Title"/>
    <w:basedOn w:val="Normal"/>
    <w:link w:val="EndNoteBibliographyTitleChar"/>
    <w:rsid w:val="00B569D2"/>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B569D2"/>
    <w:rPr>
      <w:rFonts w:ascii="Calibri" w:hAnsi="Calibri" w:cs="Calibri"/>
      <w:noProof/>
      <w:lang w:val="en-US"/>
    </w:rPr>
  </w:style>
  <w:style w:type="paragraph" w:customStyle="1" w:styleId="EndNoteBibliography">
    <w:name w:val="EndNote Bibliography"/>
    <w:basedOn w:val="Normal"/>
    <w:link w:val="EndNoteBibliographyChar"/>
    <w:rsid w:val="00B569D2"/>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B569D2"/>
    <w:rPr>
      <w:rFonts w:ascii="Calibri" w:hAnsi="Calibri" w:cs="Calibri"/>
      <w:noProof/>
      <w:lang w:val="en-US"/>
    </w:rPr>
  </w:style>
  <w:style w:type="character" w:customStyle="1" w:styleId="apple-converted-space">
    <w:name w:val="apple-converted-space"/>
    <w:basedOn w:val="DefaultParagraphFont"/>
    <w:rsid w:val="00BB2B42"/>
  </w:style>
  <w:style w:type="character" w:styleId="Hyperlink">
    <w:name w:val="Hyperlink"/>
    <w:basedOn w:val="DefaultParagraphFont"/>
    <w:uiPriority w:val="99"/>
    <w:unhideWhenUsed/>
    <w:rsid w:val="000409BE"/>
    <w:rPr>
      <w:color w:val="0000FF"/>
      <w:u w:val="single"/>
    </w:rPr>
  </w:style>
  <w:style w:type="character" w:customStyle="1" w:styleId="highlight">
    <w:name w:val="highlight"/>
    <w:basedOn w:val="DefaultParagraphFont"/>
    <w:rsid w:val="000409BE"/>
  </w:style>
  <w:style w:type="paragraph" w:styleId="Header">
    <w:name w:val="header"/>
    <w:basedOn w:val="Normal"/>
    <w:link w:val="HeaderChar"/>
    <w:uiPriority w:val="99"/>
    <w:unhideWhenUsed/>
    <w:rsid w:val="00E21D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21D46"/>
  </w:style>
  <w:style w:type="paragraph" w:styleId="Footer">
    <w:name w:val="footer"/>
    <w:basedOn w:val="Normal"/>
    <w:link w:val="FooterChar"/>
    <w:uiPriority w:val="99"/>
    <w:unhideWhenUsed/>
    <w:rsid w:val="00E21D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21D46"/>
  </w:style>
  <w:style w:type="paragraph" w:customStyle="1" w:styleId="TableSAGE1">
    <w:name w:val="Table SAGE1"/>
    <w:basedOn w:val="TableofAuthorities"/>
    <w:link w:val="TableSAGE1Char"/>
    <w:qFormat/>
    <w:rsid w:val="006C18C3"/>
    <w:pPr>
      <w:shd w:val="clear" w:color="auto" w:fill="FFFFFF"/>
      <w:spacing w:after="120" w:line="480" w:lineRule="auto"/>
      <w:ind w:left="221" w:firstLine="284"/>
      <w:jc w:val="both"/>
    </w:pPr>
    <w:rPr>
      <w:rFonts w:cstheme="minorHAnsi"/>
      <w:i/>
      <w:sz w:val="24"/>
      <w:lang w:val="en-US"/>
    </w:rPr>
  </w:style>
  <w:style w:type="paragraph" w:styleId="TableofAuthorities">
    <w:name w:val="table of authorities"/>
    <w:basedOn w:val="Normal"/>
    <w:next w:val="Normal"/>
    <w:link w:val="TableofAuthoritiesChar"/>
    <w:uiPriority w:val="99"/>
    <w:semiHidden/>
    <w:unhideWhenUsed/>
    <w:rsid w:val="006C18C3"/>
    <w:pPr>
      <w:spacing w:after="0"/>
      <w:ind w:left="220" w:hanging="220"/>
    </w:pPr>
  </w:style>
  <w:style w:type="character" w:customStyle="1" w:styleId="TableofAuthoritiesChar">
    <w:name w:val="Table of Authorities Char"/>
    <w:basedOn w:val="DefaultParagraphFont"/>
    <w:link w:val="TableofAuthorities"/>
    <w:uiPriority w:val="99"/>
    <w:semiHidden/>
    <w:rsid w:val="006C18C3"/>
  </w:style>
  <w:style w:type="character" w:customStyle="1" w:styleId="TableSAGE1Char">
    <w:name w:val="Table SAGE1 Char"/>
    <w:basedOn w:val="TableofAuthoritiesChar"/>
    <w:link w:val="TableSAGE1"/>
    <w:rsid w:val="006C18C3"/>
    <w:rPr>
      <w:rFonts w:cstheme="minorHAnsi"/>
      <w:i/>
      <w:sz w:val="24"/>
      <w:shd w:val="clear" w:color="auto" w:fill="FFFFFF"/>
      <w:lang w:val="en-US"/>
    </w:rPr>
  </w:style>
  <w:style w:type="character" w:styleId="Emphasis">
    <w:name w:val="Emphasis"/>
    <w:basedOn w:val="DefaultParagraphFont"/>
    <w:uiPriority w:val="20"/>
    <w:qFormat/>
    <w:rsid w:val="008B35A0"/>
    <w:rPr>
      <w:i/>
      <w:iCs/>
    </w:rPr>
  </w:style>
  <w:style w:type="paragraph" w:styleId="TOCHeading">
    <w:name w:val="TOC Heading"/>
    <w:basedOn w:val="Heading1"/>
    <w:next w:val="Normal"/>
    <w:uiPriority w:val="39"/>
    <w:unhideWhenUsed/>
    <w:qFormat/>
    <w:rsid w:val="00CE128D"/>
    <w:pPr>
      <w:keepNext/>
      <w:keepLines/>
      <w:spacing w:before="240" w:beforeAutospacing="0" w:after="0" w:line="259" w:lineRule="auto"/>
      <w:outlineLvl w:val="9"/>
    </w:pPr>
    <w:rPr>
      <w:rFonts w:asciiTheme="majorHAnsi" w:eastAsiaTheme="majorEastAsia" w:hAnsiTheme="majorHAnsi" w:cstheme="majorBidi"/>
      <w:b w:val="0"/>
      <w:bCs w:val="0"/>
      <w:color w:val="2E74B5" w:themeColor="accent1" w:themeShade="BF"/>
      <w:kern w:val="0"/>
      <w:szCs w:val="32"/>
      <w:lang w:val="en-US" w:eastAsia="en-US"/>
    </w:rPr>
  </w:style>
  <w:style w:type="paragraph" w:styleId="TOC1">
    <w:name w:val="toc 1"/>
    <w:basedOn w:val="Normal"/>
    <w:next w:val="Normal"/>
    <w:autoRedefine/>
    <w:uiPriority w:val="39"/>
    <w:unhideWhenUsed/>
    <w:rsid w:val="00CE128D"/>
    <w:pPr>
      <w:spacing w:after="100"/>
    </w:pPr>
  </w:style>
  <w:style w:type="paragraph" w:styleId="TOC2">
    <w:name w:val="toc 2"/>
    <w:basedOn w:val="Normal"/>
    <w:next w:val="Normal"/>
    <w:autoRedefine/>
    <w:uiPriority w:val="39"/>
    <w:unhideWhenUsed/>
    <w:rsid w:val="00CE128D"/>
    <w:pPr>
      <w:spacing w:after="100"/>
      <w:ind w:left="220"/>
    </w:pPr>
  </w:style>
  <w:style w:type="paragraph" w:styleId="TOC3">
    <w:name w:val="toc 3"/>
    <w:basedOn w:val="Normal"/>
    <w:next w:val="Normal"/>
    <w:autoRedefine/>
    <w:uiPriority w:val="39"/>
    <w:unhideWhenUsed/>
    <w:rsid w:val="00CE128D"/>
    <w:pPr>
      <w:spacing w:after="100"/>
      <w:ind w:left="440"/>
    </w:pPr>
  </w:style>
  <w:style w:type="character" w:styleId="Strong">
    <w:name w:val="Strong"/>
    <w:basedOn w:val="DefaultParagraphFont"/>
    <w:uiPriority w:val="22"/>
    <w:qFormat/>
    <w:rsid w:val="004D04E0"/>
    <w:rPr>
      <w:b/>
      <w:bCs/>
    </w:rPr>
  </w:style>
  <w:style w:type="character" w:styleId="FollowedHyperlink">
    <w:name w:val="FollowedHyperlink"/>
    <w:basedOn w:val="DefaultParagraphFont"/>
    <w:uiPriority w:val="99"/>
    <w:semiHidden/>
    <w:unhideWhenUsed/>
    <w:rsid w:val="00DB6AC9"/>
    <w:rPr>
      <w:color w:val="954F72" w:themeColor="followedHyperlink"/>
      <w:u w:val="single"/>
    </w:rPr>
  </w:style>
  <w:style w:type="table" w:styleId="TableGrid">
    <w:name w:val="Table Grid"/>
    <w:basedOn w:val="TableNormal"/>
    <w:uiPriority w:val="39"/>
    <w:rsid w:val="00A76F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F4B63"/>
    <w:rPr>
      <w:sz w:val="18"/>
      <w:szCs w:val="18"/>
    </w:rPr>
  </w:style>
  <w:style w:type="paragraph" w:styleId="CommentText">
    <w:name w:val="annotation text"/>
    <w:basedOn w:val="Normal"/>
    <w:link w:val="CommentTextChar"/>
    <w:uiPriority w:val="99"/>
    <w:semiHidden/>
    <w:unhideWhenUsed/>
    <w:rsid w:val="00EF4B63"/>
    <w:pPr>
      <w:spacing w:line="240" w:lineRule="auto"/>
    </w:pPr>
    <w:rPr>
      <w:sz w:val="24"/>
      <w:szCs w:val="24"/>
    </w:rPr>
  </w:style>
  <w:style w:type="character" w:customStyle="1" w:styleId="CommentTextChar">
    <w:name w:val="Comment Text Char"/>
    <w:basedOn w:val="DefaultParagraphFont"/>
    <w:link w:val="CommentText"/>
    <w:uiPriority w:val="99"/>
    <w:semiHidden/>
    <w:rsid w:val="00EF4B63"/>
    <w:rPr>
      <w:sz w:val="24"/>
      <w:szCs w:val="24"/>
    </w:rPr>
  </w:style>
  <w:style w:type="paragraph" w:styleId="CommentSubject">
    <w:name w:val="annotation subject"/>
    <w:basedOn w:val="CommentText"/>
    <w:next w:val="CommentText"/>
    <w:link w:val="CommentSubjectChar"/>
    <w:uiPriority w:val="99"/>
    <w:semiHidden/>
    <w:unhideWhenUsed/>
    <w:rsid w:val="00EF4B63"/>
    <w:rPr>
      <w:b/>
      <w:bCs/>
      <w:sz w:val="20"/>
      <w:szCs w:val="20"/>
    </w:rPr>
  </w:style>
  <w:style w:type="character" w:customStyle="1" w:styleId="CommentSubjectChar">
    <w:name w:val="Comment Subject Char"/>
    <w:basedOn w:val="CommentTextChar"/>
    <w:link w:val="CommentSubject"/>
    <w:uiPriority w:val="99"/>
    <w:semiHidden/>
    <w:rsid w:val="00EF4B63"/>
    <w:rPr>
      <w:b/>
      <w:bCs/>
      <w:sz w:val="20"/>
      <w:szCs w:val="20"/>
    </w:rPr>
  </w:style>
  <w:style w:type="paragraph" w:styleId="BalloonText">
    <w:name w:val="Balloon Text"/>
    <w:basedOn w:val="Normal"/>
    <w:link w:val="BalloonTextChar"/>
    <w:uiPriority w:val="99"/>
    <w:semiHidden/>
    <w:unhideWhenUsed/>
    <w:rsid w:val="00EF4B6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F4B63"/>
    <w:rPr>
      <w:rFonts w:ascii="Lucida Grande" w:hAnsi="Lucida Grande" w:cs="Lucida Grande"/>
      <w:sz w:val="18"/>
      <w:szCs w:val="18"/>
    </w:rPr>
  </w:style>
  <w:style w:type="paragraph" w:styleId="Revision">
    <w:name w:val="Revision"/>
    <w:hidden/>
    <w:uiPriority w:val="99"/>
    <w:semiHidden/>
    <w:rsid w:val="008C5AAE"/>
    <w:pPr>
      <w:spacing w:after="0" w:line="240" w:lineRule="auto"/>
    </w:pPr>
  </w:style>
  <w:style w:type="character" w:customStyle="1" w:styleId="Mention1">
    <w:name w:val="Mention1"/>
    <w:basedOn w:val="DefaultParagraphFont"/>
    <w:uiPriority w:val="99"/>
    <w:semiHidden/>
    <w:unhideWhenUsed/>
    <w:rsid w:val="00CF1491"/>
    <w:rPr>
      <w:color w:val="2B579A"/>
      <w:shd w:val="clear" w:color="auto" w:fill="E6E6E6"/>
    </w:rPr>
  </w:style>
  <w:style w:type="character" w:customStyle="1" w:styleId="UnresolvedMention1">
    <w:name w:val="Unresolved Mention1"/>
    <w:basedOn w:val="DefaultParagraphFont"/>
    <w:uiPriority w:val="99"/>
    <w:semiHidden/>
    <w:unhideWhenUsed/>
    <w:rsid w:val="00BE1747"/>
    <w:rPr>
      <w:color w:val="605E5C"/>
      <w:shd w:val="clear" w:color="auto" w:fill="E1DFDD"/>
    </w:rPr>
  </w:style>
  <w:style w:type="paragraph" w:styleId="Caption">
    <w:name w:val="caption"/>
    <w:basedOn w:val="Normal"/>
    <w:next w:val="Normal"/>
    <w:autoRedefine/>
    <w:uiPriority w:val="35"/>
    <w:unhideWhenUsed/>
    <w:qFormat/>
    <w:rsid w:val="00B448FE"/>
    <w:pPr>
      <w:spacing w:line="240" w:lineRule="auto"/>
      <w:ind w:left="993" w:hanging="993"/>
    </w:pPr>
    <w:rPr>
      <w:i/>
      <w:iCs/>
      <w:color w:val="44546A" w:themeColor="text2"/>
    </w:rPr>
  </w:style>
  <w:style w:type="table" w:styleId="PlainTable2">
    <w:name w:val="Plain Table 2"/>
    <w:basedOn w:val="TableNormal"/>
    <w:uiPriority w:val="42"/>
    <w:rsid w:val="002F12DA"/>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ableofFigures">
    <w:name w:val="table of figures"/>
    <w:basedOn w:val="Normal"/>
    <w:next w:val="Normal"/>
    <w:uiPriority w:val="99"/>
    <w:unhideWhenUsed/>
    <w:rsid w:val="004C54FA"/>
    <w:pPr>
      <w:spacing w:after="0"/>
    </w:pPr>
  </w:style>
  <w:style w:type="character" w:styleId="LineNumber">
    <w:name w:val="line number"/>
    <w:basedOn w:val="DefaultParagraphFont"/>
    <w:uiPriority w:val="99"/>
    <w:semiHidden/>
    <w:unhideWhenUsed/>
    <w:rsid w:val="00414E0D"/>
  </w:style>
  <w:style w:type="table" w:customStyle="1" w:styleId="PlainTable21">
    <w:name w:val="Plain Table 21"/>
    <w:basedOn w:val="TableNormal"/>
    <w:uiPriority w:val="42"/>
    <w:rsid w:val="009B47FF"/>
    <w:pPr>
      <w:spacing w:after="0" w:line="240" w:lineRule="auto"/>
    </w:pPr>
    <w:rPr>
      <w:rFonts w:eastAsiaTheme="minorEastAsia"/>
      <w:lang w:eastAsia="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4">
    <w:name w:val="toc 4"/>
    <w:basedOn w:val="Normal"/>
    <w:next w:val="Normal"/>
    <w:autoRedefine/>
    <w:uiPriority w:val="39"/>
    <w:unhideWhenUsed/>
    <w:rsid w:val="00007E47"/>
    <w:pPr>
      <w:spacing w:after="100" w:line="259" w:lineRule="auto"/>
      <w:ind w:left="660"/>
    </w:pPr>
    <w:rPr>
      <w:rFonts w:eastAsiaTheme="minorEastAsia"/>
      <w:lang w:val="en-US"/>
    </w:rPr>
  </w:style>
  <w:style w:type="paragraph" w:styleId="TOC5">
    <w:name w:val="toc 5"/>
    <w:basedOn w:val="Normal"/>
    <w:next w:val="Normal"/>
    <w:autoRedefine/>
    <w:uiPriority w:val="39"/>
    <w:unhideWhenUsed/>
    <w:rsid w:val="00007E47"/>
    <w:pPr>
      <w:spacing w:after="100" w:line="259" w:lineRule="auto"/>
      <w:ind w:left="880"/>
    </w:pPr>
    <w:rPr>
      <w:rFonts w:eastAsiaTheme="minorEastAsia"/>
      <w:lang w:val="en-US"/>
    </w:rPr>
  </w:style>
  <w:style w:type="paragraph" w:styleId="TOC6">
    <w:name w:val="toc 6"/>
    <w:basedOn w:val="Normal"/>
    <w:next w:val="Normal"/>
    <w:autoRedefine/>
    <w:uiPriority w:val="39"/>
    <w:unhideWhenUsed/>
    <w:rsid w:val="00007E47"/>
    <w:pPr>
      <w:spacing w:after="100" w:line="259" w:lineRule="auto"/>
      <w:ind w:left="1100"/>
    </w:pPr>
    <w:rPr>
      <w:rFonts w:eastAsiaTheme="minorEastAsia"/>
      <w:lang w:val="en-US"/>
    </w:rPr>
  </w:style>
  <w:style w:type="paragraph" w:styleId="TOC7">
    <w:name w:val="toc 7"/>
    <w:basedOn w:val="Normal"/>
    <w:next w:val="Normal"/>
    <w:autoRedefine/>
    <w:uiPriority w:val="39"/>
    <w:unhideWhenUsed/>
    <w:rsid w:val="00007E47"/>
    <w:pPr>
      <w:spacing w:after="100" w:line="259" w:lineRule="auto"/>
      <w:ind w:left="1320"/>
    </w:pPr>
    <w:rPr>
      <w:rFonts w:eastAsiaTheme="minorEastAsia"/>
      <w:lang w:val="en-US"/>
    </w:rPr>
  </w:style>
  <w:style w:type="paragraph" w:styleId="TOC8">
    <w:name w:val="toc 8"/>
    <w:basedOn w:val="Normal"/>
    <w:next w:val="Normal"/>
    <w:autoRedefine/>
    <w:uiPriority w:val="39"/>
    <w:unhideWhenUsed/>
    <w:rsid w:val="00007E47"/>
    <w:pPr>
      <w:spacing w:after="100" w:line="259" w:lineRule="auto"/>
      <w:ind w:left="1540"/>
    </w:pPr>
    <w:rPr>
      <w:rFonts w:eastAsiaTheme="minorEastAsia"/>
      <w:lang w:val="en-US"/>
    </w:rPr>
  </w:style>
  <w:style w:type="paragraph" w:styleId="TOC9">
    <w:name w:val="toc 9"/>
    <w:basedOn w:val="Normal"/>
    <w:next w:val="Normal"/>
    <w:autoRedefine/>
    <w:uiPriority w:val="39"/>
    <w:unhideWhenUsed/>
    <w:rsid w:val="00007E47"/>
    <w:pPr>
      <w:spacing w:after="100" w:line="259" w:lineRule="auto"/>
      <w:ind w:left="1760"/>
    </w:pPr>
    <w:rPr>
      <w:rFonts w:eastAsiaTheme="minorEastAsia"/>
      <w:lang w:val="en-US"/>
    </w:rPr>
  </w:style>
  <w:style w:type="paragraph" w:customStyle="1" w:styleId="msonormal0">
    <w:name w:val="msonormal"/>
    <w:basedOn w:val="Normal"/>
    <w:uiPriority w:val="99"/>
    <w:rsid w:val="00DF03DC"/>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Normal"/>
    <w:rsid w:val="00DF03DC"/>
    <w:pPr>
      <w:spacing w:before="100" w:beforeAutospacing="1" w:after="100" w:afterAutospacing="1" w:line="240" w:lineRule="auto"/>
    </w:pPr>
    <w:rPr>
      <w:rFonts w:ascii="Times New Roman" w:eastAsia="Times New Roman" w:hAnsi="Times New Roman" w:cs="Times New Roman"/>
      <w:lang w:val="en-US"/>
    </w:rPr>
  </w:style>
  <w:style w:type="paragraph" w:customStyle="1" w:styleId="xl75">
    <w:name w:val="xl75"/>
    <w:basedOn w:val="Normal"/>
    <w:rsid w:val="00DF03DC"/>
    <w:pP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n-US"/>
    </w:rPr>
  </w:style>
  <w:style w:type="paragraph" w:customStyle="1" w:styleId="xl76">
    <w:name w:val="xl76"/>
    <w:basedOn w:val="Normal"/>
    <w:rsid w:val="00DF03DC"/>
    <w:pP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n-US"/>
    </w:rPr>
  </w:style>
  <w:style w:type="paragraph" w:customStyle="1" w:styleId="xl77">
    <w:name w:val="xl77"/>
    <w:basedOn w:val="Normal"/>
    <w:rsid w:val="00DF03DC"/>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n-US"/>
    </w:rPr>
  </w:style>
  <w:style w:type="paragraph" w:customStyle="1" w:styleId="xl78">
    <w:name w:val="xl78"/>
    <w:basedOn w:val="Normal"/>
    <w:rsid w:val="00DF03D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n-US"/>
    </w:rPr>
  </w:style>
  <w:style w:type="paragraph" w:customStyle="1" w:styleId="xl79">
    <w:name w:val="xl79"/>
    <w:basedOn w:val="Normal"/>
    <w:rsid w:val="00DF03DC"/>
    <w:pPr>
      <w:spacing w:before="100" w:beforeAutospacing="1" w:after="100" w:afterAutospacing="1" w:line="240" w:lineRule="auto"/>
      <w:textAlignment w:val="center"/>
    </w:pPr>
    <w:rPr>
      <w:rFonts w:ascii="Times New Roman" w:eastAsia="Times New Roman" w:hAnsi="Times New Roman" w:cs="Times New Roman"/>
      <w:color w:val="000000"/>
      <w:sz w:val="18"/>
      <w:szCs w:val="18"/>
      <w:lang w:val="en-US"/>
    </w:rPr>
  </w:style>
  <w:style w:type="paragraph" w:customStyle="1" w:styleId="xl80">
    <w:name w:val="xl80"/>
    <w:basedOn w:val="Normal"/>
    <w:rsid w:val="00DF03DC"/>
    <w:pP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val="en-US"/>
    </w:rPr>
  </w:style>
  <w:style w:type="paragraph" w:customStyle="1" w:styleId="xl81">
    <w:name w:val="xl81"/>
    <w:basedOn w:val="Normal"/>
    <w:rsid w:val="00DF03DC"/>
    <w:pP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val="en-US"/>
    </w:rPr>
  </w:style>
  <w:style w:type="paragraph" w:customStyle="1" w:styleId="xl82">
    <w:name w:val="xl82"/>
    <w:basedOn w:val="Normal"/>
    <w:rsid w:val="00DF03DC"/>
    <w:pP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n-US"/>
    </w:rPr>
  </w:style>
  <w:style w:type="paragraph" w:customStyle="1" w:styleId="xl83">
    <w:name w:val="xl83"/>
    <w:basedOn w:val="Normal"/>
    <w:rsid w:val="00DF03D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val="en-US"/>
    </w:rPr>
  </w:style>
  <w:style w:type="paragraph" w:customStyle="1" w:styleId="xl84">
    <w:name w:val="xl84"/>
    <w:basedOn w:val="Normal"/>
    <w:rsid w:val="00DF03D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val="en-US"/>
    </w:rPr>
  </w:style>
  <w:style w:type="paragraph" w:customStyle="1" w:styleId="xl85">
    <w:name w:val="xl85"/>
    <w:basedOn w:val="Normal"/>
    <w:rsid w:val="00DF03DC"/>
    <w:pPr>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18"/>
      <w:szCs w:val="18"/>
      <w:lang w:val="en-US"/>
    </w:rPr>
  </w:style>
  <w:style w:type="paragraph" w:customStyle="1" w:styleId="xl86">
    <w:name w:val="xl86"/>
    <w:basedOn w:val="Normal"/>
    <w:rsid w:val="00DF03DC"/>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7">
    <w:name w:val="xl87"/>
    <w:basedOn w:val="Normal"/>
    <w:rsid w:val="00DF03DC"/>
    <w:pP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val="en-US"/>
    </w:rPr>
  </w:style>
  <w:style w:type="paragraph" w:customStyle="1" w:styleId="xl88">
    <w:name w:val="xl88"/>
    <w:basedOn w:val="Normal"/>
    <w:rsid w:val="00DF03DC"/>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89">
    <w:name w:val="xl89"/>
    <w:basedOn w:val="Normal"/>
    <w:rsid w:val="00DF03DC"/>
    <w:pPr>
      <w:spacing w:before="100" w:beforeAutospacing="1" w:after="100" w:afterAutospacing="1" w:line="240" w:lineRule="auto"/>
      <w:textAlignment w:val="center"/>
    </w:pPr>
    <w:rPr>
      <w:rFonts w:ascii="Times New Roman" w:eastAsia="Times New Roman" w:hAnsi="Times New Roman" w:cs="Times New Roman"/>
      <w:sz w:val="24"/>
      <w:szCs w:val="24"/>
      <w:lang w:val="en-US"/>
    </w:rPr>
  </w:style>
  <w:style w:type="paragraph" w:customStyle="1" w:styleId="xl90">
    <w:name w:val="xl90"/>
    <w:basedOn w:val="Normal"/>
    <w:rsid w:val="00DF03DC"/>
    <w:pPr>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18"/>
      <w:szCs w:val="18"/>
      <w:lang w:val="en-US"/>
    </w:rPr>
  </w:style>
  <w:style w:type="paragraph" w:customStyle="1" w:styleId="xl91">
    <w:name w:val="xl91"/>
    <w:basedOn w:val="Normal"/>
    <w:rsid w:val="00DF03DC"/>
    <w:pPr>
      <w:pBdr>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8"/>
      <w:szCs w:val="18"/>
      <w:lang w:val="en-US"/>
    </w:rPr>
  </w:style>
  <w:style w:type="paragraph" w:customStyle="1" w:styleId="xl92">
    <w:name w:val="xl92"/>
    <w:basedOn w:val="Normal"/>
    <w:rsid w:val="00DF03DC"/>
    <w:pP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val="en-US"/>
    </w:rPr>
  </w:style>
  <w:style w:type="paragraph" w:customStyle="1" w:styleId="xl93">
    <w:name w:val="xl93"/>
    <w:basedOn w:val="Normal"/>
    <w:rsid w:val="00DF03DC"/>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94">
    <w:name w:val="xl94"/>
    <w:basedOn w:val="Normal"/>
    <w:rsid w:val="00DF03DC"/>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95">
    <w:name w:val="xl95"/>
    <w:basedOn w:val="Normal"/>
    <w:rsid w:val="00DF03DC"/>
    <w:pPr>
      <w:pBdr>
        <w:right w:val="single" w:sz="4" w:space="0" w:color="auto"/>
      </w:pBdr>
      <w:spacing w:before="100" w:beforeAutospacing="1" w:after="100" w:afterAutospacing="1" w:line="240" w:lineRule="auto"/>
    </w:pPr>
    <w:rPr>
      <w:rFonts w:ascii="Times New Roman" w:eastAsia="Times New Roman" w:hAnsi="Times New Roman" w:cs="Times New Roman"/>
      <w:lang w:val="en-US"/>
    </w:rPr>
  </w:style>
  <w:style w:type="paragraph" w:customStyle="1" w:styleId="xl96">
    <w:name w:val="xl96"/>
    <w:basedOn w:val="Normal"/>
    <w:rsid w:val="00DF03DC"/>
    <w:pPr>
      <w:spacing w:before="100" w:beforeAutospacing="1" w:after="100" w:afterAutospacing="1" w:line="240" w:lineRule="auto"/>
      <w:jc w:val="center"/>
      <w:textAlignment w:val="center"/>
    </w:pPr>
    <w:rPr>
      <w:rFonts w:ascii="Times New Roman" w:eastAsia="Times New Roman" w:hAnsi="Times New Roman" w:cs="Times New Roman"/>
      <w:color w:val="FF0000"/>
      <w:sz w:val="18"/>
      <w:szCs w:val="18"/>
      <w:lang w:val="en-US"/>
    </w:rPr>
  </w:style>
  <w:style w:type="paragraph" w:customStyle="1" w:styleId="xl97">
    <w:name w:val="xl97"/>
    <w:basedOn w:val="Normal"/>
    <w:rsid w:val="00DF03D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n-US"/>
    </w:rPr>
  </w:style>
  <w:style w:type="paragraph" w:customStyle="1" w:styleId="xl98">
    <w:name w:val="xl98"/>
    <w:basedOn w:val="Normal"/>
    <w:rsid w:val="00DF03DC"/>
    <w:pPr>
      <w:spacing w:before="100" w:beforeAutospacing="1" w:after="100" w:afterAutospacing="1" w:line="240" w:lineRule="auto"/>
      <w:ind w:firstLineChars="100" w:firstLine="100"/>
      <w:textAlignment w:val="center"/>
    </w:pPr>
    <w:rPr>
      <w:rFonts w:ascii="Times New Roman" w:eastAsia="Times New Roman" w:hAnsi="Times New Roman" w:cs="Times New Roman"/>
      <w:b/>
      <w:bCs/>
      <w:color w:val="000000"/>
      <w:sz w:val="18"/>
      <w:szCs w:val="18"/>
      <w:lang w:val="en-US"/>
    </w:rPr>
  </w:style>
  <w:style w:type="paragraph" w:customStyle="1" w:styleId="xl99">
    <w:name w:val="xl99"/>
    <w:basedOn w:val="Normal"/>
    <w:rsid w:val="00DF03D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n-US"/>
    </w:rPr>
  </w:style>
  <w:style w:type="character" w:customStyle="1" w:styleId="hscoswrapper">
    <w:name w:val="hs_cos_wrapper"/>
    <w:basedOn w:val="DefaultParagraphFont"/>
    <w:rsid w:val="00921FDD"/>
  </w:style>
  <w:style w:type="paragraph" w:customStyle="1" w:styleId="font5">
    <w:name w:val="font5"/>
    <w:basedOn w:val="Normal"/>
    <w:rsid w:val="00161E87"/>
    <w:pPr>
      <w:spacing w:before="100" w:beforeAutospacing="1" w:after="100" w:afterAutospacing="1" w:line="240" w:lineRule="auto"/>
    </w:pPr>
    <w:rPr>
      <w:rFonts w:ascii="Calibri" w:eastAsia="Times New Roman" w:hAnsi="Calibri" w:cs="Calibri"/>
      <w:color w:val="000000"/>
      <w:sz w:val="18"/>
      <w:szCs w:val="18"/>
      <w:lang w:val="en-US"/>
    </w:rPr>
  </w:style>
  <w:style w:type="paragraph" w:customStyle="1" w:styleId="font6">
    <w:name w:val="font6"/>
    <w:basedOn w:val="Normal"/>
    <w:rsid w:val="00161E87"/>
    <w:pPr>
      <w:spacing w:before="100" w:beforeAutospacing="1" w:after="100" w:afterAutospacing="1" w:line="240" w:lineRule="auto"/>
    </w:pPr>
    <w:rPr>
      <w:rFonts w:ascii="Calibri" w:eastAsia="Times New Roman" w:hAnsi="Calibri" w:cs="Calibri"/>
      <w:i/>
      <w:iCs/>
      <w:color w:val="000000"/>
      <w:sz w:val="18"/>
      <w:szCs w:val="18"/>
      <w:lang w:val="en-US"/>
    </w:rPr>
  </w:style>
  <w:style w:type="paragraph" w:customStyle="1" w:styleId="font7">
    <w:name w:val="font7"/>
    <w:basedOn w:val="Normal"/>
    <w:rsid w:val="00161E87"/>
    <w:pPr>
      <w:spacing w:before="100" w:beforeAutospacing="1" w:after="100" w:afterAutospacing="1" w:line="240" w:lineRule="auto"/>
    </w:pPr>
    <w:rPr>
      <w:rFonts w:ascii="Calibri" w:eastAsia="Times New Roman" w:hAnsi="Calibri" w:cs="Calibri"/>
      <w:color w:val="000000"/>
      <w:sz w:val="20"/>
      <w:szCs w:val="20"/>
      <w:lang w:val="en-US"/>
    </w:rPr>
  </w:style>
  <w:style w:type="paragraph" w:customStyle="1" w:styleId="font8">
    <w:name w:val="font8"/>
    <w:basedOn w:val="Normal"/>
    <w:rsid w:val="00161E87"/>
    <w:pPr>
      <w:spacing w:before="100" w:beforeAutospacing="1" w:after="100" w:afterAutospacing="1" w:line="240" w:lineRule="auto"/>
    </w:pPr>
    <w:rPr>
      <w:rFonts w:ascii="Calibri" w:eastAsia="Times New Roman" w:hAnsi="Calibri" w:cs="Calibri"/>
      <w:i/>
      <w:iCs/>
      <w:color w:val="000000"/>
      <w:sz w:val="20"/>
      <w:szCs w:val="20"/>
      <w:lang w:val="en-US"/>
    </w:rPr>
  </w:style>
  <w:style w:type="paragraph" w:customStyle="1" w:styleId="xl68">
    <w:name w:val="xl68"/>
    <w:basedOn w:val="Normal"/>
    <w:rsid w:val="00161E87"/>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val="en-US"/>
    </w:rPr>
  </w:style>
  <w:style w:type="paragraph" w:customStyle="1" w:styleId="xl69">
    <w:name w:val="xl69"/>
    <w:basedOn w:val="Normal"/>
    <w:rsid w:val="00161E87"/>
    <w:pPr>
      <w:spacing w:before="100" w:beforeAutospacing="1" w:after="100" w:afterAutospacing="1" w:line="240" w:lineRule="auto"/>
      <w:textAlignment w:val="center"/>
    </w:pPr>
    <w:rPr>
      <w:rFonts w:ascii="Times New Roman" w:eastAsia="Times New Roman" w:hAnsi="Times New Roman" w:cs="Times New Roman"/>
      <w:sz w:val="18"/>
      <w:szCs w:val="18"/>
      <w:lang w:val="en-US"/>
    </w:rPr>
  </w:style>
  <w:style w:type="paragraph" w:customStyle="1" w:styleId="xl70">
    <w:name w:val="xl70"/>
    <w:basedOn w:val="Normal"/>
    <w:rsid w:val="00161E87"/>
    <w:pP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71">
    <w:name w:val="xl71"/>
    <w:basedOn w:val="Normal"/>
    <w:rsid w:val="00161E87"/>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val="en-US"/>
    </w:rPr>
  </w:style>
  <w:style w:type="paragraph" w:customStyle="1" w:styleId="xl72">
    <w:name w:val="xl72"/>
    <w:basedOn w:val="Normal"/>
    <w:rsid w:val="00161E8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73">
    <w:name w:val="xl73"/>
    <w:basedOn w:val="Normal"/>
    <w:rsid w:val="00161E87"/>
    <w:pPr>
      <w:spacing w:before="100" w:beforeAutospacing="1" w:after="100" w:afterAutospacing="1" w:line="240" w:lineRule="auto"/>
      <w:textAlignment w:val="center"/>
    </w:pPr>
    <w:rPr>
      <w:rFonts w:ascii="Times New Roman" w:eastAsia="Times New Roman" w:hAnsi="Times New Roman" w:cs="Times New Roman"/>
      <w:i/>
      <w:iCs/>
      <w:sz w:val="18"/>
      <w:szCs w:val="18"/>
      <w:lang w:val="en-US"/>
    </w:rPr>
  </w:style>
  <w:style w:type="paragraph" w:customStyle="1" w:styleId="xl100">
    <w:name w:val="xl100"/>
    <w:basedOn w:val="Normal"/>
    <w:rsid w:val="00161E87"/>
    <w:pPr>
      <w:pBdr>
        <w:bottom w:val="single" w:sz="8" w:space="0" w:color="auto"/>
      </w:pBdr>
      <w:spacing w:before="100" w:beforeAutospacing="1" w:after="100" w:afterAutospacing="1" w:line="240" w:lineRule="auto"/>
    </w:pPr>
    <w:rPr>
      <w:rFonts w:ascii="Times New Roman" w:eastAsia="Times New Roman" w:hAnsi="Times New Roman" w:cs="Times New Roman"/>
      <w:lang w:val="en-US"/>
    </w:rPr>
  </w:style>
  <w:style w:type="character" w:styleId="UnresolvedMention">
    <w:name w:val="Unresolved Mention"/>
    <w:basedOn w:val="DefaultParagraphFont"/>
    <w:uiPriority w:val="99"/>
    <w:semiHidden/>
    <w:unhideWhenUsed/>
    <w:rsid w:val="00101F48"/>
    <w:rPr>
      <w:color w:val="605E5C"/>
      <w:shd w:val="clear" w:color="auto" w:fill="E1DFDD"/>
    </w:rPr>
  </w:style>
  <w:style w:type="character" w:styleId="PlaceholderText">
    <w:name w:val="Placeholder Text"/>
    <w:basedOn w:val="DefaultParagraphFont"/>
    <w:uiPriority w:val="99"/>
    <w:semiHidden/>
    <w:rsid w:val="004E4CFF"/>
    <w:rPr>
      <w:color w:val="808080"/>
    </w:rPr>
  </w:style>
  <w:style w:type="paragraph" w:customStyle="1" w:styleId="p">
    <w:name w:val="p"/>
    <w:basedOn w:val="Normal"/>
    <w:rsid w:val="000D24E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nchor-text">
    <w:name w:val="anchor-text"/>
    <w:basedOn w:val="DefaultParagraphFont"/>
    <w:rsid w:val="00B92E5C"/>
  </w:style>
  <w:style w:type="character" w:customStyle="1" w:styleId="mi">
    <w:name w:val="mi"/>
    <w:basedOn w:val="DefaultParagraphFont"/>
    <w:rsid w:val="00702864"/>
  </w:style>
  <w:style w:type="character" w:customStyle="1" w:styleId="mo">
    <w:name w:val="mo"/>
    <w:basedOn w:val="DefaultParagraphFont"/>
    <w:rsid w:val="00702864"/>
  </w:style>
  <w:style w:type="character" w:customStyle="1" w:styleId="mn">
    <w:name w:val="mn"/>
    <w:basedOn w:val="DefaultParagraphFont"/>
    <w:rsid w:val="00702864"/>
  </w:style>
  <w:style w:type="paragraph" w:styleId="FootnoteText">
    <w:name w:val="footnote text"/>
    <w:basedOn w:val="Normal"/>
    <w:link w:val="FootnoteTextChar"/>
    <w:uiPriority w:val="99"/>
    <w:semiHidden/>
    <w:unhideWhenUsed/>
    <w:rsid w:val="009207A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207A0"/>
    <w:rPr>
      <w:sz w:val="20"/>
      <w:szCs w:val="20"/>
    </w:rPr>
  </w:style>
  <w:style w:type="character" w:styleId="FootnoteReference">
    <w:name w:val="footnote reference"/>
    <w:basedOn w:val="DefaultParagraphFont"/>
    <w:uiPriority w:val="99"/>
    <w:semiHidden/>
    <w:unhideWhenUsed/>
    <w:rsid w:val="009207A0"/>
    <w:rPr>
      <w:vertAlign w:val="superscript"/>
    </w:rPr>
  </w:style>
  <w:style w:type="character" w:customStyle="1" w:styleId="NormalWebChar">
    <w:name w:val="Normal (Web) Char"/>
    <w:basedOn w:val="DefaultParagraphFont"/>
    <w:link w:val="NormalWeb"/>
    <w:uiPriority w:val="99"/>
    <w:locked/>
    <w:rsid w:val="00DE034C"/>
    <w:rPr>
      <w:rFonts w:ascii="Times New Roman" w:eastAsia="Times New Roman" w:hAnsi="Times New Roman" w:cs="Times New Roman"/>
      <w:sz w:val="24"/>
      <w:szCs w:val="24"/>
      <w:lang w:eastAsia="en-GB"/>
    </w:rPr>
  </w:style>
  <w:style w:type="paragraph" w:customStyle="1" w:styleId="Pa16">
    <w:name w:val="Pa16"/>
    <w:basedOn w:val="Default"/>
    <w:next w:val="Default"/>
    <w:uiPriority w:val="99"/>
    <w:rsid w:val="00DE034C"/>
    <w:pPr>
      <w:spacing w:line="180" w:lineRule="atLeast"/>
    </w:pPr>
    <w:rPr>
      <w:rFonts w:ascii="HelveticaNeueLT Std Med" w:hAnsi="HelveticaNeueLT Std Med" w:cstheme="minorBidi"/>
      <w:color w:val="auto"/>
      <w:lang w:val="en-US"/>
    </w:rPr>
  </w:style>
  <w:style w:type="paragraph" w:customStyle="1" w:styleId="Pa3">
    <w:name w:val="Pa3"/>
    <w:basedOn w:val="Default"/>
    <w:next w:val="Default"/>
    <w:uiPriority w:val="99"/>
    <w:rsid w:val="00DE034C"/>
    <w:pPr>
      <w:spacing w:line="180" w:lineRule="atLeast"/>
    </w:pPr>
    <w:rPr>
      <w:rFonts w:ascii="HelveticaNeueLT Std Med" w:hAnsi="HelveticaNeueLT Std Med" w:cstheme="minorBidi"/>
      <w:color w:val="auto"/>
      <w:lang w:val="en-US"/>
    </w:rPr>
  </w:style>
  <w:style w:type="paragraph" w:customStyle="1" w:styleId="simplepara">
    <w:name w:val="simplepara"/>
    <w:basedOn w:val="Normal"/>
    <w:uiPriority w:val="99"/>
    <w:rsid w:val="00DE034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orcid-id-https">
    <w:name w:val="orcid-id-https"/>
    <w:basedOn w:val="DefaultParagraphFont"/>
    <w:rsid w:val="00DE034C"/>
  </w:style>
  <w:style w:type="table" w:styleId="PlainTable1">
    <w:name w:val="Plain Table 1"/>
    <w:basedOn w:val="TableNormal"/>
    <w:uiPriority w:val="41"/>
    <w:rsid w:val="00DE034C"/>
    <w:pPr>
      <w:spacing w:after="0" w:line="240" w:lineRule="auto"/>
    </w:pPr>
    <w:rPr>
      <w:lang w:val="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E034C"/>
    <w:pPr>
      <w:spacing w:after="0" w:line="240" w:lineRule="auto"/>
    </w:pPr>
    <w:rPr>
      <w:lang w:val="en-US"/>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DE034C"/>
    <w:pPr>
      <w:spacing w:after="0" w:line="240" w:lineRule="auto"/>
    </w:pPr>
    <w:rPr>
      <w:lang w:val="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odyText">
    <w:name w:val="Body Text"/>
    <w:basedOn w:val="Normal"/>
    <w:link w:val="BodyTextChar"/>
    <w:uiPriority w:val="1"/>
    <w:qFormat/>
    <w:rsid w:val="006759FF"/>
    <w:pPr>
      <w:widowControl w:val="0"/>
      <w:autoSpaceDE w:val="0"/>
      <w:autoSpaceDN w:val="0"/>
      <w:spacing w:after="0" w:line="240" w:lineRule="auto"/>
    </w:pPr>
    <w:rPr>
      <w:rFonts w:ascii="Times New Roman" w:eastAsia="Times New Roman" w:hAnsi="Times New Roman" w:cs="Times New Roman"/>
      <w:sz w:val="19"/>
      <w:szCs w:val="19"/>
      <w:lang w:val="en-US" w:bidi="en-US"/>
    </w:rPr>
  </w:style>
  <w:style w:type="character" w:customStyle="1" w:styleId="BodyTextChar">
    <w:name w:val="Body Text Char"/>
    <w:basedOn w:val="DefaultParagraphFont"/>
    <w:link w:val="BodyText"/>
    <w:uiPriority w:val="1"/>
    <w:rsid w:val="006759FF"/>
    <w:rPr>
      <w:rFonts w:ascii="Times New Roman" w:eastAsia="Times New Roman" w:hAnsi="Times New Roman" w:cs="Times New Roman"/>
      <w:sz w:val="19"/>
      <w:szCs w:val="19"/>
      <w:lang w:val="en-US" w:bidi="en-US"/>
    </w:rPr>
  </w:style>
  <w:style w:type="character" w:customStyle="1" w:styleId="uiqtextrenderedqtext">
    <w:name w:val="ui_qtext_rendered_qtext"/>
    <w:basedOn w:val="DefaultParagraphFont"/>
    <w:rsid w:val="006D469A"/>
  </w:style>
  <w:style w:type="character" w:customStyle="1" w:styleId="linkify">
    <w:name w:val="linkify"/>
    <w:basedOn w:val="DefaultParagraphFont"/>
    <w:rsid w:val="00AC3909"/>
  </w:style>
  <w:style w:type="character" w:customStyle="1" w:styleId="Heading5Char">
    <w:name w:val="Heading 5 Char"/>
    <w:basedOn w:val="DefaultParagraphFont"/>
    <w:link w:val="Heading5"/>
    <w:uiPriority w:val="9"/>
    <w:rsid w:val="00433E5A"/>
    <w:rPr>
      <w:rFonts w:eastAsiaTheme="majorEastAsia" w:cstheme="minorHAnsi"/>
      <w:color w:val="2E74B5" w:themeColor="accent1" w:themeShade="BF"/>
      <w:sz w:val="24"/>
      <w:szCs w:val="24"/>
    </w:rPr>
  </w:style>
  <w:style w:type="character" w:customStyle="1" w:styleId="mtext">
    <w:name w:val="mtext"/>
    <w:basedOn w:val="DefaultParagraphFont"/>
    <w:rsid w:val="0046124D"/>
  </w:style>
  <w:style w:type="paragraph" w:customStyle="1" w:styleId="Pa21">
    <w:name w:val="Pa21"/>
    <w:basedOn w:val="Default"/>
    <w:next w:val="Default"/>
    <w:uiPriority w:val="99"/>
    <w:rsid w:val="005E05C5"/>
    <w:pPr>
      <w:spacing w:line="161" w:lineRule="atLeast"/>
    </w:pPr>
    <w:rPr>
      <w:rFonts w:ascii="Myriad Pro" w:hAnsi="Myriad Pro" w:cstheme="minorBidi"/>
      <w:color w:val="auto"/>
    </w:rPr>
  </w:style>
  <w:style w:type="character" w:customStyle="1" w:styleId="A16">
    <w:name w:val="A16"/>
    <w:uiPriority w:val="99"/>
    <w:rsid w:val="005E05C5"/>
    <w:rPr>
      <w:rFonts w:cs="Myriad Pro"/>
      <w:color w:val="000000"/>
      <w:sz w:val="18"/>
      <w:szCs w:val="18"/>
    </w:rPr>
  </w:style>
  <w:style w:type="table" w:customStyle="1" w:styleId="TableGrid0">
    <w:name w:val="TableGrid"/>
    <w:rsid w:val="00B00ED8"/>
    <w:pPr>
      <w:spacing w:after="0" w:line="240" w:lineRule="auto"/>
    </w:pPr>
    <w:rPr>
      <w:rFonts w:eastAsiaTheme="minorEastAsia"/>
      <w:lang w:eastAsia="en-GB"/>
    </w:rPr>
    <w:tblPr>
      <w:tblCellMar>
        <w:top w:w="0" w:type="dxa"/>
        <w:left w:w="0" w:type="dxa"/>
        <w:bottom w:w="0" w:type="dxa"/>
        <w:right w:w="0" w:type="dxa"/>
      </w:tblCellMar>
    </w:tblPr>
  </w:style>
  <w:style w:type="table" w:customStyle="1" w:styleId="PlainTable22">
    <w:name w:val="Plain Table 22"/>
    <w:basedOn w:val="TableNormal"/>
    <w:next w:val="PlainTable2"/>
    <w:uiPriority w:val="42"/>
    <w:rsid w:val="00D16031"/>
    <w:pPr>
      <w:spacing w:after="0" w:line="240" w:lineRule="auto"/>
    </w:pPr>
    <w:rPr>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HTMLCode">
    <w:name w:val="HTML Code"/>
    <w:basedOn w:val="DefaultParagraphFont"/>
    <w:uiPriority w:val="99"/>
    <w:semiHidden/>
    <w:unhideWhenUsed/>
    <w:rsid w:val="00121684"/>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3710">
      <w:bodyDiv w:val="1"/>
      <w:marLeft w:val="0"/>
      <w:marRight w:val="0"/>
      <w:marTop w:val="0"/>
      <w:marBottom w:val="0"/>
      <w:divBdr>
        <w:top w:val="none" w:sz="0" w:space="0" w:color="auto"/>
        <w:left w:val="none" w:sz="0" w:space="0" w:color="auto"/>
        <w:bottom w:val="none" w:sz="0" w:space="0" w:color="auto"/>
        <w:right w:val="none" w:sz="0" w:space="0" w:color="auto"/>
      </w:divBdr>
    </w:div>
    <w:div w:id="17505984">
      <w:bodyDiv w:val="1"/>
      <w:marLeft w:val="0"/>
      <w:marRight w:val="0"/>
      <w:marTop w:val="0"/>
      <w:marBottom w:val="0"/>
      <w:divBdr>
        <w:top w:val="none" w:sz="0" w:space="0" w:color="auto"/>
        <w:left w:val="none" w:sz="0" w:space="0" w:color="auto"/>
        <w:bottom w:val="none" w:sz="0" w:space="0" w:color="auto"/>
        <w:right w:val="none" w:sz="0" w:space="0" w:color="auto"/>
      </w:divBdr>
    </w:div>
    <w:div w:id="40829706">
      <w:bodyDiv w:val="1"/>
      <w:marLeft w:val="0"/>
      <w:marRight w:val="0"/>
      <w:marTop w:val="0"/>
      <w:marBottom w:val="0"/>
      <w:divBdr>
        <w:top w:val="none" w:sz="0" w:space="0" w:color="auto"/>
        <w:left w:val="none" w:sz="0" w:space="0" w:color="auto"/>
        <w:bottom w:val="none" w:sz="0" w:space="0" w:color="auto"/>
        <w:right w:val="none" w:sz="0" w:space="0" w:color="auto"/>
      </w:divBdr>
    </w:div>
    <w:div w:id="42409509">
      <w:bodyDiv w:val="1"/>
      <w:marLeft w:val="0"/>
      <w:marRight w:val="0"/>
      <w:marTop w:val="0"/>
      <w:marBottom w:val="0"/>
      <w:divBdr>
        <w:top w:val="none" w:sz="0" w:space="0" w:color="auto"/>
        <w:left w:val="none" w:sz="0" w:space="0" w:color="auto"/>
        <w:bottom w:val="none" w:sz="0" w:space="0" w:color="auto"/>
        <w:right w:val="none" w:sz="0" w:space="0" w:color="auto"/>
      </w:divBdr>
    </w:div>
    <w:div w:id="58334861">
      <w:bodyDiv w:val="1"/>
      <w:marLeft w:val="0"/>
      <w:marRight w:val="0"/>
      <w:marTop w:val="0"/>
      <w:marBottom w:val="0"/>
      <w:divBdr>
        <w:top w:val="none" w:sz="0" w:space="0" w:color="auto"/>
        <w:left w:val="none" w:sz="0" w:space="0" w:color="auto"/>
        <w:bottom w:val="none" w:sz="0" w:space="0" w:color="auto"/>
        <w:right w:val="none" w:sz="0" w:space="0" w:color="auto"/>
      </w:divBdr>
    </w:div>
    <w:div w:id="97482673">
      <w:bodyDiv w:val="1"/>
      <w:marLeft w:val="0"/>
      <w:marRight w:val="0"/>
      <w:marTop w:val="0"/>
      <w:marBottom w:val="0"/>
      <w:divBdr>
        <w:top w:val="none" w:sz="0" w:space="0" w:color="auto"/>
        <w:left w:val="none" w:sz="0" w:space="0" w:color="auto"/>
        <w:bottom w:val="none" w:sz="0" w:space="0" w:color="auto"/>
        <w:right w:val="none" w:sz="0" w:space="0" w:color="auto"/>
      </w:divBdr>
    </w:div>
    <w:div w:id="97678238">
      <w:bodyDiv w:val="1"/>
      <w:marLeft w:val="0"/>
      <w:marRight w:val="0"/>
      <w:marTop w:val="0"/>
      <w:marBottom w:val="0"/>
      <w:divBdr>
        <w:top w:val="none" w:sz="0" w:space="0" w:color="auto"/>
        <w:left w:val="none" w:sz="0" w:space="0" w:color="auto"/>
        <w:bottom w:val="none" w:sz="0" w:space="0" w:color="auto"/>
        <w:right w:val="none" w:sz="0" w:space="0" w:color="auto"/>
      </w:divBdr>
    </w:div>
    <w:div w:id="121313461">
      <w:bodyDiv w:val="1"/>
      <w:marLeft w:val="0"/>
      <w:marRight w:val="0"/>
      <w:marTop w:val="0"/>
      <w:marBottom w:val="0"/>
      <w:divBdr>
        <w:top w:val="none" w:sz="0" w:space="0" w:color="auto"/>
        <w:left w:val="none" w:sz="0" w:space="0" w:color="auto"/>
        <w:bottom w:val="none" w:sz="0" w:space="0" w:color="auto"/>
        <w:right w:val="none" w:sz="0" w:space="0" w:color="auto"/>
      </w:divBdr>
    </w:div>
    <w:div w:id="158623618">
      <w:bodyDiv w:val="1"/>
      <w:marLeft w:val="0"/>
      <w:marRight w:val="0"/>
      <w:marTop w:val="0"/>
      <w:marBottom w:val="0"/>
      <w:divBdr>
        <w:top w:val="none" w:sz="0" w:space="0" w:color="auto"/>
        <w:left w:val="none" w:sz="0" w:space="0" w:color="auto"/>
        <w:bottom w:val="none" w:sz="0" w:space="0" w:color="auto"/>
        <w:right w:val="none" w:sz="0" w:space="0" w:color="auto"/>
      </w:divBdr>
    </w:div>
    <w:div w:id="217279630">
      <w:bodyDiv w:val="1"/>
      <w:marLeft w:val="0"/>
      <w:marRight w:val="0"/>
      <w:marTop w:val="0"/>
      <w:marBottom w:val="0"/>
      <w:divBdr>
        <w:top w:val="none" w:sz="0" w:space="0" w:color="auto"/>
        <w:left w:val="none" w:sz="0" w:space="0" w:color="auto"/>
        <w:bottom w:val="none" w:sz="0" w:space="0" w:color="auto"/>
        <w:right w:val="none" w:sz="0" w:space="0" w:color="auto"/>
      </w:divBdr>
    </w:div>
    <w:div w:id="230821995">
      <w:bodyDiv w:val="1"/>
      <w:marLeft w:val="0"/>
      <w:marRight w:val="0"/>
      <w:marTop w:val="0"/>
      <w:marBottom w:val="0"/>
      <w:divBdr>
        <w:top w:val="none" w:sz="0" w:space="0" w:color="auto"/>
        <w:left w:val="none" w:sz="0" w:space="0" w:color="auto"/>
        <w:bottom w:val="none" w:sz="0" w:space="0" w:color="auto"/>
        <w:right w:val="none" w:sz="0" w:space="0" w:color="auto"/>
      </w:divBdr>
    </w:div>
    <w:div w:id="347558831">
      <w:bodyDiv w:val="1"/>
      <w:marLeft w:val="0"/>
      <w:marRight w:val="0"/>
      <w:marTop w:val="0"/>
      <w:marBottom w:val="0"/>
      <w:divBdr>
        <w:top w:val="none" w:sz="0" w:space="0" w:color="auto"/>
        <w:left w:val="none" w:sz="0" w:space="0" w:color="auto"/>
        <w:bottom w:val="none" w:sz="0" w:space="0" w:color="auto"/>
        <w:right w:val="none" w:sz="0" w:space="0" w:color="auto"/>
      </w:divBdr>
    </w:div>
    <w:div w:id="347878254">
      <w:bodyDiv w:val="1"/>
      <w:marLeft w:val="0"/>
      <w:marRight w:val="0"/>
      <w:marTop w:val="0"/>
      <w:marBottom w:val="0"/>
      <w:divBdr>
        <w:top w:val="none" w:sz="0" w:space="0" w:color="auto"/>
        <w:left w:val="none" w:sz="0" w:space="0" w:color="auto"/>
        <w:bottom w:val="none" w:sz="0" w:space="0" w:color="auto"/>
        <w:right w:val="none" w:sz="0" w:space="0" w:color="auto"/>
      </w:divBdr>
    </w:div>
    <w:div w:id="447505784">
      <w:bodyDiv w:val="1"/>
      <w:marLeft w:val="0"/>
      <w:marRight w:val="0"/>
      <w:marTop w:val="0"/>
      <w:marBottom w:val="0"/>
      <w:divBdr>
        <w:top w:val="none" w:sz="0" w:space="0" w:color="auto"/>
        <w:left w:val="none" w:sz="0" w:space="0" w:color="auto"/>
        <w:bottom w:val="none" w:sz="0" w:space="0" w:color="auto"/>
        <w:right w:val="none" w:sz="0" w:space="0" w:color="auto"/>
      </w:divBdr>
    </w:div>
    <w:div w:id="490367056">
      <w:bodyDiv w:val="1"/>
      <w:marLeft w:val="0"/>
      <w:marRight w:val="0"/>
      <w:marTop w:val="0"/>
      <w:marBottom w:val="0"/>
      <w:divBdr>
        <w:top w:val="none" w:sz="0" w:space="0" w:color="auto"/>
        <w:left w:val="none" w:sz="0" w:space="0" w:color="auto"/>
        <w:bottom w:val="none" w:sz="0" w:space="0" w:color="auto"/>
        <w:right w:val="none" w:sz="0" w:space="0" w:color="auto"/>
      </w:divBdr>
    </w:div>
    <w:div w:id="524633966">
      <w:bodyDiv w:val="1"/>
      <w:marLeft w:val="0"/>
      <w:marRight w:val="0"/>
      <w:marTop w:val="0"/>
      <w:marBottom w:val="0"/>
      <w:divBdr>
        <w:top w:val="none" w:sz="0" w:space="0" w:color="auto"/>
        <w:left w:val="none" w:sz="0" w:space="0" w:color="auto"/>
        <w:bottom w:val="none" w:sz="0" w:space="0" w:color="auto"/>
        <w:right w:val="none" w:sz="0" w:space="0" w:color="auto"/>
      </w:divBdr>
    </w:div>
    <w:div w:id="601425519">
      <w:bodyDiv w:val="1"/>
      <w:marLeft w:val="0"/>
      <w:marRight w:val="0"/>
      <w:marTop w:val="0"/>
      <w:marBottom w:val="0"/>
      <w:divBdr>
        <w:top w:val="none" w:sz="0" w:space="0" w:color="auto"/>
        <w:left w:val="none" w:sz="0" w:space="0" w:color="auto"/>
        <w:bottom w:val="none" w:sz="0" w:space="0" w:color="auto"/>
        <w:right w:val="none" w:sz="0" w:space="0" w:color="auto"/>
      </w:divBdr>
    </w:div>
    <w:div w:id="623388224">
      <w:bodyDiv w:val="1"/>
      <w:marLeft w:val="0"/>
      <w:marRight w:val="0"/>
      <w:marTop w:val="0"/>
      <w:marBottom w:val="0"/>
      <w:divBdr>
        <w:top w:val="none" w:sz="0" w:space="0" w:color="auto"/>
        <w:left w:val="none" w:sz="0" w:space="0" w:color="auto"/>
        <w:bottom w:val="none" w:sz="0" w:space="0" w:color="auto"/>
        <w:right w:val="none" w:sz="0" w:space="0" w:color="auto"/>
      </w:divBdr>
    </w:div>
    <w:div w:id="673873632">
      <w:bodyDiv w:val="1"/>
      <w:marLeft w:val="0"/>
      <w:marRight w:val="0"/>
      <w:marTop w:val="0"/>
      <w:marBottom w:val="0"/>
      <w:divBdr>
        <w:top w:val="none" w:sz="0" w:space="0" w:color="auto"/>
        <w:left w:val="none" w:sz="0" w:space="0" w:color="auto"/>
        <w:bottom w:val="none" w:sz="0" w:space="0" w:color="auto"/>
        <w:right w:val="none" w:sz="0" w:space="0" w:color="auto"/>
      </w:divBdr>
    </w:div>
    <w:div w:id="682635672">
      <w:bodyDiv w:val="1"/>
      <w:marLeft w:val="0"/>
      <w:marRight w:val="0"/>
      <w:marTop w:val="0"/>
      <w:marBottom w:val="0"/>
      <w:divBdr>
        <w:top w:val="none" w:sz="0" w:space="0" w:color="auto"/>
        <w:left w:val="none" w:sz="0" w:space="0" w:color="auto"/>
        <w:bottom w:val="none" w:sz="0" w:space="0" w:color="auto"/>
        <w:right w:val="none" w:sz="0" w:space="0" w:color="auto"/>
      </w:divBdr>
    </w:div>
    <w:div w:id="702752664">
      <w:bodyDiv w:val="1"/>
      <w:marLeft w:val="0"/>
      <w:marRight w:val="0"/>
      <w:marTop w:val="0"/>
      <w:marBottom w:val="0"/>
      <w:divBdr>
        <w:top w:val="none" w:sz="0" w:space="0" w:color="auto"/>
        <w:left w:val="none" w:sz="0" w:space="0" w:color="auto"/>
        <w:bottom w:val="none" w:sz="0" w:space="0" w:color="auto"/>
        <w:right w:val="none" w:sz="0" w:space="0" w:color="auto"/>
      </w:divBdr>
    </w:div>
    <w:div w:id="717247590">
      <w:bodyDiv w:val="1"/>
      <w:marLeft w:val="0"/>
      <w:marRight w:val="0"/>
      <w:marTop w:val="0"/>
      <w:marBottom w:val="0"/>
      <w:divBdr>
        <w:top w:val="none" w:sz="0" w:space="0" w:color="auto"/>
        <w:left w:val="none" w:sz="0" w:space="0" w:color="auto"/>
        <w:bottom w:val="none" w:sz="0" w:space="0" w:color="auto"/>
        <w:right w:val="none" w:sz="0" w:space="0" w:color="auto"/>
      </w:divBdr>
    </w:div>
    <w:div w:id="773786723">
      <w:bodyDiv w:val="1"/>
      <w:marLeft w:val="0"/>
      <w:marRight w:val="0"/>
      <w:marTop w:val="0"/>
      <w:marBottom w:val="0"/>
      <w:divBdr>
        <w:top w:val="none" w:sz="0" w:space="0" w:color="auto"/>
        <w:left w:val="none" w:sz="0" w:space="0" w:color="auto"/>
        <w:bottom w:val="none" w:sz="0" w:space="0" w:color="auto"/>
        <w:right w:val="none" w:sz="0" w:space="0" w:color="auto"/>
      </w:divBdr>
    </w:div>
    <w:div w:id="788934224">
      <w:bodyDiv w:val="1"/>
      <w:marLeft w:val="0"/>
      <w:marRight w:val="0"/>
      <w:marTop w:val="0"/>
      <w:marBottom w:val="0"/>
      <w:divBdr>
        <w:top w:val="none" w:sz="0" w:space="0" w:color="auto"/>
        <w:left w:val="none" w:sz="0" w:space="0" w:color="auto"/>
        <w:bottom w:val="none" w:sz="0" w:space="0" w:color="auto"/>
        <w:right w:val="none" w:sz="0" w:space="0" w:color="auto"/>
      </w:divBdr>
    </w:div>
    <w:div w:id="789398728">
      <w:bodyDiv w:val="1"/>
      <w:marLeft w:val="0"/>
      <w:marRight w:val="0"/>
      <w:marTop w:val="0"/>
      <w:marBottom w:val="0"/>
      <w:divBdr>
        <w:top w:val="none" w:sz="0" w:space="0" w:color="auto"/>
        <w:left w:val="none" w:sz="0" w:space="0" w:color="auto"/>
        <w:bottom w:val="none" w:sz="0" w:space="0" w:color="auto"/>
        <w:right w:val="none" w:sz="0" w:space="0" w:color="auto"/>
      </w:divBdr>
    </w:div>
    <w:div w:id="811362547">
      <w:bodyDiv w:val="1"/>
      <w:marLeft w:val="0"/>
      <w:marRight w:val="0"/>
      <w:marTop w:val="0"/>
      <w:marBottom w:val="0"/>
      <w:divBdr>
        <w:top w:val="none" w:sz="0" w:space="0" w:color="auto"/>
        <w:left w:val="none" w:sz="0" w:space="0" w:color="auto"/>
        <w:bottom w:val="none" w:sz="0" w:space="0" w:color="auto"/>
        <w:right w:val="none" w:sz="0" w:space="0" w:color="auto"/>
      </w:divBdr>
    </w:div>
    <w:div w:id="854270814">
      <w:bodyDiv w:val="1"/>
      <w:marLeft w:val="0"/>
      <w:marRight w:val="0"/>
      <w:marTop w:val="0"/>
      <w:marBottom w:val="0"/>
      <w:divBdr>
        <w:top w:val="none" w:sz="0" w:space="0" w:color="auto"/>
        <w:left w:val="none" w:sz="0" w:space="0" w:color="auto"/>
        <w:bottom w:val="none" w:sz="0" w:space="0" w:color="auto"/>
        <w:right w:val="none" w:sz="0" w:space="0" w:color="auto"/>
      </w:divBdr>
    </w:div>
    <w:div w:id="896286538">
      <w:bodyDiv w:val="1"/>
      <w:marLeft w:val="0"/>
      <w:marRight w:val="0"/>
      <w:marTop w:val="0"/>
      <w:marBottom w:val="0"/>
      <w:divBdr>
        <w:top w:val="none" w:sz="0" w:space="0" w:color="auto"/>
        <w:left w:val="none" w:sz="0" w:space="0" w:color="auto"/>
        <w:bottom w:val="none" w:sz="0" w:space="0" w:color="auto"/>
        <w:right w:val="none" w:sz="0" w:space="0" w:color="auto"/>
      </w:divBdr>
    </w:div>
    <w:div w:id="918557721">
      <w:bodyDiv w:val="1"/>
      <w:marLeft w:val="0"/>
      <w:marRight w:val="0"/>
      <w:marTop w:val="0"/>
      <w:marBottom w:val="0"/>
      <w:divBdr>
        <w:top w:val="none" w:sz="0" w:space="0" w:color="auto"/>
        <w:left w:val="none" w:sz="0" w:space="0" w:color="auto"/>
        <w:bottom w:val="none" w:sz="0" w:space="0" w:color="auto"/>
        <w:right w:val="none" w:sz="0" w:space="0" w:color="auto"/>
      </w:divBdr>
    </w:div>
    <w:div w:id="958150796">
      <w:bodyDiv w:val="1"/>
      <w:marLeft w:val="0"/>
      <w:marRight w:val="0"/>
      <w:marTop w:val="0"/>
      <w:marBottom w:val="0"/>
      <w:divBdr>
        <w:top w:val="none" w:sz="0" w:space="0" w:color="auto"/>
        <w:left w:val="none" w:sz="0" w:space="0" w:color="auto"/>
        <w:bottom w:val="none" w:sz="0" w:space="0" w:color="auto"/>
        <w:right w:val="none" w:sz="0" w:space="0" w:color="auto"/>
      </w:divBdr>
    </w:div>
    <w:div w:id="1041056349">
      <w:bodyDiv w:val="1"/>
      <w:marLeft w:val="0"/>
      <w:marRight w:val="0"/>
      <w:marTop w:val="0"/>
      <w:marBottom w:val="0"/>
      <w:divBdr>
        <w:top w:val="none" w:sz="0" w:space="0" w:color="auto"/>
        <w:left w:val="none" w:sz="0" w:space="0" w:color="auto"/>
        <w:bottom w:val="none" w:sz="0" w:space="0" w:color="auto"/>
        <w:right w:val="none" w:sz="0" w:space="0" w:color="auto"/>
      </w:divBdr>
    </w:div>
    <w:div w:id="1102342914">
      <w:bodyDiv w:val="1"/>
      <w:marLeft w:val="0"/>
      <w:marRight w:val="0"/>
      <w:marTop w:val="0"/>
      <w:marBottom w:val="0"/>
      <w:divBdr>
        <w:top w:val="none" w:sz="0" w:space="0" w:color="auto"/>
        <w:left w:val="none" w:sz="0" w:space="0" w:color="auto"/>
        <w:bottom w:val="none" w:sz="0" w:space="0" w:color="auto"/>
        <w:right w:val="none" w:sz="0" w:space="0" w:color="auto"/>
      </w:divBdr>
    </w:div>
    <w:div w:id="1161234288">
      <w:bodyDiv w:val="1"/>
      <w:marLeft w:val="0"/>
      <w:marRight w:val="0"/>
      <w:marTop w:val="0"/>
      <w:marBottom w:val="0"/>
      <w:divBdr>
        <w:top w:val="none" w:sz="0" w:space="0" w:color="auto"/>
        <w:left w:val="none" w:sz="0" w:space="0" w:color="auto"/>
        <w:bottom w:val="none" w:sz="0" w:space="0" w:color="auto"/>
        <w:right w:val="none" w:sz="0" w:space="0" w:color="auto"/>
      </w:divBdr>
    </w:div>
    <w:div w:id="1196771934">
      <w:bodyDiv w:val="1"/>
      <w:marLeft w:val="0"/>
      <w:marRight w:val="0"/>
      <w:marTop w:val="0"/>
      <w:marBottom w:val="0"/>
      <w:divBdr>
        <w:top w:val="none" w:sz="0" w:space="0" w:color="auto"/>
        <w:left w:val="none" w:sz="0" w:space="0" w:color="auto"/>
        <w:bottom w:val="none" w:sz="0" w:space="0" w:color="auto"/>
        <w:right w:val="none" w:sz="0" w:space="0" w:color="auto"/>
      </w:divBdr>
    </w:div>
    <w:div w:id="1203326588">
      <w:bodyDiv w:val="1"/>
      <w:marLeft w:val="0"/>
      <w:marRight w:val="0"/>
      <w:marTop w:val="0"/>
      <w:marBottom w:val="0"/>
      <w:divBdr>
        <w:top w:val="none" w:sz="0" w:space="0" w:color="auto"/>
        <w:left w:val="none" w:sz="0" w:space="0" w:color="auto"/>
        <w:bottom w:val="none" w:sz="0" w:space="0" w:color="auto"/>
        <w:right w:val="none" w:sz="0" w:space="0" w:color="auto"/>
      </w:divBdr>
    </w:div>
    <w:div w:id="1223256004">
      <w:bodyDiv w:val="1"/>
      <w:marLeft w:val="0"/>
      <w:marRight w:val="0"/>
      <w:marTop w:val="0"/>
      <w:marBottom w:val="0"/>
      <w:divBdr>
        <w:top w:val="none" w:sz="0" w:space="0" w:color="auto"/>
        <w:left w:val="none" w:sz="0" w:space="0" w:color="auto"/>
        <w:bottom w:val="none" w:sz="0" w:space="0" w:color="auto"/>
        <w:right w:val="none" w:sz="0" w:space="0" w:color="auto"/>
      </w:divBdr>
    </w:div>
    <w:div w:id="1225146063">
      <w:bodyDiv w:val="1"/>
      <w:marLeft w:val="0"/>
      <w:marRight w:val="0"/>
      <w:marTop w:val="0"/>
      <w:marBottom w:val="0"/>
      <w:divBdr>
        <w:top w:val="none" w:sz="0" w:space="0" w:color="auto"/>
        <w:left w:val="none" w:sz="0" w:space="0" w:color="auto"/>
        <w:bottom w:val="none" w:sz="0" w:space="0" w:color="auto"/>
        <w:right w:val="none" w:sz="0" w:space="0" w:color="auto"/>
      </w:divBdr>
    </w:div>
    <w:div w:id="1228760153">
      <w:bodyDiv w:val="1"/>
      <w:marLeft w:val="0"/>
      <w:marRight w:val="0"/>
      <w:marTop w:val="0"/>
      <w:marBottom w:val="0"/>
      <w:divBdr>
        <w:top w:val="none" w:sz="0" w:space="0" w:color="auto"/>
        <w:left w:val="none" w:sz="0" w:space="0" w:color="auto"/>
        <w:bottom w:val="none" w:sz="0" w:space="0" w:color="auto"/>
        <w:right w:val="none" w:sz="0" w:space="0" w:color="auto"/>
      </w:divBdr>
      <w:divsChild>
        <w:div w:id="1930118554">
          <w:marLeft w:val="0"/>
          <w:marRight w:val="0"/>
          <w:marTop w:val="0"/>
          <w:marBottom w:val="0"/>
          <w:divBdr>
            <w:top w:val="none" w:sz="0" w:space="0" w:color="auto"/>
            <w:left w:val="none" w:sz="0" w:space="0" w:color="auto"/>
            <w:bottom w:val="none" w:sz="0" w:space="0" w:color="auto"/>
            <w:right w:val="none" w:sz="0" w:space="0" w:color="auto"/>
          </w:divBdr>
        </w:div>
      </w:divsChild>
    </w:div>
    <w:div w:id="1238589305">
      <w:bodyDiv w:val="1"/>
      <w:marLeft w:val="0"/>
      <w:marRight w:val="0"/>
      <w:marTop w:val="0"/>
      <w:marBottom w:val="0"/>
      <w:divBdr>
        <w:top w:val="none" w:sz="0" w:space="0" w:color="auto"/>
        <w:left w:val="none" w:sz="0" w:space="0" w:color="auto"/>
        <w:bottom w:val="none" w:sz="0" w:space="0" w:color="auto"/>
        <w:right w:val="none" w:sz="0" w:space="0" w:color="auto"/>
      </w:divBdr>
    </w:div>
    <w:div w:id="1251428533">
      <w:bodyDiv w:val="1"/>
      <w:marLeft w:val="0"/>
      <w:marRight w:val="0"/>
      <w:marTop w:val="0"/>
      <w:marBottom w:val="0"/>
      <w:divBdr>
        <w:top w:val="none" w:sz="0" w:space="0" w:color="auto"/>
        <w:left w:val="none" w:sz="0" w:space="0" w:color="auto"/>
        <w:bottom w:val="none" w:sz="0" w:space="0" w:color="auto"/>
        <w:right w:val="none" w:sz="0" w:space="0" w:color="auto"/>
      </w:divBdr>
    </w:div>
    <w:div w:id="1268732842">
      <w:bodyDiv w:val="1"/>
      <w:marLeft w:val="0"/>
      <w:marRight w:val="0"/>
      <w:marTop w:val="0"/>
      <w:marBottom w:val="0"/>
      <w:divBdr>
        <w:top w:val="none" w:sz="0" w:space="0" w:color="auto"/>
        <w:left w:val="none" w:sz="0" w:space="0" w:color="auto"/>
        <w:bottom w:val="none" w:sz="0" w:space="0" w:color="auto"/>
        <w:right w:val="none" w:sz="0" w:space="0" w:color="auto"/>
      </w:divBdr>
    </w:div>
    <w:div w:id="1270970409">
      <w:bodyDiv w:val="1"/>
      <w:marLeft w:val="0"/>
      <w:marRight w:val="0"/>
      <w:marTop w:val="0"/>
      <w:marBottom w:val="0"/>
      <w:divBdr>
        <w:top w:val="none" w:sz="0" w:space="0" w:color="auto"/>
        <w:left w:val="none" w:sz="0" w:space="0" w:color="auto"/>
        <w:bottom w:val="none" w:sz="0" w:space="0" w:color="auto"/>
        <w:right w:val="none" w:sz="0" w:space="0" w:color="auto"/>
      </w:divBdr>
    </w:div>
    <w:div w:id="1281449758">
      <w:bodyDiv w:val="1"/>
      <w:marLeft w:val="0"/>
      <w:marRight w:val="0"/>
      <w:marTop w:val="0"/>
      <w:marBottom w:val="0"/>
      <w:divBdr>
        <w:top w:val="none" w:sz="0" w:space="0" w:color="auto"/>
        <w:left w:val="none" w:sz="0" w:space="0" w:color="auto"/>
        <w:bottom w:val="none" w:sz="0" w:space="0" w:color="auto"/>
        <w:right w:val="none" w:sz="0" w:space="0" w:color="auto"/>
      </w:divBdr>
    </w:div>
    <w:div w:id="1297029399">
      <w:bodyDiv w:val="1"/>
      <w:marLeft w:val="0"/>
      <w:marRight w:val="0"/>
      <w:marTop w:val="0"/>
      <w:marBottom w:val="0"/>
      <w:divBdr>
        <w:top w:val="none" w:sz="0" w:space="0" w:color="auto"/>
        <w:left w:val="none" w:sz="0" w:space="0" w:color="auto"/>
        <w:bottom w:val="none" w:sz="0" w:space="0" w:color="auto"/>
        <w:right w:val="none" w:sz="0" w:space="0" w:color="auto"/>
      </w:divBdr>
    </w:div>
    <w:div w:id="1297176693">
      <w:bodyDiv w:val="1"/>
      <w:marLeft w:val="0"/>
      <w:marRight w:val="0"/>
      <w:marTop w:val="0"/>
      <w:marBottom w:val="0"/>
      <w:divBdr>
        <w:top w:val="none" w:sz="0" w:space="0" w:color="auto"/>
        <w:left w:val="none" w:sz="0" w:space="0" w:color="auto"/>
        <w:bottom w:val="none" w:sz="0" w:space="0" w:color="auto"/>
        <w:right w:val="none" w:sz="0" w:space="0" w:color="auto"/>
      </w:divBdr>
    </w:div>
    <w:div w:id="1307473365">
      <w:bodyDiv w:val="1"/>
      <w:marLeft w:val="0"/>
      <w:marRight w:val="0"/>
      <w:marTop w:val="0"/>
      <w:marBottom w:val="0"/>
      <w:divBdr>
        <w:top w:val="none" w:sz="0" w:space="0" w:color="auto"/>
        <w:left w:val="none" w:sz="0" w:space="0" w:color="auto"/>
        <w:bottom w:val="none" w:sz="0" w:space="0" w:color="auto"/>
        <w:right w:val="none" w:sz="0" w:space="0" w:color="auto"/>
      </w:divBdr>
    </w:div>
    <w:div w:id="1314678310">
      <w:bodyDiv w:val="1"/>
      <w:marLeft w:val="0"/>
      <w:marRight w:val="0"/>
      <w:marTop w:val="0"/>
      <w:marBottom w:val="0"/>
      <w:divBdr>
        <w:top w:val="none" w:sz="0" w:space="0" w:color="auto"/>
        <w:left w:val="none" w:sz="0" w:space="0" w:color="auto"/>
        <w:bottom w:val="none" w:sz="0" w:space="0" w:color="auto"/>
        <w:right w:val="none" w:sz="0" w:space="0" w:color="auto"/>
      </w:divBdr>
    </w:div>
    <w:div w:id="1347247331">
      <w:bodyDiv w:val="1"/>
      <w:marLeft w:val="0"/>
      <w:marRight w:val="0"/>
      <w:marTop w:val="0"/>
      <w:marBottom w:val="0"/>
      <w:divBdr>
        <w:top w:val="none" w:sz="0" w:space="0" w:color="auto"/>
        <w:left w:val="none" w:sz="0" w:space="0" w:color="auto"/>
        <w:bottom w:val="none" w:sz="0" w:space="0" w:color="auto"/>
        <w:right w:val="none" w:sz="0" w:space="0" w:color="auto"/>
      </w:divBdr>
    </w:div>
    <w:div w:id="1364866893">
      <w:bodyDiv w:val="1"/>
      <w:marLeft w:val="0"/>
      <w:marRight w:val="0"/>
      <w:marTop w:val="0"/>
      <w:marBottom w:val="0"/>
      <w:divBdr>
        <w:top w:val="none" w:sz="0" w:space="0" w:color="auto"/>
        <w:left w:val="none" w:sz="0" w:space="0" w:color="auto"/>
        <w:bottom w:val="none" w:sz="0" w:space="0" w:color="auto"/>
        <w:right w:val="none" w:sz="0" w:space="0" w:color="auto"/>
      </w:divBdr>
    </w:div>
    <w:div w:id="1378502981">
      <w:bodyDiv w:val="1"/>
      <w:marLeft w:val="0"/>
      <w:marRight w:val="0"/>
      <w:marTop w:val="0"/>
      <w:marBottom w:val="0"/>
      <w:divBdr>
        <w:top w:val="none" w:sz="0" w:space="0" w:color="auto"/>
        <w:left w:val="none" w:sz="0" w:space="0" w:color="auto"/>
        <w:bottom w:val="none" w:sz="0" w:space="0" w:color="auto"/>
        <w:right w:val="none" w:sz="0" w:space="0" w:color="auto"/>
      </w:divBdr>
      <w:divsChild>
        <w:div w:id="459691219">
          <w:marLeft w:val="0"/>
          <w:marRight w:val="0"/>
          <w:marTop w:val="0"/>
          <w:marBottom w:val="0"/>
          <w:divBdr>
            <w:top w:val="none" w:sz="0" w:space="0" w:color="auto"/>
            <w:left w:val="none" w:sz="0" w:space="0" w:color="auto"/>
            <w:bottom w:val="none" w:sz="0" w:space="0" w:color="auto"/>
            <w:right w:val="none" w:sz="0" w:space="0" w:color="auto"/>
          </w:divBdr>
          <w:divsChild>
            <w:div w:id="245070642">
              <w:marLeft w:val="0"/>
              <w:marRight w:val="0"/>
              <w:marTop w:val="0"/>
              <w:marBottom w:val="0"/>
              <w:divBdr>
                <w:top w:val="none" w:sz="0" w:space="0" w:color="auto"/>
                <w:left w:val="none" w:sz="0" w:space="0" w:color="auto"/>
                <w:bottom w:val="none" w:sz="0" w:space="0" w:color="auto"/>
                <w:right w:val="none" w:sz="0" w:space="0" w:color="auto"/>
              </w:divBdr>
            </w:div>
            <w:div w:id="130450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586984">
      <w:bodyDiv w:val="1"/>
      <w:marLeft w:val="0"/>
      <w:marRight w:val="0"/>
      <w:marTop w:val="0"/>
      <w:marBottom w:val="0"/>
      <w:divBdr>
        <w:top w:val="none" w:sz="0" w:space="0" w:color="auto"/>
        <w:left w:val="none" w:sz="0" w:space="0" w:color="auto"/>
        <w:bottom w:val="none" w:sz="0" w:space="0" w:color="auto"/>
        <w:right w:val="none" w:sz="0" w:space="0" w:color="auto"/>
      </w:divBdr>
    </w:div>
    <w:div w:id="1398943851">
      <w:bodyDiv w:val="1"/>
      <w:marLeft w:val="0"/>
      <w:marRight w:val="0"/>
      <w:marTop w:val="0"/>
      <w:marBottom w:val="0"/>
      <w:divBdr>
        <w:top w:val="none" w:sz="0" w:space="0" w:color="auto"/>
        <w:left w:val="none" w:sz="0" w:space="0" w:color="auto"/>
        <w:bottom w:val="none" w:sz="0" w:space="0" w:color="auto"/>
        <w:right w:val="none" w:sz="0" w:space="0" w:color="auto"/>
      </w:divBdr>
    </w:div>
    <w:div w:id="1403023593">
      <w:bodyDiv w:val="1"/>
      <w:marLeft w:val="0"/>
      <w:marRight w:val="0"/>
      <w:marTop w:val="0"/>
      <w:marBottom w:val="0"/>
      <w:divBdr>
        <w:top w:val="none" w:sz="0" w:space="0" w:color="auto"/>
        <w:left w:val="none" w:sz="0" w:space="0" w:color="auto"/>
        <w:bottom w:val="none" w:sz="0" w:space="0" w:color="auto"/>
        <w:right w:val="none" w:sz="0" w:space="0" w:color="auto"/>
      </w:divBdr>
    </w:div>
    <w:div w:id="1449006519">
      <w:bodyDiv w:val="1"/>
      <w:marLeft w:val="0"/>
      <w:marRight w:val="0"/>
      <w:marTop w:val="0"/>
      <w:marBottom w:val="0"/>
      <w:divBdr>
        <w:top w:val="none" w:sz="0" w:space="0" w:color="auto"/>
        <w:left w:val="none" w:sz="0" w:space="0" w:color="auto"/>
        <w:bottom w:val="none" w:sz="0" w:space="0" w:color="auto"/>
        <w:right w:val="none" w:sz="0" w:space="0" w:color="auto"/>
      </w:divBdr>
    </w:div>
    <w:div w:id="1455521370">
      <w:bodyDiv w:val="1"/>
      <w:marLeft w:val="0"/>
      <w:marRight w:val="0"/>
      <w:marTop w:val="0"/>
      <w:marBottom w:val="0"/>
      <w:divBdr>
        <w:top w:val="none" w:sz="0" w:space="0" w:color="auto"/>
        <w:left w:val="none" w:sz="0" w:space="0" w:color="auto"/>
        <w:bottom w:val="none" w:sz="0" w:space="0" w:color="auto"/>
        <w:right w:val="none" w:sz="0" w:space="0" w:color="auto"/>
      </w:divBdr>
    </w:div>
    <w:div w:id="1464689875">
      <w:bodyDiv w:val="1"/>
      <w:marLeft w:val="0"/>
      <w:marRight w:val="0"/>
      <w:marTop w:val="0"/>
      <w:marBottom w:val="0"/>
      <w:divBdr>
        <w:top w:val="none" w:sz="0" w:space="0" w:color="auto"/>
        <w:left w:val="none" w:sz="0" w:space="0" w:color="auto"/>
        <w:bottom w:val="none" w:sz="0" w:space="0" w:color="auto"/>
        <w:right w:val="none" w:sz="0" w:space="0" w:color="auto"/>
      </w:divBdr>
    </w:div>
    <w:div w:id="1472865889">
      <w:bodyDiv w:val="1"/>
      <w:marLeft w:val="0"/>
      <w:marRight w:val="0"/>
      <w:marTop w:val="0"/>
      <w:marBottom w:val="0"/>
      <w:divBdr>
        <w:top w:val="none" w:sz="0" w:space="0" w:color="auto"/>
        <w:left w:val="none" w:sz="0" w:space="0" w:color="auto"/>
        <w:bottom w:val="none" w:sz="0" w:space="0" w:color="auto"/>
        <w:right w:val="none" w:sz="0" w:space="0" w:color="auto"/>
      </w:divBdr>
    </w:div>
    <w:div w:id="1502431929">
      <w:bodyDiv w:val="1"/>
      <w:marLeft w:val="0"/>
      <w:marRight w:val="0"/>
      <w:marTop w:val="0"/>
      <w:marBottom w:val="0"/>
      <w:divBdr>
        <w:top w:val="none" w:sz="0" w:space="0" w:color="auto"/>
        <w:left w:val="none" w:sz="0" w:space="0" w:color="auto"/>
        <w:bottom w:val="none" w:sz="0" w:space="0" w:color="auto"/>
        <w:right w:val="none" w:sz="0" w:space="0" w:color="auto"/>
      </w:divBdr>
    </w:div>
    <w:div w:id="1503810472">
      <w:bodyDiv w:val="1"/>
      <w:marLeft w:val="0"/>
      <w:marRight w:val="0"/>
      <w:marTop w:val="0"/>
      <w:marBottom w:val="0"/>
      <w:divBdr>
        <w:top w:val="none" w:sz="0" w:space="0" w:color="auto"/>
        <w:left w:val="none" w:sz="0" w:space="0" w:color="auto"/>
        <w:bottom w:val="none" w:sz="0" w:space="0" w:color="auto"/>
        <w:right w:val="none" w:sz="0" w:space="0" w:color="auto"/>
      </w:divBdr>
    </w:div>
    <w:div w:id="1505437894">
      <w:bodyDiv w:val="1"/>
      <w:marLeft w:val="0"/>
      <w:marRight w:val="0"/>
      <w:marTop w:val="0"/>
      <w:marBottom w:val="0"/>
      <w:divBdr>
        <w:top w:val="none" w:sz="0" w:space="0" w:color="auto"/>
        <w:left w:val="none" w:sz="0" w:space="0" w:color="auto"/>
        <w:bottom w:val="none" w:sz="0" w:space="0" w:color="auto"/>
        <w:right w:val="none" w:sz="0" w:space="0" w:color="auto"/>
      </w:divBdr>
    </w:div>
    <w:div w:id="1543399134">
      <w:bodyDiv w:val="1"/>
      <w:marLeft w:val="0"/>
      <w:marRight w:val="0"/>
      <w:marTop w:val="0"/>
      <w:marBottom w:val="0"/>
      <w:divBdr>
        <w:top w:val="none" w:sz="0" w:space="0" w:color="auto"/>
        <w:left w:val="none" w:sz="0" w:space="0" w:color="auto"/>
        <w:bottom w:val="none" w:sz="0" w:space="0" w:color="auto"/>
        <w:right w:val="none" w:sz="0" w:space="0" w:color="auto"/>
      </w:divBdr>
    </w:div>
    <w:div w:id="1601717770">
      <w:bodyDiv w:val="1"/>
      <w:marLeft w:val="0"/>
      <w:marRight w:val="0"/>
      <w:marTop w:val="0"/>
      <w:marBottom w:val="0"/>
      <w:divBdr>
        <w:top w:val="none" w:sz="0" w:space="0" w:color="auto"/>
        <w:left w:val="none" w:sz="0" w:space="0" w:color="auto"/>
        <w:bottom w:val="none" w:sz="0" w:space="0" w:color="auto"/>
        <w:right w:val="none" w:sz="0" w:space="0" w:color="auto"/>
      </w:divBdr>
    </w:div>
    <w:div w:id="1670253409">
      <w:bodyDiv w:val="1"/>
      <w:marLeft w:val="0"/>
      <w:marRight w:val="0"/>
      <w:marTop w:val="0"/>
      <w:marBottom w:val="0"/>
      <w:divBdr>
        <w:top w:val="none" w:sz="0" w:space="0" w:color="auto"/>
        <w:left w:val="none" w:sz="0" w:space="0" w:color="auto"/>
        <w:bottom w:val="none" w:sz="0" w:space="0" w:color="auto"/>
        <w:right w:val="none" w:sz="0" w:space="0" w:color="auto"/>
      </w:divBdr>
    </w:div>
    <w:div w:id="1688829448">
      <w:bodyDiv w:val="1"/>
      <w:marLeft w:val="0"/>
      <w:marRight w:val="0"/>
      <w:marTop w:val="0"/>
      <w:marBottom w:val="0"/>
      <w:divBdr>
        <w:top w:val="none" w:sz="0" w:space="0" w:color="auto"/>
        <w:left w:val="none" w:sz="0" w:space="0" w:color="auto"/>
        <w:bottom w:val="none" w:sz="0" w:space="0" w:color="auto"/>
        <w:right w:val="none" w:sz="0" w:space="0" w:color="auto"/>
      </w:divBdr>
    </w:div>
    <w:div w:id="1734238138">
      <w:bodyDiv w:val="1"/>
      <w:marLeft w:val="0"/>
      <w:marRight w:val="0"/>
      <w:marTop w:val="0"/>
      <w:marBottom w:val="0"/>
      <w:divBdr>
        <w:top w:val="none" w:sz="0" w:space="0" w:color="auto"/>
        <w:left w:val="none" w:sz="0" w:space="0" w:color="auto"/>
        <w:bottom w:val="none" w:sz="0" w:space="0" w:color="auto"/>
        <w:right w:val="none" w:sz="0" w:space="0" w:color="auto"/>
      </w:divBdr>
    </w:div>
    <w:div w:id="1745445724">
      <w:bodyDiv w:val="1"/>
      <w:marLeft w:val="0"/>
      <w:marRight w:val="0"/>
      <w:marTop w:val="0"/>
      <w:marBottom w:val="0"/>
      <w:divBdr>
        <w:top w:val="none" w:sz="0" w:space="0" w:color="auto"/>
        <w:left w:val="none" w:sz="0" w:space="0" w:color="auto"/>
        <w:bottom w:val="none" w:sz="0" w:space="0" w:color="auto"/>
        <w:right w:val="none" w:sz="0" w:space="0" w:color="auto"/>
      </w:divBdr>
    </w:div>
    <w:div w:id="1750342569">
      <w:bodyDiv w:val="1"/>
      <w:marLeft w:val="0"/>
      <w:marRight w:val="0"/>
      <w:marTop w:val="0"/>
      <w:marBottom w:val="0"/>
      <w:divBdr>
        <w:top w:val="none" w:sz="0" w:space="0" w:color="auto"/>
        <w:left w:val="none" w:sz="0" w:space="0" w:color="auto"/>
        <w:bottom w:val="none" w:sz="0" w:space="0" w:color="auto"/>
        <w:right w:val="none" w:sz="0" w:space="0" w:color="auto"/>
      </w:divBdr>
    </w:div>
    <w:div w:id="1776822732">
      <w:bodyDiv w:val="1"/>
      <w:marLeft w:val="0"/>
      <w:marRight w:val="0"/>
      <w:marTop w:val="0"/>
      <w:marBottom w:val="0"/>
      <w:divBdr>
        <w:top w:val="none" w:sz="0" w:space="0" w:color="auto"/>
        <w:left w:val="none" w:sz="0" w:space="0" w:color="auto"/>
        <w:bottom w:val="none" w:sz="0" w:space="0" w:color="auto"/>
        <w:right w:val="none" w:sz="0" w:space="0" w:color="auto"/>
      </w:divBdr>
    </w:div>
    <w:div w:id="1929650817">
      <w:bodyDiv w:val="1"/>
      <w:marLeft w:val="0"/>
      <w:marRight w:val="0"/>
      <w:marTop w:val="0"/>
      <w:marBottom w:val="0"/>
      <w:divBdr>
        <w:top w:val="none" w:sz="0" w:space="0" w:color="auto"/>
        <w:left w:val="none" w:sz="0" w:space="0" w:color="auto"/>
        <w:bottom w:val="none" w:sz="0" w:space="0" w:color="auto"/>
        <w:right w:val="none" w:sz="0" w:space="0" w:color="auto"/>
      </w:divBdr>
    </w:div>
    <w:div w:id="1944846932">
      <w:bodyDiv w:val="1"/>
      <w:marLeft w:val="0"/>
      <w:marRight w:val="0"/>
      <w:marTop w:val="0"/>
      <w:marBottom w:val="0"/>
      <w:divBdr>
        <w:top w:val="none" w:sz="0" w:space="0" w:color="auto"/>
        <w:left w:val="none" w:sz="0" w:space="0" w:color="auto"/>
        <w:bottom w:val="none" w:sz="0" w:space="0" w:color="auto"/>
        <w:right w:val="none" w:sz="0" w:space="0" w:color="auto"/>
      </w:divBdr>
    </w:div>
    <w:div w:id="2009628430">
      <w:bodyDiv w:val="1"/>
      <w:marLeft w:val="0"/>
      <w:marRight w:val="0"/>
      <w:marTop w:val="0"/>
      <w:marBottom w:val="0"/>
      <w:divBdr>
        <w:top w:val="none" w:sz="0" w:space="0" w:color="auto"/>
        <w:left w:val="none" w:sz="0" w:space="0" w:color="auto"/>
        <w:bottom w:val="none" w:sz="0" w:space="0" w:color="auto"/>
        <w:right w:val="none" w:sz="0" w:space="0" w:color="auto"/>
      </w:divBdr>
    </w:div>
    <w:div w:id="2055040969">
      <w:bodyDiv w:val="1"/>
      <w:marLeft w:val="0"/>
      <w:marRight w:val="0"/>
      <w:marTop w:val="0"/>
      <w:marBottom w:val="0"/>
      <w:divBdr>
        <w:top w:val="none" w:sz="0" w:space="0" w:color="auto"/>
        <w:left w:val="none" w:sz="0" w:space="0" w:color="auto"/>
        <w:bottom w:val="none" w:sz="0" w:space="0" w:color="auto"/>
        <w:right w:val="none" w:sz="0" w:space="0" w:color="auto"/>
      </w:divBdr>
    </w:div>
    <w:div w:id="2057927767">
      <w:bodyDiv w:val="1"/>
      <w:marLeft w:val="0"/>
      <w:marRight w:val="0"/>
      <w:marTop w:val="0"/>
      <w:marBottom w:val="0"/>
      <w:divBdr>
        <w:top w:val="none" w:sz="0" w:space="0" w:color="auto"/>
        <w:left w:val="none" w:sz="0" w:space="0" w:color="auto"/>
        <w:bottom w:val="none" w:sz="0" w:space="0" w:color="auto"/>
        <w:right w:val="none" w:sz="0" w:space="0" w:color="auto"/>
      </w:divBdr>
    </w:div>
    <w:div w:id="2140301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opulation.un.org/wup/Download/" TargetMode="External"/><Relationship Id="rId299" Type="http://schemas.openxmlformats.org/officeDocument/2006/relationships/hyperlink" Target="https://doi.org/10.1111/jch.13187" TargetMode="External"/><Relationship Id="rId21" Type="http://schemas.openxmlformats.org/officeDocument/2006/relationships/diagramColors" Target="diagrams/colors1.xml"/><Relationship Id="rId63" Type="http://schemas.openxmlformats.org/officeDocument/2006/relationships/hyperlink" Target="https://journals.sagepub.com/doi/pdf/10.1177/1536867X0800800403" TargetMode="External"/><Relationship Id="rId159" Type="http://schemas.openxmlformats.org/officeDocument/2006/relationships/image" Target="media/image29.jpg"/><Relationship Id="rId324" Type="http://schemas.openxmlformats.org/officeDocument/2006/relationships/hyperlink" Target="https://doi.org/10.1097/HJH.0000000000000413" TargetMode="External"/><Relationship Id="rId366" Type="http://schemas.openxmlformats.org/officeDocument/2006/relationships/image" Target="media/image31.tiff"/><Relationship Id="rId170" Type="http://schemas.openxmlformats.org/officeDocument/2006/relationships/hyperlink" Target="http://www.plosone.org/article/fetchSingleRepresentation.action?uri=info:doi/10.1371/journal.pone.0214934.s003" TargetMode="External"/><Relationship Id="rId226" Type="http://schemas.openxmlformats.org/officeDocument/2006/relationships/hyperlink" Target="https://doi.org/10.1001/jama.289.19.2560" TargetMode="External"/><Relationship Id="rId268" Type="http://schemas.openxmlformats.org/officeDocument/2006/relationships/hyperlink" Target="https://doi.org/10.1111/jch.12501" TargetMode="External"/><Relationship Id="rId32" Type="http://schemas.openxmlformats.org/officeDocument/2006/relationships/oleObject" Target="embeddings/oleObject5.bin"/><Relationship Id="rId74" Type="http://schemas.openxmlformats.org/officeDocument/2006/relationships/hyperlink" Target="https://doi.org/10.1371/journal.pone.0215045" TargetMode="External"/><Relationship Id="rId128" Type="http://schemas.openxmlformats.org/officeDocument/2006/relationships/hyperlink" Target="http://apps.who.int/gb/ebwha/pdf_files/WHA66/A66_R10-en.pdf" TargetMode="External"/><Relationship Id="rId335" Type="http://schemas.openxmlformats.org/officeDocument/2006/relationships/hyperlink" Target="http://www.ncbi.nlm.nih.gov/pubmed/27115820" TargetMode="External"/><Relationship Id="rId377" Type="http://schemas.openxmlformats.org/officeDocument/2006/relationships/header" Target="header4.xml"/><Relationship Id="rId5" Type="http://schemas.openxmlformats.org/officeDocument/2006/relationships/webSettings" Target="webSettings.xml"/><Relationship Id="rId181" Type="http://schemas.openxmlformats.org/officeDocument/2006/relationships/hyperlink" Target="http://www.plosone.org/article/fetchSingleRepresentation.action?uri=info:doi/10.1371/journal.pone.0214934.s009" TargetMode="External"/><Relationship Id="rId237" Type="http://schemas.openxmlformats.org/officeDocument/2006/relationships/hyperlink" Target="https://doi.org/10.1186/2049-3258-72-39" TargetMode="External"/><Relationship Id="rId402" Type="http://schemas.openxmlformats.org/officeDocument/2006/relationships/hyperlink" Target="https://doi.org/10.1186/s12872-019-1147-7" TargetMode="External"/><Relationship Id="rId258" Type="http://schemas.openxmlformats.org/officeDocument/2006/relationships/hyperlink" Target="https://doi.org/10.1016/j.archger.2015.10.008" TargetMode="External"/><Relationship Id="rId279" Type="http://schemas.openxmlformats.org/officeDocument/2006/relationships/hyperlink" Target="http://www.ncbi.nlm.nih.gov/pubmed/22002461" TargetMode="External"/><Relationship Id="rId22" Type="http://schemas.microsoft.com/office/2007/relationships/diagramDrawing" Target="diagrams/drawing1.xml"/><Relationship Id="rId43" Type="http://schemas.openxmlformats.org/officeDocument/2006/relationships/image" Target="media/image17.wmf"/><Relationship Id="rId64" Type="http://schemas.openxmlformats.org/officeDocument/2006/relationships/hyperlink" Target="http://indiaenvironmentportal.org.in/files/file/Shades%20of%20Gray.pdf" TargetMode="External"/><Relationship Id="rId118" Type="http://schemas.openxmlformats.org/officeDocument/2006/relationships/hyperlink" Target="https://population.un.org/wup/Download/" TargetMode="External"/><Relationship Id="rId139" Type="http://schemas.openxmlformats.org/officeDocument/2006/relationships/hyperlink" Target="https://doi.org/10.1371/journal.pone.0214934" TargetMode="External"/><Relationship Id="rId290" Type="http://schemas.openxmlformats.org/officeDocument/2006/relationships/hyperlink" Target="https://doi.org/10.1080/13607860600736182" TargetMode="External"/><Relationship Id="rId304" Type="http://schemas.openxmlformats.org/officeDocument/2006/relationships/hyperlink" Target="https://doi.org/10.1186/1471-2458-11-886" TargetMode="External"/><Relationship Id="rId325" Type="http://schemas.openxmlformats.org/officeDocument/2006/relationships/hyperlink" Target="http://www.ncbi.nlm.nih.gov/pubmed/25380154" TargetMode="External"/><Relationship Id="rId346" Type="http://schemas.openxmlformats.org/officeDocument/2006/relationships/hyperlink" Target="https://doi.org/10.1016/s0140-6736(16)31919-5" TargetMode="External"/><Relationship Id="rId367" Type="http://schemas.openxmlformats.org/officeDocument/2006/relationships/image" Target="media/image32.tiff"/><Relationship Id="rId388" Type="http://schemas.openxmlformats.org/officeDocument/2006/relationships/header" Target="header10.xml"/><Relationship Id="rId85" Type="http://schemas.openxmlformats.org/officeDocument/2006/relationships/hyperlink" Target="http://www.moh.gov.gh/wp-content/uploads/2016/02/Holistic-Assessment-Report-June-2014140811072318.pdf" TargetMode="External"/><Relationship Id="rId150" Type="http://schemas.openxmlformats.org/officeDocument/2006/relationships/image" Target="media/image24.png"/><Relationship Id="rId171" Type="http://schemas.openxmlformats.org/officeDocument/2006/relationships/hyperlink" Target="http://www.plosone.org/article/fetchSingleRepresentation.action?uri=info:doi/10.1371/journal.pone.0214934.s004" TargetMode="External"/><Relationship Id="rId192" Type="http://schemas.openxmlformats.org/officeDocument/2006/relationships/hyperlink" Target="https://doi.org/10.1371/journal.pone.0104300" TargetMode="External"/><Relationship Id="rId206" Type="http://schemas.openxmlformats.org/officeDocument/2006/relationships/hyperlink" Target="http://www.ncbi.nlm.nih.gov/pubmed/24721931" TargetMode="External"/><Relationship Id="rId227" Type="http://schemas.openxmlformats.org/officeDocument/2006/relationships/hyperlink" Target="http://www.ncbi.nlm.nih.gov/pubmed/12748199" TargetMode="External"/><Relationship Id="rId413" Type="http://schemas.openxmlformats.org/officeDocument/2006/relationships/image" Target="media/image38.tif"/><Relationship Id="rId248" Type="http://schemas.openxmlformats.org/officeDocument/2006/relationships/hyperlink" Target="http://dx.doi.org/10.1016/S1957-2557%2815%2930046-8" TargetMode="External"/><Relationship Id="rId269" Type="http://schemas.openxmlformats.org/officeDocument/2006/relationships/hyperlink" Target="http://www.ncbi.nlm.nih.gov/pubmed/102170633" TargetMode="External"/><Relationship Id="rId12" Type="http://schemas.openxmlformats.org/officeDocument/2006/relationships/image" Target="media/image1.tiff"/><Relationship Id="rId33" Type="http://schemas.openxmlformats.org/officeDocument/2006/relationships/image" Target="media/image12.wmf"/><Relationship Id="rId108" Type="http://schemas.openxmlformats.org/officeDocument/2006/relationships/hyperlink" Target="https://population.un.org/wup/DataQuery/" TargetMode="External"/><Relationship Id="rId129" Type="http://schemas.openxmlformats.org/officeDocument/2006/relationships/hyperlink" Target="http://www.euro.who.int/__data/assets/pdf_file/0009/289962/The-Minsk-Declaration-EN-rev1.pdf?ua=1" TargetMode="External"/><Relationship Id="rId280" Type="http://schemas.openxmlformats.org/officeDocument/2006/relationships/hyperlink" Target="https://doi.org/10.1186/1471-2458-10-569" TargetMode="External"/><Relationship Id="rId315" Type="http://schemas.openxmlformats.org/officeDocument/2006/relationships/hyperlink" Target="https://doi.org/10.1057/s41287-016-0063-2" TargetMode="External"/><Relationship Id="rId336" Type="http://schemas.openxmlformats.org/officeDocument/2006/relationships/hyperlink" Target="https://doi.org/10.1161/HYPERTENSIONAHA.113.01374" TargetMode="External"/><Relationship Id="rId357" Type="http://schemas.openxmlformats.org/officeDocument/2006/relationships/hyperlink" Target="https://doi.org/10.1136/bmjopen-2017-017344" TargetMode="External"/><Relationship Id="rId54" Type="http://schemas.openxmlformats.org/officeDocument/2006/relationships/hyperlink" Target="http://www.ghana.gov.gh/index.php/media-center/news/2311-government" TargetMode="External"/><Relationship Id="rId75" Type="http://schemas.openxmlformats.org/officeDocument/2006/relationships/hyperlink" Target="http://dx.doi.org/10.1016/j.otohns.2010.06.817" TargetMode="External"/><Relationship Id="rId96" Type="http://schemas.openxmlformats.org/officeDocument/2006/relationships/hyperlink" Target="https://dx.doi.org/10.1016/j.jash.2017.04.013" TargetMode="External"/><Relationship Id="rId140" Type="http://schemas.openxmlformats.org/officeDocument/2006/relationships/hyperlink" Target="http://creativecommons.org/licenses/by/4.0/" TargetMode="External"/><Relationship Id="rId161" Type="http://schemas.openxmlformats.org/officeDocument/2006/relationships/hyperlink" Target="https://doi.org/10.1371/journal.pone.0214934.g004" TargetMode="External"/><Relationship Id="rId182" Type="http://schemas.openxmlformats.org/officeDocument/2006/relationships/hyperlink" Target="http://www.plosone.org/article/fetchSingleRepresentation.action?uri=info:doi/10.1371/journal.pone.0214934.s009" TargetMode="External"/><Relationship Id="rId217" Type="http://schemas.openxmlformats.org/officeDocument/2006/relationships/hyperlink" Target="https://doi.org/10.1097/HJH.0000000000001345" TargetMode="External"/><Relationship Id="rId378" Type="http://schemas.openxmlformats.org/officeDocument/2006/relationships/image" Target="media/image34.jpg"/><Relationship Id="rId399" Type="http://schemas.openxmlformats.org/officeDocument/2006/relationships/header" Target="header14.xml"/><Relationship Id="rId403" Type="http://schemas.openxmlformats.org/officeDocument/2006/relationships/hyperlink" Target="https://doi.org/10.17635/lancaster/researchdata/267" TargetMode="External"/><Relationship Id="rId6" Type="http://schemas.openxmlformats.org/officeDocument/2006/relationships/footnotes" Target="footnotes.xml"/><Relationship Id="rId238" Type="http://schemas.openxmlformats.org/officeDocument/2006/relationships/hyperlink" Target="http://www.ncbi.nlm.nih.gov/pubmed/25810908" TargetMode="External"/><Relationship Id="rId259" Type="http://schemas.openxmlformats.org/officeDocument/2006/relationships/hyperlink" Target="http://www.ncbi.nlm.nih.gov/pubmed/26549489" TargetMode="External"/><Relationship Id="rId23" Type="http://schemas.openxmlformats.org/officeDocument/2006/relationships/image" Target="media/image7.wmf"/><Relationship Id="rId119" Type="http://schemas.openxmlformats.org/officeDocument/2006/relationships/hyperlink" Target="https://www.ug.edu.gh/cfas/news/centre-aging-studies-established-university-ghana" TargetMode="External"/><Relationship Id="rId270" Type="http://schemas.openxmlformats.org/officeDocument/2006/relationships/hyperlink" Target="https://doi.org/10.1080/09540121.2016.1191601" TargetMode="External"/><Relationship Id="rId291" Type="http://schemas.openxmlformats.org/officeDocument/2006/relationships/hyperlink" Target="http://www.ncbi.nlm.nih.gov/pubmed/17050090" TargetMode="External"/><Relationship Id="rId305" Type="http://schemas.openxmlformats.org/officeDocument/2006/relationships/hyperlink" Target="https://doi.org/10.1186/1471-2458-11-886" TargetMode="External"/><Relationship Id="rId326" Type="http://schemas.openxmlformats.org/officeDocument/2006/relationships/hyperlink" Target="https://doi.org/10.1038/jhh.2017.18" TargetMode="External"/><Relationship Id="rId347" Type="http://schemas.openxmlformats.org/officeDocument/2006/relationships/hyperlink" Target="http://www.ncbi.nlm.nih.gov/pubmed/27863813" TargetMode="External"/><Relationship Id="rId44" Type="http://schemas.openxmlformats.org/officeDocument/2006/relationships/oleObject" Target="embeddings/oleObject11.bin"/><Relationship Id="rId65" Type="http://schemas.openxmlformats.org/officeDocument/2006/relationships/hyperlink" Target="http://publications.gc.ca/collections/Collection/H39-612-2002-1E.pdf" TargetMode="External"/><Relationship Id="rId86" Type="http://schemas.openxmlformats.org/officeDocument/2006/relationships/hyperlink" Target="http://www.moh.gov.gh/wp-content/uploads/2018/09/2017-Holistic-Assessment-Report_Final_09.08.2018.pdf" TargetMode="External"/><Relationship Id="rId130" Type="http://schemas.openxmlformats.org/officeDocument/2006/relationships/hyperlink" Target="http://apps.who.int/iris/bitstream/10665/186463/1/9789240694811_eng.pdf?ua=1" TargetMode="External"/><Relationship Id="rId151" Type="http://schemas.openxmlformats.org/officeDocument/2006/relationships/image" Target="media/image25.png"/><Relationship Id="rId368" Type="http://schemas.openxmlformats.org/officeDocument/2006/relationships/header" Target="header1.xml"/><Relationship Id="rId389" Type="http://schemas.openxmlformats.org/officeDocument/2006/relationships/footer" Target="footer9.xml"/><Relationship Id="rId172" Type="http://schemas.openxmlformats.org/officeDocument/2006/relationships/hyperlink" Target="http://www.plosone.org/article/fetchSingleRepresentation.action?uri=info:doi/10.1371/journal.pone.0214934.s004" TargetMode="External"/><Relationship Id="rId193" Type="http://schemas.openxmlformats.org/officeDocument/2006/relationships/hyperlink" Target="http://www.ncbi.nlm.nih.gov/pubmed/25090232" TargetMode="External"/><Relationship Id="rId207" Type="http://schemas.openxmlformats.org/officeDocument/2006/relationships/hyperlink" Target="https://doi.org/10.3402/gha.v6i0.19090" TargetMode="External"/><Relationship Id="rId228" Type="http://schemas.openxmlformats.org/officeDocument/2006/relationships/hyperlink" Target="https://doi.org/10.1371/journal.pmed.1000100" TargetMode="External"/><Relationship Id="rId249" Type="http://schemas.openxmlformats.org/officeDocument/2006/relationships/hyperlink" Target="http://dx.doi.org/10.1016/S1957-2557%2815%2930046-8" TargetMode="External"/><Relationship Id="rId414" Type="http://schemas.openxmlformats.org/officeDocument/2006/relationships/fontTable" Target="fontTable.xml"/><Relationship Id="rId13" Type="http://schemas.openxmlformats.org/officeDocument/2006/relationships/image" Target="media/image2.emf"/><Relationship Id="rId109" Type="http://schemas.openxmlformats.org/officeDocument/2006/relationships/hyperlink" Target="https://population.un.org/wup/DataQuery/" TargetMode="External"/><Relationship Id="rId260" Type="http://schemas.openxmlformats.org/officeDocument/2006/relationships/hyperlink" Target="https://doi.org/10.3233/JAD-2011-111364" TargetMode="External"/><Relationship Id="rId281" Type="http://schemas.openxmlformats.org/officeDocument/2006/relationships/hyperlink" Target="https://doi.org/10.1186/1471-2458-10-569" TargetMode="External"/><Relationship Id="rId316" Type="http://schemas.openxmlformats.org/officeDocument/2006/relationships/hyperlink" Target="http://www.ncbi.nlm.nih.gov/pubmed/124414655" TargetMode="External"/><Relationship Id="rId337" Type="http://schemas.openxmlformats.org/officeDocument/2006/relationships/hyperlink" Target="http://www.ncbi.nlm.nih.gov/pubmed/23670299" TargetMode="External"/><Relationship Id="rId34" Type="http://schemas.openxmlformats.org/officeDocument/2006/relationships/oleObject" Target="embeddings/oleObject6.bin"/><Relationship Id="rId55" Type="http://schemas.openxmlformats.org/officeDocument/2006/relationships/hyperlink" Target="https://s3.amazonaws.com/ndpc-static/pubication/Ageing+Policy_July+2010.pdf" TargetMode="External"/><Relationship Id="rId76" Type="http://schemas.openxmlformats.org/officeDocument/2006/relationships/hyperlink" Target="http://dx.doi.org/10.1093/ije/dyt215" TargetMode="External"/><Relationship Id="rId97" Type="http://schemas.openxmlformats.org/officeDocument/2006/relationships/hyperlink" Target="http://www.bristol.ac.uk/cmm/learning/videos/random-intercepts.html" TargetMode="External"/><Relationship Id="rId120" Type="http://schemas.openxmlformats.org/officeDocument/2006/relationships/hyperlink" Target="file:///C:\Users\BILLY\Documents\Scholarship\Lancaster%20University\Thesis\WKB%20Outputs\Draft%20thesis%20WKB\Draft%20reports\www.covidence.org" TargetMode="External"/><Relationship Id="rId141" Type="http://schemas.openxmlformats.org/officeDocument/2006/relationships/hyperlink" Target="http://creativecommons.org/licenses/by/4.0/" TargetMode="External"/><Relationship Id="rId358" Type="http://schemas.openxmlformats.org/officeDocument/2006/relationships/hyperlink" Target="https://doi.org/10.1136/bmjopen-2017-017344" TargetMode="External"/><Relationship Id="rId379" Type="http://schemas.openxmlformats.org/officeDocument/2006/relationships/image" Target="media/image39.jpeg"/><Relationship Id="rId7" Type="http://schemas.openxmlformats.org/officeDocument/2006/relationships/endnotes" Target="endnotes.xml"/><Relationship Id="rId162" Type="http://schemas.openxmlformats.org/officeDocument/2006/relationships/image" Target="media/image30.jpg"/><Relationship Id="rId183" Type="http://schemas.openxmlformats.org/officeDocument/2006/relationships/hyperlink" Target="http://www.plosone.org/article/fetchSingleRepresentation.action?uri=info:doi/10.1371/journal.pone.0214934.s010" TargetMode="External"/><Relationship Id="rId218" Type="http://schemas.openxmlformats.org/officeDocument/2006/relationships/hyperlink" Target="http://www.ncbi.nlm.nih.gov/pubmed/28267038" TargetMode="External"/><Relationship Id="rId239" Type="http://schemas.openxmlformats.org/officeDocument/2006/relationships/hyperlink" Target="https://doi.org/10.1136/bmj.327.7414.557" TargetMode="External"/><Relationship Id="rId390" Type="http://schemas.openxmlformats.org/officeDocument/2006/relationships/footer" Target="footer10.xml"/><Relationship Id="rId404" Type="http://schemas.openxmlformats.org/officeDocument/2006/relationships/hyperlink" Target="https://doi.org/10.17635/lancaster/researchdata/267" TargetMode="External"/><Relationship Id="rId250" Type="http://schemas.openxmlformats.org/officeDocument/2006/relationships/hyperlink" Target="https://doi.org/10.1038/jhh.2012.59" TargetMode="External"/><Relationship Id="rId271" Type="http://schemas.openxmlformats.org/officeDocument/2006/relationships/hyperlink" Target="http://www.ncbi.nlm.nih.gov/pubmed/27263868" TargetMode="External"/><Relationship Id="rId292" Type="http://schemas.openxmlformats.org/officeDocument/2006/relationships/hyperlink" Target="https://doi.org/10.1111/j.1600-0404.2011.01491.x" TargetMode="External"/><Relationship Id="rId306" Type="http://schemas.openxmlformats.org/officeDocument/2006/relationships/hyperlink" Target="http://www.ncbi.nlm.nih.gov/pubmed/22111659" TargetMode="External"/><Relationship Id="rId24" Type="http://schemas.openxmlformats.org/officeDocument/2006/relationships/oleObject" Target="embeddings/oleObject1.bin"/><Relationship Id="rId45" Type="http://schemas.openxmlformats.org/officeDocument/2006/relationships/image" Target="media/image18.jpeg"/><Relationship Id="rId66" Type="http://schemas.openxmlformats.org/officeDocument/2006/relationships/hyperlink" Target="http://eng.zivot90.cz/uploads/document/205.pdf" TargetMode="External"/><Relationship Id="rId87" Type="http://schemas.openxmlformats.org/officeDocument/2006/relationships/hyperlink" Target="http://www.modernrespub.org/jsrs/pdf/2015/January/Nantomah%20and%20Adoma.pdf" TargetMode="External"/><Relationship Id="rId110" Type="http://schemas.openxmlformats.org/officeDocument/2006/relationships/hyperlink" Target="https://www.un.org/en/development/desa/population/publications/pdf/ageing/WorldPopulationAgeing2019-Highlights.pdf" TargetMode="External"/><Relationship Id="rId131" Type="http://schemas.openxmlformats.org/officeDocument/2006/relationships/hyperlink" Target="http://www.who.int/entity/ageing/GSAP-Summary-EN.pdf?ua=1" TargetMode="External"/><Relationship Id="rId327" Type="http://schemas.openxmlformats.org/officeDocument/2006/relationships/hyperlink" Target="http://www.ncbi.nlm.nih.gov/pubmed/28332510" TargetMode="External"/><Relationship Id="rId348" Type="http://schemas.openxmlformats.org/officeDocument/2006/relationships/hyperlink" Target="https://doi.org/10.1186/1475-2840-8-34" TargetMode="External"/><Relationship Id="rId369" Type="http://schemas.openxmlformats.org/officeDocument/2006/relationships/header" Target="header2.xml"/><Relationship Id="rId152" Type="http://schemas.openxmlformats.org/officeDocument/2006/relationships/image" Target="media/image26.png"/><Relationship Id="rId173" Type="http://schemas.openxmlformats.org/officeDocument/2006/relationships/hyperlink" Target="http://www.plosone.org/article/fetchSingleRepresentation.action?uri=info:doi/10.1371/journal.pone.0214934.s005" TargetMode="External"/><Relationship Id="rId194" Type="http://schemas.openxmlformats.org/officeDocument/2006/relationships/hyperlink" Target="https://doi.org/10.1161/HYPERTENSIONAHA.114.04394" TargetMode="External"/><Relationship Id="rId208" Type="http://schemas.openxmlformats.org/officeDocument/2006/relationships/hyperlink" Target="http://www.ncbi.nlm.nih.gov/pubmed/23336616" TargetMode="External"/><Relationship Id="rId229" Type="http://schemas.openxmlformats.org/officeDocument/2006/relationships/hyperlink" Target="https://doi.org/10.1371/journal.pmed.1000100" TargetMode="External"/><Relationship Id="rId380" Type="http://schemas.openxmlformats.org/officeDocument/2006/relationships/header" Target="header5.xml"/><Relationship Id="rId415" Type="http://schemas.openxmlformats.org/officeDocument/2006/relationships/theme" Target="theme/theme1.xml"/><Relationship Id="rId240" Type="http://schemas.openxmlformats.org/officeDocument/2006/relationships/hyperlink" Target="http://www.ncbi.nlm.nih.gov/pubmed/12958120" TargetMode="External"/><Relationship Id="rId261" Type="http://schemas.openxmlformats.org/officeDocument/2006/relationships/hyperlink" Target="http://www.ncbi.nlm.nih.gov/pubmed/22204904" TargetMode="External"/><Relationship Id="rId14" Type="http://schemas.openxmlformats.org/officeDocument/2006/relationships/image" Target="media/image3.emf"/><Relationship Id="rId35" Type="http://schemas.openxmlformats.org/officeDocument/2006/relationships/image" Target="media/image13.wmf"/><Relationship Id="rId56" Type="http://schemas.openxmlformats.org/officeDocument/2006/relationships/hyperlink" Target="https://s3.amazonaws.com/ndpc-static/pubication/GSGDA+II+2014-2017.pdf" TargetMode="External"/><Relationship Id="rId77" Type="http://schemas.openxmlformats.org/officeDocument/2006/relationships/hyperlink" Target="https://dx.doi.org/10.5830/CVJA-2011-039" TargetMode="External"/><Relationship Id="rId100" Type="http://schemas.openxmlformats.org/officeDocument/2006/relationships/hyperlink" Target="http://www.ghana.gov.gh/images/documents/constitution_ghana.pdf" TargetMode="External"/><Relationship Id="rId282" Type="http://schemas.openxmlformats.org/officeDocument/2006/relationships/hyperlink" Target="http://www.ncbi.nlm.nih.gov/pubmed/55091977" TargetMode="External"/><Relationship Id="rId317" Type="http://schemas.openxmlformats.org/officeDocument/2006/relationships/hyperlink" Target="https://doi.org/10.1371/journal.pone.0186947" TargetMode="External"/><Relationship Id="rId338" Type="http://schemas.openxmlformats.org/officeDocument/2006/relationships/hyperlink" Target="https://doi.org/10.1155/2016/3192149" TargetMode="External"/><Relationship Id="rId359" Type="http://schemas.openxmlformats.org/officeDocument/2006/relationships/hyperlink" Target="http://www.ncbi.nlm.nih.gov/pubmed/29079606" TargetMode="External"/><Relationship Id="rId8" Type="http://schemas.openxmlformats.org/officeDocument/2006/relationships/footer" Target="footer1.xml"/><Relationship Id="rId98" Type="http://schemas.openxmlformats.org/officeDocument/2006/relationships/hyperlink" Target="https://books.google.com/books?hl=en&amp;lr=&amp;id=pAccBQAAQBAJ&amp;oi=fnd&amp;pg=PA85&amp;dq=Two+waves+of+measurement+do+not+a+longitudinal+study+make&amp;ots=i_S1kNuymS&amp;sig=hV4ltx-nVuG1fkPE0LzbUdqzKII&amp;redir_esc=y" TargetMode="External"/><Relationship Id="rId121" Type="http://schemas.openxmlformats.org/officeDocument/2006/relationships/hyperlink" Target="http://dx.doi.org/10.1016/S0140-6736(97)12355-8" TargetMode="External"/><Relationship Id="rId142" Type="http://schemas.openxmlformats.org/officeDocument/2006/relationships/hyperlink" Target="http://creativecommons.org/licenses/by/4.0/" TargetMode="External"/><Relationship Id="rId163" Type="http://schemas.openxmlformats.org/officeDocument/2006/relationships/image" Target="media/image34.jpeg"/><Relationship Id="rId184" Type="http://schemas.openxmlformats.org/officeDocument/2006/relationships/hyperlink" Target="http://www.plosone.org/article/fetchSingleRepresentation.action?uri=info:doi/10.1371/journal.pone.0214934.s010" TargetMode="External"/><Relationship Id="rId219" Type="http://schemas.openxmlformats.org/officeDocument/2006/relationships/hyperlink" Target="http://www.who.int/chp/steps/manual/en/" TargetMode="External"/><Relationship Id="rId370" Type="http://schemas.openxmlformats.org/officeDocument/2006/relationships/footer" Target="footer3.xml"/><Relationship Id="rId391" Type="http://schemas.openxmlformats.org/officeDocument/2006/relationships/header" Target="header11.xml"/><Relationship Id="rId405" Type="http://schemas.openxmlformats.org/officeDocument/2006/relationships/hyperlink" Target="https://doi.org/10.17635/lancaster/researchdata/267" TargetMode="External"/><Relationship Id="rId230" Type="http://schemas.openxmlformats.org/officeDocument/2006/relationships/hyperlink" Target="http://www.ncbi.nlm.nih.gov/pubmed/19621070" TargetMode="External"/><Relationship Id="rId251" Type="http://schemas.openxmlformats.org/officeDocument/2006/relationships/hyperlink" Target="http://www.ncbi.nlm.nih.gov/pubmed/23235367" TargetMode="External"/><Relationship Id="rId25" Type="http://schemas.openxmlformats.org/officeDocument/2006/relationships/image" Target="media/image8.wmf"/><Relationship Id="rId46" Type="http://schemas.openxmlformats.org/officeDocument/2006/relationships/hyperlink" Target="https://www.researchgate.net/profile/Emmanuel_Aiyede/publication/313497594_Politics_Public_Policy_and_Social_Protection_in_Africa_Evidence_from_Cash_Transfer_Programmes/links/5cab946392851c64bd59d816/Politics-Public-Policy-and-Social-Protection-in-Africa-Evidence-from-Cash-Transfer-Programmes.pdf" TargetMode="External"/><Relationship Id="rId67" Type="http://schemas.openxmlformats.org/officeDocument/2006/relationships/hyperlink" Target="https://dx.doi.org/10.1111/tmi.12377" TargetMode="External"/><Relationship Id="rId272" Type="http://schemas.openxmlformats.org/officeDocument/2006/relationships/hyperlink" Target="https://doi.org/10.1371/journal.pone.0046855" TargetMode="External"/><Relationship Id="rId293" Type="http://schemas.openxmlformats.org/officeDocument/2006/relationships/hyperlink" Target="http://www.ncbi.nlm.nih.gov/pubmed/21303353" TargetMode="External"/><Relationship Id="rId307" Type="http://schemas.openxmlformats.org/officeDocument/2006/relationships/hyperlink" Target="https://doi.org/10.1002/hsr2.44" TargetMode="External"/><Relationship Id="rId328" Type="http://schemas.openxmlformats.org/officeDocument/2006/relationships/hyperlink" Target="https://doi.org/10.1371/journal.pone.0073403" TargetMode="External"/><Relationship Id="rId349" Type="http://schemas.openxmlformats.org/officeDocument/2006/relationships/hyperlink" Target="http://www.ncbi.nlm.nih.gov/pubmed/19558646" TargetMode="External"/><Relationship Id="rId88" Type="http://schemas.openxmlformats.org/officeDocument/2006/relationships/hyperlink" Target="http://ncdrisc.org/downloads/bp/individual-countries/Ghana.csv" TargetMode="External"/><Relationship Id="rId111" Type="http://schemas.openxmlformats.org/officeDocument/2006/relationships/hyperlink" Target="https://esa.un.org/unpd/wpp/DataQuery/" TargetMode="External"/><Relationship Id="rId132" Type="http://schemas.openxmlformats.org/officeDocument/2006/relationships/hyperlink" Target="https://apps.who.int/nha/database/ViewData/Indicators/en" TargetMode="External"/><Relationship Id="rId153" Type="http://schemas.openxmlformats.org/officeDocument/2006/relationships/image" Target="media/image27.jpg"/><Relationship Id="rId174" Type="http://schemas.openxmlformats.org/officeDocument/2006/relationships/hyperlink" Target="http://www.plosone.org/article/fetchSingleRepresentation.action?uri=info:doi/10.1371/journal.pone.0214934.s005" TargetMode="External"/><Relationship Id="rId195" Type="http://schemas.openxmlformats.org/officeDocument/2006/relationships/hyperlink" Target="http://www.ncbi.nlm.nih.gov/pubmed/25385758" TargetMode="External"/><Relationship Id="rId209" Type="http://schemas.openxmlformats.org/officeDocument/2006/relationships/hyperlink" Target="https://doi.org/10.1016/S0140-6736(16)31919-5" TargetMode="External"/><Relationship Id="rId360" Type="http://schemas.openxmlformats.org/officeDocument/2006/relationships/hyperlink" Target="https://doi.org/10.7189/jogh.08.010420" TargetMode="External"/><Relationship Id="rId381" Type="http://schemas.openxmlformats.org/officeDocument/2006/relationships/header" Target="header6.xml"/><Relationship Id="rId220" Type="http://schemas.openxmlformats.org/officeDocument/2006/relationships/hyperlink" Target="http://www.who.int/chp/steps/manual/en/" TargetMode="External"/><Relationship Id="rId241" Type="http://schemas.openxmlformats.org/officeDocument/2006/relationships/hyperlink" Target="https://doi.org/10.1111/j.0006-341X.2000.00455.x" TargetMode="External"/><Relationship Id="rId15" Type="http://schemas.openxmlformats.org/officeDocument/2006/relationships/image" Target="media/image4.emf"/><Relationship Id="rId36" Type="http://schemas.openxmlformats.org/officeDocument/2006/relationships/oleObject" Target="embeddings/oleObject7.bin"/><Relationship Id="rId57" Type="http://schemas.openxmlformats.org/officeDocument/2006/relationships/hyperlink" Target="http://www2.statsghana.gov.gh/docfiles/publications/GLSS7/Poverty%20Profile%20Report_2005%20-%202017.pdf" TargetMode="External"/><Relationship Id="rId262" Type="http://schemas.openxmlformats.org/officeDocument/2006/relationships/hyperlink" Target="https://doi.org/10.1186/1471-2261-11-65" TargetMode="External"/><Relationship Id="rId283" Type="http://schemas.openxmlformats.org/officeDocument/2006/relationships/hyperlink" Target="https://doi.org/10.3402/gha.v7.21292" TargetMode="External"/><Relationship Id="rId318" Type="http://schemas.openxmlformats.org/officeDocument/2006/relationships/hyperlink" Target="https://doi.org/10.1371/journal.pone.0186947" TargetMode="External"/><Relationship Id="rId339" Type="http://schemas.openxmlformats.org/officeDocument/2006/relationships/hyperlink" Target="http://www.ncbi.nlm.nih.gov/pubmed/26949543" TargetMode="External"/><Relationship Id="rId78" Type="http://schemas.openxmlformats.org/officeDocument/2006/relationships/hyperlink" Target="http://www.who.int/healthinfo/survey/ageingdefnolder/en/" TargetMode="External"/><Relationship Id="rId99" Type="http://schemas.openxmlformats.org/officeDocument/2006/relationships/hyperlink" Target="https://dx.doi.org/10.11604/pamj.2017.27.190.11682" TargetMode="External"/><Relationship Id="rId101" Type="http://schemas.openxmlformats.org/officeDocument/2006/relationships/hyperlink" Target="http://www.gfdgh.org/GHANA%20DISABILITY%20ACT.pdf" TargetMode="External"/><Relationship Id="rId122" Type="http://schemas.openxmlformats.org/officeDocument/2006/relationships/hyperlink" Target="http://dx.doi.org/10.1016/j.numecd.2017.06.017" TargetMode="External"/><Relationship Id="rId143" Type="http://schemas.openxmlformats.org/officeDocument/2006/relationships/hyperlink" Target="http://creativecommons.org/licenses/by/4.0/" TargetMode="External"/><Relationship Id="rId164" Type="http://schemas.openxmlformats.org/officeDocument/2006/relationships/hyperlink" Target="https://doi.org/10.1371/journal.pone.0214934.g005" TargetMode="External"/><Relationship Id="rId185" Type="http://schemas.openxmlformats.org/officeDocument/2006/relationships/hyperlink" Target="https://vizhub.healthdata.org/gbd-compare/" TargetMode="External"/><Relationship Id="rId350" Type="http://schemas.openxmlformats.org/officeDocument/2006/relationships/hyperlink" Target="http://www.ncbi.nlm.nih.gov/pubmed/15822468" TargetMode="External"/><Relationship Id="rId371" Type="http://schemas.openxmlformats.org/officeDocument/2006/relationships/footer" Target="footer4.xml"/><Relationship Id="rId406" Type="http://schemas.openxmlformats.org/officeDocument/2006/relationships/hyperlink" Target="https://vizhub.healthdata.org/gbd-compare/" TargetMode="External"/><Relationship Id="rId9" Type="http://schemas.openxmlformats.org/officeDocument/2006/relationships/footer" Target="footer2.xml"/><Relationship Id="rId210" Type="http://schemas.openxmlformats.org/officeDocument/2006/relationships/hyperlink" Target="http://www.ncbi.nlm.nih.gov/pubmed/27863813" TargetMode="External"/><Relationship Id="rId392" Type="http://schemas.openxmlformats.org/officeDocument/2006/relationships/footer" Target="footer11.xml"/><Relationship Id="rId26" Type="http://schemas.openxmlformats.org/officeDocument/2006/relationships/oleObject" Target="embeddings/oleObject2.bin"/><Relationship Id="rId231" Type="http://schemas.openxmlformats.org/officeDocument/2006/relationships/hyperlink" Target="http://www.covidence.org/" TargetMode="External"/><Relationship Id="rId252" Type="http://schemas.openxmlformats.org/officeDocument/2006/relationships/hyperlink" Target="https://doi.org/10.1007/s13149-014-0397-y" TargetMode="External"/><Relationship Id="rId273" Type="http://schemas.openxmlformats.org/officeDocument/2006/relationships/hyperlink" Target="http://www.ncbi.nlm.nih.gov/pubmed/83523104" TargetMode="External"/><Relationship Id="rId294" Type="http://schemas.openxmlformats.org/officeDocument/2006/relationships/hyperlink" Target="https://doi.org/10.1016/j.jagp.2014.12.005" TargetMode="External"/><Relationship Id="rId308" Type="http://schemas.openxmlformats.org/officeDocument/2006/relationships/hyperlink" Target="http://www.ncbi.nlm.nih.gov/pubmed/30623073" TargetMode="External"/><Relationship Id="rId329" Type="http://schemas.openxmlformats.org/officeDocument/2006/relationships/hyperlink" Target="http://www.ncbi.nlm.nih.gov/pubmed/24039932" TargetMode="External"/><Relationship Id="rId47" Type="http://schemas.openxmlformats.org/officeDocument/2006/relationships/hyperlink" Target="http://www.un.org/esa/population/publications/bulletin42_43/apt.pdf" TargetMode="External"/><Relationship Id="rId68" Type="http://schemas.openxmlformats.org/officeDocument/2006/relationships/hyperlink" Target="http://ghdx.healthdata.org/gbd-results-tool" TargetMode="External"/><Relationship Id="rId89" Type="http://schemas.openxmlformats.org/officeDocument/2006/relationships/hyperlink" Target="http://ugspace.ug.edu.gh/bitstream/handle/123456789/31185/Eating%20Out-%20Nutrition%20and%20Health%20Implications.pdf?sequence=1" TargetMode="External"/><Relationship Id="rId112" Type="http://schemas.openxmlformats.org/officeDocument/2006/relationships/hyperlink" Target="https://esa.un.org/unpd/wpp/DataQuery/" TargetMode="External"/><Relationship Id="rId133" Type="http://schemas.openxmlformats.org/officeDocument/2006/relationships/hyperlink" Target="https://apps.who.int/nha/database/ViewData/Indicators/en" TargetMode="External"/><Relationship Id="rId154" Type="http://schemas.openxmlformats.org/officeDocument/2006/relationships/image" Target="media/image28.jpeg"/><Relationship Id="rId175" Type="http://schemas.openxmlformats.org/officeDocument/2006/relationships/hyperlink" Target="http://www.plosone.org/article/fetchSingleRepresentation.action?uri=info:doi/10.1371/journal.pone.0214934.s006" TargetMode="External"/><Relationship Id="rId340" Type="http://schemas.openxmlformats.org/officeDocument/2006/relationships/hyperlink" Target="https://doi.org/10.1371/journal.pone.0186947" TargetMode="External"/><Relationship Id="rId361" Type="http://schemas.openxmlformats.org/officeDocument/2006/relationships/hyperlink" Target="http://www.ncbi.nlm.nih.gov/pubmed/29899980" TargetMode="External"/><Relationship Id="rId196" Type="http://schemas.openxmlformats.org/officeDocument/2006/relationships/hyperlink" Target="https://doi.org/10.3402/gha.v8.26227" TargetMode="External"/><Relationship Id="rId200" Type="http://schemas.openxmlformats.org/officeDocument/2006/relationships/hyperlink" Target="http://www.ncbi.nlm.nih.gov/pubmed/17954720" TargetMode="External"/><Relationship Id="rId382" Type="http://schemas.openxmlformats.org/officeDocument/2006/relationships/header" Target="header7.xml"/><Relationship Id="rId16" Type="http://schemas.openxmlformats.org/officeDocument/2006/relationships/image" Target="media/image5.jpeg"/><Relationship Id="rId221" Type="http://schemas.openxmlformats.org/officeDocument/2006/relationships/hyperlink" Target="https://doi.org/10.1186/s12906-016-1378-4" TargetMode="External"/><Relationship Id="rId242" Type="http://schemas.openxmlformats.org/officeDocument/2006/relationships/hyperlink" Target="https://doi.org/10.1111/j.0006-341X.2000.00455.x" TargetMode="External"/><Relationship Id="rId263" Type="http://schemas.openxmlformats.org/officeDocument/2006/relationships/hyperlink" Target="http://www.ncbi.nlm.nih.gov/pubmed/22044442" TargetMode="External"/><Relationship Id="rId284" Type="http://schemas.openxmlformats.org/officeDocument/2006/relationships/hyperlink" Target="http://www.ncbi.nlm.nih.gov/pubmed/24746141" TargetMode="External"/><Relationship Id="rId319" Type="http://schemas.openxmlformats.org/officeDocument/2006/relationships/hyperlink" Target="http://www.ncbi.nlm.nih.gov/pubmed/126108773" TargetMode="External"/><Relationship Id="rId37" Type="http://schemas.openxmlformats.org/officeDocument/2006/relationships/image" Target="media/image14.wmf"/><Relationship Id="rId58" Type="http://schemas.openxmlformats.org/officeDocument/2006/relationships/hyperlink" Target="https://statsghana.gov.gh/gssmain/fileUpload/pressrelease/GLSS7%20MAIN%20REPORT_FINAL.pdf" TargetMode="External"/><Relationship Id="rId79" Type="http://schemas.openxmlformats.org/officeDocument/2006/relationships/hyperlink" Target="https://dx.doi.org/10.3402/gha.v7.21292" TargetMode="External"/><Relationship Id="rId102" Type="http://schemas.openxmlformats.org/officeDocument/2006/relationships/hyperlink" Target="https://doi.org/10.1016/j.phrs.2017.05.013" TargetMode="External"/><Relationship Id="rId123" Type="http://schemas.openxmlformats.org/officeDocument/2006/relationships/hyperlink" Target="http://apps.who.int/iris/bitstream/10665/67215/1/WHO_NMH_NPH_02.8.pdf" TargetMode="External"/><Relationship Id="rId144" Type="http://schemas.openxmlformats.org/officeDocument/2006/relationships/hyperlink" Target="https://dx.doi.org/10.17635/lancaster/researchdata/247" TargetMode="External"/><Relationship Id="rId330" Type="http://schemas.openxmlformats.org/officeDocument/2006/relationships/hyperlink" Target="https://doi.org/10.1017/S0029665114001669" TargetMode="External"/><Relationship Id="rId90" Type="http://schemas.openxmlformats.org/officeDocument/2006/relationships/hyperlink" Target="http://ugspace.ug.edu.gh/bitstream/handle/123456789/31185/Eating%20Out-%20Nutrition%20and%20Health%20Implications.pdf?sequence=1" TargetMode="External"/><Relationship Id="rId165" Type="http://schemas.openxmlformats.org/officeDocument/2006/relationships/hyperlink" Target="http://www.plosone.org/article/fetchSingleRepresentation.action?uri=info:doi/10.1371/journal.pone.0214934.s001" TargetMode="External"/><Relationship Id="rId186" Type="http://schemas.openxmlformats.org/officeDocument/2006/relationships/hyperlink" Target="https://doi.org/10.1016/S0140-6736(16)30506-2" TargetMode="External"/><Relationship Id="rId351" Type="http://schemas.openxmlformats.org/officeDocument/2006/relationships/hyperlink" Target="https://doi.org/10.1371/journal.pone.0161544" TargetMode="External"/><Relationship Id="rId372" Type="http://schemas.openxmlformats.org/officeDocument/2006/relationships/header" Target="header3.xml"/><Relationship Id="rId393" Type="http://schemas.openxmlformats.org/officeDocument/2006/relationships/image" Target="media/image35.jpg"/><Relationship Id="rId407" Type="http://schemas.openxmlformats.org/officeDocument/2006/relationships/hyperlink" Target="https://www.covidence.org/home" TargetMode="External"/><Relationship Id="rId211" Type="http://schemas.openxmlformats.org/officeDocument/2006/relationships/hyperlink" Target="https://doi.org/10.1007/s10823-011-9148-8" TargetMode="External"/><Relationship Id="rId232" Type="http://schemas.openxmlformats.org/officeDocument/2006/relationships/hyperlink" Target="http://www.covidence.org/" TargetMode="External"/><Relationship Id="rId253" Type="http://schemas.openxmlformats.org/officeDocument/2006/relationships/hyperlink" Target="http://www.ncbi.nlm.nih.gov/pubmed/25256252" TargetMode="External"/><Relationship Id="rId274" Type="http://schemas.openxmlformats.org/officeDocument/2006/relationships/hyperlink" Target="https://doi.org/10.1016/j.otohns.2010.06.817" TargetMode="External"/><Relationship Id="rId295" Type="http://schemas.openxmlformats.org/officeDocument/2006/relationships/hyperlink" Target="http://www.ncbi.nlm.nih.gov/pubmed/25579049" TargetMode="External"/><Relationship Id="rId309" Type="http://schemas.openxmlformats.org/officeDocument/2006/relationships/hyperlink" Target="https://doi.org/10.5830/CVJA-2012-070" TargetMode="External"/><Relationship Id="rId27" Type="http://schemas.openxmlformats.org/officeDocument/2006/relationships/image" Target="media/image9.wmf"/><Relationship Id="rId48" Type="http://schemas.openxmlformats.org/officeDocument/2006/relationships/hyperlink" Target="http://dx.doi.org/10.3402/gha.v6i0.20096" TargetMode="External"/><Relationship Id="rId69" Type="http://schemas.openxmlformats.org/officeDocument/2006/relationships/hyperlink" Target="http://ghdx.healthdata.org/gbd-results-tool" TargetMode="External"/><Relationship Id="rId113" Type="http://schemas.openxmlformats.org/officeDocument/2006/relationships/hyperlink" Target="https://population.un.org/wpp/" TargetMode="External"/><Relationship Id="rId134" Type="http://schemas.openxmlformats.org/officeDocument/2006/relationships/hyperlink" Target="http://www.jstor.org/stable/44849400" TargetMode="External"/><Relationship Id="rId320" Type="http://schemas.openxmlformats.org/officeDocument/2006/relationships/hyperlink" Target="https://doi.org/10.1016/j.atherosclerosis.2014.11.029" TargetMode="External"/><Relationship Id="rId80" Type="http://schemas.openxmlformats.org/officeDocument/2006/relationships/hyperlink" Target="https://s3.amazonaws.com/ndpc-static/pubication/Ageing+Policy_July+2010.pdf" TargetMode="External"/><Relationship Id="rId155" Type="http://schemas.openxmlformats.org/officeDocument/2006/relationships/hyperlink" Target="https://doi.org/10.1371/journal.pone.0214934.g002" TargetMode="External"/><Relationship Id="rId176" Type="http://schemas.openxmlformats.org/officeDocument/2006/relationships/hyperlink" Target="http://www.plosone.org/article/fetchSingleRepresentation.action?uri=info:doi/10.1371/journal.pone.0214934.s006" TargetMode="External"/><Relationship Id="rId197" Type="http://schemas.openxmlformats.org/officeDocument/2006/relationships/hyperlink" Target="https://doi.org/10.3402/gha.v8.26227" TargetMode="External"/><Relationship Id="rId341" Type="http://schemas.openxmlformats.org/officeDocument/2006/relationships/hyperlink" Target="http://www.ncbi.nlm.nih.gov/pubmed/29117264" TargetMode="External"/><Relationship Id="rId362" Type="http://schemas.openxmlformats.org/officeDocument/2006/relationships/hyperlink" Target="https://doi.org/10.1371/journal.pmed.1001699" TargetMode="External"/><Relationship Id="rId383" Type="http://schemas.openxmlformats.org/officeDocument/2006/relationships/footer" Target="footer6.xml"/><Relationship Id="rId201" Type="http://schemas.openxmlformats.org/officeDocument/2006/relationships/hyperlink" Target="https://doi.org/10.1097/MD.0000000000001959" TargetMode="External"/><Relationship Id="rId222" Type="http://schemas.openxmlformats.org/officeDocument/2006/relationships/hyperlink" Target="https://doi.org/10.1186/s12906-016-1378-4" TargetMode="External"/><Relationship Id="rId243" Type="http://schemas.openxmlformats.org/officeDocument/2006/relationships/hyperlink" Target="http://www.ncbi.nlm.nih.gov/pubmed/10877304" TargetMode="External"/><Relationship Id="rId264" Type="http://schemas.openxmlformats.org/officeDocument/2006/relationships/hyperlink" Target="https://doi.org/10.1111/tmi.12377" TargetMode="External"/><Relationship Id="rId285" Type="http://schemas.openxmlformats.org/officeDocument/2006/relationships/hyperlink" Target="https://doi.org/10.4102/hsag.v18i1.656" TargetMode="External"/><Relationship Id="rId17" Type="http://schemas.openxmlformats.org/officeDocument/2006/relationships/image" Target="media/image6.jpeg"/><Relationship Id="rId38" Type="http://schemas.openxmlformats.org/officeDocument/2006/relationships/oleObject" Target="embeddings/oleObject8.bin"/><Relationship Id="rId59" Type="http://schemas.openxmlformats.org/officeDocument/2006/relationships/hyperlink" Target="http://search.ebscohost.com/login.aspx?direct=true&amp;db=asn&amp;AN=72339154&amp;site=ehost-live&amp;authtype=ip,shib&amp;user=s1523151" TargetMode="External"/><Relationship Id="rId103" Type="http://schemas.openxmlformats.org/officeDocument/2006/relationships/hyperlink" Target="https://stats.idre.ucla.edu/stata/webbooks/logistic/chapter3/lesson-3-logistic-regression-diagnostics/" TargetMode="External"/><Relationship Id="rId124" Type="http://schemas.openxmlformats.org/officeDocument/2006/relationships/hyperlink" Target="file:///C:\Users\BILLY\Documents\Scholarship\Lancaster%20University\Thesis\WKB%20Outputs\Draft%20thesis%20WKB\Draft%20reports\www.who.int\entity\dietphysicalactivity\publications\trs916\en\gsfao_introduction.pdf" TargetMode="External"/><Relationship Id="rId310" Type="http://schemas.openxmlformats.org/officeDocument/2006/relationships/hyperlink" Target="https://doi.org/10.5830/CVJA-2012-070" TargetMode="External"/><Relationship Id="rId70" Type="http://schemas.openxmlformats.org/officeDocument/2006/relationships/hyperlink" Target="http://ghdx.healthdata.org/gbd-results-tool" TargetMode="External"/><Relationship Id="rId91" Type="http://schemas.openxmlformats.org/officeDocument/2006/relationships/hyperlink" Target="http://www.columbia.edu/~so33/SusDev/Lecture_10.pdf" TargetMode="External"/><Relationship Id="rId145" Type="http://schemas.openxmlformats.org/officeDocument/2006/relationships/hyperlink" Target="https://dx.doi.org/10.17635/lancaster/researchdata/247" TargetMode="External"/><Relationship Id="rId166" Type="http://schemas.openxmlformats.org/officeDocument/2006/relationships/hyperlink" Target="http://www.plosone.org/article/fetchSingleRepresentation.action?uri=info:doi/10.1371/journal.pone.0214934.s001" TargetMode="External"/><Relationship Id="rId187" Type="http://schemas.openxmlformats.org/officeDocument/2006/relationships/hyperlink" Target="https://doi.org/10.1016/S0140-6736(16)30506-2" TargetMode="External"/><Relationship Id="rId331" Type="http://schemas.openxmlformats.org/officeDocument/2006/relationships/hyperlink" Target="https://doi.org/10.1017/S0029665114001669" TargetMode="External"/><Relationship Id="rId352" Type="http://schemas.openxmlformats.org/officeDocument/2006/relationships/hyperlink" Target="http://www.ncbi.nlm.nih.gov/pubmed/27622534" TargetMode="External"/><Relationship Id="rId373" Type="http://schemas.openxmlformats.org/officeDocument/2006/relationships/footer" Target="footer5.xml"/><Relationship Id="rId394" Type="http://schemas.openxmlformats.org/officeDocument/2006/relationships/image" Target="media/image41.jpeg"/><Relationship Id="rId408" Type="http://schemas.openxmlformats.org/officeDocument/2006/relationships/hyperlink" Target="https://edition.cnn.com/2015/12/11/africa/fast-food-in-africa/" TargetMode="External"/><Relationship Id="rId1" Type="http://schemas.openxmlformats.org/officeDocument/2006/relationships/customXml" Target="../customXml/item1.xml"/><Relationship Id="rId212" Type="http://schemas.openxmlformats.org/officeDocument/2006/relationships/hyperlink" Target="http://www.ncbi.nlm.nih.gov/pubmed/21695397" TargetMode="External"/><Relationship Id="rId233" Type="http://schemas.openxmlformats.org/officeDocument/2006/relationships/hyperlink" Target="https://doi.org/10.1016/j.jclinepi.2011.11.014" TargetMode="External"/><Relationship Id="rId254" Type="http://schemas.openxmlformats.org/officeDocument/2006/relationships/hyperlink" Target="https://doi.org/10.1159/000335655" TargetMode="External"/><Relationship Id="rId28" Type="http://schemas.openxmlformats.org/officeDocument/2006/relationships/oleObject" Target="embeddings/oleObject3.bin"/><Relationship Id="rId49" Type="http://schemas.openxmlformats.org/officeDocument/2006/relationships/hyperlink" Target="http://dx.doi.org/10.1016/S1957-2557%2815%2930046-8" TargetMode="External"/><Relationship Id="rId114" Type="http://schemas.openxmlformats.org/officeDocument/2006/relationships/hyperlink" Target="https://population.un.org/wpp/" TargetMode="External"/><Relationship Id="rId275" Type="http://schemas.openxmlformats.org/officeDocument/2006/relationships/hyperlink" Target="https://doi.org/10.1016/j.otohns.2010.06.817" TargetMode="External"/><Relationship Id="rId296" Type="http://schemas.openxmlformats.org/officeDocument/2006/relationships/hyperlink" Target="http://dx.doi.org/10.5830/CVJA-2013-002" TargetMode="External"/><Relationship Id="rId300" Type="http://schemas.openxmlformats.org/officeDocument/2006/relationships/hyperlink" Target="http://www.ncbi.nlm.nih.gov/pubmed/128138159" TargetMode="External"/><Relationship Id="rId60" Type="http://schemas.openxmlformats.org/officeDocument/2006/relationships/hyperlink" Target="https://is.muni.cz/el/1423/podzim2017/PSY028/um/_Hair_-_Multivariate_data_analysis_7th_revised.pdf" TargetMode="External"/><Relationship Id="rId81" Type="http://schemas.openxmlformats.org/officeDocument/2006/relationships/hyperlink" Target="https://www.google.com/url?client=internal-element-cse&amp;cx=010311583774679127395:grfp2yhj90w&amp;q=http://www.nhis.gov.gh/files/NHIS%2520Mobile_Renewal_Information_Pack_and_Guide.pdf&amp;sa=U&amp;ved=2ahUKEwiF9YzZ9qDrAhUD-aQKHeJABoMQFjAHegQIBhAB&amp;usg=AOvVaw3OI_2zq8GaBm5Wfxiyx5km" TargetMode="External"/><Relationship Id="rId135" Type="http://schemas.openxmlformats.org/officeDocument/2006/relationships/image" Target="media/image19.tif"/><Relationship Id="rId156" Type="http://schemas.openxmlformats.org/officeDocument/2006/relationships/image" Target="media/image28.jpg"/><Relationship Id="rId177" Type="http://schemas.openxmlformats.org/officeDocument/2006/relationships/hyperlink" Target="http://www.plosone.org/article/fetchSingleRepresentation.action?uri=info:doi/10.1371/journal.pone.0214934.s007" TargetMode="External"/><Relationship Id="rId198" Type="http://schemas.openxmlformats.org/officeDocument/2006/relationships/hyperlink" Target="http://www.ncbi.nlm.nih.gov/pubmed/25623611" TargetMode="External"/><Relationship Id="rId321" Type="http://schemas.openxmlformats.org/officeDocument/2006/relationships/hyperlink" Target="https://doi.org/10.1016/j.atherosclerosis.2014.11.029" TargetMode="External"/><Relationship Id="rId342" Type="http://schemas.openxmlformats.org/officeDocument/2006/relationships/hyperlink" Target="https://doi.org/10.1097/HJH.0b013e328346995d" TargetMode="External"/><Relationship Id="rId363" Type="http://schemas.openxmlformats.org/officeDocument/2006/relationships/hyperlink" Target="http://www.ncbi.nlm.nih.gov/pubmed/25117081" TargetMode="External"/><Relationship Id="rId384" Type="http://schemas.openxmlformats.org/officeDocument/2006/relationships/footer" Target="footer7.xml"/><Relationship Id="rId202" Type="http://schemas.openxmlformats.org/officeDocument/2006/relationships/hyperlink" Target="http://www.ncbi.nlm.nih.gov/pubmed/26683910" TargetMode="External"/><Relationship Id="rId223" Type="http://schemas.openxmlformats.org/officeDocument/2006/relationships/hyperlink" Target="http://www.ncbi.nlm.nih.gov/pubmed/27776505" TargetMode="External"/><Relationship Id="rId244" Type="http://schemas.openxmlformats.org/officeDocument/2006/relationships/hyperlink" Target="http://www.ncbi.nlm.nih.gov/pubmed/9310563" TargetMode="External"/><Relationship Id="rId18" Type="http://schemas.openxmlformats.org/officeDocument/2006/relationships/diagramData" Target="diagrams/data1.xml"/><Relationship Id="rId39" Type="http://schemas.openxmlformats.org/officeDocument/2006/relationships/image" Target="media/image15.wmf"/><Relationship Id="rId265" Type="http://schemas.openxmlformats.org/officeDocument/2006/relationships/hyperlink" Target="http://www.ncbi.nlm.nih.gov/pubmed/25164626" TargetMode="External"/><Relationship Id="rId286" Type="http://schemas.openxmlformats.org/officeDocument/2006/relationships/hyperlink" Target="https://doi.org/10.1371/journal.pone.0078394" TargetMode="External"/><Relationship Id="rId50" Type="http://schemas.openxmlformats.org/officeDocument/2006/relationships/hyperlink" Target="https://us.sagepub.com/sites/default/files/upm-assets/105274_book_item_105274.pdfpp" TargetMode="External"/><Relationship Id="rId104" Type="http://schemas.openxmlformats.org/officeDocument/2006/relationships/hyperlink" Target="https://www.cmm.bris.ac.uk/lemma/mod/resource/view.php?id=193" TargetMode="External"/><Relationship Id="rId125" Type="http://schemas.openxmlformats.org/officeDocument/2006/relationships/hyperlink" Target="http://www.who.int/chp/steps/manual/en/" TargetMode="External"/><Relationship Id="rId146" Type="http://schemas.openxmlformats.org/officeDocument/2006/relationships/image" Target="media/image21.jpg"/><Relationship Id="rId167" Type="http://schemas.openxmlformats.org/officeDocument/2006/relationships/hyperlink" Target="http://www.plosone.org/article/fetchSingleRepresentation.action?uri=info:doi/10.1371/journal.pone.0214934.s002" TargetMode="External"/><Relationship Id="rId188" Type="http://schemas.openxmlformats.org/officeDocument/2006/relationships/hyperlink" Target="http://www.ncbi.nlm.nih.gov/pubmed/27431356" TargetMode="External"/><Relationship Id="rId311" Type="http://schemas.openxmlformats.org/officeDocument/2006/relationships/hyperlink" Target="http://www.ncbi.nlm.nih.gov/pubmed/23612948" TargetMode="External"/><Relationship Id="rId332" Type="http://schemas.openxmlformats.org/officeDocument/2006/relationships/hyperlink" Target="http://www.ncbi.nlm.nih.gov/pubmed/25529539" TargetMode="External"/><Relationship Id="rId353" Type="http://schemas.openxmlformats.org/officeDocument/2006/relationships/hyperlink" Target="https://doi.org/10.1038/s41598-018-26991-4" TargetMode="External"/><Relationship Id="rId374" Type="http://schemas.openxmlformats.org/officeDocument/2006/relationships/image" Target="media/image33.jpg"/><Relationship Id="rId395" Type="http://schemas.openxmlformats.org/officeDocument/2006/relationships/header" Target="header12.xml"/><Relationship Id="rId409" Type="http://schemas.openxmlformats.org/officeDocument/2006/relationships/hyperlink" Target="https://edition.cnn.com/2015/12/11/africa/fast-food-in-africa/" TargetMode="External"/><Relationship Id="rId71" Type="http://schemas.openxmlformats.org/officeDocument/2006/relationships/hyperlink" Target="http://ghdx.healthdata.org/gbd-results-tool" TargetMode="External"/><Relationship Id="rId92" Type="http://schemas.openxmlformats.org/officeDocument/2006/relationships/hyperlink" Target="http://dx.doi.org/10.1111/j.1600-0404.2011.01491.x" TargetMode="External"/><Relationship Id="rId213" Type="http://schemas.openxmlformats.org/officeDocument/2006/relationships/hyperlink" Target="https://doi.org/10.1001/jama.287.8.1003" TargetMode="External"/><Relationship Id="rId234" Type="http://schemas.openxmlformats.org/officeDocument/2006/relationships/hyperlink" Target="http://www.ncbi.nlm.nih.gov/pubmed/22742910" TargetMode="External"/><Relationship Id="rId2" Type="http://schemas.openxmlformats.org/officeDocument/2006/relationships/numbering" Target="numbering.xml"/><Relationship Id="rId29" Type="http://schemas.openxmlformats.org/officeDocument/2006/relationships/image" Target="media/image10.wmf"/><Relationship Id="rId255" Type="http://schemas.openxmlformats.org/officeDocument/2006/relationships/hyperlink" Target="http://www.ncbi.nlm.nih.gov/pubmed/22433971" TargetMode="External"/><Relationship Id="rId276" Type="http://schemas.openxmlformats.org/officeDocument/2006/relationships/hyperlink" Target="http://www.ncbi.nlm.nih.gov/pubmed/20869560" TargetMode="External"/><Relationship Id="rId297" Type="http://schemas.openxmlformats.org/officeDocument/2006/relationships/hyperlink" Target="https://doi.org/10.1016/j.jash.2017.04.013" TargetMode="External"/><Relationship Id="rId40" Type="http://schemas.openxmlformats.org/officeDocument/2006/relationships/oleObject" Target="embeddings/oleObject9.bin"/><Relationship Id="rId115" Type="http://schemas.openxmlformats.org/officeDocument/2006/relationships/hyperlink" Target="http://www.un.org/en/events/pastevents/pdfs/Madrid_plan.pdf" TargetMode="External"/><Relationship Id="rId136" Type="http://schemas.openxmlformats.org/officeDocument/2006/relationships/image" Target="media/image20.png"/><Relationship Id="rId157" Type="http://schemas.openxmlformats.org/officeDocument/2006/relationships/image" Target="media/image30.jpeg"/><Relationship Id="rId178" Type="http://schemas.openxmlformats.org/officeDocument/2006/relationships/hyperlink" Target="http://www.plosone.org/article/fetchSingleRepresentation.action?uri=info:doi/10.1371/journal.pone.0214934.s007" TargetMode="External"/><Relationship Id="rId301" Type="http://schemas.openxmlformats.org/officeDocument/2006/relationships/hyperlink" Target="https://doi.org/10.11604/pamj.2017.27.190.11682" TargetMode="External"/><Relationship Id="rId322" Type="http://schemas.openxmlformats.org/officeDocument/2006/relationships/hyperlink" Target="http://www.ncbi.nlm.nih.gov/pubmed/25528433" TargetMode="External"/><Relationship Id="rId343" Type="http://schemas.openxmlformats.org/officeDocument/2006/relationships/hyperlink" Target="https://doi.org/10.1097/HJH.0b013e328346995d" TargetMode="External"/><Relationship Id="rId364" Type="http://schemas.openxmlformats.org/officeDocument/2006/relationships/hyperlink" Target="https://doi.org/10.1016/j.clineuro.2013.04.014" TargetMode="External"/><Relationship Id="rId61" Type="http://schemas.openxmlformats.org/officeDocument/2006/relationships/hyperlink" Target="http://dx.doi.org/10.1186/1471-2261-11-65" TargetMode="External"/><Relationship Id="rId82" Type="http://schemas.openxmlformats.org/officeDocument/2006/relationships/hyperlink" Target="http://mogcsp.gov.gh/index.php/projects/programmes-and-interventions-for-the-aged-ghana/" TargetMode="External"/><Relationship Id="rId199" Type="http://schemas.openxmlformats.org/officeDocument/2006/relationships/hyperlink" Target="https://doi.org/10.1161/HYPERTENSIONAHA.107.093336" TargetMode="External"/><Relationship Id="rId203" Type="http://schemas.openxmlformats.org/officeDocument/2006/relationships/hyperlink" Target="http://www.ncbi.nlm.nih.gov/pubmed/17061743" TargetMode="External"/><Relationship Id="rId385" Type="http://schemas.openxmlformats.org/officeDocument/2006/relationships/header" Target="header8.xml"/><Relationship Id="rId19" Type="http://schemas.openxmlformats.org/officeDocument/2006/relationships/diagramLayout" Target="diagrams/layout1.xml"/><Relationship Id="rId224" Type="http://schemas.openxmlformats.org/officeDocument/2006/relationships/hyperlink" Target="https://doi.org/10.1186/s13643-017-0585-5" TargetMode="External"/><Relationship Id="rId245" Type="http://schemas.openxmlformats.org/officeDocument/2006/relationships/hyperlink" Target="https://doi.org/10.4103/1596-3519.112398" TargetMode="External"/><Relationship Id="rId266" Type="http://schemas.openxmlformats.org/officeDocument/2006/relationships/hyperlink" Target="https://doi.org/10.1007/s10823-008-9063-9" TargetMode="External"/><Relationship Id="rId287" Type="http://schemas.openxmlformats.org/officeDocument/2006/relationships/hyperlink" Target="https://doi.org/10.1371/journal.pone.0078394" TargetMode="External"/><Relationship Id="rId410" Type="http://schemas.openxmlformats.org/officeDocument/2006/relationships/hyperlink" Target="https://doi.org/10.1136/bjsports-2017-098733" TargetMode="External"/><Relationship Id="rId30" Type="http://schemas.openxmlformats.org/officeDocument/2006/relationships/oleObject" Target="embeddings/oleObject4.bin"/><Relationship Id="rId105" Type="http://schemas.openxmlformats.org/officeDocument/2006/relationships/hyperlink" Target="https://www.bristol.ac.uk/media-library/sites/cmm/migrated/documents/multi-br-print.pdf" TargetMode="External"/><Relationship Id="rId126" Type="http://schemas.openxmlformats.org/officeDocument/2006/relationships/hyperlink" Target="https://www.who.int/iris/handle/10665/43974" TargetMode="External"/><Relationship Id="rId147" Type="http://schemas.openxmlformats.org/officeDocument/2006/relationships/hyperlink" Target="https://doi.org/10.1371/journal.pone.0214934.g001" TargetMode="External"/><Relationship Id="rId168" Type="http://schemas.openxmlformats.org/officeDocument/2006/relationships/hyperlink" Target="http://www.plosone.org/article/fetchSingleRepresentation.action?uri=info:doi/10.1371/journal.pone.0214934.s002" TargetMode="External"/><Relationship Id="rId312" Type="http://schemas.openxmlformats.org/officeDocument/2006/relationships/hyperlink" Target="http://dx.doi.org/10.3402/gha.v6i0.20680" TargetMode="External"/><Relationship Id="rId333" Type="http://schemas.openxmlformats.org/officeDocument/2006/relationships/hyperlink" Target="https://doi.org/10.1016/s0140-6736(16)30054-x" TargetMode="External"/><Relationship Id="rId354" Type="http://schemas.openxmlformats.org/officeDocument/2006/relationships/hyperlink" Target="http://www.ncbi.nlm.nih.gov/pubmed/29867184" TargetMode="External"/><Relationship Id="rId51" Type="http://schemas.openxmlformats.org/officeDocument/2006/relationships/hyperlink" Target="https://ro.ecu.edu.au/cgi/viewcontent.cgi?referer=https://scholar.google.com/&amp;httpsredir=1&amp;article=3012&amp;context=theses" TargetMode="External"/><Relationship Id="rId72" Type="http://schemas.openxmlformats.org/officeDocument/2006/relationships/hyperlink" Target="http://ovidsp.ovid.com/ovidweb.cgi?T=JS&amp;PAGE=reference&amp;D=emed10&amp;NEWS=N&amp;AN=44661986" TargetMode="External"/><Relationship Id="rId93" Type="http://schemas.openxmlformats.org/officeDocument/2006/relationships/hyperlink" Target="https://doi.org/10.2991/j.jegh.2017.11.004" TargetMode="External"/><Relationship Id="rId189" Type="http://schemas.openxmlformats.org/officeDocument/2006/relationships/hyperlink" Target="https://doi.org/10.1016/j.brainresbull.2018.05.018" TargetMode="External"/><Relationship Id="rId375" Type="http://schemas.openxmlformats.org/officeDocument/2006/relationships/hyperlink" Target="http://orcid.org/0000-0003-0094-9833" TargetMode="External"/><Relationship Id="rId396" Type="http://schemas.openxmlformats.org/officeDocument/2006/relationships/header" Target="header13.xml"/><Relationship Id="rId3" Type="http://schemas.openxmlformats.org/officeDocument/2006/relationships/styles" Target="styles.xml"/><Relationship Id="rId214" Type="http://schemas.openxmlformats.org/officeDocument/2006/relationships/hyperlink" Target="http://www.ncbi.nlm.nih.gov/pubmed/11866648" TargetMode="External"/><Relationship Id="rId235" Type="http://schemas.openxmlformats.org/officeDocument/2006/relationships/hyperlink" Target="https://doi.org/10.1136/bmj.g7647" TargetMode="External"/><Relationship Id="rId256" Type="http://schemas.openxmlformats.org/officeDocument/2006/relationships/hyperlink" Target="http://www.ncbi.nlm.nih.gov/pubmed/106353839" TargetMode="External"/><Relationship Id="rId277" Type="http://schemas.openxmlformats.org/officeDocument/2006/relationships/hyperlink" Target="https://doi.org/10.5830/CVJA-2011-039" TargetMode="External"/><Relationship Id="rId298" Type="http://schemas.openxmlformats.org/officeDocument/2006/relationships/hyperlink" Target="http://www.ncbi.nlm.nih.gov/pubmed/28551091" TargetMode="External"/><Relationship Id="rId400" Type="http://schemas.openxmlformats.org/officeDocument/2006/relationships/footer" Target="footer14.xml"/><Relationship Id="rId116" Type="http://schemas.openxmlformats.org/officeDocument/2006/relationships/hyperlink" Target="https://population.un.org/LivingArrangements/index.html" TargetMode="External"/><Relationship Id="rId137" Type="http://schemas.openxmlformats.org/officeDocument/2006/relationships/hyperlink" Target="mailto:billybosu@gmail.com" TargetMode="External"/><Relationship Id="rId158" Type="http://schemas.openxmlformats.org/officeDocument/2006/relationships/hyperlink" Target="https://doi.org/10.1371/journal.pone.0214934.g003" TargetMode="External"/><Relationship Id="rId302" Type="http://schemas.openxmlformats.org/officeDocument/2006/relationships/hyperlink" Target="https://doi.org/10.11604/pamj.2017.27.190.11682" TargetMode="External"/><Relationship Id="rId323" Type="http://schemas.openxmlformats.org/officeDocument/2006/relationships/hyperlink" Target="https://doi.org/10.1097/HJH.0000000000000413" TargetMode="External"/><Relationship Id="rId344" Type="http://schemas.openxmlformats.org/officeDocument/2006/relationships/hyperlink" Target="http://www.ncbi.nlm.nih.gov/pubmed/21540748" TargetMode="External"/><Relationship Id="rId20" Type="http://schemas.openxmlformats.org/officeDocument/2006/relationships/diagramQuickStyle" Target="diagrams/quickStyle1.xml"/><Relationship Id="rId41" Type="http://schemas.openxmlformats.org/officeDocument/2006/relationships/image" Target="media/image16.wmf"/><Relationship Id="rId62" Type="http://schemas.openxmlformats.org/officeDocument/2006/relationships/hyperlink" Target="http://www.fao.org/fileadmin/user_upload/p2p/Documents/LEAP_Impact_Evaluation_FINAL2014march17.pdf" TargetMode="External"/><Relationship Id="rId83" Type="http://schemas.openxmlformats.org/officeDocument/2006/relationships/hyperlink" Target="https://www.iccp-portal.org/sites/default/files/plans/national_policy_for_the_prevention_and_control_of_chronic_non-communicable_diseases_in_ghana%281%29.pdf" TargetMode="External"/><Relationship Id="rId179" Type="http://schemas.openxmlformats.org/officeDocument/2006/relationships/hyperlink" Target="http://www.plosone.org/article/fetchSingleRepresentation.action?uri=info:doi/10.1371/journal.pone.0214934.s008" TargetMode="External"/><Relationship Id="rId365" Type="http://schemas.openxmlformats.org/officeDocument/2006/relationships/hyperlink" Target="http://www.ncbi.nlm.nih.gov/pubmed/23692870" TargetMode="External"/><Relationship Id="rId386" Type="http://schemas.openxmlformats.org/officeDocument/2006/relationships/footer" Target="footer8.xml"/><Relationship Id="rId190" Type="http://schemas.openxmlformats.org/officeDocument/2006/relationships/hyperlink" Target="https://doi.org/10.1016/j.brainresbull.2018.05.018" TargetMode="External"/><Relationship Id="rId204" Type="http://schemas.openxmlformats.org/officeDocument/2006/relationships/hyperlink" Target="http://www.ncbi.nlm.nih.gov/pubmed/23115090" TargetMode="External"/><Relationship Id="rId225" Type="http://schemas.openxmlformats.org/officeDocument/2006/relationships/hyperlink" Target="http://www.ncbi.nlm.nih.gov/pubmed/28978358" TargetMode="External"/><Relationship Id="rId246" Type="http://schemas.openxmlformats.org/officeDocument/2006/relationships/hyperlink" Target="https://doi.org/10.4103/1596-3519.112398" TargetMode="External"/><Relationship Id="rId267" Type="http://schemas.openxmlformats.org/officeDocument/2006/relationships/hyperlink" Target="http://www.ncbi.nlm.nih.gov/pubmed/18437546" TargetMode="External"/><Relationship Id="rId288" Type="http://schemas.openxmlformats.org/officeDocument/2006/relationships/hyperlink" Target="http://www.ncbi.nlm.nih.gov/pubmed/94480012" TargetMode="External"/><Relationship Id="rId411" Type="http://schemas.openxmlformats.org/officeDocument/2006/relationships/image" Target="media/image36.tiff"/><Relationship Id="rId106" Type="http://schemas.openxmlformats.org/officeDocument/2006/relationships/hyperlink" Target="https://sdsu-dspace.calstate.edu/bitstream/handle/10211.3/186616/Taflin_sdsu_0220N_11594.pdf?sequence=1" TargetMode="External"/><Relationship Id="rId127" Type="http://schemas.openxmlformats.org/officeDocument/2006/relationships/hyperlink" Target="http://www.who.int/iris/bitstream/10665/94384/1/9789241506236_eng.pdf?ua=1" TargetMode="External"/><Relationship Id="rId313" Type="http://schemas.openxmlformats.org/officeDocument/2006/relationships/hyperlink" Target="https://doi.org/10.1093/ije/dyt215" TargetMode="External"/><Relationship Id="rId10" Type="http://schemas.openxmlformats.org/officeDocument/2006/relationships/chart" Target="charts/chart1.xml"/><Relationship Id="rId31" Type="http://schemas.openxmlformats.org/officeDocument/2006/relationships/image" Target="media/image11.wmf"/><Relationship Id="rId52" Type="http://schemas.openxmlformats.org/officeDocument/2006/relationships/hyperlink" Target="https://www.methodology.psu.edu/files/2019/03/12-119-2e90hc6.pdf" TargetMode="External"/><Relationship Id="rId73" Type="http://schemas.openxmlformats.org/officeDocument/2006/relationships/hyperlink" Target="https://www.ghanaweb.com/GhanaHomePage/NewsArchive/Health-of-the-elderly-and-policy-implications-in-Ghana-327185" TargetMode="External"/><Relationship Id="rId94" Type="http://schemas.openxmlformats.org/officeDocument/2006/relationships/hyperlink" Target="http://dx.doi.org/10.1016/j.jagp.2014.12.005" TargetMode="External"/><Relationship Id="rId148" Type="http://schemas.openxmlformats.org/officeDocument/2006/relationships/image" Target="media/image22.png"/><Relationship Id="rId169" Type="http://schemas.openxmlformats.org/officeDocument/2006/relationships/hyperlink" Target="http://www.plosone.org/article/fetchSingleRepresentation.action?uri=info:doi/10.1371/journal.pone.0214934.s003" TargetMode="External"/><Relationship Id="rId334" Type="http://schemas.openxmlformats.org/officeDocument/2006/relationships/hyperlink" Target="https://doi.org/10.1016/s0140-6736(16)30054-x" TargetMode="External"/><Relationship Id="rId355" Type="http://schemas.openxmlformats.org/officeDocument/2006/relationships/hyperlink" Target="https://doi.org/10.1093/ajcn/84.6.1317" TargetMode="External"/><Relationship Id="rId376" Type="http://schemas.openxmlformats.org/officeDocument/2006/relationships/hyperlink" Target="https://doi.org/10.1186/s12872-019-1147-7" TargetMode="External"/><Relationship Id="rId397" Type="http://schemas.openxmlformats.org/officeDocument/2006/relationships/footer" Target="footer12.xml"/><Relationship Id="rId4" Type="http://schemas.openxmlformats.org/officeDocument/2006/relationships/settings" Target="settings.xml"/><Relationship Id="rId180" Type="http://schemas.openxmlformats.org/officeDocument/2006/relationships/hyperlink" Target="http://www.plosone.org/article/fetchSingleRepresentation.action?uri=info:doi/10.1371/journal.pone.0214934.s008" TargetMode="External"/><Relationship Id="rId215" Type="http://schemas.openxmlformats.org/officeDocument/2006/relationships/hyperlink" Target="https://doi.org/10.1007/bf03391607" TargetMode="External"/><Relationship Id="rId236" Type="http://schemas.openxmlformats.org/officeDocument/2006/relationships/hyperlink" Target="https://doi.org/10.1136/bmj.h870" TargetMode="External"/><Relationship Id="rId257" Type="http://schemas.openxmlformats.org/officeDocument/2006/relationships/hyperlink" Target="https://doi.org/10.1016/j.archger.2015.10.008" TargetMode="External"/><Relationship Id="rId278" Type="http://schemas.openxmlformats.org/officeDocument/2006/relationships/hyperlink" Target="https://doi.org/10.5830/CVJA-2011-039" TargetMode="External"/><Relationship Id="rId401" Type="http://schemas.openxmlformats.org/officeDocument/2006/relationships/hyperlink" Target="https://doi.org/10.1186/s12872-019-1147-7" TargetMode="External"/><Relationship Id="rId303" Type="http://schemas.openxmlformats.org/officeDocument/2006/relationships/hyperlink" Target="http://www.ncbi.nlm.nih.gov/pubmed/28904715" TargetMode="External"/><Relationship Id="rId42" Type="http://schemas.openxmlformats.org/officeDocument/2006/relationships/oleObject" Target="embeddings/oleObject10.bin"/><Relationship Id="rId84" Type="http://schemas.openxmlformats.org/officeDocument/2006/relationships/hyperlink" Target="https://s3.amazonaws.com/ndpc-static/CACHES/PUBLICATIONS/2016/07/15/FINAL+HSMTDP-MOH+20th+December+2014.pdf" TargetMode="External"/><Relationship Id="rId138" Type="http://schemas.openxmlformats.org/officeDocument/2006/relationships/hyperlink" Target="https://doi.org/10.1371/journal.pone.0214934" TargetMode="External"/><Relationship Id="rId345" Type="http://schemas.openxmlformats.org/officeDocument/2006/relationships/hyperlink" Target="https://doi.org/10.1016/s0140-6736(16)31919-5" TargetMode="External"/><Relationship Id="rId387" Type="http://schemas.openxmlformats.org/officeDocument/2006/relationships/header" Target="header9.xml"/><Relationship Id="rId191" Type="http://schemas.openxmlformats.org/officeDocument/2006/relationships/hyperlink" Target="http://www.ncbi.nlm.nih.gov/pubmed/29807146" TargetMode="External"/><Relationship Id="rId205" Type="http://schemas.openxmlformats.org/officeDocument/2006/relationships/hyperlink" Target="https://doi.org/10.1097/HJH.0000000000000165" TargetMode="External"/><Relationship Id="rId247" Type="http://schemas.openxmlformats.org/officeDocument/2006/relationships/hyperlink" Target="http://www.ncbi.nlm.nih.gov/pubmed/23713015" TargetMode="External"/><Relationship Id="rId412" Type="http://schemas.openxmlformats.org/officeDocument/2006/relationships/image" Target="media/image37.png"/><Relationship Id="rId107" Type="http://schemas.openxmlformats.org/officeDocument/2006/relationships/hyperlink" Target="https://sdsu-dspace.calstate.edu/bitstream/handle/10211.3/186616/Taflin_sdsu_0220N_11594.pdf?sequence=1" TargetMode="External"/><Relationship Id="rId289" Type="http://schemas.openxmlformats.org/officeDocument/2006/relationships/hyperlink" Target="https://doi.org/10.1186/s40608-016-0139-8" TargetMode="External"/><Relationship Id="rId11" Type="http://schemas.openxmlformats.org/officeDocument/2006/relationships/chart" Target="charts/chart2.xml"/><Relationship Id="rId53" Type="http://schemas.openxmlformats.org/officeDocument/2006/relationships/hyperlink" Target="http://search.ebscohost.com/login.aspx?direct=true&amp;db=ccm&amp;AN=106353839&amp;site=ehost-live&amp;authtype=ip,shib&amp;user=s1523151" TargetMode="External"/><Relationship Id="rId149" Type="http://schemas.openxmlformats.org/officeDocument/2006/relationships/image" Target="media/image23.png"/><Relationship Id="rId314" Type="http://schemas.openxmlformats.org/officeDocument/2006/relationships/hyperlink" Target="http://www.ncbi.nlm.nih.gov/pubmed/24505082" TargetMode="External"/><Relationship Id="rId356" Type="http://schemas.openxmlformats.org/officeDocument/2006/relationships/hyperlink" Target="http://www.ncbi.nlm.nih.gov/pubmed/17158411" TargetMode="External"/><Relationship Id="rId398" Type="http://schemas.openxmlformats.org/officeDocument/2006/relationships/footer" Target="footer13.xml"/><Relationship Id="rId95" Type="http://schemas.openxmlformats.org/officeDocument/2006/relationships/hyperlink" Target="https://www.peacefmonline.com/pages/local/health/202007/420626.php" TargetMode="External"/><Relationship Id="rId160" Type="http://schemas.openxmlformats.org/officeDocument/2006/relationships/image" Target="media/image32.jpeg"/><Relationship Id="rId216" Type="http://schemas.openxmlformats.org/officeDocument/2006/relationships/hyperlink" Target="https://doi.org/10.1007/bf03391607"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nimh.nih.gov/health/statistics/global/what-are-ylds.s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BILLY\Documents\Population\Data\PercTotPop-2020060711541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BILLY\Documents\Population\Urban\AnnualPercentagePopMidYearUrbanAreas-2020060901294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5603674540683"/>
          <c:y val="5.0925925925925923E-2"/>
          <c:w val="0.82498840769903758"/>
          <c:h val="0.73577136191309422"/>
        </c:manualLayout>
      </c:layout>
      <c:lineChart>
        <c:grouping val="standard"/>
        <c:varyColors val="0"/>
        <c:ser>
          <c:idx val="0"/>
          <c:order val="0"/>
          <c:tx>
            <c:strRef>
              <c:f>Data!$B$30</c:f>
              <c:strCache>
                <c:ptCount val="1"/>
                <c:pt idx="0">
                  <c:v>Africa</c:v>
                </c:pt>
              </c:strCache>
            </c:strRef>
          </c:tx>
          <c:spPr>
            <a:ln w="28575" cap="sq">
              <a:solidFill>
                <a:schemeClr val="accent1"/>
              </a:solidFill>
              <a:prstDash val="sysDash"/>
              <a:round/>
            </a:ln>
            <a:effectLst/>
          </c:spPr>
          <c:marker>
            <c:symbol val="circle"/>
            <c:size val="5"/>
            <c:spPr>
              <a:solidFill>
                <a:schemeClr val="accent1"/>
              </a:solidFill>
              <a:ln w="9525">
                <a:solidFill>
                  <a:schemeClr val="accent1"/>
                </a:solidFill>
              </a:ln>
              <a:effectLst/>
            </c:spPr>
          </c:marker>
          <c:cat>
            <c:numRef>
              <c:f>Data!$F$29:$U$29</c:f>
              <c:numCache>
                <c:formatCode>General</c:formatCode>
                <c:ptCount val="16"/>
                <c:pt idx="0">
                  <c:v>1950</c:v>
                </c:pt>
                <c:pt idx="1">
                  <c:v>1960</c:v>
                </c:pt>
                <c:pt idx="2">
                  <c:v>1970</c:v>
                </c:pt>
                <c:pt idx="3">
                  <c:v>1980</c:v>
                </c:pt>
                <c:pt idx="4">
                  <c:v>1990</c:v>
                </c:pt>
                <c:pt idx="5">
                  <c:v>2000</c:v>
                </c:pt>
                <c:pt idx="6">
                  <c:v>2010</c:v>
                </c:pt>
                <c:pt idx="7">
                  <c:v>2020</c:v>
                </c:pt>
                <c:pt idx="8">
                  <c:v>2030</c:v>
                </c:pt>
                <c:pt idx="9">
                  <c:v>2040</c:v>
                </c:pt>
                <c:pt idx="10">
                  <c:v>2050</c:v>
                </c:pt>
                <c:pt idx="11">
                  <c:v>2060</c:v>
                </c:pt>
                <c:pt idx="12">
                  <c:v>2070</c:v>
                </c:pt>
                <c:pt idx="13">
                  <c:v>2080</c:v>
                </c:pt>
                <c:pt idx="14">
                  <c:v>2090</c:v>
                </c:pt>
                <c:pt idx="15">
                  <c:v>2100</c:v>
                </c:pt>
              </c:numCache>
            </c:numRef>
          </c:cat>
          <c:val>
            <c:numRef>
              <c:f>Data!$F$30:$U$30</c:f>
              <c:numCache>
                <c:formatCode>0.0</c:formatCode>
                <c:ptCount val="16"/>
                <c:pt idx="0">
                  <c:v>5.3</c:v>
                </c:pt>
                <c:pt idx="1">
                  <c:v>5.2</c:v>
                </c:pt>
                <c:pt idx="2">
                  <c:v>5.2</c:v>
                </c:pt>
                <c:pt idx="3">
                  <c:v>5.0999999999999996</c:v>
                </c:pt>
                <c:pt idx="4">
                  <c:v>5.0999999999999996</c:v>
                </c:pt>
                <c:pt idx="5">
                  <c:v>5.2</c:v>
                </c:pt>
                <c:pt idx="6">
                  <c:v>5.0999999999999996</c:v>
                </c:pt>
                <c:pt idx="7">
                  <c:v>5.5</c:v>
                </c:pt>
                <c:pt idx="8">
                  <c:v>6.2</c:v>
                </c:pt>
                <c:pt idx="9">
                  <c:v>7.2</c:v>
                </c:pt>
                <c:pt idx="10">
                  <c:v>8.6999999999999993</c:v>
                </c:pt>
                <c:pt idx="11">
                  <c:v>10.199999999999999</c:v>
                </c:pt>
                <c:pt idx="12">
                  <c:v>12.1</c:v>
                </c:pt>
                <c:pt idx="13">
                  <c:v>14.4</c:v>
                </c:pt>
                <c:pt idx="14">
                  <c:v>16.7</c:v>
                </c:pt>
                <c:pt idx="15">
                  <c:v>18.899999999999999</c:v>
                </c:pt>
              </c:numCache>
            </c:numRef>
          </c:val>
          <c:smooth val="0"/>
          <c:extLst>
            <c:ext xmlns:c16="http://schemas.microsoft.com/office/drawing/2014/chart" uri="{C3380CC4-5D6E-409C-BE32-E72D297353CC}">
              <c16:uniqueId val="{00000000-29AE-4B32-8A6F-F030AA2F15DE}"/>
            </c:ext>
          </c:extLst>
        </c:ser>
        <c:ser>
          <c:idx val="1"/>
          <c:order val="1"/>
          <c:tx>
            <c:strRef>
              <c:f>Data!$B$31</c:f>
              <c:strCache>
                <c:ptCount val="1"/>
                <c:pt idx="0">
                  <c:v>Western Africa</c:v>
                </c:pt>
              </c:strCache>
            </c:strRef>
          </c:tx>
          <c:spPr>
            <a:ln w="28575" cap="sq">
              <a:solidFill>
                <a:schemeClr val="accent2"/>
              </a:solidFill>
              <a:prstDash val="lgDash"/>
              <a:miter lim="800000"/>
            </a:ln>
            <a:effectLst/>
          </c:spPr>
          <c:marker>
            <c:symbol val="circle"/>
            <c:size val="5"/>
            <c:spPr>
              <a:solidFill>
                <a:schemeClr val="accent2"/>
              </a:solidFill>
              <a:ln w="9525">
                <a:solidFill>
                  <a:schemeClr val="accent2"/>
                </a:solidFill>
              </a:ln>
              <a:effectLst/>
            </c:spPr>
          </c:marker>
          <c:cat>
            <c:numRef>
              <c:f>Data!$F$29:$U$29</c:f>
              <c:numCache>
                <c:formatCode>General</c:formatCode>
                <c:ptCount val="16"/>
                <c:pt idx="0">
                  <c:v>1950</c:v>
                </c:pt>
                <c:pt idx="1">
                  <c:v>1960</c:v>
                </c:pt>
                <c:pt idx="2">
                  <c:v>1970</c:v>
                </c:pt>
                <c:pt idx="3">
                  <c:v>1980</c:v>
                </c:pt>
                <c:pt idx="4">
                  <c:v>1990</c:v>
                </c:pt>
                <c:pt idx="5">
                  <c:v>2000</c:v>
                </c:pt>
                <c:pt idx="6">
                  <c:v>2010</c:v>
                </c:pt>
                <c:pt idx="7">
                  <c:v>2020</c:v>
                </c:pt>
                <c:pt idx="8">
                  <c:v>2030</c:v>
                </c:pt>
                <c:pt idx="9">
                  <c:v>2040</c:v>
                </c:pt>
                <c:pt idx="10">
                  <c:v>2050</c:v>
                </c:pt>
                <c:pt idx="11">
                  <c:v>2060</c:v>
                </c:pt>
                <c:pt idx="12">
                  <c:v>2070</c:v>
                </c:pt>
                <c:pt idx="13">
                  <c:v>2080</c:v>
                </c:pt>
                <c:pt idx="14">
                  <c:v>2090</c:v>
                </c:pt>
                <c:pt idx="15">
                  <c:v>2100</c:v>
                </c:pt>
              </c:numCache>
            </c:numRef>
          </c:cat>
          <c:val>
            <c:numRef>
              <c:f>Data!$F$31:$U$31</c:f>
              <c:numCache>
                <c:formatCode>0.0</c:formatCode>
                <c:ptCount val="16"/>
                <c:pt idx="0">
                  <c:v>5.0999999999999996</c:v>
                </c:pt>
                <c:pt idx="1">
                  <c:v>4.8</c:v>
                </c:pt>
                <c:pt idx="2">
                  <c:v>4.8</c:v>
                </c:pt>
                <c:pt idx="3">
                  <c:v>4.8</c:v>
                </c:pt>
                <c:pt idx="4">
                  <c:v>4.9000000000000004</c:v>
                </c:pt>
                <c:pt idx="5">
                  <c:v>4.7</c:v>
                </c:pt>
                <c:pt idx="6">
                  <c:v>4.5</c:v>
                </c:pt>
                <c:pt idx="7">
                  <c:v>4.5999999999999996</c:v>
                </c:pt>
                <c:pt idx="8">
                  <c:v>4.9000000000000004</c:v>
                </c:pt>
                <c:pt idx="9">
                  <c:v>5.7</c:v>
                </c:pt>
                <c:pt idx="10">
                  <c:v>6.6</c:v>
                </c:pt>
                <c:pt idx="11">
                  <c:v>7.8</c:v>
                </c:pt>
                <c:pt idx="12">
                  <c:v>9.5</c:v>
                </c:pt>
                <c:pt idx="13">
                  <c:v>11.5</c:v>
                </c:pt>
                <c:pt idx="14">
                  <c:v>13.6</c:v>
                </c:pt>
                <c:pt idx="15">
                  <c:v>15.7</c:v>
                </c:pt>
              </c:numCache>
            </c:numRef>
          </c:val>
          <c:smooth val="0"/>
          <c:extLst>
            <c:ext xmlns:c16="http://schemas.microsoft.com/office/drawing/2014/chart" uri="{C3380CC4-5D6E-409C-BE32-E72D297353CC}">
              <c16:uniqueId val="{00000001-29AE-4B32-8A6F-F030AA2F15DE}"/>
            </c:ext>
          </c:extLst>
        </c:ser>
        <c:ser>
          <c:idx val="2"/>
          <c:order val="2"/>
          <c:tx>
            <c:strRef>
              <c:f>Data!$B$32</c:f>
              <c:strCache>
                <c:ptCount val="1"/>
                <c:pt idx="0">
                  <c:v>Ghana</c:v>
                </c:pt>
              </c:strCache>
            </c:strRef>
          </c:tx>
          <c:spPr>
            <a:ln w="31750" cap="rnd">
              <a:solidFill>
                <a:schemeClr val="tx1"/>
              </a:solidFill>
              <a:prstDash val="solid"/>
              <a:round/>
            </a:ln>
            <a:effectLst/>
          </c:spPr>
          <c:marker>
            <c:symbol val="circle"/>
            <c:size val="5"/>
            <c:spPr>
              <a:solidFill>
                <a:schemeClr val="accent3"/>
              </a:solidFill>
              <a:ln w="9525">
                <a:solidFill>
                  <a:schemeClr val="accent3"/>
                </a:solidFill>
                <a:prstDash val="sysDash"/>
              </a:ln>
              <a:effectLst/>
            </c:spPr>
          </c:marker>
          <c:cat>
            <c:numRef>
              <c:f>Data!$F$29:$U$29</c:f>
              <c:numCache>
                <c:formatCode>General</c:formatCode>
                <c:ptCount val="16"/>
                <c:pt idx="0">
                  <c:v>1950</c:v>
                </c:pt>
                <c:pt idx="1">
                  <c:v>1960</c:v>
                </c:pt>
                <c:pt idx="2">
                  <c:v>1970</c:v>
                </c:pt>
                <c:pt idx="3">
                  <c:v>1980</c:v>
                </c:pt>
                <c:pt idx="4">
                  <c:v>1990</c:v>
                </c:pt>
                <c:pt idx="5">
                  <c:v>2000</c:v>
                </c:pt>
                <c:pt idx="6">
                  <c:v>2010</c:v>
                </c:pt>
                <c:pt idx="7">
                  <c:v>2020</c:v>
                </c:pt>
                <c:pt idx="8">
                  <c:v>2030</c:v>
                </c:pt>
                <c:pt idx="9">
                  <c:v>2040</c:v>
                </c:pt>
                <c:pt idx="10">
                  <c:v>2050</c:v>
                </c:pt>
                <c:pt idx="11">
                  <c:v>2060</c:v>
                </c:pt>
                <c:pt idx="12">
                  <c:v>2070</c:v>
                </c:pt>
                <c:pt idx="13">
                  <c:v>2080</c:v>
                </c:pt>
                <c:pt idx="14">
                  <c:v>2090</c:v>
                </c:pt>
                <c:pt idx="15">
                  <c:v>2100</c:v>
                </c:pt>
              </c:numCache>
            </c:numRef>
          </c:cat>
          <c:val>
            <c:numRef>
              <c:f>Data!$F$32:$U$32</c:f>
              <c:numCache>
                <c:formatCode>0.0</c:formatCode>
                <c:ptCount val="16"/>
                <c:pt idx="0">
                  <c:v>4.0999999999999996</c:v>
                </c:pt>
                <c:pt idx="1">
                  <c:v>4</c:v>
                </c:pt>
                <c:pt idx="2">
                  <c:v>4.2</c:v>
                </c:pt>
                <c:pt idx="3">
                  <c:v>4.4000000000000004</c:v>
                </c:pt>
                <c:pt idx="4">
                  <c:v>4.5999999999999996</c:v>
                </c:pt>
                <c:pt idx="5">
                  <c:v>4.5</c:v>
                </c:pt>
                <c:pt idx="6">
                  <c:v>4.5999999999999996</c:v>
                </c:pt>
                <c:pt idx="7">
                  <c:v>5.3</c:v>
                </c:pt>
                <c:pt idx="8">
                  <c:v>6.9</c:v>
                </c:pt>
                <c:pt idx="9">
                  <c:v>8.4</c:v>
                </c:pt>
                <c:pt idx="10">
                  <c:v>9.9</c:v>
                </c:pt>
                <c:pt idx="11">
                  <c:v>11.6</c:v>
                </c:pt>
                <c:pt idx="12">
                  <c:v>13.5</c:v>
                </c:pt>
                <c:pt idx="13">
                  <c:v>15.7</c:v>
                </c:pt>
                <c:pt idx="14">
                  <c:v>17.899999999999999</c:v>
                </c:pt>
                <c:pt idx="15">
                  <c:v>20.100000000000001</c:v>
                </c:pt>
              </c:numCache>
            </c:numRef>
          </c:val>
          <c:smooth val="0"/>
          <c:extLst>
            <c:ext xmlns:c16="http://schemas.microsoft.com/office/drawing/2014/chart" uri="{C3380CC4-5D6E-409C-BE32-E72D297353CC}">
              <c16:uniqueId val="{00000002-29AE-4B32-8A6F-F030AA2F15DE}"/>
            </c:ext>
          </c:extLst>
        </c:ser>
        <c:dLbls>
          <c:showLegendKey val="0"/>
          <c:showVal val="0"/>
          <c:showCatName val="0"/>
          <c:showSerName val="0"/>
          <c:showPercent val="0"/>
          <c:showBubbleSize val="0"/>
        </c:dLbls>
        <c:marker val="1"/>
        <c:smooth val="0"/>
        <c:axId val="601955120"/>
        <c:axId val="601959056"/>
      </c:lineChart>
      <c:catAx>
        <c:axId val="601955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01959056"/>
        <c:crosses val="autoZero"/>
        <c:auto val="1"/>
        <c:lblAlgn val="ctr"/>
        <c:lblOffset val="100"/>
        <c:tickLblSkip val="2"/>
        <c:noMultiLvlLbl val="0"/>
      </c:catAx>
      <c:valAx>
        <c:axId val="601959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 cent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01955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Data!$B$4</c:f>
              <c:strCache>
                <c:ptCount val="1"/>
                <c:pt idx="0">
                  <c:v>Africa</c:v>
                </c:pt>
              </c:strCache>
            </c:strRef>
          </c:tx>
          <c:spPr>
            <a:ln w="28575" cap="rnd">
              <a:solidFill>
                <a:schemeClr val="accent1"/>
              </a:solidFill>
              <a:prstDash val="sysDash"/>
              <a:round/>
            </a:ln>
            <a:effectLst/>
          </c:spPr>
          <c:marker>
            <c:symbol val="circle"/>
            <c:size val="5"/>
            <c:spPr>
              <a:solidFill>
                <a:schemeClr val="accent1"/>
              </a:solidFill>
              <a:ln w="9525">
                <a:solidFill>
                  <a:schemeClr val="accent1"/>
                </a:solidFill>
              </a:ln>
              <a:effectLst/>
            </c:spPr>
          </c:marker>
          <c:cat>
            <c:numRef>
              <c:f>Data!$C$2:$M$2</c:f>
              <c:numCache>
                <c:formatCode>General</c:formatCode>
                <c:ptCount val="11"/>
                <c:pt idx="0">
                  <c:v>1950</c:v>
                </c:pt>
                <c:pt idx="1">
                  <c:v>1960</c:v>
                </c:pt>
                <c:pt idx="2">
                  <c:v>1970</c:v>
                </c:pt>
                <c:pt idx="3">
                  <c:v>1980</c:v>
                </c:pt>
                <c:pt idx="4">
                  <c:v>1990</c:v>
                </c:pt>
                <c:pt idx="5">
                  <c:v>2000</c:v>
                </c:pt>
                <c:pt idx="6">
                  <c:v>2010</c:v>
                </c:pt>
                <c:pt idx="7">
                  <c:v>2020</c:v>
                </c:pt>
                <c:pt idx="8">
                  <c:v>2030</c:v>
                </c:pt>
                <c:pt idx="9">
                  <c:v>2040</c:v>
                </c:pt>
                <c:pt idx="10">
                  <c:v>2050</c:v>
                </c:pt>
              </c:numCache>
            </c:numRef>
          </c:cat>
          <c:val>
            <c:numRef>
              <c:f>Data!$C$4:$M$4</c:f>
              <c:numCache>
                <c:formatCode>0.0</c:formatCode>
                <c:ptCount val="11"/>
                <c:pt idx="0">
                  <c:v>14.3</c:v>
                </c:pt>
                <c:pt idx="1">
                  <c:v>18.600000000000001</c:v>
                </c:pt>
                <c:pt idx="2">
                  <c:v>22.6</c:v>
                </c:pt>
                <c:pt idx="3">
                  <c:v>26.8</c:v>
                </c:pt>
                <c:pt idx="4">
                  <c:v>31.5</c:v>
                </c:pt>
                <c:pt idx="5">
                  <c:v>35</c:v>
                </c:pt>
                <c:pt idx="6">
                  <c:v>38.9</c:v>
                </c:pt>
                <c:pt idx="7">
                  <c:v>43.5</c:v>
                </c:pt>
                <c:pt idx="8">
                  <c:v>48.4</c:v>
                </c:pt>
                <c:pt idx="9">
                  <c:v>53.6</c:v>
                </c:pt>
                <c:pt idx="10">
                  <c:v>58.9</c:v>
                </c:pt>
              </c:numCache>
            </c:numRef>
          </c:val>
          <c:smooth val="0"/>
          <c:extLst>
            <c:ext xmlns:c16="http://schemas.microsoft.com/office/drawing/2014/chart" uri="{C3380CC4-5D6E-409C-BE32-E72D297353CC}">
              <c16:uniqueId val="{00000000-9BDA-4C13-AF16-6179C80B05CA}"/>
            </c:ext>
          </c:extLst>
        </c:ser>
        <c:ser>
          <c:idx val="1"/>
          <c:order val="1"/>
          <c:tx>
            <c:strRef>
              <c:f>Data!$B$5</c:f>
              <c:strCache>
                <c:ptCount val="1"/>
                <c:pt idx="0">
                  <c:v>Western Africa</c:v>
                </c:pt>
              </c:strCache>
            </c:strRef>
          </c:tx>
          <c:spPr>
            <a:ln w="28575" cap="rnd">
              <a:solidFill>
                <a:schemeClr val="accent2"/>
              </a:solidFill>
              <a:prstDash val="lgDashDotDot"/>
              <a:round/>
            </a:ln>
            <a:effectLst/>
          </c:spPr>
          <c:marker>
            <c:symbol val="circle"/>
            <c:size val="5"/>
            <c:spPr>
              <a:solidFill>
                <a:schemeClr val="accent2"/>
              </a:solidFill>
              <a:ln w="9525">
                <a:solidFill>
                  <a:schemeClr val="accent2"/>
                </a:solidFill>
              </a:ln>
              <a:effectLst/>
            </c:spPr>
          </c:marker>
          <c:cat>
            <c:numRef>
              <c:f>Data!$C$2:$M$2</c:f>
              <c:numCache>
                <c:formatCode>General</c:formatCode>
                <c:ptCount val="11"/>
                <c:pt idx="0">
                  <c:v>1950</c:v>
                </c:pt>
                <c:pt idx="1">
                  <c:v>1960</c:v>
                </c:pt>
                <c:pt idx="2">
                  <c:v>1970</c:v>
                </c:pt>
                <c:pt idx="3">
                  <c:v>1980</c:v>
                </c:pt>
                <c:pt idx="4">
                  <c:v>1990</c:v>
                </c:pt>
                <c:pt idx="5">
                  <c:v>2000</c:v>
                </c:pt>
                <c:pt idx="6">
                  <c:v>2010</c:v>
                </c:pt>
                <c:pt idx="7">
                  <c:v>2020</c:v>
                </c:pt>
                <c:pt idx="8">
                  <c:v>2030</c:v>
                </c:pt>
                <c:pt idx="9">
                  <c:v>2040</c:v>
                </c:pt>
                <c:pt idx="10">
                  <c:v>2050</c:v>
                </c:pt>
              </c:numCache>
            </c:numRef>
          </c:cat>
          <c:val>
            <c:numRef>
              <c:f>Data!$C$5:$M$5</c:f>
              <c:numCache>
                <c:formatCode>0.0</c:formatCode>
                <c:ptCount val="11"/>
                <c:pt idx="0">
                  <c:v>9.3000000000000007</c:v>
                </c:pt>
                <c:pt idx="1">
                  <c:v>14.6</c:v>
                </c:pt>
                <c:pt idx="2">
                  <c:v>18.7</c:v>
                </c:pt>
                <c:pt idx="3">
                  <c:v>23.6</c:v>
                </c:pt>
                <c:pt idx="4">
                  <c:v>30.2</c:v>
                </c:pt>
                <c:pt idx="5">
                  <c:v>34.5</c:v>
                </c:pt>
                <c:pt idx="6">
                  <c:v>41.1</c:v>
                </c:pt>
                <c:pt idx="7">
                  <c:v>47.7</c:v>
                </c:pt>
                <c:pt idx="8">
                  <c:v>53.6</c:v>
                </c:pt>
                <c:pt idx="9">
                  <c:v>58.9</c:v>
                </c:pt>
                <c:pt idx="10">
                  <c:v>63.8</c:v>
                </c:pt>
              </c:numCache>
            </c:numRef>
          </c:val>
          <c:smooth val="0"/>
          <c:extLst>
            <c:ext xmlns:c16="http://schemas.microsoft.com/office/drawing/2014/chart" uri="{C3380CC4-5D6E-409C-BE32-E72D297353CC}">
              <c16:uniqueId val="{00000001-9BDA-4C13-AF16-6179C80B05CA}"/>
            </c:ext>
          </c:extLst>
        </c:ser>
        <c:ser>
          <c:idx val="2"/>
          <c:order val="2"/>
          <c:tx>
            <c:strRef>
              <c:f>Data!$B$6</c:f>
              <c:strCache>
                <c:ptCount val="1"/>
                <c:pt idx="0">
                  <c:v>Ghana</c:v>
                </c:pt>
              </c:strCache>
            </c:strRef>
          </c:tx>
          <c:spPr>
            <a:ln w="31750" cap="rnd">
              <a:solidFill>
                <a:schemeClr val="tx1"/>
              </a:solidFill>
              <a:round/>
            </a:ln>
            <a:effectLst/>
          </c:spPr>
          <c:marker>
            <c:symbol val="circle"/>
            <c:size val="5"/>
            <c:spPr>
              <a:solidFill>
                <a:schemeClr val="accent3"/>
              </a:solidFill>
              <a:ln w="9525">
                <a:solidFill>
                  <a:schemeClr val="accent3"/>
                </a:solidFill>
              </a:ln>
              <a:effectLst/>
            </c:spPr>
          </c:marker>
          <c:cat>
            <c:numRef>
              <c:f>Data!$C$2:$M$2</c:f>
              <c:numCache>
                <c:formatCode>General</c:formatCode>
                <c:ptCount val="11"/>
                <c:pt idx="0">
                  <c:v>1950</c:v>
                </c:pt>
                <c:pt idx="1">
                  <c:v>1960</c:v>
                </c:pt>
                <c:pt idx="2">
                  <c:v>1970</c:v>
                </c:pt>
                <c:pt idx="3">
                  <c:v>1980</c:v>
                </c:pt>
                <c:pt idx="4">
                  <c:v>1990</c:v>
                </c:pt>
                <c:pt idx="5">
                  <c:v>2000</c:v>
                </c:pt>
                <c:pt idx="6">
                  <c:v>2010</c:v>
                </c:pt>
                <c:pt idx="7">
                  <c:v>2020</c:v>
                </c:pt>
                <c:pt idx="8">
                  <c:v>2030</c:v>
                </c:pt>
                <c:pt idx="9">
                  <c:v>2040</c:v>
                </c:pt>
                <c:pt idx="10">
                  <c:v>2050</c:v>
                </c:pt>
              </c:numCache>
            </c:numRef>
          </c:cat>
          <c:val>
            <c:numRef>
              <c:f>Data!$C$6:$M$6</c:f>
              <c:numCache>
                <c:formatCode>0.0</c:formatCode>
                <c:ptCount val="11"/>
                <c:pt idx="0">
                  <c:v>15.4</c:v>
                </c:pt>
                <c:pt idx="1">
                  <c:v>23.3</c:v>
                </c:pt>
                <c:pt idx="2">
                  <c:v>29</c:v>
                </c:pt>
                <c:pt idx="3">
                  <c:v>31.2</c:v>
                </c:pt>
                <c:pt idx="4">
                  <c:v>36.4</c:v>
                </c:pt>
                <c:pt idx="5">
                  <c:v>43.9</c:v>
                </c:pt>
                <c:pt idx="6">
                  <c:v>50.7</c:v>
                </c:pt>
                <c:pt idx="7">
                  <c:v>57.3</c:v>
                </c:pt>
                <c:pt idx="8">
                  <c:v>63.4</c:v>
                </c:pt>
                <c:pt idx="9">
                  <c:v>68.599999999999994</c:v>
                </c:pt>
                <c:pt idx="10">
                  <c:v>73.2</c:v>
                </c:pt>
              </c:numCache>
            </c:numRef>
          </c:val>
          <c:smooth val="0"/>
          <c:extLst>
            <c:ext xmlns:c16="http://schemas.microsoft.com/office/drawing/2014/chart" uri="{C3380CC4-5D6E-409C-BE32-E72D297353CC}">
              <c16:uniqueId val="{00000002-9BDA-4C13-AF16-6179C80B05CA}"/>
            </c:ext>
          </c:extLst>
        </c:ser>
        <c:dLbls>
          <c:showLegendKey val="0"/>
          <c:showVal val="0"/>
          <c:showCatName val="0"/>
          <c:showSerName val="0"/>
          <c:showPercent val="0"/>
          <c:showBubbleSize val="0"/>
        </c:dLbls>
        <c:marker val="1"/>
        <c:smooth val="0"/>
        <c:axId val="222954720"/>
        <c:axId val="51699920"/>
      </c:lineChart>
      <c:catAx>
        <c:axId val="22295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1699920"/>
        <c:crosses val="autoZero"/>
        <c:auto val="1"/>
        <c:lblAlgn val="ctr"/>
        <c:lblOffset val="100"/>
        <c:noMultiLvlLbl val="0"/>
      </c:catAx>
      <c:valAx>
        <c:axId val="51699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 cent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22954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366242A-0759-4969-B846-CA3914829EDB}" type="doc">
      <dgm:prSet loTypeId="urn:microsoft.com/office/officeart/2009/3/layout/HorizontalOrganizationChart" loCatId="hierarchy" qsTypeId="urn:microsoft.com/office/officeart/2005/8/quickstyle/simple4" qsCatId="simple" csTypeId="urn:microsoft.com/office/officeart/2005/8/colors/accent0_1" csCatId="mainScheme" phldr="1"/>
      <dgm:spPr/>
      <dgm:t>
        <a:bodyPr/>
        <a:lstStyle/>
        <a:p>
          <a:endParaRPr lang="en-US"/>
        </a:p>
      </dgm:t>
    </dgm:pt>
    <dgm:pt modelId="{2FEF2FE9-699F-4CFF-A63A-EAB050C64AC2}">
      <dgm:prSet phldrT="[Text]" custT="1"/>
      <dgm:spPr/>
      <dgm:t>
        <a:bodyPr/>
        <a:lstStyle/>
        <a:p>
          <a:r>
            <a:rPr lang="en-US" sz="1000"/>
            <a:t>Ghana</a:t>
          </a:r>
        </a:p>
      </dgm:t>
    </dgm:pt>
    <dgm:pt modelId="{7F2ADCCB-88F6-49E2-B1A2-198E7F6F0BB9}" type="parTrans" cxnId="{F4137F54-1EEF-4702-821F-00CC6589FB00}">
      <dgm:prSet/>
      <dgm:spPr/>
      <dgm:t>
        <a:bodyPr/>
        <a:lstStyle/>
        <a:p>
          <a:endParaRPr lang="en-US"/>
        </a:p>
      </dgm:t>
    </dgm:pt>
    <dgm:pt modelId="{5F50F340-CF23-43E6-A69A-DBC145856616}" type="sibTrans" cxnId="{F4137F54-1EEF-4702-821F-00CC6589FB00}">
      <dgm:prSet/>
      <dgm:spPr/>
      <dgm:t>
        <a:bodyPr/>
        <a:lstStyle/>
        <a:p>
          <a:endParaRPr lang="en-US"/>
        </a:p>
      </dgm:t>
    </dgm:pt>
    <dgm:pt modelId="{F931A749-10AD-4580-8ED3-0F62EADA7A75}">
      <dgm:prSet phldrT="[Text]" custT="1"/>
      <dgm:spPr/>
      <dgm:t>
        <a:bodyPr/>
        <a:lstStyle/>
        <a:p>
          <a:r>
            <a:rPr lang="en-US" sz="1000"/>
            <a:t>Region 1</a:t>
          </a:r>
        </a:p>
      </dgm:t>
    </dgm:pt>
    <dgm:pt modelId="{D0FCBBF6-FA26-4E87-96D4-D498FCCBCA40}" type="parTrans" cxnId="{A83DC0F1-A470-4E0A-AEC2-786BBA6BB01E}">
      <dgm:prSet/>
      <dgm:spPr/>
      <dgm:t>
        <a:bodyPr/>
        <a:lstStyle/>
        <a:p>
          <a:endParaRPr lang="en-US"/>
        </a:p>
      </dgm:t>
    </dgm:pt>
    <dgm:pt modelId="{991B82C3-CEFA-44DA-8F2C-9BD54E8D5255}" type="sibTrans" cxnId="{A83DC0F1-A470-4E0A-AEC2-786BBA6BB01E}">
      <dgm:prSet/>
      <dgm:spPr/>
      <dgm:t>
        <a:bodyPr/>
        <a:lstStyle/>
        <a:p>
          <a:endParaRPr lang="en-US"/>
        </a:p>
      </dgm:t>
    </dgm:pt>
    <dgm:pt modelId="{8285D7F8-93AB-4E84-823C-4BA10AF8F079}">
      <dgm:prSet phldrT="[Text]" custT="1"/>
      <dgm:spPr/>
      <dgm:t>
        <a:bodyPr/>
        <a:lstStyle/>
        <a:p>
          <a:r>
            <a:rPr lang="en-US" sz="1000"/>
            <a:t>Region 2</a:t>
          </a:r>
        </a:p>
      </dgm:t>
    </dgm:pt>
    <dgm:pt modelId="{48DBCC8E-2A39-4283-A375-2D8C40F4C459}" type="parTrans" cxnId="{41A0070C-A953-4E91-B44B-DB7A34262E00}">
      <dgm:prSet/>
      <dgm:spPr/>
      <dgm:t>
        <a:bodyPr/>
        <a:lstStyle/>
        <a:p>
          <a:endParaRPr lang="en-US"/>
        </a:p>
      </dgm:t>
    </dgm:pt>
    <dgm:pt modelId="{CE3F5752-B4A2-4500-8168-A92CAD70ECDD}" type="sibTrans" cxnId="{41A0070C-A953-4E91-B44B-DB7A34262E00}">
      <dgm:prSet/>
      <dgm:spPr/>
      <dgm:t>
        <a:bodyPr/>
        <a:lstStyle/>
        <a:p>
          <a:endParaRPr lang="en-US"/>
        </a:p>
      </dgm:t>
    </dgm:pt>
    <dgm:pt modelId="{55A383DB-D359-4BC9-B8D7-3024965D947D}">
      <dgm:prSet phldrT="[Text]" custT="1"/>
      <dgm:spPr/>
      <dgm:t>
        <a:bodyPr/>
        <a:lstStyle/>
        <a:p>
          <a:r>
            <a:rPr lang="en-US" sz="1000"/>
            <a:t>Region 10</a:t>
          </a:r>
        </a:p>
      </dgm:t>
    </dgm:pt>
    <dgm:pt modelId="{282C920D-CC59-4F73-9E45-E9719983515C}" type="parTrans" cxnId="{8FFDBB34-4859-4CAF-BB03-94794F3E2DB6}">
      <dgm:prSet/>
      <dgm:spPr/>
      <dgm:t>
        <a:bodyPr/>
        <a:lstStyle/>
        <a:p>
          <a:endParaRPr lang="en-US"/>
        </a:p>
      </dgm:t>
    </dgm:pt>
    <dgm:pt modelId="{B9552EDE-F649-4D54-BD26-728506FD8945}" type="sibTrans" cxnId="{8FFDBB34-4859-4CAF-BB03-94794F3E2DB6}">
      <dgm:prSet/>
      <dgm:spPr/>
      <dgm:t>
        <a:bodyPr/>
        <a:lstStyle/>
        <a:p>
          <a:endParaRPr lang="en-US"/>
        </a:p>
      </dgm:t>
    </dgm:pt>
    <dgm:pt modelId="{6D6922CD-6FD0-45F8-B49E-0FAA69C7A4DB}">
      <dgm:prSet custT="1"/>
      <dgm:spPr/>
      <dgm:t>
        <a:bodyPr/>
        <a:lstStyle/>
        <a:p>
          <a:r>
            <a:rPr lang="en-US" sz="1000"/>
            <a:t>Urban (Stratum 3)</a:t>
          </a:r>
        </a:p>
      </dgm:t>
    </dgm:pt>
    <dgm:pt modelId="{12103FF4-9811-4ABB-B2E5-8AB0E6A677AF}" type="parTrans" cxnId="{9F512235-1CDE-4F8B-9BAD-2F0E33A4E0E4}">
      <dgm:prSet/>
      <dgm:spPr/>
      <dgm:t>
        <a:bodyPr/>
        <a:lstStyle/>
        <a:p>
          <a:endParaRPr lang="en-US"/>
        </a:p>
      </dgm:t>
    </dgm:pt>
    <dgm:pt modelId="{EAA10D02-25A9-45FC-9E3B-0377FA8530F9}" type="sibTrans" cxnId="{9F512235-1CDE-4F8B-9BAD-2F0E33A4E0E4}">
      <dgm:prSet/>
      <dgm:spPr/>
      <dgm:t>
        <a:bodyPr/>
        <a:lstStyle/>
        <a:p>
          <a:endParaRPr lang="en-US"/>
        </a:p>
      </dgm:t>
    </dgm:pt>
    <dgm:pt modelId="{DFD6B1D6-C9B4-467E-95D2-4729AF61288D}">
      <dgm:prSet custT="1"/>
      <dgm:spPr/>
      <dgm:t>
        <a:bodyPr/>
        <a:lstStyle/>
        <a:p>
          <a:r>
            <a:rPr lang="en-US" sz="1000"/>
            <a:t>Rural (Stratum 4)</a:t>
          </a:r>
        </a:p>
      </dgm:t>
    </dgm:pt>
    <dgm:pt modelId="{D2B6CCD6-6644-4CD0-BB2D-CD120B973D35}" type="parTrans" cxnId="{99C52052-F2DF-4417-B046-F2BADA863198}">
      <dgm:prSet/>
      <dgm:spPr/>
      <dgm:t>
        <a:bodyPr/>
        <a:lstStyle/>
        <a:p>
          <a:endParaRPr lang="en-US"/>
        </a:p>
      </dgm:t>
    </dgm:pt>
    <dgm:pt modelId="{6F342780-D222-4341-B7DB-4B4BB6F9322D}" type="sibTrans" cxnId="{99C52052-F2DF-4417-B046-F2BADA863198}">
      <dgm:prSet/>
      <dgm:spPr/>
      <dgm:t>
        <a:bodyPr/>
        <a:lstStyle/>
        <a:p>
          <a:endParaRPr lang="en-US"/>
        </a:p>
      </dgm:t>
    </dgm:pt>
    <dgm:pt modelId="{49CDEE11-D059-44AE-8046-8EEBD4C00308}">
      <dgm:prSet custT="1"/>
      <dgm:spPr/>
      <dgm:t>
        <a:bodyPr/>
        <a:lstStyle/>
        <a:p>
          <a:r>
            <a:rPr lang="en-US" sz="1000"/>
            <a:t>Rural (Stratum 20)</a:t>
          </a:r>
        </a:p>
      </dgm:t>
    </dgm:pt>
    <dgm:pt modelId="{732005AD-22A2-41FC-8702-B9E89CC7E787}" type="parTrans" cxnId="{54107C49-FFD1-4D84-84FA-0A66731C98D2}">
      <dgm:prSet/>
      <dgm:spPr/>
      <dgm:t>
        <a:bodyPr/>
        <a:lstStyle/>
        <a:p>
          <a:endParaRPr lang="en-US"/>
        </a:p>
      </dgm:t>
    </dgm:pt>
    <dgm:pt modelId="{DF000736-84B6-48C0-B797-75BE1FDEC613}" type="sibTrans" cxnId="{54107C49-FFD1-4D84-84FA-0A66731C98D2}">
      <dgm:prSet/>
      <dgm:spPr/>
      <dgm:t>
        <a:bodyPr/>
        <a:lstStyle/>
        <a:p>
          <a:endParaRPr lang="en-US"/>
        </a:p>
      </dgm:t>
    </dgm:pt>
    <dgm:pt modelId="{EBACD624-AE81-4669-BB34-0697ACA34EB7}">
      <dgm:prSet custT="1"/>
      <dgm:spPr/>
      <dgm:t>
        <a:bodyPr/>
        <a:lstStyle/>
        <a:p>
          <a:r>
            <a:rPr lang="en-US" sz="1000"/>
            <a:t>Urban (Stratum 19)</a:t>
          </a:r>
        </a:p>
      </dgm:t>
    </dgm:pt>
    <dgm:pt modelId="{E95A4630-37DE-446C-BD77-8ED06C49CBB5}" type="parTrans" cxnId="{D73F7EA6-81EB-4E3C-9E0C-2E4C2834659F}">
      <dgm:prSet/>
      <dgm:spPr/>
      <dgm:t>
        <a:bodyPr/>
        <a:lstStyle/>
        <a:p>
          <a:endParaRPr lang="en-US"/>
        </a:p>
      </dgm:t>
    </dgm:pt>
    <dgm:pt modelId="{20A94D9A-B810-4506-990D-A245127D67B3}" type="sibTrans" cxnId="{D73F7EA6-81EB-4E3C-9E0C-2E4C2834659F}">
      <dgm:prSet/>
      <dgm:spPr/>
      <dgm:t>
        <a:bodyPr/>
        <a:lstStyle/>
        <a:p>
          <a:endParaRPr lang="en-US"/>
        </a:p>
      </dgm:t>
    </dgm:pt>
    <dgm:pt modelId="{797BA6DB-5700-4058-BFA1-E60664F6AA2C}">
      <dgm:prSet custT="1"/>
      <dgm:spPr/>
      <dgm:t>
        <a:bodyPr/>
        <a:lstStyle/>
        <a:p>
          <a:r>
            <a:rPr lang="en-US" sz="1000"/>
            <a:t>Urban (Stratum 1)</a:t>
          </a:r>
        </a:p>
      </dgm:t>
    </dgm:pt>
    <dgm:pt modelId="{099BDAF2-0DB8-4853-92A2-D0E698FC29F5}" type="parTrans" cxnId="{43B17BD1-EC6F-4A8C-B4E5-C1F0508E3036}">
      <dgm:prSet/>
      <dgm:spPr/>
      <dgm:t>
        <a:bodyPr/>
        <a:lstStyle/>
        <a:p>
          <a:endParaRPr lang="en-US"/>
        </a:p>
      </dgm:t>
    </dgm:pt>
    <dgm:pt modelId="{8DC2BAAF-AA87-4F2F-8956-093ABAC31202}" type="sibTrans" cxnId="{43B17BD1-EC6F-4A8C-B4E5-C1F0508E3036}">
      <dgm:prSet/>
      <dgm:spPr/>
      <dgm:t>
        <a:bodyPr/>
        <a:lstStyle/>
        <a:p>
          <a:endParaRPr lang="en-US"/>
        </a:p>
      </dgm:t>
    </dgm:pt>
    <dgm:pt modelId="{F345C239-8EEC-407F-85CC-8617C574FA94}">
      <dgm:prSet custT="1"/>
      <dgm:spPr/>
      <dgm:t>
        <a:bodyPr/>
        <a:lstStyle/>
        <a:p>
          <a:r>
            <a:rPr lang="en-US" sz="1000"/>
            <a:t>Rural (Stratum 2)</a:t>
          </a:r>
        </a:p>
      </dgm:t>
    </dgm:pt>
    <dgm:pt modelId="{E30CCDB6-DF26-4A23-9CA9-CEB8C530E6E3}" type="parTrans" cxnId="{C9747285-1D17-4C9A-A5D9-13539C85E968}">
      <dgm:prSet/>
      <dgm:spPr/>
      <dgm:t>
        <a:bodyPr/>
        <a:lstStyle/>
        <a:p>
          <a:endParaRPr lang="en-US"/>
        </a:p>
      </dgm:t>
    </dgm:pt>
    <dgm:pt modelId="{4E408544-AAF1-4837-842C-CA11870DBCC9}" type="sibTrans" cxnId="{C9747285-1D17-4C9A-A5D9-13539C85E968}">
      <dgm:prSet/>
      <dgm:spPr/>
      <dgm:t>
        <a:bodyPr/>
        <a:lstStyle/>
        <a:p>
          <a:endParaRPr lang="en-US"/>
        </a:p>
      </dgm:t>
    </dgm:pt>
    <dgm:pt modelId="{ACE9A293-4FEB-469C-A2B8-C273F93D3F5F}">
      <dgm:prSet custT="1"/>
      <dgm:spPr/>
      <dgm:t>
        <a:bodyPr/>
        <a:lstStyle/>
        <a:p>
          <a:r>
            <a:rPr lang="en-US" sz="1000"/>
            <a:t>Enumeration Area 1 (EA 1)</a:t>
          </a:r>
        </a:p>
        <a:p>
          <a:r>
            <a:rPr lang="en-US" sz="1000"/>
            <a:t>10-15 EAs per stratum selected proportional to size to yield 250 EAs</a:t>
          </a:r>
        </a:p>
      </dgm:t>
    </dgm:pt>
    <dgm:pt modelId="{B1CC613C-32AC-43D4-B5DD-F32A8FA7C5DB}" type="parTrans" cxnId="{E2D3620C-0F1F-4CEB-8B60-8BCA0846F4D3}">
      <dgm:prSet/>
      <dgm:spPr/>
      <dgm:t>
        <a:bodyPr/>
        <a:lstStyle/>
        <a:p>
          <a:endParaRPr lang="en-US"/>
        </a:p>
      </dgm:t>
    </dgm:pt>
    <dgm:pt modelId="{8C5B4A89-F296-4660-8E09-A605EC57F32F}" type="sibTrans" cxnId="{E2D3620C-0F1F-4CEB-8B60-8BCA0846F4D3}">
      <dgm:prSet/>
      <dgm:spPr/>
      <dgm:t>
        <a:bodyPr/>
        <a:lstStyle/>
        <a:p>
          <a:endParaRPr lang="en-US"/>
        </a:p>
      </dgm:t>
    </dgm:pt>
    <dgm:pt modelId="{15BD2989-D66A-49A5-B087-EDF954EC3521}">
      <dgm:prSet custT="1"/>
      <dgm:spPr/>
      <dgm:t>
        <a:bodyPr/>
        <a:lstStyle/>
        <a:p>
          <a:r>
            <a:rPr lang="en-US" sz="1000"/>
            <a:t>Enumeration Area 2</a:t>
          </a:r>
        </a:p>
      </dgm:t>
    </dgm:pt>
    <dgm:pt modelId="{14B82652-9ED6-47A2-9C8E-82E1365BC914}" type="parTrans" cxnId="{86DF72F9-9BFE-43BF-972C-E70544E67FC5}">
      <dgm:prSet/>
      <dgm:spPr/>
      <dgm:t>
        <a:bodyPr/>
        <a:lstStyle/>
        <a:p>
          <a:endParaRPr lang="en-US"/>
        </a:p>
      </dgm:t>
    </dgm:pt>
    <dgm:pt modelId="{14870EC1-AFA4-48E3-9A63-FDFB3A1F0DC4}" type="sibTrans" cxnId="{86DF72F9-9BFE-43BF-972C-E70544E67FC5}">
      <dgm:prSet/>
      <dgm:spPr/>
      <dgm:t>
        <a:bodyPr/>
        <a:lstStyle/>
        <a:p>
          <a:endParaRPr lang="en-US"/>
        </a:p>
      </dgm:t>
    </dgm:pt>
    <dgm:pt modelId="{4CE7EEEA-0A13-48A7-A372-8CFDFDF7EB87}">
      <dgm:prSet custT="1"/>
      <dgm:spPr/>
      <dgm:t>
        <a:bodyPr/>
        <a:lstStyle/>
        <a:p>
          <a:r>
            <a:rPr lang="en-US" sz="1000"/>
            <a:t>Enumeration Area 3</a:t>
          </a:r>
        </a:p>
      </dgm:t>
    </dgm:pt>
    <dgm:pt modelId="{B397EFF5-A07F-4535-B1D7-E8EB9D00FE9C}" type="parTrans" cxnId="{3F8632BE-CD9C-4356-9A37-ECFB4038F763}">
      <dgm:prSet/>
      <dgm:spPr/>
      <dgm:t>
        <a:bodyPr/>
        <a:lstStyle/>
        <a:p>
          <a:endParaRPr lang="en-US"/>
        </a:p>
      </dgm:t>
    </dgm:pt>
    <dgm:pt modelId="{999604C3-F770-4789-A975-0700E439D225}" type="sibTrans" cxnId="{3F8632BE-CD9C-4356-9A37-ECFB4038F763}">
      <dgm:prSet/>
      <dgm:spPr/>
      <dgm:t>
        <a:bodyPr/>
        <a:lstStyle/>
        <a:p>
          <a:endParaRPr lang="en-US"/>
        </a:p>
      </dgm:t>
    </dgm:pt>
    <dgm:pt modelId="{DA10F943-32FD-468C-8263-DD2B35906999}">
      <dgm:prSet custT="1"/>
      <dgm:spPr/>
      <dgm:t>
        <a:bodyPr/>
        <a:lstStyle/>
        <a:p>
          <a:r>
            <a:rPr lang="en-US" sz="1000"/>
            <a:t>Enumeration Area 249</a:t>
          </a:r>
        </a:p>
      </dgm:t>
    </dgm:pt>
    <dgm:pt modelId="{13ACB0FC-A5B7-4140-AE87-911692AE74DC}" type="parTrans" cxnId="{43BFC9E5-F012-4C13-BC13-42884A884DD6}">
      <dgm:prSet/>
      <dgm:spPr/>
      <dgm:t>
        <a:bodyPr/>
        <a:lstStyle/>
        <a:p>
          <a:endParaRPr lang="en-US"/>
        </a:p>
      </dgm:t>
    </dgm:pt>
    <dgm:pt modelId="{4742BEDD-9980-40F9-B490-56BDBA859E24}" type="sibTrans" cxnId="{43BFC9E5-F012-4C13-BC13-42884A884DD6}">
      <dgm:prSet/>
      <dgm:spPr/>
      <dgm:t>
        <a:bodyPr/>
        <a:lstStyle/>
        <a:p>
          <a:endParaRPr lang="en-US"/>
        </a:p>
      </dgm:t>
    </dgm:pt>
    <dgm:pt modelId="{922B5BD4-AAF2-4481-8DCA-CC96C6FA19B0}">
      <dgm:prSet custT="1"/>
      <dgm:spPr/>
      <dgm:t>
        <a:bodyPr/>
        <a:lstStyle/>
        <a:p>
          <a:r>
            <a:rPr lang="en-US" sz="1000"/>
            <a:t>Enumeration Area 250</a:t>
          </a:r>
        </a:p>
      </dgm:t>
    </dgm:pt>
    <dgm:pt modelId="{3162A706-4C47-4B8E-9B05-5C4CD4B7A2C8}" type="parTrans" cxnId="{3A2CA5D9-173E-4379-B098-3D71C71F0893}">
      <dgm:prSet/>
      <dgm:spPr/>
      <dgm:t>
        <a:bodyPr/>
        <a:lstStyle/>
        <a:p>
          <a:endParaRPr lang="en-US"/>
        </a:p>
      </dgm:t>
    </dgm:pt>
    <dgm:pt modelId="{CE629D21-E692-40B8-B04E-51214B4E393C}" type="sibTrans" cxnId="{3A2CA5D9-173E-4379-B098-3D71C71F0893}">
      <dgm:prSet/>
      <dgm:spPr/>
      <dgm:t>
        <a:bodyPr/>
        <a:lstStyle/>
        <a:p>
          <a:endParaRPr lang="en-US"/>
        </a:p>
      </dgm:t>
    </dgm:pt>
    <dgm:pt modelId="{ADB06DFC-30C5-405F-8454-CA53EC969428}">
      <dgm:prSet custT="1"/>
      <dgm:spPr/>
      <dgm:t>
        <a:bodyPr/>
        <a:lstStyle/>
        <a:p>
          <a:r>
            <a:rPr lang="en-US" sz="1000"/>
            <a:t>Selected 20 Households with at least one person aged 50+ years</a:t>
          </a:r>
        </a:p>
      </dgm:t>
    </dgm:pt>
    <dgm:pt modelId="{3FBB70E9-5329-41A1-88CA-30B01A5829A6}" type="parTrans" cxnId="{72EB5677-B15C-4F93-B407-26D542197DFE}">
      <dgm:prSet/>
      <dgm:spPr/>
      <dgm:t>
        <a:bodyPr/>
        <a:lstStyle/>
        <a:p>
          <a:endParaRPr lang="en-US"/>
        </a:p>
      </dgm:t>
    </dgm:pt>
    <dgm:pt modelId="{9BE51772-A01B-4F7D-B680-F92287BD480E}" type="sibTrans" cxnId="{72EB5677-B15C-4F93-B407-26D542197DFE}">
      <dgm:prSet/>
      <dgm:spPr/>
      <dgm:t>
        <a:bodyPr/>
        <a:lstStyle/>
        <a:p>
          <a:endParaRPr lang="en-US"/>
        </a:p>
      </dgm:t>
    </dgm:pt>
    <dgm:pt modelId="{68B3FF30-5550-4E10-B7F3-CC4597B4CE80}">
      <dgm:prSet custT="1"/>
      <dgm:spPr/>
      <dgm:t>
        <a:bodyPr/>
        <a:lstStyle/>
        <a:p>
          <a:r>
            <a:rPr lang="en-US" sz="1000"/>
            <a:t>Selected 4 households with persons aged 18-49 years</a:t>
          </a:r>
        </a:p>
      </dgm:t>
    </dgm:pt>
    <dgm:pt modelId="{FA7DB10B-994C-4F17-ABB6-E59087C85F35}" type="parTrans" cxnId="{41A44F93-2EEC-489B-9373-6A0CFC9EE011}">
      <dgm:prSet/>
      <dgm:spPr/>
      <dgm:t>
        <a:bodyPr/>
        <a:lstStyle/>
        <a:p>
          <a:endParaRPr lang="en-US"/>
        </a:p>
      </dgm:t>
    </dgm:pt>
    <dgm:pt modelId="{25C6B9BA-1A93-4BEB-AFFE-592A4F5EB59A}" type="sibTrans" cxnId="{41A44F93-2EEC-489B-9373-6A0CFC9EE011}">
      <dgm:prSet/>
      <dgm:spPr/>
      <dgm:t>
        <a:bodyPr/>
        <a:lstStyle/>
        <a:p>
          <a:endParaRPr lang="en-US"/>
        </a:p>
      </dgm:t>
    </dgm:pt>
    <dgm:pt modelId="{32C2F721-FACD-4A20-8289-ABDB581D2813}">
      <dgm:prSet custT="1"/>
      <dgm:spPr/>
      <dgm:t>
        <a:bodyPr/>
        <a:lstStyle/>
        <a:p>
          <a:r>
            <a:rPr lang="en-US" sz="1000"/>
            <a:t>Selected 20 Households with at least one person aged 50+ years</a:t>
          </a:r>
        </a:p>
      </dgm:t>
    </dgm:pt>
    <dgm:pt modelId="{CE78D2FE-F320-4ABB-837E-04DF1A6AD03D}" type="parTrans" cxnId="{AE06870E-AD83-4A34-BF43-43982247856F}">
      <dgm:prSet/>
      <dgm:spPr/>
      <dgm:t>
        <a:bodyPr/>
        <a:lstStyle/>
        <a:p>
          <a:endParaRPr lang="en-US"/>
        </a:p>
      </dgm:t>
    </dgm:pt>
    <dgm:pt modelId="{0831B5BB-3E79-4FB0-9343-57066485B067}" type="sibTrans" cxnId="{AE06870E-AD83-4A34-BF43-43982247856F}">
      <dgm:prSet/>
      <dgm:spPr/>
      <dgm:t>
        <a:bodyPr/>
        <a:lstStyle/>
        <a:p>
          <a:endParaRPr lang="en-US"/>
        </a:p>
      </dgm:t>
    </dgm:pt>
    <dgm:pt modelId="{C7CD1CE9-15AD-459C-AAC6-37F34F604077}">
      <dgm:prSet custT="1"/>
      <dgm:spPr/>
      <dgm:t>
        <a:bodyPr/>
        <a:lstStyle/>
        <a:p>
          <a:r>
            <a:rPr lang="en-US" sz="1000"/>
            <a:t>Selected 4 households with persons aged 18-49 years</a:t>
          </a:r>
        </a:p>
      </dgm:t>
    </dgm:pt>
    <dgm:pt modelId="{0BA1F9CC-BE5D-4813-88E3-58BFF0ED96C7}" type="parTrans" cxnId="{A3E4FAD6-D1BA-41BE-BD64-89456D236C56}">
      <dgm:prSet/>
      <dgm:spPr/>
      <dgm:t>
        <a:bodyPr/>
        <a:lstStyle/>
        <a:p>
          <a:endParaRPr lang="en-US"/>
        </a:p>
      </dgm:t>
    </dgm:pt>
    <dgm:pt modelId="{12BCFD2A-11EA-48DE-B101-DA679A1E86D8}" type="sibTrans" cxnId="{A3E4FAD6-D1BA-41BE-BD64-89456D236C56}">
      <dgm:prSet/>
      <dgm:spPr/>
      <dgm:t>
        <a:bodyPr/>
        <a:lstStyle/>
        <a:p>
          <a:endParaRPr lang="en-US"/>
        </a:p>
      </dgm:t>
    </dgm:pt>
    <dgm:pt modelId="{010C23A6-49F9-436D-A1AA-786A241D90BC}" type="pres">
      <dgm:prSet presAssocID="{A366242A-0759-4969-B846-CA3914829EDB}" presName="hierChild1" presStyleCnt="0">
        <dgm:presLayoutVars>
          <dgm:orgChart val="1"/>
          <dgm:chPref val="1"/>
          <dgm:dir/>
          <dgm:animOne val="branch"/>
          <dgm:animLvl val="lvl"/>
          <dgm:resizeHandles/>
        </dgm:presLayoutVars>
      </dgm:prSet>
      <dgm:spPr/>
    </dgm:pt>
    <dgm:pt modelId="{70C43515-9189-4A02-B5CB-776FB77DC340}" type="pres">
      <dgm:prSet presAssocID="{2FEF2FE9-699F-4CFF-A63A-EAB050C64AC2}" presName="hierRoot1" presStyleCnt="0">
        <dgm:presLayoutVars>
          <dgm:hierBranch val="init"/>
        </dgm:presLayoutVars>
      </dgm:prSet>
      <dgm:spPr/>
    </dgm:pt>
    <dgm:pt modelId="{4B6D15EF-FD93-4C6F-9EC3-AB7A510A7643}" type="pres">
      <dgm:prSet presAssocID="{2FEF2FE9-699F-4CFF-A63A-EAB050C64AC2}" presName="rootComposite1" presStyleCnt="0"/>
      <dgm:spPr/>
    </dgm:pt>
    <dgm:pt modelId="{EF7535A5-C3E3-420D-B203-D4CEC101AEAE}" type="pres">
      <dgm:prSet presAssocID="{2FEF2FE9-699F-4CFF-A63A-EAB050C64AC2}" presName="rootText1" presStyleLbl="node0" presStyleIdx="0" presStyleCnt="1">
        <dgm:presLayoutVars>
          <dgm:chPref val="3"/>
        </dgm:presLayoutVars>
      </dgm:prSet>
      <dgm:spPr/>
    </dgm:pt>
    <dgm:pt modelId="{041CC477-E69B-45E5-9372-FA5C536AF734}" type="pres">
      <dgm:prSet presAssocID="{2FEF2FE9-699F-4CFF-A63A-EAB050C64AC2}" presName="rootConnector1" presStyleLbl="node1" presStyleIdx="0" presStyleCnt="0"/>
      <dgm:spPr/>
    </dgm:pt>
    <dgm:pt modelId="{4E86F819-38FE-4B11-BB27-A529B5FC815B}" type="pres">
      <dgm:prSet presAssocID="{2FEF2FE9-699F-4CFF-A63A-EAB050C64AC2}" presName="hierChild2" presStyleCnt="0"/>
      <dgm:spPr/>
    </dgm:pt>
    <dgm:pt modelId="{EB4CC7D2-0F21-4994-902A-935ED6A3936E}" type="pres">
      <dgm:prSet presAssocID="{D0FCBBF6-FA26-4E87-96D4-D498FCCBCA40}" presName="Name64" presStyleLbl="parChTrans1D2" presStyleIdx="0" presStyleCnt="3"/>
      <dgm:spPr/>
    </dgm:pt>
    <dgm:pt modelId="{803B1596-96A4-403A-8D62-080628B0C268}" type="pres">
      <dgm:prSet presAssocID="{F931A749-10AD-4580-8ED3-0F62EADA7A75}" presName="hierRoot2" presStyleCnt="0">
        <dgm:presLayoutVars>
          <dgm:hierBranch val="init"/>
        </dgm:presLayoutVars>
      </dgm:prSet>
      <dgm:spPr/>
    </dgm:pt>
    <dgm:pt modelId="{F03AEAE2-1412-4376-8F9F-14E2C0841AAD}" type="pres">
      <dgm:prSet presAssocID="{F931A749-10AD-4580-8ED3-0F62EADA7A75}" presName="rootComposite" presStyleCnt="0"/>
      <dgm:spPr/>
    </dgm:pt>
    <dgm:pt modelId="{0AE48DB2-4DD3-47BC-89AB-A8F1626A99FB}" type="pres">
      <dgm:prSet presAssocID="{F931A749-10AD-4580-8ED3-0F62EADA7A75}" presName="rootText" presStyleLbl="node2" presStyleIdx="0" presStyleCnt="3">
        <dgm:presLayoutVars>
          <dgm:chPref val="3"/>
        </dgm:presLayoutVars>
      </dgm:prSet>
      <dgm:spPr/>
    </dgm:pt>
    <dgm:pt modelId="{F98A0BF4-2BEB-429B-BC1C-5C88C98AEECB}" type="pres">
      <dgm:prSet presAssocID="{F931A749-10AD-4580-8ED3-0F62EADA7A75}" presName="rootConnector" presStyleLbl="node2" presStyleIdx="0" presStyleCnt="3"/>
      <dgm:spPr/>
    </dgm:pt>
    <dgm:pt modelId="{D5A6B4D9-9F64-4074-A742-2EAE25530904}" type="pres">
      <dgm:prSet presAssocID="{F931A749-10AD-4580-8ED3-0F62EADA7A75}" presName="hierChild4" presStyleCnt="0"/>
      <dgm:spPr/>
    </dgm:pt>
    <dgm:pt modelId="{139880AD-280B-4164-B0F8-4276C4D0DD62}" type="pres">
      <dgm:prSet presAssocID="{099BDAF2-0DB8-4853-92A2-D0E698FC29F5}" presName="Name64" presStyleLbl="parChTrans1D3" presStyleIdx="0" presStyleCnt="6"/>
      <dgm:spPr/>
    </dgm:pt>
    <dgm:pt modelId="{975BC7E7-83BE-4231-A863-2764AE77ACC0}" type="pres">
      <dgm:prSet presAssocID="{797BA6DB-5700-4058-BFA1-E60664F6AA2C}" presName="hierRoot2" presStyleCnt="0">
        <dgm:presLayoutVars>
          <dgm:hierBranch val="init"/>
        </dgm:presLayoutVars>
      </dgm:prSet>
      <dgm:spPr/>
    </dgm:pt>
    <dgm:pt modelId="{932165EC-B7D9-4F34-A9F5-DA929421466F}" type="pres">
      <dgm:prSet presAssocID="{797BA6DB-5700-4058-BFA1-E60664F6AA2C}" presName="rootComposite" presStyleCnt="0"/>
      <dgm:spPr/>
    </dgm:pt>
    <dgm:pt modelId="{562358CD-5E48-4C2E-8BEB-EC194AF9FA20}" type="pres">
      <dgm:prSet presAssocID="{797BA6DB-5700-4058-BFA1-E60664F6AA2C}" presName="rootText" presStyleLbl="node3" presStyleIdx="0" presStyleCnt="6" custLinFactNeighborY="-14">
        <dgm:presLayoutVars>
          <dgm:chPref val="3"/>
        </dgm:presLayoutVars>
      </dgm:prSet>
      <dgm:spPr/>
    </dgm:pt>
    <dgm:pt modelId="{656D8DA1-49A4-464A-B9BD-3AEBE4B38A64}" type="pres">
      <dgm:prSet presAssocID="{797BA6DB-5700-4058-BFA1-E60664F6AA2C}" presName="rootConnector" presStyleLbl="node3" presStyleIdx="0" presStyleCnt="6"/>
      <dgm:spPr/>
    </dgm:pt>
    <dgm:pt modelId="{EF2EB739-B305-43D0-85FB-CC42D08A83E4}" type="pres">
      <dgm:prSet presAssocID="{797BA6DB-5700-4058-BFA1-E60664F6AA2C}" presName="hierChild4" presStyleCnt="0"/>
      <dgm:spPr/>
    </dgm:pt>
    <dgm:pt modelId="{A6CE4A58-5AB8-4A24-A192-DF512C88F53E}" type="pres">
      <dgm:prSet presAssocID="{B1CC613C-32AC-43D4-B5DD-F32A8FA7C5DB}" presName="Name64" presStyleLbl="parChTrans1D4" presStyleIdx="0" presStyleCnt="9"/>
      <dgm:spPr/>
    </dgm:pt>
    <dgm:pt modelId="{590A4F50-792E-4F05-B6AA-9CB231F0ED9F}" type="pres">
      <dgm:prSet presAssocID="{ACE9A293-4FEB-469C-A2B8-C273F93D3F5F}" presName="hierRoot2" presStyleCnt="0">
        <dgm:presLayoutVars>
          <dgm:hierBranch val="init"/>
        </dgm:presLayoutVars>
      </dgm:prSet>
      <dgm:spPr/>
    </dgm:pt>
    <dgm:pt modelId="{FC658A72-083B-42A3-A5CC-B5208AD347CE}" type="pres">
      <dgm:prSet presAssocID="{ACE9A293-4FEB-469C-A2B8-C273F93D3F5F}" presName="rootComposite" presStyleCnt="0"/>
      <dgm:spPr/>
    </dgm:pt>
    <dgm:pt modelId="{06C95765-5698-4974-B8C3-E41C74713223}" type="pres">
      <dgm:prSet presAssocID="{ACE9A293-4FEB-469C-A2B8-C273F93D3F5F}" presName="rootText" presStyleLbl="node4" presStyleIdx="0" presStyleCnt="9" custScaleY="241258">
        <dgm:presLayoutVars>
          <dgm:chPref val="3"/>
        </dgm:presLayoutVars>
      </dgm:prSet>
      <dgm:spPr/>
    </dgm:pt>
    <dgm:pt modelId="{8B95AAAF-59E5-4A85-8BAA-1C4223F8C5A7}" type="pres">
      <dgm:prSet presAssocID="{ACE9A293-4FEB-469C-A2B8-C273F93D3F5F}" presName="rootConnector" presStyleLbl="node4" presStyleIdx="0" presStyleCnt="9"/>
      <dgm:spPr/>
    </dgm:pt>
    <dgm:pt modelId="{7E019405-7158-47C6-9B78-477EABB0CBDE}" type="pres">
      <dgm:prSet presAssocID="{ACE9A293-4FEB-469C-A2B8-C273F93D3F5F}" presName="hierChild4" presStyleCnt="0"/>
      <dgm:spPr/>
    </dgm:pt>
    <dgm:pt modelId="{04D58856-7DDF-47CB-A194-8D8253002261}" type="pres">
      <dgm:prSet presAssocID="{ACE9A293-4FEB-469C-A2B8-C273F93D3F5F}" presName="hierChild5" presStyleCnt="0"/>
      <dgm:spPr/>
    </dgm:pt>
    <dgm:pt modelId="{AA49E2A5-DA30-4E82-B780-E470DBE0D233}" type="pres">
      <dgm:prSet presAssocID="{14B82652-9ED6-47A2-9C8E-82E1365BC914}" presName="Name64" presStyleLbl="parChTrans1D4" presStyleIdx="1" presStyleCnt="9"/>
      <dgm:spPr/>
    </dgm:pt>
    <dgm:pt modelId="{76E9EE5E-7790-4C21-A3E8-B5F710CBE766}" type="pres">
      <dgm:prSet presAssocID="{15BD2989-D66A-49A5-B087-EDF954EC3521}" presName="hierRoot2" presStyleCnt="0">
        <dgm:presLayoutVars>
          <dgm:hierBranch val="init"/>
        </dgm:presLayoutVars>
      </dgm:prSet>
      <dgm:spPr/>
    </dgm:pt>
    <dgm:pt modelId="{948F7179-255B-45DB-B528-8460C9743AA8}" type="pres">
      <dgm:prSet presAssocID="{15BD2989-D66A-49A5-B087-EDF954EC3521}" presName="rootComposite" presStyleCnt="0"/>
      <dgm:spPr/>
    </dgm:pt>
    <dgm:pt modelId="{74428ACB-39A1-4D9F-BFF0-FBC11A1A2B5E}" type="pres">
      <dgm:prSet presAssocID="{15BD2989-D66A-49A5-B087-EDF954EC3521}" presName="rootText" presStyleLbl="node4" presStyleIdx="1" presStyleCnt="9">
        <dgm:presLayoutVars>
          <dgm:chPref val="3"/>
        </dgm:presLayoutVars>
      </dgm:prSet>
      <dgm:spPr/>
    </dgm:pt>
    <dgm:pt modelId="{F9C398E9-6931-45A9-92DE-2185A6303A5F}" type="pres">
      <dgm:prSet presAssocID="{15BD2989-D66A-49A5-B087-EDF954EC3521}" presName="rootConnector" presStyleLbl="node4" presStyleIdx="1" presStyleCnt="9"/>
      <dgm:spPr/>
    </dgm:pt>
    <dgm:pt modelId="{2D7B516B-0888-4B12-8A4D-32632E8886A6}" type="pres">
      <dgm:prSet presAssocID="{15BD2989-D66A-49A5-B087-EDF954EC3521}" presName="hierChild4" presStyleCnt="0"/>
      <dgm:spPr/>
    </dgm:pt>
    <dgm:pt modelId="{95A74080-6318-41E4-82B6-80ED53037DAC}" type="pres">
      <dgm:prSet presAssocID="{3FBB70E9-5329-41A1-88CA-30B01A5829A6}" presName="Name64" presStyleLbl="parChTrans1D4" presStyleIdx="2" presStyleCnt="9"/>
      <dgm:spPr/>
    </dgm:pt>
    <dgm:pt modelId="{AD2FBD4F-53A6-47AA-B05A-F3BB120E9CBD}" type="pres">
      <dgm:prSet presAssocID="{ADB06DFC-30C5-405F-8454-CA53EC969428}" presName="hierRoot2" presStyleCnt="0">
        <dgm:presLayoutVars>
          <dgm:hierBranch val="init"/>
        </dgm:presLayoutVars>
      </dgm:prSet>
      <dgm:spPr/>
    </dgm:pt>
    <dgm:pt modelId="{C690CF06-6F6A-4792-ABD5-9C240E2F14E8}" type="pres">
      <dgm:prSet presAssocID="{ADB06DFC-30C5-405F-8454-CA53EC969428}" presName="rootComposite" presStyleCnt="0"/>
      <dgm:spPr/>
    </dgm:pt>
    <dgm:pt modelId="{DECAFED5-36A3-43D1-840E-5225DED37186}" type="pres">
      <dgm:prSet presAssocID="{ADB06DFC-30C5-405F-8454-CA53EC969428}" presName="rootText" presStyleLbl="node4" presStyleIdx="2" presStyleCnt="9">
        <dgm:presLayoutVars>
          <dgm:chPref val="3"/>
        </dgm:presLayoutVars>
      </dgm:prSet>
      <dgm:spPr/>
    </dgm:pt>
    <dgm:pt modelId="{800A7E29-14BA-45B3-B09A-4C83E342FB85}" type="pres">
      <dgm:prSet presAssocID="{ADB06DFC-30C5-405F-8454-CA53EC969428}" presName="rootConnector" presStyleLbl="node4" presStyleIdx="2" presStyleCnt="9"/>
      <dgm:spPr/>
    </dgm:pt>
    <dgm:pt modelId="{48B70F3E-C430-49F5-B9D2-15C5D8E54438}" type="pres">
      <dgm:prSet presAssocID="{ADB06DFC-30C5-405F-8454-CA53EC969428}" presName="hierChild4" presStyleCnt="0"/>
      <dgm:spPr/>
    </dgm:pt>
    <dgm:pt modelId="{8C250A73-4858-41B9-8351-708FF5CE9525}" type="pres">
      <dgm:prSet presAssocID="{ADB06DFC-30C5-405F-8454-CA53EC969428}" presName="hierChild5" presStyleCnt="0"/>
      <dgm:spPr/>
    </dgm:pt>
    <dgm:pt modelId="{4B347790-B08B-40A3-A3FB-959898DE104B}" type="pres">
      <dgm:prSet presAssocID="{0BA1F9CC-BE5D-4813-88E3-58BFF0ED96C7}" presName="Name64" presStyleLbl="parChTrans1D4" presStyleIdx="3" presStyleCnt="9"/>
      <dgm:spPr/>
    </dgm:pt>
    <dgm:pt modelId="{34797FE8-45B1-43D3-8AD2-CF90EFE4454D}" type="pres">
      <dgm:prSet presAssocID="{C7CD1CE9-15AD-459C-AAC6-37F34F604077}" presName="hierRoot2" presStyleCnt="0">
        <dgm:presLayoutVars>
          <dgm:hierBranch val="init"/>
        </dgm:presLayoutVars>
      </dgm:prSet>
      <dgm:spPr/>
    </dgm:pt>
    <dgm:pt modelId="{635A2795-F607-4B5F-9C0F-2356C4BC3006}" type="pres">
      <dgm:prSet presAssocID="{C7CD1CE9-15AD-459C-AAC6-37F34F604077}" presName="rootComposite" presStyleCnt="0"/>
      <dgm:spPr/>
    </dgm:pt>
    <dgm:pt modelId="{C684F809-E266-4397-A1C5-BF7FE76EC402}" type="pres">
      <dgm:prSet presAssocID="{C7CD1CE9-15AD-459C-AAC6-37F34F604077}" presName="rootText" presStyleLbl="node4" presStyleIdx="3" presStyleCnt="9">
        <dgm:presLayoutVars>
          <dgm:chPref val="3"/>
        </dgm:presLayoutVars>
      </dgm:prSet>
      <dgm:spPr/>
    </dgm:pt>
    <dgm:pt modelId="{73830BF8-1E0B-47E8-9963-95D22266FA2F}" type="pres">
      <dgm:prSet presAssocID="{C7CD1CE9-15AD-459C-AAC6-37F34F604077}" presName="rootConnector" presStyleLbl="node4" presStyleIdx="3" presStyleCnt="9"/>
      <dgm:spPr/>
    </dgm:pt>
    <dgm:pt modelId="{4FC5203A-CC13-4B69-B4D7-B888C5CE541D}" type="pres">
      <dgm:prSet presAssocID="{C7CD1CE9-15AD-459C-AAC6-37F34F604077}" presName="hierChild4" presStyleCnt="0"/>
      <dgm:spPr/>
    </dgm:pt>
    <dgm:pt modelId="{75F53CA4-7A58-4D3D-A711-39AF10424444}" type="pres">
      <dgm:prSet presAssocID="{C7CD1CE9-15AD-459C-AAC6-37F34F604077}" presName="hierChild5" presStyleCnt="0"/>
      <dgm:spPr/>
    </dgm:pt>
    <dgm:pt modelId="{9BD57E3B-9113-4CC1-BD97-1093E22EB585}" type="pres">
      <dgm:prSet presAssocID="{15BD2989-D66A-49A5-B087-EDF954EC3521}" presName="hierChild5" presStyleCnt="0"/>
      <dgm:spPr/>
    </dgm:pt>
    <dgm:pt modelId="{4D835C22-7051-4961-A3D2-BD9419464458}" type="pres">
      <dgm:prSet presAssocID="{B397EFF5-A07F-4535-B1D7-E8EB9D00FE9C}" presName="Name64" presStyleLbl="parChTrans1D4" presStyleIdx="4" presStyleCnt="9"/>
      <dgm:spPr/>
    </dgm:pt>
    <dgm:pt modelId="{CA3D1FA1-21C2-4407-8134-DF6EFEEE1BAF}" type="pres">
      <dgm:prSet presAssocID="{4CE7EEEA-0A13-48A7-A372-8CFDFDF7EB87}" presName="hierRoot2" presStyleCnt="0">
        <dgm:presLayoutVars>
          <dgm:hierBranch val="init"/>
        </dgm:presLayoutVars>
      </dgm:prSet>
      <dgm:spPr/>
    </dgm:pt>
    <dgm:pt modelId="{338514C9-4224-4D2C-BAE2-EEA721756783}" type="pres">
      <dgm:prSet presAssocID="{4CE7EEEA-0A13-48A7-A372-8CFDFDF7EB87}" presName="rootComposite" presStyleCnt="0"/>
      <dgm:spPr/>
    </dgm:pt>
    <dgm:pt modelId="{777BFF2D-1FA7-421B-BA45-F44133EF915B}" type="pres">
      <dgm:prSet presAssocID="{4CE7EEEA-0A13-48A7-A372-8CFDFDF7EB87}" presName="rootText" presStyleLbl="node4" presStyleIdx="4" presStyleCnt="9">
        <dgm:presLayoutVars>
          <dgm:chPref val="3"/>
        </dgm:presLayoutVars>
      </dgm:prSet>
      <dgm:spPr/>
    </dgm:pt>
    <dgm:pt modelId="{1B1DC458-D621-409E-926B-D8C72A4E4110}" type="pres">
      <dgm:prSet presAssocID="{4CE7EEEA-0A13-48A7-A372-8CFDFDF7EB87}" presName="rootConnector" presStyleLbl="node4" presStyleIdx="4" presStyleCnt="9"/>
      <dgm:spPr/>
    </dgm:pt>
    <dgm:pt modelId="{6DB95430-F8D1-44C2-A28D-7F8547A43549}" type="pres">
      <dgm:prSet presAssocID="{4CE7EEEA-0A13-48A7-A372-8CFDFDF7EB87}" presName="hierChild4" presStyleCnt="0"/>
      <dgm:spPr/>
    </dgm:pt>
    <dgm:pt modelId="{22E133DF-5DB9-4CC3-AC49-97E5FBCE85F5}" type="pres">
      <dgm:prSet presAssocID="{4CE7EEEA-0A13-48A7-A372-8CFDFDF7EB87}" presName="hierChild5" presStyleCnt="0"/>
      <dgm:spPr/>
    </dgm:pt>
    <dgm:pt modelId="{166C0049-A173-4C7D-8D9C-8B0E26DABF5B}" type="pres">
      <dgm:prSet presAssocID="{797BA6DB-5700-4058-BFA1-E60664F6AA2C}" presName="hierChild5" presStyleCnt="0"/>
      <dgm:spPr/>
    </dgm:pt>
    <dgm:pt modelId="{0BF64288-AC3E-48FA-8389-337BFBAF31A4}" type="pres">
      <dgm:prSet presAssocID="{E30CCDB6-DF26-4A23-9CA9-CEB8C530E6E3}" presName="Name64" presStyleLbl="parChTrans1D3" presStyleIdx="1" presStyleCnt="6"/>
      <dgm:spPr/>
    </dgm:pt>
    <dgm:pt modelId="{36D96EF9-2BD7-4E59-AE6C-C6F40B89456F}" type="pres">
      <dgm:prSet presAssocID="{F345C239-8EEC-407F-85CC-8617C574FA94}" presName="hierRoot2" presStyleCnt="0">
        <dgm:presLayoutVars>
          <dgm:hierBranch val="init"/>
        </dgm:presLayoutVars>
      </dgm:prSet>
      <dgm:spPr/>
    </dgm:pt>
    <dgm:pt modelId="{5EE1094D-84B5-4A96-B507-FAAABD872F66}" type="pres">
      <dgm:prSet presAssocID="{F345C239-8EEC-407F-85CC-8617C574FA94}" presName="rootComposite" presStyleCnt="0"/>
      <dgm:spPr/>
    </dgm:pt>
    <dgm:pt modelId="{79911539-42B6-4FEC-A165-673BDAD57567}" type="pres">
      <dgm:prSet presAssocID="{F345C239-8EEC-407F-85CC-8617C574FA94}" presName="rootText" presStyleLbl="node3" presStyleIdx="1" presStyleCnt="6">
        <dgm:presLayoutVars>
          <dgm:chPref val="3"/>
        </dgm:presLayoutVars>
      </dgm:prSet>
      <dgm:spPr/>
    </dgm:pt>
    <dgm:pt modelId="{4917005F-4937-43DC-92DA-9B335630BD53}" type="pres">
      <dgm:prSet presAssocID="{F345C239-8EEC-407F-85CC-8617C574FA94}" presName="rootConnector" presStyleLbl="node3" presStyleIdx="1" presStyleCnt="6"/>
      <dgm:spPr/>
    </dgm:pt>
    <dgm:pt modelId="{38442C27-330D-4CEE-83B0-6FE2CC6640D5}" type="pres">
      <dgm:prSet presAssocID="{F345C239-8EEC-407F-85CC-8617C574FA94}" presName="hierChild4" presStyleCnt="0"/>
      <dgm:spPr/>
    </dgm:pt>
    <dgm:pt modelId="{DE772F89-4B88-40E5-9F10-1AC1C35D0547}" type="pres">
      <dgm:prSet presAssocID="{F345C239-8EEC-407F-85CC-8617C574FA94}" presName="hierChild5" presStyleCnt="0"/>
      <dgm:spPr/>
    </dgm:pt>
    <dgm:pt modelId="{2A55E511-FFC5-469A-9545-72415AEE0C82}" type="pres">
      <dgm:prSet presAssocID="{F931A749-10AD-4580-8ED3-0F62EADA7A75}" presName="hierChild5" presStyleCnt="0"/>
      <dgm:spPr/>
    </dgm:pt>
    <dgm:pt modelId="{BE02FCB3-8E3C-446F-8D0D-3C9C27FEEECB}" type="pres">
      <dgm:prSet presAssocID="{48DBCC8E-2A39-4283-A375-2D8C40F4C459}" presName="Name64" presStyleLbl="parChTrans1D2" presStyleIdx="1" presStyleCnt="3"/>
      <dgm:spPr/>
    </dgm:pt>
    <dgm:pt modelId="{5DB30FCB-C374-4CD6-A47F-881D865F36E7}" type="pres">
      <dgm:prSet presAssocID="{8285D7F8-93AB-4E84-823C-4BA10AF8F079}" presName="hierRoot2" presStyleCnt="0">
        <dgm:presLayoutVars>
          <dgm:hierBranch val="init"/>
        </dgm:presLayoutVars>
      </dgm:prSet>
      <dgm:spPr/>
    </dgm:pt>
    <dgm:pt modelId="{C70F94AE-8C1D-4F29-B28B-72E9467A48B3}" type="pres">
      <dgm:prSet presAssocID="{8285D7F8-93AB-4E84-823C-4BA10AF8F079}" presName="rootComposite" presStyleCnt="0"/>
      <dgm:spPr/>
    </dgm:pt>
    <dgm:pt modelId="{4846CD58-8E3C-4514-8D54-C20E243DFFFC}" type="pres">
      <dgm:prSet presAssocID="{8285D7F8-93AB-4E84-823C-4BA10AF8F079}" presName="rootText" presStyleLbl="node2" presStyleIdx="1" presStyleCnt="3">
        <dgm:presLayoutVars>
          <dgm:chPref val="3"/>
        </dgm:presLayoutVars>
      </dgm:prSet>
      <dgm:spPr/>
    </dgm:pt>
    <dgm:pt modelId="{911BC424-4054-4446-9ACC-F85956BF26CB}" type="pres">
      <dgm:prSet presAssocID="{8285D7F8-93AB-4E84-823C-4BA10AF8F079}" presName="rootConnector" presStyleLbl="node2" presStyleIdx="1" presStyleCnt="3"/>
      <dgm:spPr/>
    </dgm:pt>
    <dgm:pt modelId="{2D6A0481-89CB-4C24-AE76-7EC202E10902}" type="pres">
      <dgm:prSet presAssocID="{8285D7F8-93AB-4E84-823C-4BA10AF8F079}" presName="hierChild4" presStyleCnt="0"/>
      <dgm:spPr/>
    </dgm:pt>
    <dgm:pt modelId="{FF331EEA-6250-4777-A553-3C24FA377266}" type="pres">
      <dgm:prSet presAssocID="{12103FF4-9811-4ABB-B2E5-8AB0E6A677AF}" presName="Name64" presStyleLbl="parChTrans1D3" presStyleIdx="2" presStyleCnt="6"/>
      <dgm:spPr/>
    </dgm:pt>
    <dgm:pt modelId="{8E7714CE-508F-4374-AFE0-801618009A84}" type="pres">
      <dgm:prSet presAssocID="{6D6922CD-6FD0-45F8-B49E-0FAA69C7A4DB}" presName="hierRoot2" presStyleCnt="0">
        <dgm:presLayoutVars>
          <dgm:hierBranch val="init"/>
        </dgm:presLayoutVars>
      </dgm:prSet>
      <dgm:spPr/>
    </dgm:pt>
    <dgm:pt modelId="{D431EA76-B42E-4725-B204-FCC42EAD8B48}" type="pres">
      <dgm:prSet presAssocID="{6D6922CD-6FD0-45F8-B49E-0FAA69C7A4DB}" presName="rootComposite" presStyleCnt="0"/>
      <dgm:spPr/>
    </dgm:pt>
    <dgm:pt modelId="{8777557A-E260-46BC-B56D-22FA5D2CD558}" type="pres">
      <dgm:prSet presAssocID="{6D6922CD-6FD0-45F8-B49E-0FAA69C7A4DB}" presName="rootText" presStyleLbl="node3" presStyleIdx="2" presStyleCnt="6">
        <dgm:presLayoutVars>
          <dgm:chPref val="3"/>
        </dgm:presLayoutVars>
      </dgm:prSet>
      <dgm:spPr/>
    </dgm:pt>
    <dgm:pt modelId="{16DA5867-6A4A-49B5-B6BA-B86E561657F3}" type="pres">
      <dgm:prSet presAssocID="{6D6922CD-6FD0-45F8-B49E-0FAA69C7A4DB}" presName="rootConnector" presStyleLbl="node3" presStyleIdx="2" presStyleCnt="6"/>
      <dgm:spPr/>
    </dgm:pt>
    <dgm:pt modelId="{B5402EC5-B2AA-4899-A2EE-41A0E4FE58AB}" type="pres">
      <dgm:prSet presAssocID="{6D6922CD-6FD0-45F8-B49E-0FAA69C7A4DB}" presName="hierChild4" presStyleCnt="0"/>
      <dgm:spPr/>
    </dgm:pt>
    <dgm:pt modelId="{E41529B4-6B61-4206-B19D-7C0B7053A99B}" type="pres">
      <dgm:prSet presAssocID="{6D6922CD-6FD0-45F8-B49E-0FAA69C7A4DB}" presName="hierChild5" presStyleCnt="0"/>
      <dgm:spPr/>
    </dgm:pt>
    <dgm:pt modelId="{D553EFD0-49ED-4BEF-9270-0B3563F05165}" type="pres">
      <dgm:prSet presAssocID="{D2B6CCD6-6644-4CD0-BB2D-CD120B973D35}" presName="Name64" presStyleLbl="parChTrans1D3" presStyleIdx="3" presStyleCnt="6"/>
      <dgm:spPr/>
    </dgm:pt>
    <dgm:pt modelId="{E74CF2E7-C994-4DFB-88C6-F0581FD1C400}" type="pres">
      <dgm:prSet presAssocID="{DFD6B1D6-C9B4-467E-95D2-4729AF61288D}" presName="hierRoot2" presStyleCnt="0">
        <dgm:presLayoutVars>
          <dgm:hierBranch val="init"/>
        </dgm:presLayoutVars>
      </dgm:prSet>
      <dgm:spPr/>
    </dgm:pt>
    <dgm:pt modelId="{4AB5A9A0-A818-43AA-A481-94B5F7A6D6E5}" type="pres">
      <dgm:prSet presAssocID="{DFD6B1D6-C9B4-467E-95D2-4729AF61288D}" presName="rootComposite" presStyleCnt="0"/>
      <dgm:spPr/>
    </dgm:pt>
    <dgm:pt modelId="{92B9FE5E-7F08-449D-BA7B-D4CAEF65359F}" type="pres">
      <dgm:prSet presAssocID="{DFD6B1D6-C9B4-467E-95D2-4729AF61288D}" presName="rootText" presStyleLbl="node3" presStyleIdx="3" presStyleCnt="6">
        <dgm:presLayoutVars>
          <dgm:chPref val="3"/>
        </dgm:presLayoutVars>
      </dgm:prSet>
      <dgm:spPr/>
    </dgm:pt>
    <dgm:pt modelId="{44E64105-AF2B-4403-BD8D-518170283816}" type="pres">
      <dgm:prSet presAssocID="{DFD6B1D6-C9B4-467E-95D2-4729AF61288D}" presName="rootConnector" presStyleLbl="node3" presStyleIdx="3" presStyleCnt="6"/>
      <dgm:spPr/>
    </dgm:pt>
    <dgm:pt modelId="{1C29254B-2384-4B79-8A64-0C9D2ED6335F}" type="pres">
      <dgm:prSet presAssocID="{DFD6B1D6-C9B4-467E-95D2-4729AF61288D}" presName="hierChild4" presStyleCnt="0"/>
      <dgm:spPr/>
    </dgm:pt>
    <dgm:pt modelId="{8395F922-6EB3-4B19-AD9D-B87BD5012EC6}" type="pres">
      <dgm:prSet presAssocID="{DFD6B1D6-C9B4-467E-95D2-4729AF61288D}" presName="hierChild5" presStyleCnt="0"/>
      <dgm:spPr/>
    </dgm:pt>
    <dgm:pt modelId="{8245CB66-2C97-40E5-9C58-75BE5922E306}" type="pres">
      <dgm:prSet presAssocID="{8285D7F8-93AB-4E84-823C-4BA10AF8F079}" presName="hierChild5" presStyleCnt="0"/>
      <dgm:spPr/>
    </dgm:pt>
    <dgm:pt modelId="{B4494852-DD2E-4D0C-863B-259616D436B6}" type="pres">
      <dgm:prSet presAssocID="{282C920D-CC59-4F73-9E45-E9719983515C}" presName="Name64" presStyleLbl="parChTrans1D2" presStyleIdx="2" presStyleCnt="3"/>
      <dgm:spPr/>
    </dgm:pt>
    <dgm:pt modelId="{21B3A40D-7B1E-4E72-9702-B51EC81C32A4}" type="pres">
      <dgm:prSet presAssocID="{55A383DB-D359-4BC9-B8D7-3024965D947D}" presName="hierRoot2" presStyleCnt="0">
        <dgm:presLayoutVars>
          <dgm:hierBranch val="init"/>
        </dgm:presLayoutVars>
      </dgm:prSet>
      <dgm:spPr/>
    </dgm:pt>
    <dgm:pt modelId="{8663B1E3-333D-48D1-91EA-BC5B3BACCDCC}" type="pres">
      <dgm:prSet presAssocID="{55A383DB-D359-4BC9-B8D7-3024965D947D}" presName="rootComposite" presStyleCnt="0"/>
      <dgm:spPr/>
    </dgm:pt>
    <dgm:pt modelId="{5F01455C-D264-4492-836F-B9BADA6485A8}" type="pres">
      <dgm:prSet presAssocID="{55A383DB-D359-4BC9-B8D7-3024965D947D}" presName="rootText" presStyleLbl="node2" presStyleIdx="2" presStyleCnt="3">
        <dgm:presLayoutVars>
          <dgm:chPref val="3"/>
        </dgm:presLayoutVars>
      </dgm:prSet>
      <dgm:spPr/>
    </dgm:pt>
    <dgm:pt modelId="{DFFA0DD8-6E69-4DA3-BBA7-5D78DEBF4BEF}" type="pres">
      <dgm:prSet presAssocID="{55A383DB-D359-4BC9-B8D7-3024965D947D}" presName="rootConnector" presStyleLbl="node2" presStyleIdx="2" presStyleCnt="3"/>
      <dgm:spPr/>
    </dgm:pt>
    <dgm:pt modelId="{86EF4CEC-33CB-43A4-9F6A-CEB3493F4987}" type="pres">
      <dgm:prSet presAssocID="{55A383DB-D359-4BC9-B8D7-3024965D947D}" presName="hierChild4" presStyleCnt="0"/>
      <dgm:spPr/>
    </dgm:pt>
    <dgm:pt modelId="{E7F50ABF-3A78-4417-8BD0-82732599FA9F}" type="pres">
      <dgm:prSet presAssocID="{E95A4630-37DE-446C-BD77-8ED06C49CBB5}" presName="Name64" presStyleLbl="parChTrans1D3" presStyleIdx="4" presStyleCnt="6"/>
      <dgm:spPr/>
    </dgm:pt>
    <dgm:pt modelId="{BB49DB8C-8906-48EE-A94E-1008B0B6C7DA}" type="pres">
      <dgm:prSet presAssocID="{EBACD624-AE81-4669-BB34-0697ACA34EB7}" presName="hierRoot2" presStyleCnt="0">
        <dgm:presLayoutVars>
          <dgm:hierBranch val="init"/>
        </dgm:presLayoutVars>
      </dgm:prSet>
      <dgm:spPr/>
    </dgm:pt>
    <dgm:pt modelId="{C96D677C-E50D-47FE-AAC9-E095ABF3B1BB}" type="pres">
      <dgm:prSet presAssocID="{EBACD624-AE81-4669-BB34-0697ACA34EB7}" presName="rootComposite" presStyleCnt="0"/>
      <dgm:spPr/>
    </dgm:pt>
    <dgm:pt modelId="{0D8DB516-4D17-4726-AE10-AFD4A451E2B4}" type="pres">
      <dgm:prSet presAssocID="{EBACD624-AE81-4669-BB34-0697ACA34EB7}" presName="rootText" presStyleLbl="node3" presStyleIdx="4" presStyleCnt="6">
        <dgm:presLayoutVars>
          <dgm:chPref val="3"/>
        </dgm:presLayoutVars>
      </dgm:prSet>
      <dgm:spPr/>
    </dgm:pt>
    <dgm:pt modelId="{40CDEE43-1089-4377-9263-46138ACF3E63}" type="pres">
      <dgm:prSet presAssocID="{EBACD624-AE81-4669-BB34-0697ACA34EB7}" presName="rootConnector" presStyleLbl="node3" presStyleIdx="4" presStyleCnt="6"/>
      <dgm:spPr/>
    </dgm:pt>
    <dgm:pt modelId="{2D9578DD-66FA-41E6-B91E-C0E2EFC4F0B3}" type="pres">
      <dgm:prSet presAssocID="{EBACD624-AE81-4669-BB34-0697ACA34EB7}" presName="hierChild4" presStyleCnt="0"/>
      <dgm:spPr/>
    </dgm:pt>
    <dgm:pt modelId="{39557698-8019-42B4-B84B-F496910FA58E}" type="pres">
      <dgm:prSet presAssocID="{EBACD624-AE81-4669-BB34-0697ACA34EB7}" presName="hierChild5" presStyleCnt="0"/>
      <dgm:spPr/>
    </dgm:pt>
    <dgm:pt modelId="{ED7FBAA4-2609-4054-8F19-265EF5A3E0B7}" type="pres">
      <dgm:prSet presAssocID="{732005AD-22A2-41FC-8702-B9E89CC7E787}" presName="Name64" presStyleLbl="parChTrans1D3" presStyleIdx="5" presStyleCnt="6"/>
      <dgm:spPr/>
    </dgm:pt>
    <dgm:pt modelId="{5A350D12-8E6A-4FC9-956C-E0AE3F31B634}" type="pres">
      <dgm:prSet presAssocID="{49CDEE11-D059-44AE-8046-8EEBD4C00308}" presName="hierRoot2" presStyleCnt="0">
        <dgm:presLayoutVars>
          <dgm:hierBranch val="init"/>
        </dgm:presLayoutVars>
      </dgm:prSet>
      <dgm:spPr/>
    </dgm:pt>
    <dgm:pt modelId="{B7808976-76E7-45C7-9323-704FEB8DAD8B}" type="pres">
      <dgm:prSet presAssocID="{49CDEE11-D059-44AE-8046-8EEBD4C00308}" presName="rootComposite" presStyleCnt="0"/>
      <dgm:spPr/>
    </dgm:pt>
    <dgm:pt modelId="{10BD5D58-5837-4CB4-BE10-529AE117AA16}" type="pres">
      <dgm:prSet presAssocID="{49CDEE11-D059-44AE-8046-8EEBD4C00308}" presName="rootText" presStyleLbl="node3" presStyleIdx="5" presStyleCnt="6">
        <dgm:presLayoutVars>
          <dgm:chPref val="3"/>
        </dgm:presLayoutVars>
      </dgm:prSet>
      <dgm:spPr/>
    </dgm:pt>
    <dgm:pt modelId="{9A9B91D4-157D-476A-95C3-4302F0C093E8}" type="pres">
      <dgm:prSet presAssocID="{49CDEE11-D059-44AE-8046-8EEBD4C00308}" presName="rootConnector" presStyleLbl="node3" presStyleIdx="5" presStyleCnt="6"/>
      <dgm:spPr/>
    </dgm:pt>
    <dgm:pt modelId="{B14C0EC0-9E73-4943-A255-81B939E4A305}" type="pres">
      <dgm:prSet presAssocID="{49CDEE11-D059-44AE-8046-8EEBD4C00308}" presName="hierChild4" presStyleCnt="0"/>
      <dgm:spPr/>
    </dgm:pt>
    <dgm:pt modelId="{99711510-502F-4E66-9F65-EC8C159EF741}" type="pres">
      <dgm:prSet presAssocID="{13ACB0FC-A5B7-4140-AE87-911692AE74DC}" presName="Name64" presStyleLbl="parChTrans1D4" presStyleIdx="5" presStyleCnt="9"/>
      <dgm:spPr/>
    </dgm:pt>
    <dgm:pt modelId="{2E5B7074-6F0C-4863-BD84-8029596963A2}" type="pres">
      <dgm:prSet presAssocID="{DA10F943-32FD-468C-8263-DD2B35906999}" presName="hierRoot2" presStyleCnt="0">
        <dgm:presLayoutVars>
          <dgm:hierBranch val="init"/>
        </dgm:presLayoutVars>
      </dgm:prSet>
      <dgm:spPr/>
    </dgm:pt>
    <dgm:pt modelId="{773C25C5-6130-42F0-A32A-6BC36E8E16B9}" type="pres">
      <dgm:prSet presAssocID="{DA10F943-32FD-468C-8263-DD2B35906999}" presName="rootComposite" presStyleCnt="0"/>
      <dgm:spPr/>
    </dgm:pt>
    <dgm:pt modelId="{B13021EE-AF4F-445B-A6BE-769DAC3AC10E}" type="pres">
      <dgm:prSet presAssocID="{DA10F943-32FD-468C-8263-DD2B35906999}" presName="rootText" presStyleLbl="node4" presStyleIdx="5" presStyleCnt="9">
        <dgm:presLayoutVars>
          <dgm:chPref val="3"/>
        </dgm:presLayoutVars>
      </dgm:prSet>
      <dgm:spPr/>
    </dgm:pt>
    <dgm:pt modelId="{59950A86-FE69-4B63-8419-041CE35F3134}" type="pres">
      <dgm:prSet presAssocID="{DA10F943-32FD-468C-8263-DD2B35906999}" presName="rootConnector" presStyleLbl="node4" presStyleIdx="5" presStyleCnt="9"/>
      <dgm:spPr/>
    </dgm:pt>
    <dgm:pt modelId="{D19E729E-6B4E-470A-BC0F-07BF94CE0CF5}" type="pres">
      <dgm:prSet presAssocID="{DA10F943-32FD-468C-8263-DD2B35906999}" presName="hierChild4" presStyleCnt="0"/>
      <dgm:spPr/>
    </dgm:pt>
    <dgm:pt modelId="{184DA0DA-658F-434F-9514-EFBC279BB37A}" type="pres">
      <dgm:prSet presAssocID="{FA7DB10B-994C-4F17-ABB6-E59087C85F35}" presName="Name64" presStyleLbl="parChTrans1D4" presStyleIdx="6" presStyleCnt="9"/>
      <dgm:spPr/>
    </dgm:pt>
    <dgm:pt modelId="{A4D5FBC9-DD2F-40B3-A5D1-8C6B3614AFD5}" type="pres">
      <dgm:prSet presAssocID="{68B3FF30-5550-4E10-B7F3-CC4597B4CE80}" presName="hierRoot2" presStyleCnt="0">
        <dgm:presLayoutVars>
          <dgm:hierBranch val="init"/>
        </dgm:presLayoutVars>
      </dgm:prSet>
      <dgm:spPr/>
    </dgm:pt>
    <dgm:pt modelId="{6F627811-3460-4A5B-86EF-567D01767D29}" type="pres">
      <dgm:prSet presAssocID="{68B3FF30-5550-4E10-B7F3-CC4597B4CE80}" presName="rootComposite" presStyleCnt="0"/>
      <dgm:spPr/>
    </dgm:pt>
    <dgm:pt modelId="{794FEF54-1970-466C-95E3-56A8AE623A41}" type="pres">
      <dgm:prSet presAssocID="{68B3FF30-5550-4E10-B7F3-CC4597B4CE80}" presName="rootText" presStyleLbl="node4" presStyleIdx="6" presStyleCnt="9" custScaleX="89085" custScaleY="150258">
        <dgm:presLayoutVars>
          <dgm:chPref val="3"/>
        </dgm:presLayoutVars>
      </dgm:prSet>
      <dgm:spPr/>
    </dgm:pt>
    <dgm:pt modelId="{83230973-4CB8-4F2A-A33D-67436B5938F5}" type="pres">
      <dgm:prSet presAssocID="{68B3FF30-5550-4E10-B7F3-CC4597B4CE80}" presName="rootConnector" presStyleLbl="node4" presStyleIdx="6" presStyleCnt="9"/>
      <dgm:spPr/>
    </dgm:pt>
    <dgm:pt modelId="{88C99FCB-D483-4886-89AE-C78AE75DD1BB}" type="pres">
      <dgm:prSet presAssocID="{68B3FF30-5550-4E10-B7F3-CC4597B4CE80}" presName="hierChild4" presStyleCnt="0"/>
      <dgm:spPr/>
    </dgm:pt>
    <dgm:pt modelId="{62B4B28A-E149-4CE9-8768-9425D5B3F5F4}" type="pres">
      <dgm:prSet presAssocID="{68B3FF30-5550-4E10-B7F3-CC4597B4CE80}" presName="hierChild5" presStyleCnt="0"/>
      <dgm:spPr/>
    </dgm:pt>
    <dgm:pt modelId="{C326F04E-EB20-4262-9119-A829313FD617}" type="pres">
      <dgm:prSet presAssocID="{CE78D2FE-F320-4ABB-837E-04DF1A6AD03D}" presName="Name64" presStyleLbl="parChTrans1D4" presStyleIdx="7" presStyleCnt="9"/>
      <dgm:spPr/>
    </dgm:pt>
    <dgm:pt modelId="{9FF6CD04-6909-42FE-8B9A-844512EA495C}" type="pres">
      <dgm:prSet presAssocID="{32C2F721-FACD-4A20-8289-ABDB581D2813}" presName="hierRoot2" presStyleCnt="0">
        <dgm:presLayoutVars>
          <dgm:hierBranch val="init"/>
        </dgm:presLayoutVars>
      </dgm:prSet>
      <dgm:spPr/>
    </dgm:pt>
    <dgm:pt modelId="{F5F0287D-1240-45A7-B88E-640592DE5E23}" type="pres">
      <dgm:prSet presAssocID="{32C2F721-FACD-4A20-8289-ABDB581D2813}" presName="rootComposite" presStyleCnt="0"/>
      <dgm:spPr/>
    </dgm:pt>
    <dgm:pt modelId="{090D39F3-0D70-4D3F-AEC3-14FD8CCD741C}" type="pres">
      <dgm:prSet presAssocID="{32C2F721-FACD-4A20-8289-ABDB581D2813}" presName="rootText" presStyleLbl="node4" presStyleIdx="7" presStyleCnt="9">
        <dgm:presLayoutVars>
          <dgm:chPref val="3"/>
        </dgm:presLayoutVars>
      </dgm:prSet>
      <dgm:spPr/>
    </dgm:pt>
    <dgm:pt modelId="{F5CD29C6-950F-4A0B-8326-7C4D4FDD4961}" type="pres">
      <dgm:prSet presAssocID="{32C2F721-FACD-4A20-8289-ABDB581D2813}" presName="rootConnector" presStyleLbl="node4" presStyleIdx="7" presStyleCnt="9"/>
      <dgm:spPr/>
    </dgm:pt>
    <dgm:pt modelId="{D22A4FAD-2539-429A-A467-651563D73C24}" type="pres">
      <dgm:prSet presAssocID="{32C2F721-FACD-4A20-8289-ABDB581D2813}" presName="hierChild4" presStyleCnt="0"/>
      <dgm:spPr/>
    </dgm:pt>
    <dgm:pt modelId="{A0E76D14-4668-4A98-AD6F-789E0F629AD9}" type="pres">
      <dgm:prSet presAssocID="{32C2F721-FACD-4A20-8289-ABDB581D2813}" presName="hierChild5" presStyleCnt="0"/>
      <dgm:spPr/>
    </dgm:pt>
    <dgm:pt modelId="{AF926C26-EBCD-41A8-B1B1-2E1A23CF6C61}" type="pres">
      <dgm:prSet presAssocID="{DA10F943-32FD-468C-8263-DD2B35906999}" presName="hierChild5" presStyleCnt="0"/>
      <dgm:spPr/>
    </dgm:pt>
    <dgm:pt modelId="{9C0DFE52-3CD7-4271-8678-4EF6A812B7D5}" type="pres">
      <dgm:prSet presAssocID="{3162A706-4C47-4B8E-9B05-5C4CD4B7A2C8}" presName="Name64" presStyleLbl="parChTrans1D4" presStyleIdx="8" presStyleCnt="9"/>
      <dgm:spPr/>
    </dgm:pt>
    <dgm:pt modelId="{7B5640C2-39CD-4472-8882-F0EF4E2CD2E5}" type="pres">
      <dgm:prSet presAssocID="{922B5BD4-AAF2-4481-8DCA-CC96C6FA19B0}" presName="hierRoot2" presStyleCnt="0">
        <dgm:presLayoutVars>
          <dgm:hierBranch val="init"/>
        </dgm:presLayoutVars>
      </dgm:prSet>
      <dgm:spPr/>
    </dgm:pt>
    <dgm:pt modelId="{5A8272E8-53BA-4CFD-BF3E-1A1371800788}" type="pres">
      <dgm:prSet presAssocID="{922B5BD4-AAF2-4481-8DCA-CC96C6FA19B0}" presName="rootComposite" presStyleCnt="0"/>
      <dgm:spPr/>
    </dgm:pt>
    <dgm:pt modelId="{C5DF67C3-323C-4CE7-8EA3-958D90D99F61}" type="pres">
      <dgm:prSet presAssocID="{922B5BD4-AAF2-4481-8DCA-CC96C6FA19B0}" presName="rootText" presStyleLbl="node4" presStyleIdx="8" presStyleCnt="9">
        <dgm:presLayoutVars>
          <dgm:chPref val="3"/>
        </dgm:presLayoutVars>
      </dgm:prSet>
      <dgm:spPr/>
    </dgm:pt>
    <dgm:pt modelId="{7A05B551-981E-4E4E-AD42-4F320C6C7F4B}" type="pres">
      <dgm:prSet presAssocID="{922B5BD4-AAF2-4481-8DCA-CC96C6FA19B0}" presName="rootConnector" presStyleLbl="node4" presStyleIdx="8" presStyleCnt="9"/>
      <dgm:spPr/>
    </dgm:pt>
    <dgm:pt modelId="{D2BFBD82-EC8E-4FEB-AFEF-0A202DC50DA7}" type="pres">
      <dgm:prSet presAssocID="{922B5BD4-AAF2-4481-8DCA-CC96C6FA19B0}" presName="hierChild4" presStyleCnt="0"/>
      <dgm:spPr/>
    </dgm:pt>
    <dgm:pt modelId="{9E022C2F-C2C7-450F-BDFA-8110A09E91C2}" type="pres">
      <dgm:prSet presAssocID="{922B5BD4-AAF2-4481-8DCA-CC96C6FA19B0}" presName="hierChild5" presStyleCnt="0"/>
      <dgm:spPr/>
    </dgm:pt>
    <dgm:pt modelId="{98AB8B99-EE5D-4A78-A588-36DD957C361C}" type="pres">
      <dgm:prSet presAssocID="{49CDEE11-D059-44AE-8046-8EEBD4C00308}" presName="hierChild5" presStyleCnt="0"/>
      <dgm:spPr/>
    </dgm:pt>
    <dgm:pt modelId="{BDEA7296-5730-4A10-B2F6-E4F237EEDFCB}" type="pres">
      <dgm:prSet presAssocID="{55A383DB-D359-4BC9-B8D7-3024965D947D}" presName="hierChild5" presStyleCnt="0"/>
      <dgm:spPr/>
    </dgm:pt>
    <dgm:pt modelId="{D12DFE35-8FEE-4D15-9048-144D09532933}" type="pres">
      <dgm:prSet presAssocID="{2FEF2FE9-699F-4CFF-A63A-EAB050C64AC2}" presName="hierChild3" presStyleCnt="0"/>
      <dgm:spPr/>
    </dgm:pt>
  </dgm:ptLst>
  <dgm:cxnLst>
    <dgm:cxn modelId="{94303102-1B06-492A-9CC9-FB305359D241}" type="presOf" srcId="{F931A749-10AD-4580-8ED3-0F62EADA7A75}" destId="{F98A0BF4-2BEB-429B-BC1C-5C88C98AEECB}" srcOrd="1" destOrd="0" presId="urn:microsoft.com/office/officeart/2009/3/layout/HorizontalOrganizationChart"/>
    <dgm:cxn modelId="{5BB14F08-3817-485E-875A-C64699D9B8A4}" type="presOf" srcId="{15BD2989-D66A-49A5-B087-EDF954EC3521}" destId="{74428ACB-39A1-4D9F-BFF0-FBC11A1A2B5E}" srcOrd="0" destOrd="0" presId="urn:microsoft.com/office/officeart/2009/3/layout/HorizontalOrganizationChart"/>
    <dgm:cxn modelId="{BD51140B-77F2-4AA5-97C5-1BCC542F9B9E}" type="presOf" srcId="{922B5BD4-AAF2-4481-8DCA-CC96C6FA19B0}" destId="{7A05B551-981E-4E4E-AD42-4F320C6C7F4B}" srcOrd="1" destOrd="0" presId="urn:microsoft.com/office/officeart/2009/3/layout/HorizontalOrganizationChart"/>
    <dgm:cxn modelId="{41A0070C-A953-4E91-B44B-DB7A34262E00}" srcId="{2FEF2FE9-699F-4CFF-A63A-EAB050C64AC2}" destId="{8285D7F8-93AB-4E84-823C-4BA10AF8F079}" srcOrd="1" destOrd="0" parTransId="{48DBCC8E-2A39-4283-A375-2D8C40F4C459}" sibTransId="{CE3F5752-B4A2-4500-8168-A92CAD70ECDD}"/>
    <dgm:cxn modelId="{E2D3620C-0F1F-4CEB-8B60-8BCA0846F4D3}" srcId="{797BA6DB-5700-4058-BFA1-E60664F6AA2C}" destId="{ACE9A293-4FEB-469C-A2B8-C273F93D3F5F}" srcOrd="0" destOrd="0" parTransId="{B1CC613C-32AC-43D4-B5DD-F32A8FA7C5DB}" sibTransId="{8C5B4A89-F296-4660-8E09-A605EC57F32F}"/>
    <dgm:cxn modelId="{91AD940C-FB58-49CF-BB1C-09EC67723C51}" type="presOf" srcId="{68B3FF30-5550-4E10-B7F3-CC4597B4CE80}" destId="{794FEF54-1970-466C-95E3-56A8AE623A41}" srcOrd="0" destOrd="0" presId="urn:microsoft.com/office/officeart/2009/3/layout/HorizontalOrganizationChart"/>
    <dgm:cxn modelId="{AE06870E-AD83-4A34-BF43-43982247856F}" srcId="{DA10F943-32FD-468C-8263-DD2B35906999}" destId="{32C2F721-FACD-4A20-8289-ABDB581D2813}" srcOrd="1" destOrd="0" parTransId="{CE78D2FE-F320-4ABB-837E-04DF1A6AD03D}" sibTransId="{0831B5BB-3E79-4FB0-9343-57066485B067}"/>
    <dgm:cxn modelId="{FF47E410-38E3-4671-98AE-0086462F9AA9}" type="presOf" srcId="{A366242A-0759-4969-B846-CA3914829EDB}" destId="{010C23A6-49F9-436D-A1AA-786A241D90BC}" srcOrd="0" destOrd="0" presId="urn:microsoft.com/office/officeart/2009/3/layout/HorizontalOrganizationChart"/>
    <dgm:cxn modelId="{01DDE81F-46B2-4646-A983-0234B203AF40}" type="presOf" srcId="{49CDEE11-D059-44AE-8046-8EEBD4C00308}" destId="{9A9B91D4-157D-476A-95C3-4302F0C093E8}" srcOrd="1" destOrd="0" presId="urn:microsoft.com/office/officeart/2009/3/layout/HorizontalOrganizationChart"/>
    <dgm:cxn modelId="{85DCF121-964F-456D-99CA-1296C3479E89}" type="presOf" srcId="{ADB06DFC-30C5-405F-8454-CA53EC969428}" destId="{DECAFED5-36A3-43D1-840E-5225DED37186}" srcOrd="0" destOrd="0" presId="urn:microsoft.com/office/officeart/2009/3/layout/HorizontalOrganizationChart"/>
    <dgm:cxn modelId="{5C0C432D-4A57-4C33-BC62-85F2DB640DA1}" type="presOf" srcId="{55A383DB-D359-4BC9-B8D7-3024965D947D}" destId="{DFFA0DD8-6E69-4DA3-BBA7-5D78DEBF4BEF}" srcOrd="1" destOrd="0" presId="urn:microsoft.com/office/officeart/2009/3/layout/HorizontalOrganizationChart"/>
    <dgm:cxn modelId="{8FFDBB34-4859-4CAF-BB03-94794F3E2DB6}" srcId="{2FEF2FE9-699F-4CFF-A63A-EAB050C64AC2}" destId="{55A383DB-D359-4BC9-B8D7-3024965D947D}" srcOrd="2" destOrd="0" parTransId="{282C920D-CC59-4F73-9E45-E9719983515C}" sibTransId="{B9552EDE-F649-4D54-BD26-728506FD8945}"/>
    <dgm:cxn modelId="{9F512235-1CDE-4F8B-9BAD-2F0E33A4E0E4}" srcId="{8285D7F8-93AB-4E84-823C-4BA10AF8F079}" destId="{6D6922CD-6FD0-45F8-B49E-0FAA69C7A4DB}" srcOrd="0" destOrd="0" parTransId="{12103FF4-9811-4ABB-B2E5-8AB0E6A677AF}" sibTransId="{EAA10D02-25A9-45FC-9E3B-0377FA8530F9}"/>
    <dgm:cxn modelId="{8399E736-EB2A-4667-93F5-2C1C249FED8C}" type="presOf" srcId="{4CE7EEEA-0A13-48A7-A372-8CFDFDF7EB87}" destId="{1B1DC458-D621-409E-926B-D8C72A4E4110}" srcOrd="1" destOrd="0" presId="urn:microsoft.com/office/officeart/2009/3/layout/HorizontalOrganizationChart"/>
    <dgm:cxn modelId="{B71D8638-D405-4104-A4EE-1410238E23D6}" type="presOf" srcId="{732005AD-22A2-41FC-8702-B9E89CC7E787}" destId="{ED7FBAA4-2609-4054-8F19-265EF5A3E0B7}" srcOrd="0" destOrd="0" presId="urn:microsoft.com/office/officeart/2009/3/layout/HorizontalOrganizationChart"/>
    <dgm:cxn modelId="{56ACBD39-74F8-4407-9FF0-F59E9F45784E}" type="presOf" srcId="{DFD6B1D6-C9B4-467E-95D2-4729AF61288D}" destId="{44E64105-AF2B-4403-BD8D-518170283816}" srcOrd="1" destOrd="0" presId="urn:microsoft.com/office/officeart/2009/3/layout/HorizontalOrganizationChart"/>
    <dgm:cxn modelId="{2B0B9140-1C1D-4E64-8C66-623EEE1E9104}" type="presOf" srcId="{EBACD624-AE81-4669-BB34-0697ACA34EB7}" destId="{40CDEE43-1089-4377-9263-46138ACF3E63}" srcOrd="1" destOrd="0" presId="urn:microsoft.com/office/officeart/2009/3/layout/HorizontalOrganizationChart"/>
    <dgm:cxn modelId="{151B0B63-1A57-4623-8AEE-E245FDA10901}" type="presOf" srcId="{F345C239-8EEC-407F-85CC-8617C574FA94}" destId="{4917005F-4937-43DC-92DA-9B335630BD53}" srcOrd="1" destOrd="0" presId="urn:microsoft.com/office/officeart/2009/3/layout/HorizontalOrganizationChart"/>
    <dgm:cxn modelId="{AC26CF64-8DE3-4A2D-B982-00E276203EC5}" type="presOf" srcId="{12103FF4-9811-4ABB-B2E5-8AB0E6A677AF}" destId="{FF331EEA-6250-4777-A553-3C24FA377266}" srcOrd="0" destOrd="0" presId="urn:microsoft.com/office/officeart/2009/3/layout/HorizontalOrganizationChart"/>
    <dgm:cxn modelId="{7C320248-D5AC-4464-8FDF-162BE5FFD047}" type="presOf" srcId="{F931A749-10AD-4580-8ED3-0F62EADA7A75}" destId="{0AE48DB2-4DD3-47BC-89AB-A8F1626A99FB}" srcOrd="0" destOrd="0" presId="urn:microsoft.com/office/officeart/2009/3/layout/HorizontalOrganizationChart"/>
    <dgm:cxn modelId="{54107C49-FFD1-4D84-84FA-0A66731C98D2}" srcId="{55A383DB-D359-4BC9-B8D7-3024965D947D}" destId="{49CDEE11-D059-44AE-8046-8EEBD4C00308}" srcOrd="1" destOrd="0" parTransId="{732005AD-22A2-41FC-8702-B9E89CC7E787}" sibTransId="{DF000736-84B6-48C0-B797-75BE1FDEC613}"/>
    <dgm:cxn modelId="{56648F49-32DE-478C-81B1-354B8E23C585}" type="presOf" srcId="{CE78D2FE-F320-4ABB-837E-04DF1A6AD03D}" destId="{C326F04E-EB20-4262-9119-A829313FD617}" srcOrd="0" destOrd="0" presId="urn:microsoft.com/office/officeart/2009/3/layout/HorizontalOrganizationChart"/>
    <dgm:cxn modelId="{2F59E449-E3F2-4A61-90C1-E502A3F99272}" type="presOf" srcId="{797BA6DB-5700-4058-BFA1-E60664F6AA2C}" destId="{656D8DA1-49A4-464A-B9BD-3AEBE4B38A64}" srcOrd="1" destOrd="0" presId="urn:microsoft.com/office/officeart/2009/3/layout/HorizontalOrganizationChart"/>
    <dgm:cxn modelId="{69ADFB6E-0621-4F48-B99C-164EF486DBCA}" type="presOf" srcId="{D2B6CCD6-6644-4CD0-BB2D-CD120B973D35}" destId="{D553EFD0-49ED-4BEF-9270-0B3563F05165}" srcOrd="0" destOrd="0" presId="urn:microsoft.com/office/officeart/2009/3/layout/HorizontalOrganizationChart"/>
    <dgm:cxn modelId="{BED2E170-DE0C-4FEC-B7D5-ACFAF641CE5F}" type="presOf" srcId="{C7CD1CE9-15AD-459C-AAC6-37F34F604077}" destId="{C684F809-E266-4397-A1C5-BF7FE76EC402}" srcOrd="0" destOrd="0" presId="urn:microsoft.com/office/officeart/2009/3/layout/HorizontalOrganizationChart"/>
    <dgm:cxn modelId="{9A68B371-2898-428B-817C-AE6186D1FE92}" type="presOf" srcId="{ACE9A293-4FEB-469C-A2B8-C273F93D3F5F}" destId="{06C95765-5698-4974-B8C3-E41C74713223}" srcOrd="0" destOrd="0" presId="urn:microsoft.com/office/officeart/2009/3/layout/HorizontalOrganizationChart"/>
    <dgm:cxn modelId="{99C52052-F2DF-4417-B046-F2BADA863198}" srcId="{8285D7F8-93AB-4E84-823C-4BA10AF8F079}" destId="{DFD6B1D6-C9B4-467E-95D2-4729AF61288D}" srcOrd="1" destOrd="0" parTransId="{D2B6CCD6-6644-4CD0-BB2D-CD120B973D35}" sibTransId="{6F342780-D222-4341-B7DB-4B4BB6F9322D}"/>
    <dgm:cxn modelId="{7F647252-553B-4C55-8899-73082739F668}" type="presOf" srcId="{099BDAF2-0DB8-4853-92A2-D0E698FC29F5}" destId="{139880AD-280B-4164-B0F8-4276C4D0DD62}" srcOrd="0" destOrd="0" presId="urn:microsoft.com/office/officeart/2009/3/layout/HorizontalOrganizationChart"/>
    <dgm:cxn modelId="{F4137F54-1EEF-4702-821F-00CC6589FB00}" srcId="{A366242A-0759-4969-B846-CA3914829EDB}" destId="{2FEF2FE9-699F-4CFF-A63A-EAB050C64AC2}" srcOrd="0" destOrd="0" parTransId="{7F2ADCCB-88F6-49E2-B1A2-198E7F6F0BB9}" sibTransId="{5F50F340-CF23-43E6-A69A-DBC145856616}"/>
    <dgm:cxn modelId="{C7194555-8D25-477B-88AB-E1BBF677E2D5}" type="presOf" srcId="{13ACB0FC-A5B7-4140-AE87-911692AE74DC}" destId="{99711510-502F-4E66-9F65-EC8C159EF741}" srcOrd="0" destOrd="0" presId="urn:microsoft.com/office/officeart/2009/3/layout/HorizontalOrganizationChart"/>
    <dgm:cxn modelId="{72EB5677-B15C-4F93-B407-26D542197DFE}" srcId="{15BD2989-D66A-49A5-B087-EDF954EC3521}" destId="{ADB06DFC-30C5-405F-8454-CA53EC969428}" srcOrd="0" destOrd="0" parTransId="{3FBB70E9-5329-41A1-88CA-30B01A5829A6}" sibTransId="{9BE51772-A01B-4F7D-B680-F92287BD480E}"/>
    <dgm:cxn modelId="{C9747285-1D17-4C9A-A5D9-13539C85E968}" srcId="{F931A749-10AD-4580-8ED3-0F62EADA7A75}" destId="{F345C239-8EEC-407F-85CC-8617C574FA94}" srcOrd="1" destOrd="0" parTransId="{E30CCDB6-DF26-4A23-9CA9-CEB8C530E6E3}" sibTransId="{4E408544-AAF1-4837-842C-CA11870DBCC9}"/>
    <dgm:cxn modelId="{52E7C986-7A5C-4B04-AEE3-92036BD89ADE}" type="presOf" srcId="{2FEF2FE9-699F-4CFF-A63A-EAB050C64AC2}" destId="{EF7535A5-C3E3-420D-B203-D4CEC101AEAE}" srcOrd="0" destOrd="0" presId="urn:microsoft.com/office/officeart/2009/3/layout/HorizontalOrganizationChart"/>
    <dgm:cxn modelId="{F2A56991-CE79-4EA8-B5CC-ED040223654A}" type="presOf" srcId="{DA10F943-32FD-468C-8263-DD2B35906999}" destId="{B13021EE-AF4F-445B-A6BE-769DAC3AC10E}" srcOrd="0" destOrd="0" presId="urn:microsoft.com/office/officeart/2009/3/layout/HorizontalOrganizationChart"/>
    <dgm:cxn modelId="{2A60C791-A1DD-4C17-9CDD-810355B686AA}" type="presOf" srcId="{E95A4630-37DE-446C-BD77-8ED06C49CBB5}" destId="{E7F50ABF-3A78-4417-8BD0-82732599FA9F}" srcOrd="0" destOrd="0" presId="urn:microsoft.com/office/officeart/2009/3/layout/HorizontalOrganizationChart"/>
    <dgm:cxn modelId="{E972EC92-486C-412E-A9BF-F33C47CCD3D9}" type="presOf" srcId="{0BA1F9CC-BE5D-4813-88E3-58BFF0ED96C7}" destId="{4B347790-B08B-40A3-A3FB-959898DE104B}" srcOrd="0" destOrd="0" presId="urn:microsoft.com/office/officeart/2009/3/layout/HorizontalOrganizationChart"/>
    <dgm:cxn modelId="{41A44F93-2EEC-489B-9373-6A0CFC9EE011}" srcId="{DA10F943-32FD-468C-8263-DD2B35906999}" destId="{68B3FF30-5550-4E10-B7F3-CC4597B4CE80}" srcOrd="0" destOrd="0" parTransId="{FA7DB10B-994C-4F17-ABB6-E59087C85F35}" sibTransId="{25C6B9BA-1A93-4BEB-AFFE-592A4F5EB59A}"/>
    <dgm:cxn modelId="{39EDF695-CC93-4CE9-92F3-16BAC13894DD}" type="presOf" srcId="{922B5BD4-AAF2-4481-8DCA-CC96C6FA19B0}" destId="{C5DF67C3-323C-4CE7-8EA3-958D90D99F61}" srcOrd="0" destOrd="0" presId="urn:microsoft.com/office/officeart/2009/3/layout/HorizontalOrganizationChart"/>
    <dgm:cxn modelId="{9147B1A0-C0E6-4414-AEF0-CBDCC9360F01}" type="presOf" srcId="{797BA6DB-5700-4058-BFA1-E60664F6AA2C}" destId="{562358CD-5E48-4C2E-8BEB-EC194AF9FA20}" srcOrd="0" destOrd="0" presId="urn:microsoft.com/office/officeart/2009/3/layout/HorizontalOrganizationChart"/>
    <dgm:cxn modelId="{D40991A2-7137-4B32-AA09-7AB614E185BE}" type="presOf" srcId="{B397EFF5-A07F-4535-B1D7-E8EB9D00FE9C}" destId="{4D835C22-7051-4961-A3D2-BD9419464458}" srcOrd="0" destOrd="0" presId="urn:microsoft.com/office/officeart/2009/3/layout/HorizontalOrganizationChart"/>
    <dgm:cxn modelId="{064DA0A2-46C5-44A4-AA64-4B56B7319C49}" type="presOf" srcId="{3FBB70E9-5329-41A1-88CA-30B01A5829A6}" destId="{95A74080-6318-41E4-82B6-80ED53037DAC}" srcOrd="0" destOrd="0" presId="urn:microsoft.com/office/officeart/2009/3/layout/HorizontalOrganizationChart"/>
    <dgm:cxn modelId="{D73F7EA6-81EB-4E3C-9E0C-2E4C2834659F}" srcId="{55A383DB-D359-4BC9-B8D7-3024965D947D}" destId="{EBACD624-AE81-4669-BB34-0697ACA34EB7}" srcOrd="0" destOrd="0" parTransId="{E95A4630-37DE-446C-BD77-8ED06C49CBB5}" sibTransId="{20A94D9A-B810-4506-990D-A245127D67B3}"/>
    <dgm:cxn modelId="{D33976A7-AA0E-45B8-B09B-8AFC8B31432A}" type="presOf" srcId="{55A383DB-D359-4BC9-B8D7-3024965D947D}" destId="{5F01455C-D264-4492-836F-B9BADA6485A8}" srcOrd="0" destOrd="0" presId="urn:microsoft.com/office/officeart/2009/3/layout/HorizontalOrganizationChart"/>
    <dgm:cxn modelId="{E87F9EAA-E1BE-400C-A72A-61AA373A1323}" type="presOf" srcId="{DFD6B1D6-C9B4-467E-95D2-4729AF61288D}" destId="{92B9FE5E-7F08-449D-BA7B-D4CAEF65359F}" srcOrd="0" destOrd="0" presId="urn:microsoft.com/office/officeart/2009/3/layout/HorizontalOrganizationChart"/>
    <dgm:cxn modelId="{F58209AD-CD69-4ECA-87A7-916DEB0E8DC9}" type="presOf" srcId="{F345C239-8EEC-407F-85CC-8617C574FA94}" destId="{79911539-42B6-4FEC-A165-673BDAD57567}" srcOrd="0" destOrd="0" presId="urn:microsoft.com/office/officeart/2009/3/layout/HorizontalOrganizationChart"/>
    <dgm:cxn modelId="{F6FFD9AD-A427-47A4-9D98-D54E7E714328}" type="presOf" srcId="{32C2F721-FACD-4A20-8289-ABDB581D2813}" destId="{F5CD29C6-950F-4A0B-8326-7C4D4FDD4961}" srcOrd="1" destOrd="0" presId="urn:microsoft.com/office/officeart/2009/3/layout/HorizontalOrganizationChart"/>
    <dgm:cxn modelId="{83650BAE-B6DC-46BB-8A44-70A21AAEC3CA}" type="presOf" srcId="{B1CC613C-32AC-43D4-B5DD-F32A8FA7C5DB}" destId="{A6CE4A58-5AB8-4A24-A192-DF512C88F53E}" srcOrd="0" destOrd="0" presId="urn:microsoft.com/office/officeart/2009/3/layout/HorizontalOrganizationChart"/>
    <dgm:cxn modelId="{B11220B4-86CD-4D64-B8CD-31FC1A01E34C}" type="presOf" srcId="{6D6922CD-6FD0-45F8-B49E-0FAA69C7A4DB}" destId="{16DA5867-6A4A-49B5-B6BA-B86E561657F3}" srcOrd="1" destOrd="0" presId="urn:microsoft.com/office/officeart/2009/3/layout/HorizontalOrganizationChart"/>
    <dgm:cxn modelId="{E7F95EBA-7AF7-4EEB-9F88-8A16D26BD4E7}" type="presOf" srcId="{C7CD1CE9-15AD-459C-AAC6-37F34F604077}" destId="{73830BF8-1E0B-47E8-9963-95D22266FA2F}" srcOrd="1" destOrd="0" presId="urn:microsoft.com/office/officeart/2009/3/layout/HorizontalOrganizationChart"/>
    <dgm:cxn modelId="{3BECBFBA-2A97-48C2-9119-7E07964EA19D}" type="presOf" srcId="{DA10F943-32FD-468C-8263-DD2B35906999}" destId="{59950A86-FE69-4B63-8419-041CE35F3134}" srcOrd="1" destOrd="0" presId="urn:microsoft.com/office/officeart/2009/3/layout/HorizontalOrganizationChart"/>
    <dgm:cxn modelId="{3F8632BE-CD9C-4356-9A37-ECFB4038F763}" srcId="{797BA6DB-5700-4058-BFA1-E60664F6AA2C}" destId="{4CE7EEEA-0A13-48A7-A372-8CFDFDF7EB87}" srcOrd="2" destOrd="0" parTransId="{B397EFF5-A07F-4535-B1D7-E8EB9D00FE9C}" sibTransId="{999604C3-F770-4789-A975-0700E439D225}"/>
    <dgm:cxn modelId="{6AB216C1-E468-45F6-A98A-FC3893D53F51}" type="presOf" srcId="{49CDEE11-D059-44AE-8046-8EEBD4C00308}" destId="{10BD5D58-5837-4CB4-BE10-529AE117AA16}" srcOrd="0" destOrd="0" presId="urn:microsoft.com/office/officeart/2009/3/layout/HorizontalOrganizationChart"/>
    <dgm:cxn modelId="{010A19C1-31CD-4FCF-AA08-1EBCD4D8AF1B}" type="presOf" srcId="{32C2F721-FACD-4A20-8289-ABDB581D2813}" destId="{090D39F3-0D70-4D3F-AEC3-14FD8CCD741C}" srcOrd="0" destOrd="0" presId="urn:microsoft.com/office/officeart/2009/3/layout/HorizontalOrganizationChart"/>
    <dgm:cxn modelId="{950FACC2-E9DA-46E1-A209-35499E3B1D0A}" type="presOf" srcId="{68B3FF30-5550-4E10-B7F3-CC4597B4CE80}" destId="{83230973-4CB8-4F2A-A33D-67436B5938F5}" srcOrd="1" destOrd="0" presId="urn:microsoft.com/office/officeart/2009/3/layout/HorizontalOrganizationChart"/>
    <dgm:cxn modelId="{881870C4-88F5-4E40-B8CE-7A58AED68735}" type="presOf" srcId="{48DBCC8E-2A39-4283-A375-2D8C40F4C459}" destId="{BE02FCB3-8E3C-446F-8D0D-3C9C27FEEECB}" srcOrd="0" destOrd="0" presId="urn:microsoft.com/office/officeart/2009/3/layout/HorizontalOrganizationChart"/>
    <dgm:cxn modelId="{0C2286C7-77B7-4C52-8388-B777F529E612}" type="presOf" srcId="{282C920D-CC59-4F73-9E45-E9719983515C}" destId="{B4494852-DD2E-4D0C-863B-259616D436B6}" srcOrd="0" destOrd="0" presId="urn:microsoft.com/office/officeart/2009/3/layout/HorizontalOrganizationChart"/>
    <dgm:cxn modelId="{5D97E9C7-7026-46BC-A430-0CB57671E7C8}" type="presOf" srcId="{ACE9A293-4FEB-469C-A2B8-C273F93D3F5F}" destId="{8B95AAAF-59E5-4A85-8BAA-1C4223F8C5A7}" srcOrd="1" destOrd="0" presId="urn:microsoft.com/office/officeart/2009/3/layout/HorizontalOrganizationChart"/>
    <dgm:cxn modelId="{8F9230C8-75A9-4E15-BC38-F8E2BAE36B42}" type="presOf" srcId="{EBACD624-AE81-4669-BB34-0697ACA34EB7}" destId="{0D8DB516-4D17-4726-AE10-AFD4A451E2B4}" srcOrd="0" destOrd="0" presId="urn:microsoft.com/office/officeart/2009/3/layout/HorizontalOrganizationChart"/>
    <dgm:cxn modelId="{F5F57ECA-C010-4246-A048-9C879CD48DDE}" type="presOf" srcId="{6D6922CD-6FD0-45F8-B49E-0FAA69C7A4DB}" destId="{8777557A-E260-46BC-B56D-22FA5D2CD558}" srcOrd="0" destOrd="0" presId="urn:microsoft.com/office/officeart/2009/3/layout/HorizontalOrganizationChart"/>
    <dgm:cxn modelId="{147303CB-5BB9-4AE2-964B-EE2BB3DECA07}" type="presOf" srcId="{D0FCBBF6-FA26-4E87-96D4-D498FCCBCA40}" destId="{EB4CC7D2-0F21-4994-902A-935ED6A3936E}" srcOrd="0" destOrd="0" presId="urn:microsoft.com/office/officeart/2009/3/layout/HorizontalOrganizationChart"/>
    <dgm:cxn modelId="{43B17BD1-EC6F-4A8C-B4E5-C1F0508E3036}" srcId="{F931A749-10AD-4580-8ED3-0F62EADA7A75}" destId="{797BA6DB-5700-4058-BFA1-E60664F6AA2C}" srcOrd="0" destOrd="0" parTransId="{099BDAF2-0DB8-4853-92A2-D0E698FC29F5}" sibTransId="{8DC2BAAF-AA87-4F2F-8956-093ABAC31202}"/>
    <dgm:cxn modelId="{A3E4FAD6-D1BA-41BE-BD64-89456D236C56}" srcId="{15BD2989-D66A-49A5-B087-EDF954EC3521}" destId="{C7CD1CE9-15AD-459C-AAC6-37F34F604077}" srcOrd="1" destOrd="0" parTransId="{0BA1F9CC-BE5D-4813-88E3-58BFF0ED96C7}" sibTransId="{12BCFD2A-11EA-48DE-B101-DA679A1E86D8}"/>
    <dgm:cxn modelId="{3A2CA5D9-173E-4379-B098-3D71C71F0893}" srcId="{49CDEE11-D059-44AE-8046-8EEBD4C00308}" destId="{922B5BD4-AAF2-4481-8DCA-CC96C6FA19B0}" srcOrd="1" destOrd="0" parTransId="{3162A706-4C47-4B8E-9B05-5C4CD4B7A2C8}" sibTransId="{CE629D21-E692-40B8-B04E-51214B4E393C}"/>
    <dgm:cxn modelId="{1C2399E2-85D1-4B98-B6EF-4E46CB98D782}" type="presOf" srcId="{14B82652-9ED6-47A2-9C8E-82E1365BC914}" destId="{AA49E2A5-DA30-4E82-B780-E470DBE0D233}" srcOrd="0" destOrd="0" presId="urn:microsoft.com/office/officeart/2009/3/layout/HorizontalOrganizationChart"/>
    <dgm:cxn modelId="{A43E3FE4-2D3A-4FBD-B84B-CB73FBE179E5}" type="presOf" srcId="{E30CCDB6-DF26-4A23-9CA9-CEB8C530E6E3}" destId="{0BF64288-AC3E-48FA-8389-337BFBAF31A4}" srcOrd="0" destOrd="0" presId="urn:microsoft.com/office/officeart/2009/3/layout/HorizontalOrganizationChart"/>
    <dgm:cxn modelId="{43BFC9E5-F012-4C13-BC13-42884A884DD6}" srcId="{49CDEE11-D059-44AE-8046-8EEBD4C00308}" destId="{DA10F943-32FD-468C-8263-DD2B35906999}" srcOrd="0" destOrd="0" parTransId="{13ACB0FC-A5B7-4140-AE87-911692AE74DC}" sibTransId="{4742BEDD-9980-40F9-B490-56BDBA859E24}"/>
    <dgm:cxn modelId="{506574E8-C318-492B-8A58-59C9781C3787}" type="presOf" srcId="{8285D7F8-93AB-4E84-823C-4BA10AF8F079}" destId="{911BC424-4054-4446-9ACC-F85956BF26CB}" srcOrd="1" destOrd="0" presId="urn:microsoft.com/office/officeart/2009/3/layout/HorizontalOrganizationChart"/>
    <dgm:cxn modelId="{65D591E8-7737-4D7A-BC1F-A8D93D7B01F6}" type="presOf" srcId="{FA7DB10B-994C-4F17-ABB6-E59087C85F35}" destId="{184DA0DA-658F-434F-9514-EFBC279BB37A}" srcOrd="0" destOrd="0" presId="urn:microsoft.com/office/officeart/2009/3/layout/HorizontalOrganizationChart"/>
    <dgm:cxn modelId="{A6DBA2E9-C5DA-4666-B671-6DB9F373DB7F}" type="presOf" srcId="{2FEF2FE9-699F-4CFF-A63A-EAB050C64AC2}" destId="{041CC477-E69B-45E5-9372-FA5C536AF734}" srcOrd="1" destOrd="0" presId="urn:microsoft.com/office/officeart/2009/3/layout/HorizontalOrganizationChart"/>
    <dgm:cxn modelId="{B08C31F1-54AB-49A2-8B52-A71082C3D4DA}" type="presOf" srcId="{8285D7F8-93AB-4E84-823C-4BA10AF8F079}" destId="{4846CD58-8E3C-4514-8D54-C20E243DFFFC}" srcOrd="0" destOrd="0" presId="urn:microsoft.com/office/officeart/2009/3/layout/HorizontalOrganizationChart"/>
    <dgm:cxn modelId="{A83DC0F1-A470-4E0A-AEC2-786BBA6BB01E}" srcId="{2FEF2FE9-699F-4CFF-A63A-EAB050C64AC2}" destId="{F931A749-10AD-4580-8ED3-0F62EADA7A75}" srcOrd="0" destOrd="0" parTransId="{D0FCBBF6-FA26-4E87-96D4-D498FCCBCA40}" sibTransId="{991B82C3-CEFA-44DA-8F2C-9BD54E8D5255}"/>
    <dgm:cxn modelId="{7A30FDF1-4AC0-4115-BC36-9A99D9B5B7EB}" type="presOf" srcId="{ADB06DFC-30C5-405F-8454-CA53EC969428}" destId="{800A7E29-14BA-45B3-B09A-4C83E342FB85}" srcOrd="1" destOrd="0" presId="urn:microsoft.com/office/officeart/2009/3/layout/HorizontalOrganizationChart"/>
    <dgm:cxn modelId="{86DF72F9-9BFE-43BF-972C-E70544E67FC5}" srcId="{797BA6DB-5700-4058-BFA1-E60664F6AA2C}" destId="{15BD2989-D66A-49A5-B087-EDF954EC3521}" srcOrd="1" destOrd="0" parTransId="{14B82652-9ED6-47A2-9C8E-82E1365BC914}" sibTransId="{14870EC1-AFA4-48E3-9A63-FDFB3A1F0DC4}"/>
    <dgm:cxn modelId="{69E074F9-B154-4857-B347-1DEBB4946589}" type="presOf" srcId="{4CE7EEEA-0A13-48A7-A372-8CFDFDF7EB87}" destId="{777BFF2D-1FA7-421B-BA45-F44133EF915B}" srcOrd="0" destOrd="0" presId="urn:microsoft.com/office/officeart/2009/3/layout/HorizontalOrganizationChart"/>
    <dgm:cxn modelId="{652DDFFE-901B-4CE7-B87B-F27C3B567089}" type="presOf" srcId="{15BD2989-D66A-49A5-B087-EDF954EC3521}" destId="{F9C398E9-6931-45A9-92DE-2185A6303A5F}" srcOrd="1" destOrd="0" presId="urn:microsoft.com/office/officeart/2009/3/layout/HorizontalOrganizationChart"/>
    <dgm:cxn modelId="{EC4544FF-CCB9-49B6-BDEA-AD9637BCB8FC}" type="presOf" srcId="{3162A706-4C47-4B8E-9B05-5C4CD4B7A2C8}" destId="{9C0DFE52-3CD7-4271-8678-4EF6A812B7D5}" srcOrd="0" destOrd="0" presId="urn:microsoft.com/office/officeart/2009/3/layout/HorizontalOrganizationChart"/>
    <dgm:cxn modelId="{A92822F1-CBC2-4C27-876D-137EC05CDBAE}" type="presParOf" srcId="{010C23A6-49F9-436D-A1AA-786A241D90BC}" destId="{70C43515-9189-4A02-B5CB-776FB77DC340}" srcOrd="0" destOrd="0" presId="urn:microsoft.com/office/officeart/2009/3/layout/HorizontalOrganizationChart"/>
    <dgm:cxn modelId="{DB4DF513-F4B1-493E-B671-1B09D57E3736}" type="presParOf" srcId="{70C43515-9189-4A02-B5CB-776FB77DC340}" destId="{4B6D15EF-FD93-4C6F-9EC3-AB7A510A7643}" srcOrd="0" destOrd="0" presId="urn:microsoft.com/office/officeart/2009/3/layout/HorizontalOrganizationChart"/>
    <dgm:cxn modelId="{07927999-0B65-41EA-B037-985F42BB3670}" type="presParOf" srcId="{4B6D15EF-FD93-4C6F-9EC3-AB7A510A7643}" destId="{EF7535A5-C3E3-420D-B203-D4CEC101AEAE}" srcOrd="0" destOrd="0" presId="urn:microsoft.com/office/officeart/2009/3/layout/HorizontalOrganizationChart"/>
    <dgm:cxn modelId="{75046643-9833-4F76-9BF2-E1F465845F10}" type="presParOf" srcId="{4B6D15EF-FD93-4C6F-9EC3-AB7A510A7643}" destId="{041CC477-E69B-45E5-9372-FA5C536AF734}" srcOrd="1" destOrd="0" presId="urn:microsoft.com/office/officeart/2009/3/layout/HorizontalOrganizationChart"/>
    <dgm:cxn modelId="{8BEC3C47-8BC4-4F82-A31A-50A3F0058276}" type="presParOf" srcId="{70C43515-9189-4A02-B5CB-776FB77DC340}" destId="{4E86F819-38FE-4B11-BB27-A529B5FC815B}" srcOrd="1" destOrd="0" presId="urn:microsoft.com/office/officeart/2009/3/layout/HorizontalOrganizationChart"/>
    <dgm:cxn modelId="{5181B657-3D32-4BBC-98B3-482B38982286}" type="presParOf" srcId="{4E86F819-38FE-4B11-BB27-A529B5FC815B}" destId="{EB4CC7D2-0F21-4994-902A-935ED6A3936E}" srcOrd="0" destOrd="0" presId="urn:microsoft.com/office/officeart/2009/3/layout/HorizontalOrganizationChart"/>
    <dgm:cxn modelId="{E6162858-D91F-43BE-A6CD-911071D6F596}" type="presParOf" srcId="{4E86F819-38FE-4B11-BB27-A529B5FC815B}" destId="{803B1596-96A4-403A-8D62-080628B0C268}" srcOrd="1" destOrd="0" presId="urn:microsoft.com/office/officeart/2009/3/layout/HorizontalOrganizationChart"/>
    <dgm:cxn modelId="{BE2996B7-104F-4FFE-9E87-5BDCF46581CD}" type="presParOf" srcId="{803B1596-96A4-403A-8D62-080628B0C268}" destId="{F03AEAE2-1412-4376-8F9F-14E2C0841AAD}" srcOrd="0" destOrd="0" presId="urn:microsoft.com/office/officeart/2009/3/layout/HorizontalOrganizationChart"/>
    <dgm:cxn modelId="{3652EEB6-DCCE-4F7C-A736-748F70222EAB}" type="presParOf" srcId="{F03AEAE2-1412-4376-8F9F-14E2C0841AAD}" destId="{0AE48DB2-4DD3-47BC-89AB-A8F1626A99FB}" srcOrd="0" destOrd="0" presId="urn:microsoft.com/office/officeart/2009/3/layout/HorizontalOrganizationChart"/>
    <dgm:cxn modelId="{B5320E42-5135-4532-B189-311439117022}" type="presParOf" srcId="{F03AEAE2-1412-4376-8F9F-14E2C0841AAD}" destId="{F98A0BF4-2BEB-429B-BC1C-5C88C98AEECB}" srcOrd="1" destOrd="0" presId="urn:microsoft.com/office/officeart/2009/3/layout/HorizontalOrganizationChart"/>
    <dgm:cxn modelId="{0A882EE7-0A8F-4236-A188-6A680923D34C}" type="presParOf" srcId="{803B1596-96A4-403A-8D62-080628B0C268}" destId="{D5A6B4D9-9F64-4074-A742-2EAE25530904}" srcOrd="1" destOrd="0" presId="urn:microsoft.com/office/officeart/2009/3/layout/HorizontalOrganizationChart"/>
    <dgm:cxn modelId="{4F9EC4D1-43C1-4D02-B08F-5D74C71D3CC1}" type="presParOf" srcId="{D5A6B4D9-9F64-4074-A742-2EAE25530904}" destId="{139880AD-280B-4164-B0F8-4276C4D0DD62}" srcOrd="0" destOrd="0" presId="urn:microsoft.com/office/officeart/2009/3/layout/HorizontalOrganizationChart"/>
    <dgm:cxn modelId="{FE7EDE48-3627-4723-8CB4-C9FDFBCD34FB}" type="presParOf" srcId="{D5A6B4D9-9F64-4074-A742-2EAE25530904}" destId="{975BC7E7-83BE-4231-A863-2764AE77ACC0}" srcOrd="1" destOrd="0" presId="urn:microsoft.com/office/officeart/2009/3/layout/HorizontalOrganizationChart"/>
    <dgm:cxn modelId="{E1D55F5B-8DEF-4A10-BD69-D0C96D788111}" type="presParOf" srcId="{975BC7E7-83BE-4231-A863-2764AE77ACC0}" destId="{932165EC-B7D9-4F34-A9F5-DA929421466F}" srcOrd="0" destOrd="0" presId="urn:microsoft.com/office/officeart/2009/3/layout/HorizontalOrganizationChart"/>
    <dgm:cxn modelId="{12B5C103-4068-4CB6-B17E-160A58BA6924}" type="presParOf" srcId="{932165EC-B7D9-4F34-A9F5-DA929421466F}" destId="{562358CD-5E48-4C2E-8BEB-EC194AF9FA20}" srcOrd="0" destOrd="0" presId="urn:microsoft.com/office/officeart/2009/3/layout/HorizontalOrganizationChart"/>
    <dgm:cxn modelId="{B921F4B3-B404-4CB1-A164-1AC6411F7D79}" type="presParOf" srcId="{932165EC-B7D9-4F34-A9F5-DA929421466F}" destId="{656D8DA1-49A4-464A-B9BD-3AEBE4B38A64}" srcOrd="1" destOrd="0" presId="urn:microsoft.com/office/officeart/2009/3/layout/HorizontalOrganizationChart"/>
    <dgm:cxn modelId="{C1F83845-F056-4CF5-BC5B-BFAB36A6B76C}" type="presParOf" srcId="{975BC7E7-83BE-4231-A863-2764AE77ACC0}" destId="{EF2EB739-B305-43D0-85FB-CC42D08A83E4}" srcOrd="1" destOrd="0" presId="urn:microsoft.com/office/officeart/2009/3/layout/HorizontalOrganizationChart"/>
    <dgm:cxn modelId="{61A34A00-1268-4167-8C66-D67620587F9E}" type="presParOf" srcId="{EF2EB739-B305-43D0-85FB-CC42D08A83E4}" destId="{A6CE4A58-5AB8-4A24-A192-DF512C88F53E}" srcOrd="0" destOrd="0" presId="urn:microsoft.com/office/officeart/2009/3/layout/HorizontalOrganizationChart"/>
    <dgm:cxn modelId="{4F3A88BD-5898-401D-897C-5DAE35938244}" type="presParOf" srcId="{EF2EB739-B305-43D0-85FB-CC42D08A83E4}" destId="{590A4F50-792E-4F05-B6AA-9CB231F0ED9F}" srcOrd="1" destOrd="0" presId="urn:microsoft.com/office/officeart/2009/3/layout/HorizontalOrganizationChart"/>
    <dgm:cxn modelId="{5E9F6202-2AAB-490B-965C-BF8239ED2D56}" type="presParOf" srcId="{590A4F50-792E-4F05-B6AA-9CB231F0ED9F}" destId="{FC658A72-083B-42A3-A5CC-B5208AD347CE}" srcOrd="0" destOrd="0" presId="urn:microsoft.com/office/officeart/2009/3/layout/HorizontalOrganizationChart"/>
    <dgm:cxn modelId="{22CF88AC-F602-42B8-A68C-619F7A4CC6DD}" type="presParOf" srcId="{FC658A72-083B-42A3-A5CC-B5208AD347CE}" destId="{06C95765-5698-4974-B8C3-E41C74713223}" srcOrd="0" destOrd="0" presId="urn:microsoft.com/office/officeart/2009/3/layout/HorizontalOrganizationChart"/>
    <dgm:cxn modelId="{E2427FF8-6E9E-45F3-8B5F-42AC7C49C6B4}" type="presParOf" srcId="{FC658A72-083B-42A3-A5CC-B5208AD347CE}" destId="{8B95AAAF-59E5-4A85-8BAA-1C4223F8C5A7}" srcOrd="1" destOrd="0" presId="urn:microsoft.com/office/officeart/2009/3/layout/HorizontalOrganizationChart"/>
    <dgm:cxn modelId="{3212A050-3578-4AE4-8705-14382F2F177A}" type="presParOf" srcId="{590A4F50-792E-4F05-B6AA-9CB231F0ED9F}" destId="{7E019405-7158-47C6-9B78-477EABB0CBDE}" srcOrd="1" destOrd="0" presId="urn:microsoft.com/office/officeart/2009/3/layout/HorizontalOrganizationChart"/>
    <dgm:cxn modelId="{C192C363-18E3-4FBA-90E4-FCFD17759D8E}" type="presParOf" srcId="{590A4F50-792E-4F05-B6AA-9CB231F0ED9F}" destId="{04D58856-7DDF-47CB-A194-8D8253002261}" srcOrd="2" destOrd="0" presId="urn:microsoft.com/office/officeart/2009/3/layout/HorizontalOrganizationChart"/>
    <dgm:cxn modelId="{4ABB4368-99EB-47D7-8EF5-1580F7A13E38}" type="presParOf" srcId="{EF2EB739-B305-43D0-85FB-CC42D08A83E4}" destId="{AA49E2A5-DA30-4E82-B780-E470DBE0D233}" srcOrd="2" destOrd="0" presId="urn:microsoft.com/office/officeart/2009/3/layout/HorizontalOrganizationChart"/>
    <dgm:cxn modelId="{89A85572-4865-49B8-979B-58C960E31F0A}" type="presParOf" srcId="{EF2EB739-B305-43D0-85FB-CC42D08A83E4}" destId="{76E9EE5E-7790-4C21-A3E8-B5F710CBE766}" srcOrd="3" destOrd="0" presId="urn:microsoft.com/office/officeart/2009/3/layout/HorizontalOrganizationChart"/>
    <dgm:cxn modelId="{306F1507-63D0-418A-A862-2F5579C129C7}" type="presParOf" srcId="{76E9EE5E-7790-4C21-A3E8-B5F710CBE766}" destId="{948F7179-255B-45DB-B528-8460C9743AA8}" srcOrd="0" destOrd="0" presId="urn:microsoft.com/office/officeart/2009/3/layout/HorizontalOrganizationChart"/>
    <dgm:cxn modelId="{11139DA7-3EFB-4E61-BFAE-9345FB255F68}" type="presParOf" srcId="{948F7179-255B-45DB-B528-8460C9743AA8}" destId="{74428ACB-39A1-4D9F-BFF0-FBC11A1A2B5E}" srcOrd="0" destOrd="0" presId="urn:microsoft.com/office/officeart/2009/3/layout/HorizontalOrganizationChart"/>
    <dgm:cxn modelId="{D6B3B89D-FA30-42EB-A943-0A51F3ACA2F2}" type="presParOf" srcId="{948F7179-255B-45DB-B528-8460C9743AA8}" destId="{F9C398E9-6931-45A9-92DE-2185A6303A5F}" srcOrd="1" destOrd="0" presId="urn:microsoft.com/office/officeart/2009/3/layout/HorizontalOrganizationChart"/>
    <dgm:cxn modelId="{7E91DEA5-F434-452F-9AA7-D33ADC38D199}" type="presParOf" srcId="{76E9EE5E-7790-4C21-A3E8-B5F710CBE766}" destId="{2D7B516B-0888-4B12-8A4D-32632E8886A6}" srcOrd="1" destOrd="0" presId="urn:microsoft.com/office/officeart/2009/3/layout/HorizontalOrganizationChart"/>
    <dgm:cxn modelId="{36F96FFA-9065-458D-9E1C-07E543124E4B}" type="presParOf" srcId="{2D7B516B-0888-4B12-8A4D-32632E8886A6}" destId="{95A74080-6318-41E4-82B6-80ED53037DAC}" srcOrd="0" destOrd="0" presId="urn:microsoft.com/office/officeart/2009/3/layout/HorizontalOrganizationChart"/>
    <dgm:cxn modelId="{308B6147-4776-4C9F-9BDF-231B5E06E235}" type="presParOf" srcId="{2D7B516B-0888-4B12-8A4D-32632E8886A6}" destId="{AD2FBD4F-53A6-47AA-B05A-F3BB120E9CBD}" srcOrd="1" destOrd="0" presId="urn:microsoft.com/office/officeart/2009/3/layout/HorizontalOrganizationChart"/>
    <dgm:cxn modelId="{C51B5440-E022-4A60-B8EF-2A30B211C2F5}" type="presParOf" srcId="{AD2FBD4F-53A6-47AA-B05A-F3BB120E9CBD}" destId="{C690CF06-6F6A-4792-ABD5-9C240E2F14E8}" srcOrd="0" destOrd="0" presId="urn:microsoft.com/office/officeart/2009/3/layout/HorizontalOrganizationChart"/>
    <dgm:cxn modelId="{71F9C90A-4890-44D4-9CB2-C8B79AED5F75}" type="presParOf" srcId="{C690CF06-6F6A-4792-ABD5-9C240E2F14E8}" destId="{DECAFED5-36A3-43D1-840E-5225DED37186}" srcOrd="0" destOrd="0" presId="urn:microsoft.com/office/officeart/2009/3/layout/HorizontalOrganizationChart"/>
    <dgm:cxn modelId="{0C6A1476-A111-4598-8D91-FE1CC302A32A}" type="presParOf" srcId="{C690CF06-6F6A-4792-ABD5-9C240E2F14E8}" destId="{800A7E29-14BA-45B3-B09A-4C83E342FB85}" srcOrd="1" destOrd="0" presId="urn:microsoft.com/office/officeart/2009/3/layout/HorizontalOrganizationChart"/>
    <dgm:cxn modelId="{2E6C7EA2-D491-4623-A4E4-23BF2A380FC1}" type="presParOf" srcId="{AD2FBD4F-53A6-47AA-B05A-F3BB120E9CBD}" destId="{48B70F3E-C430-49F5-B9D2-15C5D8E54438}" srcOrd="1" destOrd="0" presId="urn:microsoft.com/office/officeart/2009/3/layout/HorizontalOrganizationChart"/>
    <dgm:cxn modelId="{AB84F2A9-631E-4451-A4DD-6CA195ECB0C1}" type="presParOf" srcId="{AD2FBD4F-53A6-47AA-B05A-F3BB120E9CBD}" destId="{8C250A73-4858-41B9-8351-708FF5CE9525}" srcOrd="2" destOrd="0" presId="urn:microsoft.com/office/officeart/2009/3/layout/HorizontalOrganizationChart"/>
    <dgm:cxn modelId="{00685F45-AD55-44A3-95CC-55C8C6B39443}" type="presParOf" srcId="{2D7B516B-0888-4B12-8A4D-32632E8886A6}" destId="{4B347790-B08B-40A3-A3FB-959898DE104B}" srcOrd="2" destOrd="0" presId="urn:microsoft.com/office/officeart/2009/3/layout/HorizontalOrganizationChart"/>
    <dgm:cxn modelId="{D1F05252-E4EE-4B0B-9DCD-081658C0F422}" type="presParOf" srcId="{2D7B516B-0888-4B12-8A4D-32632E8886A6}" destId="{34797FE8-45B1-43D3-8AD2-CF90EFE4454D}" srcOrd="3" destOrd="0" presId="urn:microsoft.com/office/officeart/2009/3/layout/HorizontalOrganizationChart"/>
    <dgm:cxn modelId="{F663EE73-A53D-49C4-9E90-2ACAF60A9ED8}" type="presParOf" srcId="{34797FE8-45B1-43D3-8AD2-CF90EFE4454D}" destId="{635A2795-F607-4B5F-9C0F-2356C4BC3006}" srcOrd="0" destOrd="0" presId="urn:microsoft.com/office/officeart/2009/3/layout/HorizontalOrganizationChart"/>
    <dgm:cxn modelId="{E6698DF2-1965-417A-8BE2-80D0B88B3013}" type="presParOf" srcId="{635A2795-F607-4B5F-9C0F-2356C4BC3006}" destId="{C684F809-E266-4397-A1C5-BF7FE76EC402}" srcOrd="0" destOrd="0" presId="urn:microsoft.com/office/officeart/2009/3/layout/HorizontalOrganizationChart"/>
    <dgm:cxn modelId="{1B23556B-C853-4CFC-BCE9-09028B274C02}" type="presParOf" srcId="{635A2795-F607-4B5F-9C0F-2356C4BC3006}" destId="{73830BF8-1E0B-47E8-9963-95D22266FA2F}" srcOrd="1" destOrd="0" presId="urn:microsoft.com/office/officeart/2009/3/layout/HorizontalOrganizationChart"/>
    <dgm:cxn modelId="{9F37DE3B-60A9-415F-86C7-9FE14055AB1D}" type="presParOf" srcId="{34797FE8-45B1-43D3-8AD2-CF90EFE4454D}" destId="{4FC5203A-CC13-4B69-B4D7-B888C5CE541D}" srcOrd="1" destOrd="0" presId="urn:microsoft.com/office/officeart/2009/3/layout/HorizontalOrganizationChart"/>
    <dgm:cxn modelId="{3E66A54D-42AF-49E1-82C5-1934D0F30A66}" type="presParOf" srcId="{34797FE8-45B1-43D3-8AD2-CF90EFE4454D}" destId="{75F53CA4-7A58-4D3D-A711-39AF10424444}" srcOrd="2" destOrd="0" presId="urn:microsoft.com/office/officeart/2009/3/layout/HorizontalOrganizationChart"/>
    <dgm:cxn modelId="{3E06BAB8-AEAC-47B8-B074-79B72A0945BE}" type="presParOf" srcId="{76E9EE5E-7790-4C21-A3E8-B5F710CBE766}" destId="{9BD57E3B-9113-4CC1-BD97-1093E22EB585}" srcOrd="2" destOrd="0" presId="urn:microsoft.com/office/officeart/2009/3/layout/HorizontalOrganizationChart"/>
    <dgm:cxn modelId="{21065664-EE46-42DC-9BB3-27593818D4C6}" type="presParOf" srcId="{EF2EB739-B305-43D0-85FB-CC42D08A83E4}" destId="{4D835C22-7051-4961-A3D2-BD9419464458}" srcOrd="4" destOrd="0" presId="urn:microsoft.com/office/officeart/2009/3/layout/HorizontalOrganizationChart"/>
    <dgm:cxn modelId="{BBA77169-8FFF-49C3-BC4C-421A070AC6F5}" type="presParOf" srcId="{EF2EB739-B305-43D0-85FB-CC42D08A83E4}" destId="{CA3D1FA1-21C2-4407-8134-DF6EFEEE1BAF}" srcOrd="5" destOrd="0" presId="urn:microsoft.com/office/officeart/2009/3/layout/HorizontalOrganizationChart"/>
    <dgm:cxn modelId="{4BFD8F04-2617-4953-98A6-3B90E72EBA9B}" type="presParOf" srcId="{CA3D1FA1-21C2-4407-8134-DF6EFEEE1BAF}" destId="{338514C9-4224-4D2C-BAE2-EEA721756783}" srcOrd="0" destOrd="0" presId="urn:microsoft.com/office/officeart/2009/3/layout/HorizontalOrganizationChart"/>
    <dgm:cxn modelId="{050EC51C-ADE2-4097-8F03-B2422D11B388}" type="presParOf" srcId="{338514C9-4224-4D2C-BAE2-EEA721756783}" destId="{777BFF2D-1FA7-421B-BA45-F44133EF915B}" srcOrd="0" destOrd="0" presId="urn:microsoft.com/office/officeart/2009/3/layout/HorizontalOrganizationChart"/>
    <dgm:cxn modelId="{BA8396E2-47B0-4FD7-BDD4-7368CCD85B3A}" type="presParOf" srcId="{338514C9-4224-4D2C-BAE2-EEA721756783}" destId="{1B1DC458-D621-409E-926B-D8C72A4E4110}" srcOrd="1" destOrd="0" presId="urn:microsoft.com/office/officeart/2009/3/layout/HorizontalOrganizationChart"/>
    <dgm:cxn modelId="{B4E7EAC9-912D-4D06-98A3-724EF5146B99}" type="presParOf" srcId="{CA3D1FA1-21C2-4407-8134-DF6EFEEE1BAF}" destId="{6DB95430-F8D1-44C2-A28D-7F8547A43549}" srcOrd="1" destOrd="0" presId="urn:microsoft.com/office/officeart/2009/3/layout/HorizontalOrganizationChart"/>
    <dgm:cxn modelId="{B0312BC7-A0A5-48D7-BD33-67F01D733EE5}" type="presParOf" srcId="{CA3D1FA1-21C2-4407-8134-DF6EFEEE1BAF}" destId="{22E133DF-5DB9-4CC3-AC49-97E5FBCE85F5}" srcOrd="2" destOrd="0" presId="urn:microsoft.com/office/officeart/2009/3/layout/HorizontalOrganizationChart"/>
    <dgm:cxn modelId="{9EC18ACF-DD21-4544-AA73-E2D5DA551776}" type="presParOf" srcId="{975BC7E7-83BE-4231-A863-2764AE77ACC0}" destId="{166C0049-A173-4C7D-8D9C-8B0E26DABF5B}" srcOrd="2" destOrd="0" presId="urn:microsoft.com/office/officeart/2009/3/layout/HorizontalOrganizationChart"/>
    <dgm:cxn modelId="{8E76B6EA-6A14-44D7-BFA0-98E1BCACC8E3}" type="presParOf" srcId="{D5A6B4D9-9F64-4074-A742-2EAE25530904}" destId="{0BF64288-AC3E-48FA-8389-337BFBAF31A4}" srcOrd="2" destOrd="0" presId="urn:microsoft.com/office/officeart/2009/3/layout/HorizontalOrganizationChart"/>
    <dgm:cxn modelId="{2C1912B8-0BB3-498C-B06E-B331E9D7E325}" type="presParOf" srcId="{D5A6B4D9-9F64-4074-A742-2EAE25530904}" destId="{36D96EF9-2BD7-4E59-AE6C-C6F40B89456F}" srcOrd="3" destOrd="0" presId="urn:microsoft.com/office/officeart/2009/3/layout/HorizontalOrganizationChart"/>
    <dgm:cxn modelId="{C76CCEEB-68F1-4727-A28F-413D2C8402AD}" type="presParOf" srcId="{36D96EF9-2BD7-4E59-AE6C-C6F40B89456F}" destId="{5EE1094D-84B5-4A96-B507-FAAABD872F66}" srcOrd="0" destOrd="0" presId="urn:microsoft.com/office/officeart/2009/3/layout/HorizontalOrganizationChart"/>
    <dgm:cxn modelId="{D555AC19-5320-46F2-B4E4-3494EAB5573F}" type="presParOf" srcId="{5EE1094D-84B5-4A96-B507-FAAABD872F66}" destId="{79911539-42B6-4FEC-A165-673BDAD57567}" srcOrd="0" destOrd="0" presId="urn:microsoft.com/office/officeart/2009/3/layout/HorizontalOrganizationChart"/>
    <dgm:cxn modelId="{0FA9C2F2-34E5-4E3F-AAF5-0FA9A2B15DF2}" type="presParOf" srcId="{5EE1094D-84B5-4A96-B507-FAAABD872F66}" destId="{4917005F-4937-43DC-92DA-9B335630BD53}" srcOrd="1" destOrd="0" presId="urn:microsoft.com/office/officeart/2009/3/layout/HorizontalOrganizationChart"/>
    <dgm:cxn modelId="{CF166DFF-4726-4EF4-8F81-33C0F5049EC4}" type="presParOf" srcId="{36D96EF9-2BD7-4E59-AE6C-C6F40B89456F}" destId="{38442C27-330D-4CEE-83B0-6FE2CC6640D5}" srcOrd="1" destOrd="0" presId="urn:microsoft.com/office/officeart/2009/3/layout/HorizontalOrganizationChart"/>
    <dgm:cxn modelId="{540D98D5-9354-47C2-B266-52203E5005DE}" type="presParOf" srcId="{36D96EF9-2BD7-4E59-AE6C-C6F40B89456F}" destId="{DE772F89-4B88-40E5-9F10-1AC1C35D0547}" srcOrd="2" destOrd="0" presId="urn:microsoft.com/office/officeart/2009/3/layout/HorizontalOrganizationChart"/>
    <dgm:cxn modelId="{B8D986E1-2746-43B3-83F0-921109C0BFF0}" type="presParOf" srcId="{803B1596-96A4-403A-8D62-080628B0C268}" destId="{2A55E511-FFC5-469A-9545-72415AEE0C82}" srcOrd="2" destOrd="0" presId="urn:microsoft.com/office/officeart/2009/3/layout/HorizontalOrganizationChart"/>
    <dgm:cxn modelId="{A4EBC345-2090-43D0-B895-789FAED517C9}" type="presParOf" srcId="{4E86F819-38FE-4B11-BB27-A529B5FC815B}" destId="{BE02FCB3-8E3C-446F-8D0D-3C9C27FEEECB}" srcOrd="2" destOrd="0" presId="urn:microsoft.com/office/officeart/2009/3/layout/HorizontalOrganizationChart"/>
    <dgm:cxn modelId="{D6914AB6-2E71-46CF-9F5A-1989E3F1E950}" type="presParOf" srcId="{4E86F819-38FE-4B11-BB27-A529B5FC815B}" destId="{5DB30FCB-C374-4CD6-A47F-881D865F36E7}" srcOrd="3" destOrd="0" presId="urn:microsoft.com/office/officeart/2009/3/layout/HorizontalOrganizationChart"/>
    <dgm:cxn modelId="{0FB04640-2B8A-4EA2-897E-80543AE13C98}" type="presParOf" srcId="{5DB30FCB-C374-4CD6-A47F-881D865F36E7}" destId="{C70F94AE-8C1D-4F29-B28B-72E9467A48B3}" srcOrd="0" destOrd="0" presId="urn:microsoft.com/office/officeart/2009/3/layout/HorizontalOrganizationChart"/>
    <dgm:cxn modelId="{41178BC3-0F04-40B6-84ED-F63DDBFB24E9}" type="presParOf" srcId="{C70F94AE-8C1D-4F29-B28B-72E9467A48B3}" destId="{4846CD58-8E3C-4514-8D54-C20E243DFFFC}" srcOrd="0" destOrd="0" presId="urn:microsoft.com/office/officeart/2009/3/layout/HorizontalOrganizationChart"/>
    <dgm:cxn modelId="{FFAF9A6E-7752-4343-B5AD-70F5C641541E}" type="presParOf" srcId="{C70F94AE-8C1D-4F29-B28B-72E9467A48B3}" destId="{911BC424-4054-4446-9ACC-F85956BF26CB}" srcOrd="1" destOrd="0" presId="urn:microsoft.com/office/officeart/2009/3/layout/HorizontalOrganizationChart"/>
    <dgm:cxn modelId="{4167F8EE-8027-4FD7-8960-8D13D22CF846}" type="presParOf" srcId="{5DB30FCB-C374-4CD6-A47F-881D865F36E7}" destId="{2D6A0481-89CB-4C24-AE76-7EC202E10902}" srcOrd="1" destOrd="0" presId="urn:microsoft.com/office/officeart/2009/3/layout/HorizontalOrganizationChart"/>
    <dgm:cxn modelId="{357D2E75-9787-4060-B2A4-FACDB4FBE95C}" type="presParOf" srcId="{2D6A0481-89CB-4C24-AE76-7EC202E10902}" destId="{FF331EEA-6250-4777-A553-3C24FA377266}" srcOrd="0" destOrd="0" presId="urn:microsoft.com/office/officeart/2009/3/layout/HorizontalOrganizationChart"/>
    <dgm:cxn modelId="{812BAEE8-52A0-4497-8C6F-7064F57FD2E4}" type="presParOf" srcId="{2D6A0481-89CB-4C24-AE76-7EC202E10902}" destId="{8E7714CE-508F-4374-AFE0-801618009A84}" srcOrd="1" destOrd="0" presId="urn:microsoft.com/office/officeart/2009/3/layout/HorizontalOrganizationChart"/>
    <dgm:cxn modelId="{881AE0D2-EC90-40B9-BF53-81F34A80FFBF}" type="presParOf" srcId="{8E7714CE-508F-4374-AFE0-801618009A84}" destId="{D431EA76-B42E-4725-B204-FCC42EAD8B48}" srcOrd="0" destOrd="0" presId="urn:microsoft.com/office/officeart/2009/3/layout/HorizontalOrganizationChart"/>
    <dgm:cxn modelId="{D8EEAE92-C634-4ED7-8033-DBDECC0CBFAA}" type="presParOf" srcId="{D431EA76-B42E-4725-B204-FCC42EAD8B48}" destId="{8777557A-E260-46BC-B56D-22FA5D2CD558}" srcOrd="0" destOrd="0" presId="urn:microsoft.com/office/officeart/2009/3/layout/HorizontalOrganizationChart"/>
    <dgm:cxn modelId="{1D08D0ED-9061-4CF9-A710-EF64B14D4B72}" type="presParOf" srcId="{D431EA76-B42E-4725-B204-FCC42EAD8B48}" destId="{16DA5867-6A4A-49B5-B6BA-B86E561657F3}" srcOrd="1" destOrd="0" presId="urn:microsoft.com/office/officeart/2009/3/layout/HorizontalOrganizationChart"/>
    <dgm:cxn modelId="{918C8E8A-A419-4612-BA3C-F41D0896E151}" type="presParOf" srcId="{8E7714CE-508F-4374-AFE0-801618009A84}" destId="{B5402EC5-B2AA-4899-A2EE-41A0E4FE58AB}" srcOrd="1" destOrd="0" presId="urn:microsoft.com/office/officeart/2009/3/layout/HorizontalOrganizationChart"/>
    <dgm:cxn modelId="{C10CA569-4806-4AC9-B0A8-FA91AEA2C7B9}" type="presParOf" srcId="{8E7714CE-508F-4374-AFE0-801618009A84}" destId="{E41529B4-6B61-4206-B19D-7C0B7053A99B}" srcOrd="2" destOrd="0" presId="urn:microsoft.com/office/officeart/2009/3/layout/HorizontalOrganizationChart"/>
    <dgm:cxn modelId="{6BB90D0A-BD21-4C98-A6A5-DDF8A452ED36}" type="presParOf" srcId="{2D6A0481-89CB-4C24-AE76-7EC202E10902}" destId="{D553EFD0-49ED-4BEF-9270-0B3563F05165}" srcOrd="2" destOrd="0" presId="urn:microsoft.com/office/officeart/2009/3/layout/HorizontalOrganizationChart"/>
    <dgm:cxn modelId="{59192D81-A355-41B8-9642-60522EE456BE}" type="presParOf" srcId="{2D6A0481-89CB-4C24-AE76-7EC202E10902}" destId="{E74CF2E7-C994-4DFB-88C6-F0581FD1C400}" srcOrd="3" destOrd="0" presId="urn:microsoft.com/office/officeart/2009/3/layout/HorizontalOrganizationChart"/>
    <dgm:cxn modelId="{282918F5-B16C-4AAF-A3AF-47387B98BA68}" type="presParOf" srcId="{E74CF2E7-C994-4DFB-88C6-F0581FD1C400}" destId="{4AB5A9A0-A818-43AA-A481-94B5F7A6D6E5}" srcOrd="0" destOrd="0" presId="urn:microsoft.com/office/officeart/2009/3/layout/HorizontalOrganizationChart"/>
    <dgm:cxn modelId="{FB696C44-4B80-4804-927B-BB7318947CD2}" type="presParOf" srcId="{4AB5A9A0-A818-43AA-A481-94B5F7A6D6E5}" destId="{92B9FE5E-7F08-449D-BA7B-D4CAEF65359F}" srcOrd="0" destOrd="0" presId="urn:microsoft.com/office/officeart/2009/3/layout/HorizontalOrganizationChart"/>
    <dgm:cxn modelId="{A7A3FC75-B39C-42CE-9E68-6777FCB2D8C1}" type="presParOf" srcId="{4AB5A9A0-A818-43AA-A481-94B5F7A6D6E5}" destId="{44E64105-AF2B-4403-BD8D-518170283816}" srcOrd="1" destOrd="0" presId="urn:microsoft.com/office/officeart/2009/3/layout/HorizontalOrganizationChart"/>
    <dgm:cxn modelId="{59ECD7A8-717C-489C-AD74-66B873469C67}" type="presParOf" srcId="{E74CF2E7-C994-4DFB-88C6-F0581FD1C400}" destId="{1C29254B-2384-4B79-8A64-0C9D2ED6335F}" srcOrd="1" destOrd="0" presId="urn:microsoft.com/office/officeart/2009/3/layout/HorizontalOrganizationChart"/>
    <dgm:cxn modelId="{57F65EA5-F84E-40C9-A3EF-2A3799A5DA53}" type="presParOf" srcId="{E74CF2E7-C994-4DFB-88C6-F0581FD1C400}" destId="{8395F922-6EB3-4B19-AD9D-B87BD5012EC6}" srcOrd="2" destOrd="0" presId="urn:microsoft.com/office/officeart/2009/3/layout/HorizontalOrganizationChart"/>
    <dgm:cxn modelId="{052F4CCA-4DE8-48B8-B22E-630A6ADD42E5}" type="presParOf" srcId="{5DB30FCB-C374-4CD6-A47F-881D865F36E7}" destId="{8245CB66-2C97-40E5-9C58-75BE5922E306}" srcOrd="2" destOrd="0" presId="urn:microsoft.com/office/officeart/2009/3/layout/HorizontalOrganizationChart"/>
    <dgm:cxn modelId="{4F8B1688-67DB-4C61-BC5A-21971A07AC46}" type="presParOf" srcId="{4E86F819-38FE-4B11-BB27-A529B5FC815B}" destId="{B4494852-DD2E-4D0C-863B-259616D436B6}" srcOrd="4" destOrd="0" presId="urn:microsoft.com/office/officeart/2009/3/layout/HorizontalOrganizationChart"/>
    <dgm:cxn modelId="{081E036C-DA3E-4382-BF59-394F3DAE47B4}" type="presParOf" srcId="{4E86F819-38FE-4B11-BB27-A529B5FC815B}" destId="{21B3A40D-7B1E-4E72-9702-B51EC81C32A4}" srcOrd="5" destOrd="0" presId="urn:microsoft.com/office/officeart/2009/3/layout/HorizontalOrganizationChart"/>
    <dgm:cxn modelId="{06941C2C-7F5E-43DC-89C9-DD83DBEA91DA}" type="presParOf" srcId="{21B3A40D-7B1E-4E72-9702-B51EC81C32A4}" destId="{8663B1E3-333D-48D1-91EA-BC5B3BACCDCC}" srcOrd="0" destOrd="0" presId="urn:microsoft.com/office/officeart/2009/3/layout/HorizontalOrganizationChart"/>
    <dgm:cxn modelId="{367BAAEF-8F9D-455B-8FC0-1279E4C84611}" type="presParOf" srcId="{8663B1E3-333D-48D1-91EA-BC5B3BACCDCC}" destId="{5F01455C-D264-4492-836F-B9BADA6485A8}" srcOrd="0" destOrd="0" presId="urn:microsoft.com/office/officeart/2009/3/layout/HorizontalOrganizationChart"/>
    <dgm:cxn modelId="{AF8AF757-DFBC-4E2A-9F69-C047230F8D82}" type="presParOf" srcId="{8663B1E3-333D-48D1-91EA-BC5B3BACCDCC}" destId="{DFFA0DD8-6E69-4DA3-BBA7-5D78DEBF4BEF}" srcOrd="1" destOrd="0" presId="urn:microsoft.com/office/officeart/2009/3/layout/HorizontalOrganizationChart"/>
    <dgm:cxn modelId="{805D3741-FF5A-43D6-A462-3125B3CAFD67}" type="presParOf" srcId="{21B3A40D-7B1E-4E72-9702-B51EC81C32A4}" destId="{86EF4CEC-33CB-43A4-9F6A-CEB3493F4987}" srcOrd="1" destOrd="0" presId="urn:microsoft.com/office/officeart/2009/3/layout/HorizontalOrganizationChart"/>
    <dgm:cxn modelId="{1FD02BC6-54F8-41BA-9B55-87C08CD33556}" type="presParOf" srcId="{86EF4CEC-33CB-43A4-9F6A-CEB3493F4987}" destId="{E7F50ABF-3A78-4417-8BD0-82732599FA9F}" srcOrd="0" destOrd="0" presId="urn:microsoft.com/office/officeart/2009/3/layout/HorizontalOrganizationChart"/>
    <dgm:cxn modelId="{ED738E3A-2D55-4108-906D-67785249180F}" type="presParOf" srcId="{86EF4CEC-33CB-43A4-9F6A-CEB3493F4987}" destId="{BB49DB8C-8906-48EE-A94E-1008B0B6C7DA}" srcOrd="1" destOrd="0" presId="urn:microsoft.com/office/officeart/2009/3/layout/HorizontalOrganizationChart"/>
    <dgm:cxn modelId="{0D88BD14-D102-4437-B1F1-16FF378823F2}" type="presParOf" srcId="{BB49DB8C-8906-48EE-A94E-1008B0B6C7DA}" destId="{C96D677C-E50D-47FE-AAC9-E095ABF3B1BB}" srcOrd="0" destOrd="0" presId="urn:microsoft.com/office/officeart/2009/3/layout/HorizontalOrganizationChart"/>
    <dgm:cxn modelId="{C9C93830-A500-47F2-A068-76E64AAE454E}" type="presParOf" srcId="{C96D677C-E50D-47FE-AAC9-E095ABF3B1BB}" destId="{0D8DB516-4D17-4726-AE10-AFD4A451E2B4}" srcOrd="0" destOrd="0" presId="urn:microsoft.com/office/officeart/2009/3/layout/HorizontalOrganizationChart"/>
    <dgm:cxn modelId="{1B4A3384-6383-451B-A89E-850099048D4B}" type="presParOf" srcId="{C96D677C-E50D-47FE-AAC9-E095ABF3B1BB}" destId="{40CDEE43-1089-4377-9263-46138ACF3E63}" srcOrd="1" destOrd="0" presId="urn:microsoft.com/office/officeart/2009/3/layout/HorizontalOrganizationChart"/>
    <dgm:cxn modelId="{78BCE7CE-7CA0-47B0-9E63-8F50BE26AB25}" type="presParOf" srcId="{BB49DB8C-8906-48EE-A94E-1008B0B6C7DA}" destId="{2D9578DD-66FA-41E6-B91E-C0E2EFC4F0B3}" srcOrd="1" destOrd="0" presId="urn:microsoft.com/office/officeart/2009/3/layout/HorizontalOrganizationChart"/>
    <dgm:cxn modelId="{1D431EBE-7D3F-490C-A80D-5606CF1C8880}" type="presParOf" srcId="{BB49DB8C-8906-48EE-A94E-1008B0B6C7DA}" destId="{39557698-8019-42B4-B84B-F496910FA58E}" srcOrd="2" destOrd="0" presId="urn:microsoft.com/office/officeart/2009/3/layout/HorizontalOrganizationChart"/>
    <dgm:cxn modelId="{668D110E-1E9B-4693-973D-77798B4A426A}" type="presParOf" srcId="{86EF4CEC-33CB-43A4-9F6A-CEB3493F4987}" destId="{ED7FBAA4-2609-4054-8F19-265EF5A3E0B7}" srcOrd="2" destOrd="0" presId="urn:microsoft.com/office/officeart/2009/3/layout/HorizontalOrganizationChart"/>
    <dgm:cxn modelId="{F4C6D8AD-6763-4319-9033-42A025F8DECC}" type="presParOf" srcId="{86EF4CEC-33CB-43A4-9F6A-CEB3493F4987}" destId="{5A350D12-8E6A-4FC9-956C-E0AE3F31B634}" srcOrd="3" destOrd="0" presId="urn:microsoft.com/office/officeart/2009/3/layout/HorizontalOrganizationChart"/>
    <dgm:cxn modelId="{D60E2A1B-2A7C-449B-BFAF-000677018337}" type="presParOf" srcId="{5A350D12-8E6A-4FC9-956C-E0AE3F31B634}" destId="{B7808976-76E7-45C7-9323-704FEB8DAD8B}" srcOrd="0" destOrd="0" presId="urn:microsoft.com/office/officeart/2009/3/layout/HorizontalOrganizationChart"/>
    <dgm:cxn modelId="{9781B72F-37E3-47B2-9B10-1ED2CB61FB56}" type="presParOf" srcId="{B7808976-76E7-45C7-9323-704FEB8DAD8B}" destId="{10BD5D58-5837-4CB4-BE10-529AE117AA16}" srcOrd="0" destOrd="0" presId="urn:microsoft.com/office/officeart/2009/3/layout/HorizontalOrganizationChart"/>
    <dgm:cxn modelId="{573B3FAD-A26D-4354-A634-5546C929D723}" type="presParOf" srcId="{B7808976-76E7-45C7-9323-704FEB8DAD8B}" destId="{9A9B91D4-157D-476A-95C3-4302F0C093E8}" srcOrd="1" destOrd="0" presId="urn:microsoft.com/office/officeart/2009/3/layout/HorizontalOrganizationChart"/>
    <dgm:cxn modelId="{70F892F6-7C36-42F4-BF01-07982253B2E5}" type="presParOf" srcId="{5A350D12-8E6A-4FC9-956C-E0AE3F31B634}" destId="{B14C0EC0-9E73-4943-A255-81B939E4A305}" srcOrd="1" destOrd="0" presId="urn:microsoft.com/office/officeart/2009/3/layout/HorizontalOrganizationChart"/>
    <dgm:cxn modelId="{10373F8C-B1D4-4962-8DD3-C3F95237E406}" type="presParOf" srcId="{B14C0EC0-9E73-4943-A255-81B939E4A305}" destId="{99711510-502F-4E66-9F65-EC8C159EF741}" srcOrd="0" destOrd="0" presId="urn:microsoft.com/office/officeart/2009/3/layout/HorizontalOrganizationChart"/>
    <dgm:cxn modelId="{C8F2FA0A-0955-4A99-8E3F-18642BC1EA38}" type="presParOf" srcId="{B14C0EC0-9E73-4943-A255-81B939E4A305}" destId="{2E5B7074-6F0C-4863-BD84-8029596963A2}" srcOrd="1" destOrd="0" presId="urn:microsoft.com/office/officeart/2009/3/layout/HorizontalOrganizationChart"/>
    <dgm:cxn modelId="{04F75EE9-D574-4B5D-9C65-D21ABD387108}" type="presParOf" srcId="{2E5B7074-6F0C-4863-BD84-8029596963A2}" destId="{773C25C5-6130-42F0-A32A-6BC36E8E16B9}" srcOrd="0" destOrd="0" presId="urn:microsoft.com/office/officeart/2009/3/layout/HorizontalOrganizationChart"/>
    <dgm:cxn modelId="{879883AA-A1A8-48D4-A995-A167B07F6FFE}" type="presParOf" srcId="{773C25C5-6130-42F0-A32A-6BC36E8E16B9}" destId="{B13021EE-AF4F-445B-A6BE-769DAC3AC10E}" srcOrd="0" destOrd="0" presId="urn:microsoft.com/office/officeart/2009/3/layout/HorizontalOrganizationChart"/>
    <dgm:cxn modelId="{82F85C54-765B-475B-8B83-ED0109C2CEB8}" type="presParOf" srcId="{773C25C5-6130-42F0-A32A-6BC36E8E16B9}" destId="{59950A86-FE69-4B63-8419-041CE35F3134}" srcOrd="1" destOrd="0" presId="urn:microsoft.com/office/officeart/2009/3/layout/HorizontalOrganizationChart"/>
    <dgm:cxn modelId="{EFB4757C-A0CC-48ED-B4A9-97986424402E}" type="presParOf" srcId="{2E5B7074-6F0C-4863-BD84-8029596963A2}" destId="{D19E729E-6B4E-470A-BC0F-07BF94CE0CF5}" srcOrd="1" destOrd="0" presId="urn:microsoft.com/office/officeart/2009/3/layout/HorizontalOrganizationChart"/>
    <dgm:cxn modelId="{8F3CE347-A32E-4DB2-8FBC-6077DC020CFB}" type="presParOf" srcId="{D19E729E-6B4E-470A-BC0F-07BF94CE0CF5}" destId="{184DA0DA-658F-434F-9514-EFBC279BB37A}" srcOrd="0" destOrd="0" presId="urn:microsoft.com/office/officeart/2009/3/layout/HorizontalOrganizationChart"/>
    <dgm:cxn modelId="{B9B2EB0B-D8C8-4F14-98FB-81DA4059E36B}" type="presParOf" srcId="{D19E729E-6B4E-470A-BC0F-07BF94CE0CF5}" destId="{A4D5FBC9-DD2F-40B3-A5D1-8C6B3614AFD5}" srcOrd="1" destOrd="0" presId="urn:microsoft.com/office/officeart/2009/3/layout/HorizontalOrganizationChart"/>
    <dgm:cxn modelId="{6E854C13-1CEC-4ACD-A893-D22C0390C316}" type="presParOf" srcId="{A4D5FBC9-DD2F-40B3-A5D1-8C6B3614AFD5}" destId="{6F627811-3460-4A5B-86EF-567D01767D29}" srcOrd="0" destOrd="0" presId="urn:microsoft.com/office/officeart/2009/3/layout/HorizontalOrganizationChart"/>
    <dgm:cxn modelId="{370AC66C-3A76-4E4D-AE2E-F1F2A2192060}" type="presParOf" srcId="{6F627811-3460-4A5B-86EF-567D01767D29}" destId="{794FEF54-1970-466C-95E3-56A8AE623A41}" srcOrd="0" destOrd="0" presId="urn:microsoft.com/office/officeart/2009/3/layout/HorizontalOrganizationChart"/>
    <dgm:cxn modelId="{E329E325-6868-487C-A3C9-0EEFDC940F78}" type="presParOf" srcId="{6F627811-3460-4A5B-86EF-567D01767D29}" destId="{83230973-4CB8-4F2A-A33D-67436B5938F5}" srcOrd="1" destOrd="0" presId="urn:microsoft.com/office/officeart/2009/3/layout/HorizontalOrganizationChart"/>
    <dgm:cxn modelId="{4C8F27D9-FB38-4BCB-A7DD-908C980B42F7}" type="presParOf" srcId="{A4D5FBC9-DD2F-40B3-A5D1-8C6B3614AFD5}" destId="{88C99FCB-D483-4886-89AE-C78AE75DD1BB}" srcOrd="1" destOrd="0" presId="urn:microsoft.com/office/officeart/2009/3/layout/HorizontalOrganizationChart"/>
    <dgm:cxn modelId="{C939A544-8764-4069-A0ED-D988655C983B}" type="presParOf" srcId="{A4D5FBC9-DD2F-40B3-A5D1-8C6B3614AFD5}" destId="{62B4B28A-E149-4CE9-8768-9425D5B3F5F4}" srcOrd="2" destOrd="0" presId="urn:microsoft.com/office/officeart/2009/3/layout/HorizontalOrganizationChart"/>
    <dgm:cxn modelId="{3760375A-4921-4D72-947A-F0B800D72E54}" type="presParOf" srcId="{D19E729E-6B4E-470A-BC0F-07BF94CE0CF5}" destId="{C326F04E-EB20-4262-9119-A829313FD617}" srcOrd="2" destOrd="0" presId="urn:microsoft.com/office/officeart/2009/3/layout/HorizontalOrganizationChart"/>
    <dgm:cxn modelId="{94AA76D7-4256-4B83-BC15-90A1F8F0B3AC}" type="presParOf" srcId="{D19E729E-6B4E-470A-BC0F-07BF94CE0CF5}" destId="{9FF6CD04-6909-42FE-8B9A-844512EA495C}" srcOrd="3" destOrd="0" presId="urn:microsoft.com/office/officeart/2009/3/layout/HorizontalOrganizationChart"/>
    <dgm:cxn modelId="{30B5303D-737A-4332-A0C7-DAB8933E28C3}" type="presParOf" srcId="{9FF6CD04-6909-42FE-8B9A-844512EA495C}" destId="{F5F0287D-1240-45A7-B88E-640592DE5E23}" srcOrd="0" destOrd="0" presId="urn:microsoft.com/office/officeart/2009/3/layout/HorizontalOrganizationChart"/>
    <dgm:cxn modelId="{03F87ACC-BFA6-4CBF-9D7A-669A5B348D47}" type="presParOf" srcId="{F5F0287D-1240-45A7-B88E-640592DE5E23}" destId="{090D39F3-0D70-4D3F-AEC3-14FD8CCD741C}" srcOrd="0" destOrd="0" presId="urn:microsoft.com/office/officeart/2009/3/layout/HorizontalOrganizationChart"/>
    <dgm:cxn modelId="{8F25A608-787E-4DE1-9476-A5B233EB7A64}" type="presParOf" srcId="{F5F0287D-1240-45A7-B88E-640592DE5E23}" destId="{F5CD29C6-950F-4A0B-8326-7C4D4FDD4961}" srcOrd="1" destOrd="0" presId="urn:microsoft.com/office/officeart/2009/3/layout/HorizontalOrganizationChart"/>
    <dgm:cxn modelId="{ED47CC8B-409C-422C-A636-2EFBCF851591}" type="presParOf" srcId="{9FF6CD04-6909-42FE-8B9A-844512EA495C}" destId="{D22A4FAD-2539-429A-A467-651563D73C24}" srcOrd="1" destOrd="0" presId="urn:microsoft.com/office/officeart/2009/3/layout/HorizontalOrganizationChart"/>
    <dgm:cxn modelId="{EFA05124-0789-44EF-A389-598C1B3D0E58}" type="presParOf" srcId="{9FF6CD04-6909-42FE-8B9A-844512EA495C}" destId="{A0E76D14-4668-4A98-AD6F-789E0F629AD9}" srcOrd="2" destOrd="0" presId="urn:microsoft.com/office/officeart/2009/3/layout/HorizontalOrganizationChart"/>
    <dgm:cxn modelId="{4EA062FA-2E45-48FA-A97C-884791CF00BB}" type="presParOf" srcId="{2E5B7074-6F0C-4863-BD84-8029596963A2}" destId="{AF926C26-EBCD-41A8-B1B1-2E1A23CF6C61}" srcOrd="2" destOrd="0" presId="urn:microsoft.com/office/officeart/2009/3/layout/HorizontalOrganizationChart"/>
    <dgm:cxn modelId="{1D6D9313-6665-445F-BA22-140E758A0521}" type="presParOf" srcId="{B14C0EC0-9E73-4943-A255-81B939E4A305}" destId="{9C0DFE52-3CD7-4271-8678-4EF6A812B7D5}" srcOrd="2" destOrd="0" presId="urn:microsoft.com/office/officeart/2009/3/layout/HorizontalOrganizationChart"/>
    <dgm:cxn modelId="{F5C0CA89-4BE3-49D1-91DC-39D09F3BE406}" type="presParOf" srcId="{B14C0EC0-9E73-4943-A255-81B939E4A305}" destId="{7B5640C2-39CD-4472-8882-F0EF4E2CD2E5}" srcOrd="3" destOrd="0" presId="urn:microsoft.com/office/officeart/2009/3/layout/HorizontalOrganizationChart"/>
    <dgm:cxn modelId="{13D02DCE-11FE-43C5-8084-00292279722A}" type="presParOf" srcId="{7B5640C2-39CD-4472-8882-F0EF4E2CD2E5}" destId="{5A8272E8-53BA-4CFD-BF3E-1A1371800788}" srcOrd="0" destOrd="0" presId="urn:microsoft.com/office/officeart/2009/3/layout/HorizontalOrganizationChart"/>
    <dgm:cxn modelId="{65C3A957-A45A-4767-8462-AF4EC7304218}" type="presParOf" srcId="{5A8272E8-53BA-4CFD-BF3E-1A1371800788}" destId="{C5DF67C3-323C-4CE7-8EA3-958D90D99F61}" srcOrd="0" destOrd="0" presId="urn:microsoft.com/office/officeart/2009/3/layout/HorizontalOrganizationChart"/>
    <dgm:cxn modelId="{D8F3EAF0-A8F1-42A9-9A4C-05BDC8A23BF1}" type="presParOf" srcId="{5A8272E8-53BA-4CFD-BF3E-1A1371800788}" destId="{7A05B551-981E-4E4E-AD42-4F320C6C7F4B}" srcOrd="1" destOrd="0" presId="urn:microsoft.com/office/officeart/2009/3/layout/HorizontalOrganizationChart"/>
    <dgm:cxn modelId="{4CF8EFC9-FDC3-4264-B869-CFA331B2579C}" type="presParOf" srcId="{7B5640C2-39CD-4472-8882-F0EF4E2CD2E5}" destId="{D2BFBD82-EC8E-4FEB-AFEF-0A202DC50DA7}" srcOrd="1" destOrd="0" presId="urn:microsoft.com/office/officeart/2009/3/layout/HorizontalOrganizationChart"/>
    <dgm:cxn modelId="{FABD3421-97B7-4290-B20D-35BBECC0BBAF}" type="presParOf" srcId="{7B5640C2-39CD-4472-8882-F0EF4E2CD2E5}" destId="{9E022C2F-C2C7-450F-BDFA-8110A09E91C2}" srcOrd="2" destOrd="0" presId="urn:microsoft.com/office/officeart/2009/3/layout/HorizontalOrganizationChart"/>
    <dgm:cxn modelId="{1FEC81B7-3A41-458D-9D3B-0C90D61002C4}" type="presParOf" srcId="{5A350D12-8E6A-4FC9-956C-E0AE3F31B634}" destId="{98AB8B99-EE5D-4A78-A588-36DD957C361C}" srcOrd="2" destOrd="0" presId="urn:microsoft.com/office/officeart/2009/3/layout/HorizontalOrganizationChart"/>
    <dgm:cxn modelId="{62B83B28-3C37-49E0-B440-8E5720144D85}" type="presParOf" srcId="{21B3A40D-7B1E-4E72-9702-B51EC81C32A4}" destId="{BDEA7296-5730-4A10-B2F6-E4F237EEDFCB}" srcOrd="2" destOrd="0" presId="urn:microsoft.com/office/officeart/2009/3/layout/HorizontalOrganizationChart"/>
    <dgm:cxn modelId="{38BAFA84-41B1-4A7F-B945-DE76F8D657FA}" type="presParOf" srcId="{70C43515-9189-4A02-B5CB-776FB77DC340}" destId="{D12DFE35-8FEE-4D15-9048-144D09532933}" srcOrd="2" destOrd="0" presId="urn:microsoft.com/office/officeart/2009/3/layout/HorizontalOrganizationChar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0DFE52-3CD7-4271-8678-4EF6A812B7D5}">
      <dsp:nvSpPr>
        <dsp:cNvPr id="0" name=""/>
        <dsp:cNvSpPr/>
      </dsp:nvSpPr>
      <dsp:spPr>
        <a:xfrm>
          <a:off x="4305750" y="3768310"/>
          <a:ext cx="252910" cy="271878"/>
        </a:xfrm>
        <a:custGeom>
          <a:avLst/>
          <a:gdLst/>
          <a:ahLst/>
          <a:cxnLst/>
          <a:rect l="0" t="0" r="0" b="0"/>
          <a:pathLst>
            <a:path>
              <a:moveTo>
                <a:pt x="0" y="0"/>
              </a:moveTo>
              <a:lnTo>
                <a:pt x="126455" y="0"/>
              </a:lnTo>
              <a:lnTo>
                <a:pt x="126455" y="271878"/>
              </a:lnTo>
              <a:lnTo>
                <a:pt x="252910" y="271878"/>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326F04E-EB20-4262-9119-A829313FD617}">
      <dsp:nvSpPr>
        <dsp:cNvPr id="0" name=""/>
        <dsp:cNvSpPr/>
      </dsp:nvSpPr>
      <dsp:spPr>
        <a:xfrm>
          <a:off x="5823211" y="3496431"/>
          <a:ext cx="252910" cy="368797"/>
        </a:xfrm>
        <a:custGeom>
          <a:avLst/>
          <a:gdLst/>
          <a:ahLst/>
          <a:cxnLst/>
          <a:rect l="0" t="0" r="0" b="0"/>
          <a:pathLst>
            <a:path>
              <a:moveTo>
                <a:pt x="0" y="0"/>
              </a:moveTo>
              <a:lnTo>
                <a:pt x="126455" y="0"/>
              </a:lnTo>
              <a:lnTo>
                <a:pt x="126455" y="368797"/>
              </a:lnTo>
              <a:lnTo>
                <a:pt x="252910" y="368797"/>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84DA0DA-658F-434F-9514-EFBC279BB37A}">
      <dsp:nvSpPr>
        <dsp:cNvPr id="0" name=""/>
        <dsp:cNvSpPr/>
      </dsp:nvSpPr>
      <dsp:spPr>
        <a:xfrm>
          <a:off x="5823211" y="3224553"/>
          <a:ext cx="252910" cy="271878"/>
        </a:xfrm>
        <a:custGeom>
          <a:avLst/>
          <a:gdLst/>
          <a:ahLst/>
          <a:cxnLst/>
          <a:rect l="0" t="0" r="0" b="0"/>
          <a:pathLst>
            <a:path>
              <a:moveTo>
                <a:pt x="0" y="271878"/>
              </a:moveTo>
              <a:lnTo>
                <a:pt x="126455" y="271878"/>
              </a:lnTo>
              <a:lnTo>
                <a:pt x="126455" y="0"/>
              </a:lnTo>
              <a:lnTo>
                <a:pt x="252910" y="0"/>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9711510-502F-4E66-9F65-EC8C159EF741}">
      <dsp:nvSpPr>
        <dsp:cNvPr id="0" name=""/>
        <dsp:cNvSpPr/>
      </dsp:nvSpPr>
      <dsp:spPr>
        <a:xfrm>
          <a:off x="4305750" y="3496431"/>
          <a:ext cx="252910" cy="271878"/>
        </a:xfrm>
        <a:custGeom>
          <a:avLst/>
          <a:gdLst/>
          <a:ahLst/>
          <a:cxnLst/>
          <a:rect l="0" t="0" r="0" b="0"/>
          <a:pathLst>
            <a:path>
              <a:moveTo>
                <a:pt x="0" y="271878"/>
              </a:moveTo>
              <a:lnTo>
                <a:pt x="126455" y="271878"/>
              </a:lnTo>
              <a:lnTo>
                <a:pt x="126455" y="0"/>
              </a:lnTo>
              <a:lnTo>
                <a:pt x="252910" y="0"/>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D7FBAA4-2609-4054-8F19-265EF5A3E0B7}">
      <dsp:nvSpPr>
        <dsp:cNvPr id="0" name=""/>
        <dsp:cNvSpPr/>
      </dsp:nvSpPr>
      <dsp:spPr>
        <a:xfrm>
          <a:off x="2788289" y="3496431"/>
          <a:ext cx="252910" cy="271878"/>
        </a:xfrm>
        <a:custGeom>
          <a:avLst/>
          <a:gdLst/>
          <a:ahLst/>
          <a:cxnLst/>
          <a:rect l="0" t="0" r="0" b="0"/>
          <a:pathLst>
            <a:path>
              <a:moveTo>
                <a:pt x="0" y="0"/>
              </a:moveTo>
              <a:lnTo>
                <a:pt x="126455" y="0"/>
              </a:lnTo>
              <a:lnTo>
                <a:pt x="126455" y="271878"/>
              </a:lnTo>
              <a:lnTo>
                <a:pt x="252910" y="271878"/>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7F50ABF-3A78-4417-8BD0-82732599FA9F}">
      <dsp:nvSpPr>
        <dsp:cNvPr id="0" name=""/>
        <dsp:cNvSpPr/>
      </dsp:nvSpPr>
      <dsp:spPr>
        <a:xfrm>
          <a:off x="2788289" y="3224553"/>
          <a:ext cx="252910" cy="271878"/>
        </a:xfrm>
        <a:custGeom>
          <a:avLst/>
          <a:gdLst/>
          <a:ahLst/>
          <a:cxnLst/>
          <a:rect l="0" t="0" r="0" b="0"/>
          <a:pathLst>
            <a:path>
              <a:moveTo>
                <a:pt x="0" y="271878"/>
              </a:moveTo>
              <a:lnTo>
                <a:pt x="126455" y="271878"/>
              </a:lnTo>
              <a:lnTo>
                <a:pt x="126455" y="0"/>
              </a:lnTo>
              <a:lnTo>
                <a:pt x="252910" y="0"/>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4494852-DD2E-4D0C-863B-259616D436B6}">
      <dsp:nvSpPr>
        <dsp:cNvPr id="0" name=""/>
        <dsp:cNvSpPr/>
      </dsp:nvSpPr>
      <dsp:spPr>
        <a:xfrm>
          <a:off x="1270828" y="2408917"/>
          <a:ext cx="252910" cy="1087513"/>
        </a:xfrm>
        <a:custGeom>
          <a:avLst/>
          <a:gdLst/>
          <a:ahLst/>
          <a:cxnLst/>
          <a:rect l="0" t="0" r="0" b="0"/>
          <a:pathLst>
            <a:path>
              <a:moveTo>
                <a:pt x="0" y="0"/>
              </a:moveTo>
              <a:lnTo>
                <a:pt x="126455" y="0"/>
              </a:lnTo>
              <a:lnTo>
                <a:pt x="126455" y="1087513"/>
              </a:lnTo>
              <a:lnTo>
                <a:pt x="252910" y="1087513"/>
              </a:lnTo>
            </a:path>
          </a:pathLst>
        </a:custGeom>
        <a:noFill/>
        <a:ln w="6350" cap="flat" cmpd="sng" algn="ctr">
          <a:solidFill>
            <a:schemeClr val="dk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53EFD0-49ED-4BEF-9270-0B3563F05165}">
      <dsp:nvSpPr>
        <dsp:cNvPr id="0" name=""/>
        <dsp:cNvSpPr/>
      </dsp:nvSpPr>
      <dsp:spPr>
        <a:xfrm>
          <a:off x="2788289" y="2408917"/>
          <a:ext cx="252910" cy="271878"/>
        </a:xfrm>
        <a:custGeom>
          <a:avLst/>
          <a:gdLst/>
          <a:ahLst/>
          <a:cxnLst/>
          <a:rect l="0" t="0" r="0" b="0"/>
          <a:pathLst>
            <a:path>
              <a:moveTo>
                <a:pt x="0" y="0"/>
              </a:moveTo>
              <a:lnTo>
                <a:pt x="126455" y="0"/>
              </a:lnTo>
              <a:lnTo>
                <a:pt x="126455" y="271878"/>
              </a:lnTo>
              <a:lnTo>
                <a:pt x="252910" y="271878"/>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F331EEA-6250-4777-A553-3C24FA377266}">
      <dsp:nvSpPr>
        <dsp:cNvPr id="0" name=""/>
        <dsp:cNvSpPr/>
      </dsp:nvSpPr>
      <dsp:spPr>
        <a:xfrm>
          <a:off x="2788289" y="2137039"/>
          <a:ext cx="252910" cy="271878"/>
        </a:xfrm>
        <a:custGeom>
          <a:avLst/>
          <a:gdLst/>
          <a:ahLst/>
          <a:cxnLst/>
          <a:rect l="0" t="0" r="0" b="0"/>
          <a:pathLst>
            <a:path>
              <a:moveTo>
                <a:pt x="0" y="271878"/>
              </a:moveTo>
              <a:lnTo>
                <a:pt x="126455" y="271878"/>
              </a:lnTo>
              <a:lnTo>
                <a:pt x="126455" y="0"/>
              </a:lnTo>
              <a:lnTo>
                <a:pt x="252910" y="0"/>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E02FCB3-8E3C-446F-8D0D-3C9C27FEEECB}">
      <dsp:nvSpPr>
        <dsp:cNvPr id="0" name=""/>
        <dsp:cNvSpPr/>
      </dsp:nvSpPr>
      <dsp:spPr>
        <a:xfrm>
          <a:off x="1270828" y="2363197"/>
          <a:ext cx="252910" cy="91440"/>
        </a:xfrm>
        <a:custGeom>
          <a:avLst/>
          <a:gdLst/>
          <a:ahLst/>
          <a:cxnLst/>
          <a:rect l="0" t="0" r="0" b="0"/>
          <a:pathLst>
            <a:path>
              <a:moveTo>
                <a:pt x="0" y="45720"/>
              </a:moveTo>
              <a:lnTo>
                <a:pt x="252910" y="45720"/>
              </a:lnTo>
            </a:path>
          </a:pathLst>
        </a:custGeom>
        <a:noFill/>
        <a:ln w="6350" cap="flat" cmpd="sng" algn="ctr">
          <a:solidFill>
            <a:schemeClr val="dk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BF64288-AC3E-48FA-8389-337BFBAF31A4}">
      <dsp:nvSpPr>
        <dsp:cNvPr id="0" name=""/>
        <dsp:cNvSpPr/>
      </dsp:nvSpPr>
      <dsp:spPr>
        <a:xfrm>
          <a:off x="2788289" y="1321404"/>
          <a:ext cx="252910" cy="271878"/>
        </a:xfrm>
        <a:custGeom>
          <a:avLst/>
          <a:gdLst/>
          <a:ahLst/>
          <a:cxnLst/>
          <a:rect l="0" t="0" r="0" b="0"/>
          <a:pathLst>
            <a:path>
              <a:moveTo>
                <a:pt x="0" y="0"/>
              </a:moveTo>
              <a:lnTo>
                <a:pt x="126455" y="0"/>
              </a:lnTo>
              <a:lnTo>
                <a:pt x="126455" y="271878"/>
              </a:lnTo>
              <a:lnTo>
                <a:pt x="252910" y="271878"/>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D835C22-7051-4961-A3D2-BD9419464458}">
      <dsp:nvSpPr>
        <dsp:cNvPr id="0" name=""/>
        <dsp:cNvSpPr/>
      </dsp:nvSpPr>
      <dsp:spPr>
        <a:xfrm>
          <a:off x="4305750" y="1049471"/>
          <a:ext cx="252910" cy="816218"/>
        </a:xfrm>
        <a:custGeom>
          <a:avLst/>
          <a:gdLst/>
          <a:ahLst/>
          <a:cxnLst/>
          <a:rect l="0" t="0" r="0" b="0"/>
          <a:pathLst>
            <a:path>
              <a:moveTo>
                <a:pt x="0" y="0"/>
              </a:moveTo>
              <a:lnTo>
                <a:pt x="126455" y="0"/>
              </a:lnTo>
              <a:lnTo>
                <a:pt x="126455" y="816218"/>
              </a:lnTo>
              <a:lnTo>
                <a:pt x="252910" y="816218"/>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B347790-B08B-40A3-A3FB-959898DE104B}">
      <dsp:nvSpPr>
        <dsp:cNvPr id="0" name=""/>
        <dsp:cNvSpPr/>
      </dsp:nvSpPr>
      <dsp:spPr>
        <a:xfrm>
          <a:off x="5823211" y="1321933"/>
          <a:ext cx="252910" cy="271878"/>
        </a:xfrm>
        <a:custGeom>
          <a:avLst/>
          <a:gdLst/>
          <a:ahLst/>
          <a:cxnLst/>
          <a:rect l="0" t="0" r="0" b="0"/>
          <a:pathLst>
            <a:path>
              <a:moveTo>
                <a:pt x="0" y="0"/>
              </a:moveTo>
              <a:lnTo>
                <a:pt x="126455" y="0"/>
              </a:lnTo>
              <a:lnTo>
                <a:pt x="126455" y="271878"/>
              </a:lnTo>
              <a:lnTo>
                <a:pt x="252910" y="271878"/>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5A74080-6318-41E4-82B6-80ED53037DAC}">
      <dsp:nvSpPr>
        <dsp:cNvPr id="0" name=""/>
        <dsp:cNvSpPr/>
      </dsp:nvSpPr>
      <dsp:spPr>
        <a:xfrm>
          <a:off x="5823211" y="1050055"/>
          <a:ext cx="252910" cy="271878"/>
        </a:xfrm>
        <a:custGeom>
          <a:avLst/>
          <a:gdLst/>
          <a:ahLst/>
          <a:cxnLst/>
          <a:rect l="0" t="0" r="0" b="0"/>
          <a:pathLst>
            <a:path>
              <a:moveTo>
                <a:pt x="0" y="271878"/>
              </a:moveTo>
              <a:lnTo>
                <a:pt x="126455" y="271878"/>
              </a:lnTo>
              <a:lnTo>
                <a:pt x="126455" y="0"/>
              </a:lnTo>
              <a:lnTo>
                <a:pt x="252910" y="0"/>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A49E2A5-DA30-4E82-B780-E470DBE0D233}">
      <dsp:nvSpPr>
        <dsp:cNvPr id="0" name=""/>
        <dsp:cNvSpPr/>
      </dsp:nvSpPr>
      <dsp:spPr>
        <a:xfrm>
          <a:off x="4305750" y="1049471"/>
          <a:ext cx="252910" cy="272461"/>
        </a:xfrm>
        <a:custGeom>
          <a:avLst/>
          <a:gdLst/>
          <a:ahLst/>
          <a:cxnLst/>
          <a:rect l="0" t="0" r="0" b="0"/>
          <a:pathLst>
            <a:path>
              <a:moveTo>
                <a:pt x="0" y="0"/>
              </a:moveTo>
              <a:lnTo>
                <a:pt x="126455" y="0"/>
              </a:lnTo>
              <a:lnTo>
                <a:pt x="126455" y="272461"/>
              </a:lnTo>
              <a:lnTo>
                <a:pt x="252910" y="272461"/>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6CE4A58-5AB8-4A24-A192-DF512C88F53E}">
      <dsp:nvSpPr>
        <dsp:cNvPr id="0" name=""/>
        <dsp:cNvSpPr/>
      </dsp:nvSpPr>
      <dsp:spPr>
        <a:xfrm>
          <a:off x="4305750" y="505769"/>
          <a:ext cx="252910" cy="543702"/>
        </a:xfrm>
        <a:custGeom>
          <a:avLst/>
          <a:gdLst/>
          <a:ahLst/>
          <a:cxnLst/>
          <a:rect l="0" t="0" r="0" b="0"/>
          <a:pathLst>
            <a:path>
              <a:moveTo>
                <a:pt x="0" y="543702"/>
              </a:moveTo>
              <a:lnTo>
                <a:pt x="126455" y="543702"/>
              </a:lnTo>
              <a:lnTo>
                <a:pt x="126455" y="0"/>
              </a:lnTo>
              <a:lnTo>
                <a:pt x="252910" y="0"/>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39880AD-280B-4164-B0F8-4276C4D0DD62}">
      <dsp:nvSpPr>
        <dsp:cNvPr id="0" name=""/>
        <dsp:cNvSpPr/>
      </dsp:nvSpPr>
      <dsp:spPr>
        <a:xfrm>
          <a:off x="2788289" y="1049471"/>
          <a:ext cx="252910" cy="271932"/>
        </a:xfrm>
        <a:custGeom>
          <a:avLst/>
          <a:gdLst/>
          <a:ahLst/>
          <a:cxnLst/>
          <a:rect l="0" t="0" r="0" b="0"/>
          <a:pathLst>
            <a:path>
              <a:moveTo>
                <a:pt x="0" y="271932"/>
              </a:moveTo>
              <a:lnTo>
                <a:pt x="126455" y="271932"/>
              </a:lnTo>
              <a:lnTo>
                <a:pt x="126455" y="0"/>
              </a:lnTo>
              <a:lnTo>
                <a:pt x="252910" y="0"/>
              </a:lnTo>
            </a:path>
          </a:pathLst>
        </a:custGeom>
        <a:noFill/>
        <a:ln w="6350" cap="flat" cmpd="sng" algn="ctr">
          <a:solidFill>
            <a:schemeClr val="dk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B4CC7D2-0F21-4994-902A-935ED6A3936E}">
      <dsp:nvSpPr>
        <dsp:cNvPr id="0" name=""/>
        <dsp:cNvSpPr/>
      </dsp:nvSpPr>
      <dsp:spPr>
        <a:xfrm>
          <a:off x="1270828" y="1321404"/>
          <a:ext cx="252910" cy="1087513"/>
        </a:xfrm>
        <a:custGeom>
          <a:avLst/>
          <a:gdLst/>
          <a:ahLst/>
          <a:cxnLst/>
          <a:rect l="0" t="0" r="0" b="0"/>
          <a:pathLst>
            <a:path>
              <a:moveTo>
                <a:pt x="0" y="1087513"/>
              </a:moveTo>
              <a:lnTo>
                <a:pt x="126455" y="1087513"/>
              </a:lnTo>
              <a:lnTo>
                <a:pt x="126455" y="0"/>
              </a:lnTo>
              <a:lnTo>
                <a:pt x="252910" y="0"/>
              </a:lnTo>
            </a:path>
          </a:pathLst>
        </a:custGeom>
        <a:noFill/>
        <a:ln w="6350" cap="flat" cmpd="sng" algn="ctr">
          <a:solidFill>
            <a:schemeClr val="dk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F7535A5-C3E3-420D-B203-D4CEC101AEAE}">
      <dsp:nvSpPr>
        <dsp:cNvPr id="0" name=""/>
        <dsp:cNvSpPr/>
      </dsp:nvSpPr>
      <dsp:spPr>
        <a:xfrm>
          <a:off x="6277" y="2216073"/>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Ghana</a:t>
          </a:r>
        </a:p>
      </dsp:txBody>
      <dsp:txXfrm>
        <a:off x="6277" y="2216073"/>
        <a:ext cx="1264550" cy="385687"/>
      </dsp:txXfrm>
    </dsp:sp>
    <dsp:sp modelId="{0AE48DB2-4DD3-47BC-89AB-A8F1626A99FB}">
      <dsp:nvSpPr>
        <dsp:cNvPr id="0" name=""/>
        <dsp:cNvSpPr/>
      </dsp:nvSpPr>
      <dsp:spPr>
        <a:xfrm>
          <a:off x="1523738" y="1128560"/>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Region 1</a:t>
          </a:r>
        </a:p>
      </dsp:txBody>
      <dsp:txXfrm>
        <a:off x="1523738" y="1128560"/>
        <a:ext cx="1264550" cy="385687"/>
      </dsp:txXfrm>
    </dsp:sp>
    <dsp:sp modelId="{562358CD-5E48-4C2E-8BEB-EC194AF9FA20}">
      <dsp:nvSpPr>
        <dsp:cNvPr id="0" name=""/>
        <dsp:cNvSpPr/>
      </dsp:nvSpPr>
      <dsp:spPr>
        <a:xfrm>
          <a:off x="3041199" y="856627"/>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Urban (Stratum 1)</a:t>
          </a:r>
        </a:p>
      </dsp:txBody>
      <dsp:txXfrm>
        <a:off x="3041199" y="856627"/>
        <a:ext cx="1264550" cy="385687"/>
      </dsp:txXfrm>
    </dsp:sp>
    <dsp:sp modelId="{06C95765-5698-4974-B8C3-E41C74713223}">
      <dsp:nvSpPr>
        <dsp:cNvPr id="0" name=""/>
        <dsp:cNvSpPr/>
      </dsp:nvSpPr>
      <dsp:spPr>
        <a:xfrm>
          <a:off x="4558660" y="40517"/>
          <a:ext cx="1264550" cy="930503"/>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Enumeration Area 1 (EA 1)</a:t>
          </a:r>
        </a:p>
        <a:p>
          <a:pPr marL="0" lvl="0" indent="0" algn="ctr" defTabSz="444500">
            <a:lnSpc>
              <a:spcPct val="90000"/>
            </a:lnSpc>
            <a:spcBef>
              <a:spcPct val="0"/>
            </a:spcBef>
            <a:spcAft>
              <a:spcPct val="35000"/>
            </a:spcAft>
            <a:buNone/>
          </a:pPr>
          <a:r>
            <a:rPr lang="en-US" sz="1000" kern="1200"/>
            <a:t>10-15 EAs per stratum selected proportional to size to yield 250 EAs</a:t>
          </a:r>
        </a:p>
      </dsp:txBody>
      <dsp:txXfrm>
        <a:off x="4558660" y="40517"/>
        <a:ext cx="1264550" cy="930503"/>
      </dsp:txXfrm>
    </dsp:sp>
    <dsp:sp modelId="{74428ACB-39A1-4D9F-BFF0-FBC11A1A2B5E}">
      <dsp:nvSpPr>
        <dsp:cNvPr id="0" name=""/>
        <dsp:cNvSpPr/>
      </dsp:nvSpPr>
      <dsp:spPr>
        <a:xfrm>
          <a:off x="4558660" y="1129089"/>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Enumeration Area 2</a:t>
          </a:r>
        </a:p>
      </dsp:txBody>
      <dsp:txXfrm>
        <a:off x="4558660" y="1129089"/>
        <a:ext cx="1264550" cy="385687"/>
      </dsp:txXfrm>
    </dsp:sp>
    <dsp:sp modelId="{DECAFED5-36A3-43D1-840E-5225DED37186}">
      <dsp:nvSpPr>
        <dsp:cNvPr id="0" name=""/>
        <dsp:cNvSpPr/>
      </dsp:nvSpPr>
      <dsp:spPr>
        <a:xfrm>
          <a:off x="6076121" y="857211"/>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Selected 20 Households with at least one person aged 50+ years</a:t>
          </a:r>
        </a:p>
      </dsp:txBody>
      <dsp:txXfrm>
        <a:off x="6076121" y="857211"/>
        <a:ext cx="1264550" cy="385687"/>
      </dsp:txXfrm>
    </dsp:sp>
    <dsp:sp modelId="{C684F809-E266-4397-A1C5-BF7FE76EC402}">
      <dsp:nvSpPr>
        <dsp:cNvPr id="0" name=""/>
        <dsp:cNvSpPr/>
      </dsp:nvSpPr>
      <dsp:spPr>
        <a:xfrm>
          <a:off x="6076121" y="1400967"/>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Selected 4 households with persons aged 18-49 years</a:t>
          </a:r>
        </a:p>
      </dsp:txBody>
      <dsp:txXfrm>
        <a:off x="6076121" y="1400967"/>
        <a:ext cx="1264550" cy="385687"/>
      </dsp:txXfrm>
    </dsp:sp>
    <dsp:sp modelId="{777BFF2D-1FA7-421B-BA45-F44133EF915B}">
      <dsp:nvSpPr>
        <dsp:cNvPr id="0" name=""/>
        <dsp:cNvSpPr/>
      </dsp:nvSpPr>
      <dsp:spPr>
        <a:xfrm>
          <a:off x="4558660" y="1672846"/>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Enumeration Area 3</a:t>
          </a:r>
        </a:p>
      </dsp:txBody>
      <dsp:txXfrm>
        <a:off x="4558660" y="1672846"/>
        <a:ext cx="1264550" cy="385687"/>
      </dsp:txXfrm>
    </dsp:sp>
    <dsp:sp modelId="{79911539-42B6-4FEC-A165-673BDAD57567}">
      <dsp:nvSpPr>
        <dsp:cNvPr id="0" name=""/>
        <dsp:cNvSpPr/>
      </dsp:nvSpPr>
      <dsp:spPr>
        <a:xfrm>
          <a:off x="3041199" y="1400438"/>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Rural (Stratum 2)</a:t>
          </a:r>
        </a:p>
      </dsp:txBody>
      <dsp:txXfrm>
        <a:off x="3041199" y="1400438"/>
        <a:ext cx="1264550" cy="385687"/>
      </dsp:txXfrm>
    </dsp:sp>
    <dsp:sp modelId="{4846CD58-8E3C-4514-8D54-C20E243DFFFC}">
      <dsp:nvSpPr>
        <dsp:cNvPr id="0" name=""/>
        <dsp:cNvSpPr/>
      </dsp:nvSpPr>
      <dsp:spPr>
        <a:xfrm>
          <a:off x="1523738" y="2216073"/>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Region 2</a:t>
          </a:r>
        </a:p>
      </dsp:txBody>
      <dsp:txXfrm>
        <a:off x="1523738" y="2216073"/>
        <a:ext cx="1264550" cy="385687"/>
      </dsp:txXfrm>
    </dsp:sp>
    <dsp:sp modelId="{8777557A-E260-46BC-B56D-22FA5D2CD558}">
      <dsp:nvSpPr>
        <dsp:cNvPr id="0" name=""/>
        <dsp:cNvSpPr/>
      </dsp:nvSpPr>
      <dsp:spPr>
        <a:xfrm>
          <a:off x="3041199" y="1944195"/>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Urban (Stratum 3)</a:t>
          </a:r>
        </a:p>
      </dsp:txBody>
      <dsp:txXfrm>
        <a:off x="3041199" y="1944195"/>
        <a:ext cx="1264550" cy="385687"/>
      </dsp:txXfrm>
    </dsp:sp>
    <dsp:sp modelId="{92B9FE5E-7F08-449D-BA7B-D4CAEF65359F}">
      <dsp:nvSpPr>
        <dsp:cNvPr id="0" name=""/>
        <dsp:cNvSpPr/>
      </dsp:nvSpPr>
      <dsp:spPr>
        <a:xfrm>
          <a:off x="3041199" y="2487952"/>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Rural (Stratum 4)</a:t>
          </a:r>
        </a:p>
      </dsp:txBody>
      <dsp:txXfrm>
        <a:off x="3041199" y="2487952"/>
        <a:ext cx="1264550" cy="385687"/>
      </dsp:txXfrm>
    </dsp:sp>
    <dsp:sp modelId="{5F01455C-D264-4492-836F-B9BADA6485A8}">
      <dsp:nvSpPr>
        <dsp:cNvPr id="0" name=""/>
        <dsp:cNvSpPr/>
      </dsp:nvSpPr>
      <dsp:spPr>
        <a:xfrm>
          <a:off x="1523738" y="3303587"/>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Region 10</a:t>
          </a:r>
        </a:p>
      </dsp:txBody>
      <dsp:txXfrm>
        <a:off x="1523738" y="3303587"/>
        <a:ext cx="1264550" cy="385687"/>
      </dsp:txXfrm>
    </dsp:sp>
    <dsp:sp modelId="{0D8DB516-4D17-4726-AE10-AFD4A451E2B4}">
      <dsp:nvSpPr>
        <dsp:cNvPr id="0" name=""/>
        <dsp:cNvSpPr/>
      </dsp:nvSpPr>
      <dsp:spPr>
        <a:xfrm>
          <a:off x="3041199" y="3031709"/>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Urban (Stratum 19)</a:t>
          </a:r>
        </a:p>
      </dsp:txBody>
      <dsp:txXfrm>
        <a:off x="3041199" y="3031709"/>
        <a:ext cx="1264550" cy="385687"/>
      </dsp:txXfrm>
    </dsp:sp>
    <dsp:sp modelId="{10BD5D58-5837-4CB4-BE10-529AE117AA16}">
      <dsp:nvSpPr>
        <dsp:cNvPr id="0" name=""/>
        <dsp:cNvSpPr/>
      </dsp:nvSpPr>
      <dsp:spPr>
        <a:xfrm>
          <a:off x="3041199" y="3575466"/>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Rural (Stratum 20)</a:t>
          </a:r>
        </a:p>
      </dsp:txBody>
      <dsp:txXfrm>
        <a:off x="3041199" y="3575466"/>
        <a:ext cx="1264550" cy="385687"/>
      </dsp:txXfrm>
    </dsp:sp>
    <dsp:sp modelId="{B13021EE-AF4F-445B-A6BE-769DAC3AC10E}">
      <dsp:nvSpPr>
        <dsp:cNvPr id="0" name=""/>
        <dsp:cNvSpPr/>
      </dsp:nvSpPr>
      <dsp:spPr>
        <a:xfrm>
          <a:off x="4558660" y="3303587"/>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Enumeration Area 249</a:t>
          </a:r>
        </a:p>
      </dsp:txBody>
      <dsp:txXfrm>
        <a:off x="4558660" y="3303587"/>
        <a:ext cx="1264550" cy="385687"/>
      </dsp:txXfrm>
    </dsp:sp>
    <dsp:sp modelId="{794FEF54-1970-466C-95E3-56A8AE623A41}">
      <dsp:nvSpPr>
        <dsp:cNvPr id="0" name=""/>
        <dsp:cNvSpPr/>
      </dsp:nvSpPr>
      <dsp:spPr>
        <a:xfrm>
          <a:off x="6076121" y="2934789"/>
          <a:ext cx="1126525" cy="57952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Selected 4 households with persons aged 18-49 years</a:t>
          </a:r>
        </a:p>
      </dsp:txBody>
      <dsp:txXfrm>
        <a:off x="6076121" y="2934789"/>
        <a:ext cx="1126525" cy="579527"/>
      </dsp:txXfrm>
    </dsp:sp>
    <dsp:sp modelId="{090D39F3-0D70-4D3F-AEC3-14FD8CCD741C}">
      <dsp:nvSpPr>
        <dsp:cNvPr id="0" name=""/>
        <dsp:cNvSpPr/>
      </dsp:nvSpPr>
      <dsp:spPr>
        <a:xfrm>
          <a:off x="6076121" y="3672385"/>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Selected 20 Households with at least one person aged 50+ years</a:t>
          </a:r>
        </a:p>
      </dsp:txBody>
      <dsp:txXfrm>
        <a:off x="6076121" y="3672385"/>
        <a:ext cx="1264550" cy="385687"/>
      </dsp:txXfrm>
    </dsp:sp>
    <dsp:sp modelId="{C5DF67C3-323C-4CE7-8EA3-958D90D99F61}">
      <dsp:nvSpPr>
        <dsp:cNvPr id="0" name=""/>
        <dsp:cNvSpPr/>
      </dsp:nvSpPr>
      <dsp:spPr>
        <a:xfrm>
          <a:off x="4558660" y="3847344"/>
          <a:ext cx="1264550" cy="385687"/>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Enumeration Area 250</a:t>
          </a:r>
        </a:p>
      </dsp:txBody>
      <dsp:txXfrm>
        <a:off x="4558660" y="3847344"/>
        <a:ext cx="1264550" cy="385687"/>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3492B48-3771-4ED5-85E6-90D33A88D0DF}">
  <we:reference id="wa104381909" version="1.0.0.2" store="en-US" storeType="OMEX"/>
  <we:alternateReferences>
    <we:reference id="wa104381909" version="1.0.0.2"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D57A43-DCF0-4B1C-AAD4-F8A8A9D4C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318</Pages>
  <Words>149484</Words>
  <Characters>822163</Characters>
  <Application>Microsoft Office Word</Application>
  <DocSecurity>0</DocSecurity>
  <Lines>6851</Lines>
  <Paragraphs>1939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969708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Billy</dc:creator>
  <cp:keywords/>
  <dc:description/>
  <cp:lastModifiedBy>William Bosu</cp:lastModifiedBy>
  <cp:revision>4</cp:revision>
  <cp:lastPrinted>2020-09-22T03:59:00Z</cp:lastPrinted>
  <dcterms:created xsi:type="dcterms:W3CDTF">2021-05-13T21:52:00Z</dcterms:created>
  <dcterms:modified xsi:type="dcterms:W3CDTF">2021-05-13T22:14:00Z</dcterms:modified>
</cp:coreProperties>
</file>